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1547" w14:textId="6372BCDE" w:rsidR="00EB1B21" w:rsidRDefault="00AD4BA9" w:rsidP="001378BA">
      <w:pPr>
        <w:jc w:val="center"/>
        <w:rPr>
          <w:b/>
          <w:bCs/>
          <w:sz w:val="28"/>
          <w:szCs w:val="28"/>
        </w:rPr>
      </w:pPr>
      <w:r>
        <w:rPr>
          <w:b/>
          <w:bCs/>
          <w:sz w:val="24"/>
          <w:szCs w:val="24"/>
        </w:rPr>
        <w:fldChar w:fldCharType="begin"/>
      </w:r>
      <w:r>
        <w:rPr>
          <w:b/>
          <w:bCs/>
          <w:sz w:val="24"/>
          <w:szCs w:val="24"/>
        </w:rPr>
        <w:instrText xml:space="preserve"> MACROBUTTON MTEditEquationSection2 </w:instrText>
      </w:r>
      <w:r w:rsidRPr="00AD4BA9">
        <w:rPr>
          <w:rStyle w:val="MTEquationSection"/>
        </w:rPr>
        <w:instrText>Equation Chapter  1 Section 1</w:instrText>
      </w:r>
      <w:r>
        <w:rPr>
          <w:b/>
          <w:bCs/>
          <w:sz w:val="24"/>
          <w:szCs w:val="24"/>
        </w:rPr>
        <w:fldChar w:fldCharType="begin"/>
      </w:r>
      <w:r>
        <w:rPr>
          <w:b/>
          <w:bCs/>
          <w:sz w:val="24"/>
          <w:szCs w:val="24"/>
        </w:rPr>
        <w:instrText xml:space="preserve"> SEQ MTEqn \r \h \* MERGEFORMAT </w:instrText>
      </w:r>
      <w:r>
        <w:rPr>
          <w:b/>
          <w:bCs/>
          <w:sz w:val="24"/>
          <w:szCs w:val="24"/>
        </w:rPr>
        <w:fldChar w:fldCharType="end"/>
      </w:r>
      <w:r>
        <w:rPr>
          <w:b/>
          <w:bCs/>
          <w:sz w:val="24"/>
          <w:szCs w:val="24"/>
        </w:rPr>
        <w:fldChar w:fldCharType="begin"/>
      </w:r>
      <w:r>
        <w:rPr>
          <w:b/>
          <w:bCs/>
          <w:sz w:val="24"/>
          <w:szCs w:val="24"/>
        </w:rPr>
        <w:instrText xml:space="preserve"> SEQ MTSec \r 1 \h \* MERGEFORMAT </w:instrText>
      </w:r>
      <w:r>
        <w:rPr>
          <w:b/>
          <w:bCs/>
          <w:sz w:val="24"/>
          <w:szCs w:val="24"/>
        </w:rPr>
        <w:fldChar w:fldCharType="end"/>
      </w:r>
      <w:r>
        <w:rPr>
          <w:b/>
          <w:bCs/>
          <w:sz w:val="24"/>
          <w:szCs w:val="24"/>
        </w:rPr>
        <w:fldChar w:fldCharType="begin"/>
      </w:r>
      <w:r>
        <w:rPr>
          <w:b/>
          <w:bCs/>
          <w:sz w:val="24"/>
          <w:szCs w:val="24"/>
        </w:rPr>
        <w:instrText xml:space="preserve"> SEQ MTChap \r  1 \h \* MERGEFORMAT </w:instrText>
      </w:r>
      <w:r>
        <w:rPr>
          <w:b/>
          <w:bCs/>
          <w:sz w:val="24"/>
          <w:szCs w:val="24"/>
        </w:rPr>
        <w:fldChar w:fldCharType="end"/>
      </w:r>
      <w:r>
        <w:rPr>
          <w:b/>
          <w:bCs/>
          <w:sz w:val="24"/>
          <w:szCs w:val="24"/>
        </w:rPr>
        <w:fldChar w:fldCharType="end"/>
      </w:r>
      <w:r w:rsidR="001378BA" w:rsidRPr="001378BA">
        <w:rPr>
          <w:b/>
          <w:bCs/>
          <w:sz w:val="24"/>
          <w:szCs w:val="24"/>
        </w:rPr>
        <w:t>Understanding Why People Don’t Ride Public Transit: A Multivariate Investigation of Transit Usage and Barriers</w:t>
      </w:r>
    </w:p>
    <w:p w14:paraId="06C8151F" w14:textId="77777777" w:rsidR="008B64FF" w:rsidRDefault="008B64FF" w:rsidP="004247F3">
      <w:pPr>
        <w:rPr>
          <w:b/>
          <w:bCs/>
          <w:sz w:val="28"/>
          <w:szCs w:val="28"/>
        </w:rPr>
      </w:pPr>
    </w:p>
    <w:p w14:paraId="3F296162" w14:textId="77777777" w:rsidR="004247F3" w:rsidRDefault="004247F3" w:rsidP="004247F3">
      <w:pPr>
        <w:rPr>
          <w:b/>
          <w:bCs/>
          <w:sz w:val="28"/>
          <w:szCs w:val="28"/>
        </w:rPr>
      </w:pPr>
    </w:p>
    <w:p w14:paraId="1713FC8F" w14:textId="77777777" w:rsidR="00755656" w:rsidRDefault="00755656" w:rsidP="004247F3">
      <w:pPr>
        <w:rPr>
          <w:b/>
          <w:bCs/>
          <w:sz w:val="28"/>
          <w:szCs w:val="28"/>
        </w:rPr>
      </w:pPr>
    </w:p>
    <w:p w14:paraId="6779FE9D" w14:textId="68A8A521" w:rsidR="00336741" w:rsidRPr="00BE230C" w:rsidRDefault="00336741" w:rsidP="004247F3">
      <w:pPr>
        <w:pStyle w:val="FootnoteText"/>
        <w:rPr>
          <w:b/>
          <w:bCs/>
          <w:sz w:val="24"/>
          <w:szCs w:val="24"/>
        </w:rPr>
      </w:pPr>
      <w:r w:rsidRPr="00BE230C">
        <w:rPr>
          <w:b/>
          <w:bCs/>
          <w:sz w:val="24"/>
          <w:szCs w:val="24"/>
        </w:rPr>
        <w:t>Ifratul Hoque</w:t>
      </w:r>
    </w:p>
    <w:p w14:paraId="25DC4616" w14:textId="77777777" w:rsidR="004C66E7" w:rsidRDefault="004C66E7" w:rsidP="004247F3">
      <w:pPr>
        <w:pStyle w:val="FootnoteText"/>
        <w:rPr>
          <w:sz w:val="24"/>
          <w:szCs w:val="24"/>
        </w:rPr>
      </w:pPr>
      <w:r>
        <w:rPr>
          <w:sz w:val="24"/>
          <w:szCs w:val="24"/>
        </w:rPr>
        <w:t xml:space="preserve">The University of Texas </w:t>
      </w:r>
      <w:proofErr w:type="gramStart"/>
      <w:r>
        <w:rPr>
          <w:sz w:val="24"/>
          <w:szCs w:val="24"/>
        </w:rPr>
        <w:t>at</w:t>
      </w:r>
      <w:proofErr w:type="gramEnd"/>
      <w:r>
        <w:rPr>
          <w:sz w:val="24"/>
          <w:szCs w:val="24"/>
        </w:rPr>
        <w:t xml:space="preserve"> Austin</w:t>
      </w:r>
    </w:p>
    <w:p w14:paraId="67041CC0" w14:textId="78ABC8C4" w:rsidR="004C66E7" w:rsidRDefault="004C66E7" w:rsidP="004247F3">
      <w:pPr>
        <w:pStyle w:val="FootnoteText"/>
        <w:rPr>
          <w:sz w:val="24"/>
          <w:szCs w:val="24"/>
        </w:rPr>
      </w:pPr>
      <w:r w:rsidRPr="004C66E7">
        <w:rPr>
          <w:sz w:val="24"/>
          <w:szCs w:val="24"/>
        </w:rPr>
        <w:t>Department of Civil, Architectural and Environmental Engineering</w:t>
      </w:r>
    </w:p>
    <w:p w14:paraId="0B31C99A" w14:textId="4B91B321" w:rsidR="004C66E7" w:rsidRDefault="004C66E7" w:rsidP="004247F3">
      <w:pPr>
        <w:pStyle w:val="FootnoteText"/>
        <w:rPr>
          <w:sz w:val="24"/>
          <w:szCs w:val="24"/>
        </w:rPr>
      </w:pPr>
      <w:r w:rsidRPr="004C66E7">
        <w:rPr>
          <w:sz w:val="24"/>
          <w:szCs w:val="24"/>
        </w:rPr>
        <w:t>301 E. Dean Keeton St. Stop C1761, Austin TX 78712, USA</w:t>
      </w:r>
    </w:p>
    <w:p w14:paraId="78AAB007" w14:textId="300D0CD3" w:rsidR="004C66E7" w:rsidRDefault="004C66E7" w:rsidP="004247F3">
      <w:pPr>
        <w:pStyle w:val="FootnoteText"/>
        <w:rPr>
          <w:sz w:val="24"/>
          <w:szCs w:val="24"/>
        </w:rPr>
      </w:pPr>
      <w:r>
        <w:rPr>
          <w:sz w:val="24"/>
          <w:szCs w:val="24"/>
        </w:rPr>
        <w:t xml:space="preserve">Email: </w:t>
      </w:r>
      <w:hyperlink r:id="rId8" w:history="1">
        <w:r w:rsidR="00BE230C" w:rsidRPr="00F0617D">
          <w:rPr>
            <w:rStyle w:val="Hyperlink"/>
            <w:sz w:val="24"/>
            <w:szCs w:val="24"/>
          </w:rPr>
          <w:t>ih6446@my.utexas.edu</w:t>
        </w:r>
      </w:hyperlink>
    </w:p>
    <w:p w14:paraId="06629E23" w14:textId="77777777" w:rsidR="00BE230C" w:rsidRDefault="00BE230C" w:rsidP="004247F3">
      <w:pPr>
        <w:pStyle w:val="FootnoteText"/>
        <w:rPr>
          <w:sz w:val="24"/>
          <w:szCs w:val="24"/>
        </w:rPr>
      </w:pPr>
    </w:p>
    <w:p w14:paraId="4EB0CC10" w14:textId="7141F379" w:rsidR="00731837" w:rsidRPr="00731837" w:rsidRDefault="00731837" w:rsidP="004247F3">
      <w:pPr>
        <w:pStyle w:val="FootnoteText"/>
        <w:rPr>
          <w:b/>
          <w:bCs/>
          <w:sz w:val="24"/>
          <w:szCs w:val="24"/>
        </w:rPr>
      </w:pPr>
      <w:r w:rsidRPr="00731837">
        <w:rPr>
          <w:b/>
          <w:bCs/>
          <w:sz w:val="24"/>
          <w:szCs w:val="24"/>
        </w:rPr>
        <w:t>Dale Robbennolt</w:t>
      </w:r>
    </w:p>
    <w:p w14:paraId="7A224DD2" w14:textId="0A2654EF" w:rsidR="00731837" w:rsidRDefault="00731837" w:rsidP="004247F3">
      <w:pPr>
        <w:pStyle w:val="FootnoteText"/>
        <w:rPr>
          <w:sz w:val="24"/>
          <w:szCs w:val="24"/>
        </w:rPr>
      </w:pPr>
      <w:r w:rsidRPr="00731837">
        <w:rPr>
          <w:sz w:val="24"/>
          <w:szCs w:val="24"/>
        </w:rPr>
        <w:t xml:space="preserve">The University of Texas </w:t>
      </w:r>
      <w:proofErr w:type="gramStart"/>
      <w:r w:rsidRPr="00731837">
        <w:rPr>
          <w:sz w:val="24"/>
          <w:szCs w:val="24"/>
        </w:rPr>
        <w:t>at</w:t>
      </w:r>
      <w:proofErr w:type="gramEnd"/>
      <w:r w:rsidRPr="00731837">
        <w:rPr>
          <w:sz w:val="24"/>
          <w:szCs w:val="24"/>
        </w:rPr>
        <w:t xml:space="preserve"> Austin</w:t>
      </w:r>
    </w:p>
    <w:p w14:paraId="375BDCFF" w14:textId="7B94FE8E" w:rsidR="00731837" w:rsidRDefault="00731837" w:rsidP="004247F3">
      <w:pPr>
        <w:pStyle w:val="FootnoteText"/>
        <w:rPr>
          <w:sz w:val="24"/>
          <w:szCs w:val="24"/>
        </w:rPr>
      </w:pPr>
      <w:r w:rsidRPr="00731837">
        <w:rPr>
          <w:sz w:val="24"/>
          <w:szCs w:val="24"/>
        </w:rPr>
        <w:t>Department of Civil, Architectural and Environmental Engineering</w:t>
      </w:r>
    </w:p>
    <w:p w14:paraId="3F4BFB9B" w14:textId="43987A1E" w:rsidR="00731837" w:rsidRDefault="00731837" w:rsidP="004247F3">
      <w:pPr>
        <w:pStyle w:val="FootnoteText"/>
        <w:rPr>
          <w:sz w:val="24"/>
          <w:szCs w:val="24"/>
        </w:rPr>
      </w:pPr>
      <w:r w:rsidRPr="00731837">
        <w:rPr>
          <w:sz w:val="24"/>
          <w:szCs w:val="24"/>
        </w:rPr>
        <w:t>301 E. Dean Keeton St. Stop C1761, Austin TX 78712, USA</w:t>
      </w:r>
    </w:p>
    <w:p w14:paraId="18421725" w14:textId="600D072A" w:rsidR="00BE230C" w:rsidRDefault="00731837" w:rsidP="004247F3">
      <w:pPr>
        <w:pStyle w:val="FootnoteText"/>
      </w:pPr>
      <w:r w:rsidRPr="00731837">
        <w:rPr>
          <w:sz w:val="24"/>
          <w:szCs w:val="24"/>
        </w:rPr>
        <w:t xml:space="preserve">Email: </w:t>
      </w:r>
      <w:hyperlink r:id="rId9" w:history="1">
        <w:r w:rsidRPr="00F0617D">
          <w:rPr>
            <w:rStyle w:val="Hyperlink"/>
            <w:sz w:val="24"/>
            <w:szCs w:val="24"/>
          </w:rPr>
          <w:t>dar4836@utexas.edu</w:t>
        </w:r>
      </w:hyperlink>
    </w:p>
    <w:p w14:paraId="23C4A10B" w14:textId="77777777" w:rsidR="002B4395" w:rsidRDefault="002B4395" w:rsidP="004247F3">
      <w:pPr>
        <w:pStyle w:val="FootnoteText"/>
      </w:pPr>
    </w:p>
    <w:p w14:paraId="4FDFB26C" w14:textId="77777777" w:rsidR="00D35F59" w:rsidRPr="00D35F59" w:rsidRDefault="00D35F59" w:rsidP="00D35F59">
      <w:pPr>
        <w:rPr>
          <w:rFonts w:eastAsia="Calibri"/>
          <w:b/>
          <w:sz w:val="24"/>
          <w:szCs w:val="24"/>
        </w:rPr>
      </w:pPr>
      <w:r w:rsidRPr="00D35F59">
        <w:rPr>
          <w:rFonts w:eastAsia="Calibri"/>
          <w:b/>
          <w:sz w:val="24"/>
          <w:szCs w:val="24"/>
        </w:rPr>
        <w:t>Irfan Batur</w:t>
      </w:r>
    </w:p>
    <w:p w14:paraId="732ECA92" w14:textId="18CCEB0C" w:rsidR="002B4395" w:rsidRDefault="00491A4B" w:rsidP="004247F3">
      <w:pPr>
        <w:pStyle w:val="FootnoteText"/>
        <w:rPr>
          <w:sz w:val="24"/>
          <w:szCs w:val="24"/>
        </w:rPr>
      </w:pPr>
      <w:r w:rsidRPr="00491A4B">
        <w:rPr>
          <w:sz w:val="24"/>
          <w:szCs w:val="24"/>
        </w:rPr>
        <w:t>Arizona State University</w:t>
      </w:r>
    </w:p>
    <w:p w14:paraId="2EFEDA49" w14:textId="505CA12F" w:rsidR="00491A4B" w:rsidRDefault="001941DD" w:rsidP="004247F3">
      <w:pPr>
        <w:pStyle w:val="FootnoteText"/>
        <w:rPr>
          <w:sz w:val="24"/>
          <w:szCs w:val="24"/>
        </w:rPr>
      </w:pPr>
      <w:r w:rsidRPr="001941DD">
        <w:rPr>
          <w:sz w:val="24"/>
          <w:szCs w:val="24"/>
        </w:rPr>
        <w:t>School of Sustainable Engineering and the Built Environment</w:t>
      </w:r>
    </w:p>
    <w:p w14:paraId="7EC24C39" w14:textId="09B9100B" w:rsidR="001941DD" w:rsidRDefault="000914EF" w:rsidP="004247F3">
      <w:pPr>
        <w:pStyle w:val="FootnoteText"/>
        <w:rPr>
          <w:sz w:val="24"/>
          <w:szCs w:val="24"/>
        </w:rPr>
      </w:pPr>
      <w:r w:rsidRPr="000914EF">
        <w:rPr>
          <w:sz w:val="24"/>
          <w:szCs w:val="24"/>
        </w:rPr>
        <w:t>660 S. College Avenue, Tempe, AZ 85287-3005, USA</w:t>
      </w:r>
    </w:p>
    <w:p w14:paraId="09127807" w14:textId="0D86171D" w:rsidR="00E2726E" w:rsidRDefault="00E2726E" w:rsidP="004247F3">
      <w:pPr>
        <w:pStyle w:val="FootnoteText"/>
        <w:rPr>
          <w:sz w:val="24"/>
          <w:szCs w:val="24"/>
        </w:rPr>
      </w:pPr>
      <w:r>
        <w:rPr>
          <w:sz w:val="24"/>
          <w:szCs w:val="24"/>
        </w:rPr>
        <w:t xml:space="preserve">Email: </w:t>
      </w:r>
      <w:hyperlink r:id="rId10" w:history="1">
        <w:r w:rsidR="0027769D" w:rsidRPr="00B13457">
          <w:rPr>
            <w:rStyle w:val="Hyperlink"/>
            <w:sz w:val="24"/>
            <w:szCs w:val="24"/>
          </w:rPr>
          <w:t>ibatur@asu.edu</w:t>
        </w:r>
      </w:hyperlink>
      <w:r w:rsidR="0027769D">
        <w:rPr>
          <w:sz w:val="24"/>
          <w:szCs w:val="24"/>
        </w:rPr>
        <w:t xml:space="preserve"> </w:t>
      </w:r>
    </w:p>
    <w:p w14:paraId="0DB1FE6D" w14:textId="77777777" w:rsidR="0027769D" w:rsidRDefault="0027769D" w:rsidP="004247F3">
      <w:pPr>
        <w:pStyle w:val="FootnoteText"/>
        <w:rPr>
          <w:sz w:val="24"/>
          <w:szCs w:val="24"/>
        </w:rPr>
      </w:pPr>
    </w:p>
    <w:p w14:paraId="6EFC004A" w14:textId="4787A2BA" w:rsidR="0027769D" w:rsidRDefault="00205844" w:rsidP="004247F3">
      <w:pPr>
        <w:pStyle w:val="FootnoteText"/>
        <w:rPr>
          <w:b/>
          <w:bCs/>
          <w:sz w:val="24"/>
          <w:szCs w:val="24"/>
        </w:rPr>
      </w:pPr>
      <w:proofErr w:type="spellStart"/>
      <w:r w:rsidRPr="00205844">
        <w:rPr>
          <w:b/>
          <w:bCs/>
          <w:sz w:val="24"/>
          <w:szCs w:val="24"/>
        </w:rPr>
        <w:t>Jinghai</w:t>
      </w:r>
      <w:proofErr w:type="spellEnd"/>
      <w:r w:rsidRPr="00205844">
        <w:rPr>
          <w:b/>
          <w:bCs/>
          <w:sz w:val="24"/>
          <w:szCs w:val="24"/>
        </w:rPr>
        <w:t xml:space="preserve"> Huo</w:t>
      </w:r>
    </w:p>
    <w:p w14:paraId="1886DDE9" w14:textId="77777777" w:rsidR="00205844" w:rsidRDefault="00205844" w:rsidP="00205844">
      <w:pPr>
        <w:pStyle w:val="FootnoteText"/>
        <w:rPr>
          <w:sz w:val="24"/>
          <w:szCs w:val="24"/>
        </w:rPr>
      </w:pPr>
      <w:r w:rsidRPr="00491A4B">
        <w:rPr>
          <w:sz w:val="24"/>
          <w:szCs w:val="24"/>
        </w:rPr>
        <w:t>Arizona State University</w:t>
      </w:r>
    </w:p>
    <w:p w14:paraId="08FBEA32" w14:textId="77777777" w:rsidR="00205844" w:rsidRDefault="00205844" w:rsidP="00205844">
      <w:pPr>
        <w:pStyle w:val="FootnoteText"/>
        <w:rPr>
          <w:sz w:val="24"/>
          <w:szCs w:val="24"/>
        </w:rPr>
      </w:pPr>
      <w:r w:rsidRPr="001941DD">
        <w:rPr>
          <w:sz w:val="24"/>
          <w:szCs w:val="24"/>
        </w:rPr>
        <w:t>School of Sustainable Engineering and the Built Environment</w:t>
      </w:r>
    </w:p>
    <w:p w14:paraId="43543CA2" w14:textId="77777777" w:rsidR="00205844" w:rsidRDefault="00205844" w:rsidP="00205844">
      <w:pPr>
        <w:pStyle w:val="FootnoteText"/>
        <w:rPr>
          <w:sz w:val="24"/>
          <w:szCs w:val="24"/>
        </w:rPr>
      </w:pPr>
      <w:r w:rsidRPr="000914EF">
        <w:rPr>
          <w:sz w:val="24"/>
          <w:szCs w:val="24"/>
        </w:rPr>
        <w:t>660 S. College Avenue, Tempe, AZ 85287-3005, USA</w:t>
      </w:r>
    </w:p>
    <w:p w14:paraId="2D0EA4FC" w14:textId="40941561" w:rsidR="00205844" w:rsidRDefault="00205844" w:rsidP="004247F3">
      <w:pPr>
        <w:pStyle w:val="FootnoteText"/>
        <w:rPr>
          <w:sz w:val="24"/>
          <w:szCs w:val="24"/>
        </w:rPr>
      </w:pPr>
      <w:r>
        <w:rPr>
          <w:sz w:val="24"/>
          <w:szCs w:val="24"/>
        </w:rPr>
        <w:t xml:space="preserve">Email: </w:t>
      </w:r>
      <w:hyperlink r:id="rId11" w:history="1">
        <w:r w:rsidR="00926CBE" w:rsidRPr="00B13457">
          <w:rPr>
            <w:rStyle w:val="Hyperlink"/>
            <w:sz w:val="24"/>
            <w:szCs w:val="24"/>
          </w:rPr>
          <w:t>jinghaih@asu.edu</w:t>
        </w:r>
      </w:hyperlink>
      <w:r w:rsidR="00926CBE">
        <w:rPr>
          <w:sz w:val="24"/>
          <w:szCs w:val="24"/>
        </w:rPr>
        <w:t xml:space="preserve"> </w:t>
      </w:r>
    </w:p>
    <w:p w14:paraId="287508EF" w14:textId="77777777" w:rsidR="00926CBE" w:rsidRDefault="00926CBE" w:rsidP="004247F3">
      <w:pPr>
        <w:pStyle w:val="FootnoteText"/>
        <w:rPr>
          <w:sz w:val="24"/>
          <w:szCs w:val="24"/>
        </w:rPr>
      </w:pPr>
    </w:p>
    <w:p w14:paraId="4F4FD029" w14:textId="77777777" w:rsidR="00130E43" w:rsidRPr="00130E43" w:rsidRDefault="00130E43" w:rsidP="00130E43">
      <w:pPr>
        <w:pStyle w:val="FootnoteText"/>
        <w:rPr>
          <w:b/>
          <w:bCs/>
          <w:sz w:val="24"/>
          <w:szCs w:val="24"/>
        </w:rPr>
      </w:pPr>
      <w:r w:rsidRPr="00130E43">
        <w:rPr>
          <w:b/>
          <w:bCs/>
          <w:sz w:val="24"/>
          <w:szCs w:val="24"/>
        </w:rPr>
        <w:t>Steven E. Polzin</w:t>
      </w:r>
    </w:p>
    <w:p w14:paraId="78230DB3" w14:textId="77777777" w:rsidR="00130E43" w:rsidRDefault="00130E43" w:rsidP="00130E43">
      <w:pPr>
        <w:pStyle w:val="FootnoteText"/>
        <w:rPr>
          <w:sz w:val="24"/>
          <w:szCs w:val="24"/>
        </w:rPr>
      </w:pPr>
      <w:r w:rsidRPr="00491A4B">
        <w:rPr>
          <w:sz w:val="24"/>
          <w:szCs w:val="24"/>
        </w:rPr>
        <w:t>Arizona State University</w:t>
      </w:r>
    </w:p>
    <w:p w14:paraId="73D187BB" w14:textId="77777777" w:rsidR="00130E43" w:rsidRDefault="00130E43" w:rsidP="00130E43">
      <w:pPr>
        <w:pStyle w:val="FootnoteText"/>
        <w:rPr>
          <w:sz w:val="24"/>
          <w:szCs w:val="24"/>
        </w:rPr>
      </w:pPr>
      <w:r w:rsidRPr="001941DD">
        <w:rPr>
          <w:sz w:val="24"/>
          <w:szCs w:val="24"/>
        </w:rPr>
        <w:t>School of Sustainable Engineering and the Built Environment</w:t>
      </w:r>
    </w:p>
    <w:p w14:paraId="48510CF1" w14:textId="77777777" w:rsidR="00130E43" w:rsidRDefault="00130E43" w:rsidP="00130E43">
      <w:pPr>
        <w:pStyle w:val="FootnoteText"/>
        <w:rPr>
          <w:sz w:val="24"/>
          <w:szCs w:val="24"/>
        </w:rPr>
      </w:pPr>
      <w:r w:rsidRPr="000914EF">
        <w:rPr>
          <w:sz w:val="24"/>
          <w:szCs w:val="24"/>
        </w:rPr>
        <w:t>660 S. College Avenue, Tempe, AZ 85287-3005, USA</w:t>
      </w:r>
    </w:p>
    <w:p w14:paraId="54859BD7" w14:textId="37ED3FC4" w:rsidR="00926CBE" w:rsidRDefault="00130E43" w:rsidP="00130E43">
      <w:pPr>
        <w:pStyle w:val="FootnoteText"/>
        <w:rPr>
          <w:sz w:val="24"/>
          <w:szCs w:val="24"/>
        </w:rPr>
      </w:pPr>
      <w:r w:rsidRPr="00130E43">
        <w:rPr>
          <w:sz w:val="24"/>
          <w:szCs w:val="24"/>
        </w:rPr>
        <w:t xml:space="preserve">Email: </w:t>
      </w:r>
      <w:hyperlink r:id="rId12" w:history="1">
        <w:r w:rsidRPr="00B13457">
          <w:rPr>
            <w:rStyle w:val="Hyperlink"/>
            <w:sz w:val="24"/>
            <w:szCs w:val="24"/>
          </w:rPr>
          <w:t>sepolzin@asu.edu</w:t>
        </w:r>
      </w:hyperlink>
      <w:r>
        <w:rPr>
          <w:sz w:val="24"/>
          <w:szCs w:val="24"/>
        </w:rPr>
        <w:t xml:space="preserve"> </w:t>
      </w:r>
    </w:p>
    <w:p w14:paraId="21E72E5E" w14:textId="77777777" w:rsidR="002A54A4" w:rsidRDefault="002A54A4" w:rsidP="00130E43">
      <w:pPr>
        <w:pStyle w:val="FootnoteText"/>
        <w:rPr>
          <w:sz w:val="24"/>
          <w:szCs w:val="24"/>
        </w:rPr>
      </w:pPr>
    </w:p>
    <w:p w14:paraId="0D6DD4EF" w14:textId="1D555221" w:rsidR="002A54A4" w:rsidRDefault="002B52ED" w:rsidP="00130E43">
      <w:pPr>
        <w:pStyle w:val="FootnoteText"/>
        <w:rPr>
          <w:b/>
          <w:bCs/>
          <w:sz w:val="24"/>
          <w:szCs w:val="24"/>
        </w:rPr>
      </w:pPr>
      <w:r w:rsidRPr="002B52ED">
        <w:rPr>
          <w:b/>
          <w:bCs/>
          <w:sz w:val="24"/>
          <w:szCs w:val="24"/>
        </w:rPr>
        <w:t>Ram M. Pendyala</w:t>
      </w:r>
    </w:p>
    <w:p w14:paraId="6CBCF52C" w14:textId="77777777" w:rsidR="00286FB0" w:rsidRDefault="00286FB0" w:rsidP="00286FB0">
      <w:pPr>
        <w:pStyle w:val="FootnoteText"/>
        <w:rPr>
          <w:sz w:val="24"/>
          <w:szCs w:val="24"/>
        </w:rPr>
      </w:pPr>
      <w:r w:rsidRPr="00491A4B">
        <w:rPr>
          <w:sz w:val="24"/>
          <w:szCs w:val="24"/>
        </w:rPr>
        <w:t>Arizona State University</w:t>
      </w:r>
    </w:p>
    <w:p w14:paraId="28167C91" w14:textId="77777777" w:rsidR="00286FB0" w:rsidRDefault="00286FB0" w:rsidP="00286FB0">
      <w:pPr>
        <w:pStyle w:val="FootnoteText"/>
        <w:rPr>
          <w:sz w:val="24"/>
          <w:szCs w:val="24"/>
        </w:rPr>
      </w:pPr>
      <w:r w:rsidRPr="001941DD">
        <w:rPr>
          <w:sz w:val="24"/>
          <w:szCs w:val="24"/>
        </w:rPr>
        <w:t>School of Sustainable Engineering and the Built Environment</w:t>
      </w:r>
    </w:p>
    <w:p w14:paraId="01B58997" w14:textId="77777777" w:rsidR="00286FB0" w:rsidRDefault="00286FB0" w:rsidP="00286FB0">
      <w:pPr>
        <w:pStyle w:val="FootnoteText"/>
        <w:rPr>
          <w:sz w:val="24"/>
          <w:szCs w:val="24"/>
        </w:rPr>
      </w:pPr>
      <w:r w:rsidRPr="000914EF">
        <w:rPr>
          <w:sz w:val="24"/>
          <w:szCs w:val="24"/>
        </w:rPr>
        <w:t>660 S. College Avenue, Tempe, AZ 85287-3005, USA</w:t>
      </w:r>
    </w:p>
    <w:p w14:paraId="45B4B590" w14:textId="4DDE781A" w:rsidR="002B52ED" w:rsidRPr="002C44AB" w:rsidRDefault="002C44AB" w:rsidP="00130E43">
      <w:pPr>
        <w:pStyle w:val="FootnoteText"/>
        <w:rPr>
          <w:sz w:val="24"/>
          <w:szCs w:val="24"/>
        </w:rPr>
      </w:pPr>
      <w:r w:rsidRPr="002C44AB">
        <w:rPr>
          <w:sz w:val="24"/>
          <w:szCs w:val="24"/>
        </w:rPr>
        <w:t xml:space="preserve">Email: </w:t>
      </w:r>
      <w:hyperlink r:id="rId13" w:history="1">
        <w:r w:rsidRPr="00B13457">
          <w:rPr>
            <w:rStyle w:val="Hyperlink"/>
            <w:sz w:val="24"/>
            <w:szCs w:val="24"/>
          </w:rPr>
          <w:t>ram.pendyala@asu.edu</w:t>
        </w:r>
      </w:hyperlink>
      <w:r>
        <w:rPr>
          <w:sz w:val="24"/>
          <w:szCs w:val="24"/>
        </w:rPr>
        <w:t xml:space="preserve"> </w:t>
      </w:r>
      <w:r w:rsidRPr="002C44AB">
        <w:rPr>
          <w:sz w:val="24"/>
          <w:szCs w:val="24"/>
        </w:rPr>
        <w:t xml:space="preserve">  </w:t>
      </w:r>
    </w:p>
    <w:p w14:paraId="629E34A8" w14:textId="77777777" w:rsidR="00731837" w:rsidRDefault="00731837" w:rsidP="004247F3">
      <w:pPr>
        <w:pStyle w:val="FootnoteText"/>
        <w:rPr>
          <w:sz w:val="24"/>
          <w:szCs w:val="24"/>
        </w:rPr>
      </w:pPr>
    </w:p>
    <w:p w14:paraId="18D7701A" w14:textId="14216669" w:rsidR="00731837" w:rsidRDefault="00731837" w:rsidP="004247F3">
      <w:pPr>
        <w:pStyle w:val="FootnoteText"/>
        <w:rPr>
          <w:b/>
          <w:bCs/>
          <w:sz w:val="24"/>
          <w:szCs w:val="24"/>
        </w:rPr>
      </w:pPr>
      <w:r w:rsidRPr="00731837">
        <w:rPr>
          <w:b/>
          <w:bCs/>
          <w:sz w:val="24"/>
          <w:szCs w:val="24"/>
        </w:rPr>
        <w:t>Chandra R. Bhat (corresponding author)</w:t>
      </w:r>
    </w:p>
    <w:p w14:paraId="0BE80371" w14:textId="17AA248C" w:rsidR="008B64FF" w:rsidRDefault="008B64FF" w:rsidP="004247F3">
      <w:pPr>
        <w:pStyle w:val="FootnoteText"/>
        <w:rPr>
          <w:sz w:val="24"/>
          <w:szCs w:val="24"/>
        </w:rPr>
      </w:pPr>
      <w:r w:rsidRPr="008B64FF">
        <w:rPr>
          <w:sz w:val="24"/>
          <w:szCs w:val="24"/>
        </w:rPr>
        <w:t xml:space="preserve">The University of Texas </w:t>
      </w:r>
      <w:proofErr w:type="gramStart"/>
      <w:r w:rsidRPr="008B64FF">
        <w:rPr>
          <w:sz w:val="24"/>
          <w:szCs w:val="24"/>
        </w:rPr>
        <w:t>at</w:t>
      </w:r>
      <w:proofErr w:type="gramEnd"/>
      <w:r w:rsidRPr="008B64FF">
        <w:rPr>
          <w:sz w:val="24"/>
          <w:szCs w:val="24"/>
        </w:rPr>
        <w:t xml:space="preserve"> Austin</w:t>
      </w:r>
    </w:p>
    <w:p w14:paraId="3D51EAB2" w14:textId="7548D2BE" w:rsidR="008B64FF" w:rsidRDefault="008B64FF" w:rsidP="004247F3">
      <w:pPr>
        <w:pStyle w:val="FootnoteText"/>
        <w:rPr>
          <w:sz w:val="24"/>
          <w:szCs w:val="24"/>
        </w:rPr>
      </w:pPr>
      <w:r w:rsidRPr="008B64FF">
        <w:rPr>
          <w:sz w:val="24"/>
          <w:szCs w:val="24"/>
        </w:rPr>
        <w:t>Department of Civil, Architectural and Environmental Engineering</w:t>
      </w:r>
    </w:p>
    <w:p w14:paraId="0AAF1755" w14:textId="05C9B298" w:rsidR="008B64FF" w:rsidRDefault="008B64FF" w:rsidP="004247F3">
      <w:pPr>
        <w:pStyle w:val="FootnoteText"/>
        <w:rPr>
          <w:sz w:val="24"/>
          <w:szCs w:val="24"/>
        </w:rPr>
      </w:pPr>
      <w:r w:rsidRPr="008B64FF">
        <w:rPr>
          <w:sz w:val="24"/>
          <w:szCs w:val="24"/>
        </w:rPr>
        <w:t>301 E. Dean Keeton St. Stop C1761, Austin TX 78712, USA</w:t>
      </w:r>
    </w:p>
    <w:p w14:paraId="4184DFE0" w14:textId="5691DFC7" w:rsidR="00731837" w:rsidRPr="006F4AD8" w:rsidRDefault="008B64FF" w:rsidP="004247F3">
      <w:pPr>
        <w:pStyle w:val="FootnoteText"/>
        <w:rPr>
          <w:sz w:val="24"/>
          <w:szCs w:val="24"/>
          <w:lang w:val="fr-FR"/>
        </w:rPr>
      </w:pPr>
      <w:proofErr w:type="gramStart"/>
      <w:r w:rsidRPr="006F4AD8">
        <w:rPr>
          <w:sz w:val="24"/>
          <w:szCs w:val="24"/>
          <w:lang w:val="fr-FR"/>
        </w:rPr>
        <w:t>Tel:</w:t>
      </w:r>
      <w:proofErr w:type="gramEnd"/>
      <w:r w:rsidRPr="006F4AD8">
        <w:rPr>
          <w:sz w:val="24"/>
          <w:szCs w:val="24"/>
          <w:lang w:val="fr-FR"/>
        </w:rPr>
        <w:t xml:space="preserve"> 512-471-</w:t>
      </w:r>
      <w:proofErr w:type="gramStart"/>
      <w:r w:rsidRPr="006F4AD8">
        <w:rPr>
          <w:sz w:val="24"/>
          <w:szCs w:val="24"/>
          <w:lang w:val="fr-FR"/>
        </w:rPr>
        <w:t>4535;</w:t>
      </w:r>
      <w:proofErr w:type="gramEnd"/>
      <w:r w:rsidRPr="006F4AD8">
        <w:rPr>
          <w:sz w:val="24"/>
          <w:szCs w:val="24"/>
          <w:lang w:val="fr-FR"/>
        </w:rPr>
        <w:t xml:space="preserve"> </w:t>
      </w:r>
      <w:proofErr w:type="gramStart"/>
      <w:r w:rsidRPr="006F4AD8">
        <w:rPr>
          <w:sz w:val="24"/>
          <w:szCs w:val="24"/>
          <w:lang w:val="fr-FR"/>
        </w:rPr>
        <w:t>Email:</w:t>
      </w:r>
      <w:proofErr w:type="gramEnd"/>
      <w:r w:rsidRPr="006F4AD8">
        <w:rPr>
          <w:sz w:val="24"/>
          <w:szCs w:val="24"/>
          <w:lang w:val="fr-FR"/>
        </w:rPr>
        <w:t xml:space="preserve"> </w:t>
      </w:r>
      <w:hyperlink r:id="rId14" w:history="1">
        <w:r w:rsidRPr="006F4AD8">
          <w:rPr>
            <w:rStyle w:val="Hyperlink"/>
            <w:sz w:val="24"/>
            <w:szCs w:val="24"/>
            <w:lang w:val="fr-FR"/>
          </w:rPr>
          <w:t>bhat@mail.utexas.edu</w:t>
        </w:r>
      </w:hyperlink>
    </w:p>
    <w:p w14:paraId="2F3FF07C" w14:textId="77777777" w:rsidR="006C14D6" w:rsidRPr="0021470D" w:rsidRDefault="006C14D6" w:rsidP="006C14D6">
      <w:pPr>
        <w:rPr>
          <w:b/>
          <w:bCs/>
          <w:sz w:val="24"/>
          <w:szCs w:val="24"/>
        </w:rPr>
      </w:pPr>
      <w:r w:rsidRPr="0021470D">
        <w:rPr>
          <w:b/>
          <w:bCs/>
          <w:sz w:val="24"/>
          <w:szCs w:val="24"/>
        </w:rPr>
        <w:lastRenderedPageBreak/>
        <w:t>ABSTRACT</w:t>
      </w:r>
    </w:p>
    <w:p w14:paraId="2F06A330" w14:textId="77777777" w:rsidR="001B2C2D" w:rsidRDefault="005A1AD1" w:rsidP="005A1AD1">
      <w:pPr>
        <w:jc w:val="both"/>
        <w:rPr>
          <w:sz w:val="24"/>
          <w:szCs w:val="24"/>
        </w:rPr>
      </w:pPr>
      <w:r w:rsidRPr="005A1AD1">
        <w:rPr>
          <w:sz w:val="24"/>
          <w:szCs w:val="24"/>
        </w:rPr>
        <w:t>Public transit ridership in the United States has declined over the past decade, and non- and low-frequency users cite barriers spanning personal safety, comfort and conditions, and service availability for staying off the system. Yet these barriers have typically been studied separately from one another and from actual usage. This study jointly models transit usage frequency and nine self-reported barriers to transit use using a nationally representative survey sample. A multivariate ordered probit model estimates usage frequency, specified as a five-level ordinal outcome, alongside nine binary barrier outcomes, yielding ten correlated outcomes. The model draws on the second wave of the Transportation Heartbeat of America Survey, conducted nationally in February and March 2026, with sociodemographic and built environment predictors including zip code-level vehicle ownership, density, and walkability. Average treatment effects translate coefficients into population-scale probability impacts.</w:t>
      </w:r>
      <w:r w:rsidR="001B2C2D">
        <w:rPr>
          <w:sz w:val="24"/>
          <w:szCs w:val="24"/>
        </w:rPr>
        <w:t xml:space="preserve"> </w:t>
      </w:r>
    </w:p>
    <w:p w14:paraId="1A9132D4" w14:textId="5811696F" w:rsidR="005A1AD1" w:rsidRPr="005A1AD1" w:rsidRDefault="005A1AD1" w:rsidP="001B2C2D">
      <w:pPr>
        <w:ind w:firstLine="720"/>
        <w:jc w:val="both"/>
        <w:rPr>
          <w:sz w:val="24"/>
          <w:szCs w:val="24"/>
        </w:rPr>
      </w:pPr>
      <w:r w:rsidRPr="005A1AD1">
        <w:rPr>
          <w:sz w:val="24"/>
          <w:szCs w:val="24"/>
        </w:rPr>
        <w:t>Results show that the nine barriers separate into two largely independent families, an experiential safety and comfort cluster and a distinct service availability dimension. Women, older adults, and higher-income travelers show distinct barrier profiles, and racial and ethnic differences in safety and comfort barriers largely dissolve once income, location, and exposure are adequately controlled. This study is among the first to jointly model transit usage frequency alongside a comprehensive set of perceived barriers within a single multivariate framework using a recent national survey. Findings suggest agencies should pursue on-system safety improvements and service availability expansion strategically and separately, targeting interventions based on census and location data.</w:t>
      </w:r>
    </w:p>
    <w:p w14:paraId="41227E99" w14:textId="77777777" w:rsidR="00F84A08" w:rsidRDefault="00F84A08" w:rsidP="006C14D6">
      <w:pPr>
        <w:jc w:val="both"/>
        <w:rPr>
          <w:b/>
          <w:bCs/>
          <w:sz w:val="24"/>
          <w:szCs w:val="24"/>
        </w:rPr>
      </w:pPr>
    </w:p>
    <w:p w14:paraId="1B1AB0E4" w14:textId="485C5E21" w:rsidR="006C14D6" w:rsidRPr="00F81560" w:rsidRDefault="006C14D6" w:rsidP="00F81560">
      <w:pPr>
        <w:jc w:val="both"/>
        <w:rPr>
          <w:sz w:val="24"/>
          <w:szCs w:val="24"/>
        </w:rPr>
        <w:sectPr w:rsidR="006C14D6" w:rsidRPr="00F81560" w:rsidSect="004247F3">
          <w:footerReference w:type="default" r:id="rId15"/>
          <w:pgSz w:w="12240" w:h="15840" w:code="1"/>
          <w:pgMar w:top="1440" w:right="1440" w:bottom="1440" w:left="1440" w:header="720" w:footer="720" w:gutter="0"/>
          <w:cols w:space="720"/>
          <w:docGrid w:linePitch="360"/>
        </w:sectPr>
      </w:pPr>
      <w:r w:rsidRPr="00915A7C">
        <w:rPr>
          <w:b/>
          <w:bCs/>
          <w:sz w:val="24"/>
          <w:szCs w:val="24"/>
        </w:rPr>
        <w:t>Keywords:</w:t>
      </w:r>
      <w:r w:rsidRPr="00915A7C">
        <w:rPr>
          <w:sz w:val="24"/>
          <w:szCs w:val="24"/>
        </w:rPr>
        <w:t xml:space="preserve"> </w:t>
      </w:r>
      <w:r w:rsidR="00BB432D">
        <w:rPr>
          <w:sz w:val="24"/>
          <w:szCs w:val="24"/>
        </w:rPr>
        <w:t>Public Transit</w:t>
      </w:r>
      <w:r w:rsidRPr="00915A7C">
        <w:rPr>
          <w:sz w:val="24"/>
          <w:szCs w:val="24"/>
        </w:rPr>
        <w:t>,</w:t>
      </w:r>
      <w:r w:rsidR="00723326">
        <w:rPr>
          <w:sz w:val="24"/>
          <w:szCs w:val="24"/>
        </w:rPr>
        <w:t xml:space="preserve"> Transit Usage Frequency,</w:t>
      </w:r>
      <w:r w:rsidRPr="00915A7C">
        <w:rPr>
          <w:sz w:val="24"/>
          <w:szCs w:val="24"/>
        </w:rPr>
        <w:t xml:space="preserve"> </w:t>
      </w:r>
      <w:r w:rsidR="00943B97">
        <w:rPr>
          <w:sz w:val="24"/>
          <w:szCs w:val="24"/>
        </w:rPr>
        <w:t xml:space="preserve">Barriers to Transit </w:t>
      </w:r>
      <w:r w:rsidR="00723326">
        <w:rPr>
          <w:sz w:val="24"/>
          <w:szCs w:val="24"/>
        </w:rPr>
        <w:t>Use</w:t>
      </w:r>
      <w:r w:rsidRPr="00915A7C">
        <w:rPr>
          <w:sz w:val="24"/>
          <w:szCs w:val="24"/>
        </w:rPr>
        <w:t xml:space="preserve">, </w:t>
      </w:r>
      <w:r w:rsidR="00AC42AE">
        <w:rPr>
          <w:sz w:val="24"/>
          <w:szCs w:val="24"/>
        </w:rPr>
        <w:t xml:space="preserve">Joint Modeling, </w:t>
      </w:r>
      <w:r w:rsidR="008E2917">
        <w:rPr>
          <w:sz w:val="24"/>
          <w:szCs w:val="24"/>
        </w:rPr>
        <w:t>Personal Safety, Built Environme</w:t>
      </w:r>
      <w:r w:rsidR="00F81560">
        <w:rPr>
          <w:sz w:val="24"/>
          <w:szCs w:val="24"/>
        </w:rPr>
        <w:t>nt</w:t>
      </w:r>
    </w:p>
    <w:p w14:paraId="68BB3C18" w14:textId="01A6DDB5" w:rsidR="002959A1" w:rsidRPr="008B64FF" w:rsidRDefault="00C25F45" w:rsidP="004247F3">
      <w:pPr>
        <w:rPr>
          <w:sz w:val="24"/>
          <w:szCs w:val="24"/>
        </w:rPr>
      </w:pPr>
      <w:r w:rsidRPr="008B64FF">
        <w:rPr>
          <w:b/>
          <w:bCs/>
          <w:sz w:val="24"/>
          <w:szCs w:val="24"/>
        </w:rPr>
        <w:lastRenderedPageBreak/>
        <w:t xml:space="preserve">1. </w:t>
      </w:r>
      <w:r w:rsidR="008B64FF" w:rsidRPr="008B64FF">
        <w:rPr>
          <w:b/>
          <w:bCs/>
          <w:sz w:val="24"/>
          <w:szCs w:val="24"/>
        </w:rPr>
        <w:t>INTRODUCTION</w:t>
      </w:r>
    </w:p>
    <w:p w14:paraId="29A2B34E" w14:textId="4F86EA7D" w:rsidR="004247F3" w:rsidRDefault="002D61AA" w:rsidP="00F81560">
      <w:pPr>
        <w:pStyle w:val="FootnoteText"/>
        <w:jc w:val="both"/>
        <w:rPr>
          <w:sz w:val="24"/>
          <w:szCs w:val="24"/>
        </w:rPr>
      </w:pPr>
      <w:r w:rsidRPr="002D61AA">
        <w:rPr>
          <w:sz w:val="24"/>
          <w:szCs w:val="24"/>
        </w:rPr>
        <w:t>Public transit is an essential component of the nation's mobility system, supporting economic activity and connecting riders to</w:t>
      </w:r>
      <w:r w:rsidR="00903E28">
        <w:rPr>
          <w:sz w:val="24"/>
          <w:szCs w:val="24"/>
        </w:rPr>
        <w:t xml:space="preserve"> various</w:t>
      </w:r>
      <w:r w:rsidRPr="002D61AA">
        <w:rPr>
          <w:sz w:val="24"/>
          <w:szCs w:val="24"/>
        </w:rPr>
        <w:t xml:space="preserve"> destinations. In 2025, transit accounted for 8.07 billion trips nationwide, and 87 percent of those trips directly benefited local economies by connecting riders to workplaces, services, and other essential destinations (Dickens and Bonina</w:t>
      </w:r>
      <w:r w:rsidR="00742181">
        <w:rPr>
          <w:sz w:val="24"/>
          <w:szCs w:val="24"/>
        </w:rPr>
        <w:t>,</w:t>
      </w:r>
      <w:r w:rsidRPr="002D61AA">
        <w:rPr>
          <w:sz w:val="24"/>
          <w:szCs w:val="24"/>
        </w:rPr>
        <w:t xml:space="preserve"> 2026). </w:t>
      </w:r>
      <w:r w:rsidR="003A7EC5" w:rsidRPr="003A7EC5">
        <w:rPr>
          <w:sz w:val="24"/>
          <w:szCs w:val="24"/>
        </w:rPr>
        <w:t>Beyond these direct economic benefits, public transit is an important mobility option for the roughly 8 percent of U.S. households that do not own a vehicle (U.S. Census Bureau, 2026). These carless households are disproportionately low-income (Brown, 2017; Wang et al., 2025), and more than 90 percent of those in large metropolitan areas live in neighborhoods with at least some transit service (Tomer, 2011). Even so, transit often falls short of providing carless households with the level of access to jobs and essential destinations that car ownership affords, and in a landscape built around driving, the absence of a car translates into unmet travel needs, forgone trips, and eroding economic standing (King et al., 2022; Wang et al., 2025).</w:t>
      </w:r>
      <w:r w:rsidR="003A7EC5">
        <w:rPr>
          <w:sz w:val="24"/>
          <w:szCs w:val="24"/>
        </w:rPr>
        <w:t xml:space="preserve"> </w:t>
      </w:r>
      <w:r w:rsidRPr="002D61AA">
        <w:rPr>
          <w:sz w:val="24"/>
          <w:szCs w:val="24"/>
        </w:rPr>
        <w:t>Public transit also delivers broader societal benefits. Transit exhibits a substantially lower fatality rate per passenger mile than automobile travel (National Safety Council</w:t>
      </w:r>
      <w:r w:rsidR="00722F8F">
        <w:rPr>
          <w:sz w:val="24"/>
          <w:szCs w:val="24"/>
        </w:rPr>
        <w:t>,</w:t>
      </w:r>
      <w:r w:rsidRPr="002D61AA">
        <w:rPr>
          <w:sz w:val="24"/>
          <w:szCs w:val="24"/>
        </w:rPr>
        <w:t xml:space="preserve"> 2026), and, on average, produces lower greenhouse gas emissions per passenger mile than single-occupancy vehicle travel (McGraw et al.</w:t>
      </w:r>
      <w:r w:rsidR="007A5B0D">
        <w:rPr>
          <w:sz w:val="24"/>
          <w:szCs w:val="24"/>
        </w:rPr>
        <w:t>,</w:t>
      </w:r>
      <w:r w:rsidRPr="002D61AA">
        <w:rPr>
          <w:sz w:val="24"/>
          <w:szCs w:val="24"/>
        </w:rPr>
        <w:t xml:space="preserve"> 2021).</w:t>
      </w:r>
    </w:p>
    <w:p w14:paraId="7DC11082" w14:textId="645351A0" w:rsidR="00F02016" w:rsidRDefault="00F02016" w:rsidP="00F81560">
      <w:pPr>
        <w:pStyle w:val="FootnoteText"/>
        <w:jc w:val="both"/>
        <w:rPr>
          <w:sz w:val="24"/>
          <w:szCs w:val="24"/>
        </w:rPr>
      </w:pPr>
      <w:r>
        <w:rPr>
          <w:sz w:val="24"/>
          <w:szCs w:val="24"/>
        </w:rPr>
        <w:tab/>
      </w:r>
      <w:r w:rsidR="00942556" w:rsidRPr="00942556">
        <w:rPr>
          <w:sz w:val="24"/>
          <w:szCs w:val="24"/>
        </w:rPr>
        <w:t>Despite these benefits, public transit ridership in the U.S. has been in long-term decline. Bus ridership across 215 U.S. metropolitan areas fell by approximately 15 percent and rail ridership by 3 percent between 2012 and 2018 (Erhardt et al.</w:t>
      </w:r>
      <w:r w:rsidR="00942556">
        <w:rPr>
          <w:sz w:val="24"/>
          <w:szCs w:val="24"/>
        </w:rPr>
        <w:t>,</w:t>
      </w:r>
      <w:r w:rsidR="00942556" w:rsidRPr="00942556">
        <w:rPr>
          <w:sz w:val="24"/>
          <w:szCs w:val="24"/>
        </w:rPr>
        <w:t xml:space="preserve"> 2022). Morris et al. (2025) find that the pandemic accelerated a broad, persistent shift toward staying home that reduced the time Americans spend traveling, with the decline falling disproportionately on transit. Automobile travel has </w:t>
      </w:r>
      <w:r w:rsidR="00AB7743">
        <w:rPr>
          <w:sz w:val="24"/>
          <w:szCs w:val="24"/>
        </w:rPr>
        <w:t xml:space="preserve">substantially </w:t>
      </w:r>
      <w:r w:rsidR="00AB7743" w:rsidRPr="00942556">
        <w:rPr>
          <w:sz w:val="24"/>
          <w:szCs w:val="24"/>
        </w:rPr>
        <w:t>rebounded</w:t>
      </w:r>
      <w:r w:rsidR="00942556" w:rsidRPr="00942556">
        <w:rPr>
          <w:sz w:val="24"/>
          <w:szCs w:val="24"/>
        </w:rPr>
        <w:t>, whereas time spent traveling by public transit has not significantly recovered even to its already-declining pre-pandemic level. The growth of remote work arrangements since the pandemic has further eroded the commute trips that transit has traditionally relied upon, while the rapid growth of ride</w:t>
      </w:r>
      <w:r w:rsidR="004E2833">
        <w:rPr>
          <w:sz w:val="24"/>
          <w:szCs w:val="24"/>
        </w:rPr>
        <w:t>-</w:t>
      </w:r>
      <w:r w:rsidR="00942556" w:rsidRPr="00942556">
        <w:rPr>
          <w:sz w:val="24"/>
          <w:szCs w:val="24"/>
        </w:rPr>
        <w:t>hailing and delivery services has drawn travelers away from transit for many of the same trip purposes it once served (Diao et al.</w:t>
      </w:r>
      <w:r w:rsidR="006F6429">
        <w:rPr>
          <w:sz w:val="24"/>
          <w:szCs w:val="24"/>
        </w:rPr>
        <w:t>,</w:t>
      </w:r>
      <w:r w:rsidR="00942556" w:rsidRPr="00942556">
        <w:rPr>
          <w:sz w:val="24"/>
          <w:szCs w:val="24"/>
        </w:rPr>
        <w:t xml:space="preserve"> 2021). The proliferation of micromobility options, such as e-scooters and e-bikes, has introduced additional competition for the shorter trips that may have been served by transit in the past </w:t>
      </w:r>
      <w:r w:rsidR="001B1C51" w:rsidRPr="001B1C51">
        <w:rPr>
          <w:sz w:val="24"/>
          <w:szCs w:val="24"/>
        </w:rPr>
        <w:t>(Luo et al.</w:t>
      </w:r>
      <w:r w:rsidR="001B1C51">
        <w:rPr>
          <w:sz w:val="24"/>
          <w:szCs w:val="24"/>
        </w:rPr>
        <w:t>,</w:t>
      </w:r>
      <w:r w:rsidR="001B1C51" w:rsidRPr="001B1C51">
        <w:rPr>
          <w:sz w:val="24"/>
          <w:szCs w:val="24"/>
        </w:rPr>
        <w:t xml:space="preserve"> 2021)</w:t>
      </w:r>
      <w:r w:rsidR="00942556" w:rsidRPr="00942556">
        <w:rPr>
          <w:sz w:val="24"/>
          <w:szCs w:val="24"/>
        </w:rPr>
        <w:t>.</w:t>
      </w:r>
    </w:p>
    <w:p w14:paraId="11CA0982" w14:textId="45122647" w:rsidR="007D62F1" w:rsidRDefault="007D62F1" w:rsidP="00F81560">
      <w:pPr>
        <w:pStyle w:val="FootnoteText"/>
        <w:jc w:val="both"/>
        <w:rPr>
          <w:sz w:val="24"/>
          <w:szCs w:val="24"/>
        </w:rPr>
      </w:pPr>
      <w:r>
        <w:rPr>
          <w:sz w:val="24"/>
          <w:szCs w:val="24"/>
        </w:rPr>
        <w:tab/>
      </w:r>
      <w:r w:rsidR="0014604B" w:rsidRPr="0014604B">
        <w:rPr>
          <w:sz w:val="24"/>
          <w:szCs w:val="24"/>
        </w:rPr>
        <w:t>Persistent concerns about personal safety – on vehicles, at stops, and in the surrounding environment – have compounded these pressures, discouraging both current and prospective riders. The ridership decline also carries fiscal consequences. Falling farebox revenue combined with the expiration of federal pandemic relief funds has pushed many transit agencies toward operating budget shortfalls (Shrode</w:t>
      </w:r>
      <w:r w:rsidR="0014604B">
        <w:rPr>
          <w:sz w:val="24"/>
          <w:szCs w:val="24"/>
        </w:rPr>
        <w:t>,</w:t>
      </w:r>
      <w:r w:rsidR="0014604B" w:rsidRPr="0014604B">
        <w:rPr>
          <w:sz w:val="24"/>
          <w:szCs w:val="24"/>
        </w:rPr>
        <w:t xml:space="preserve"> 2022). In response, some agencies have reduced service, risking a self-reinforcing cycle in which service cuts further suppress ridership and revenue, forcing still deeper reductions (</w:t>
      </w:r>
      <w:proofErr w:type="spellStart"/>
      <w:r w:rsidR="0014604B" w:rsidRPr="0014604B">
        <w:rPr>
          <w:sz w:val="24"/>
          <w:szCs w:val="24"/>
        </w:rPr>
        <w:t>Redelmeier</w:t>
      </w:r>
      <w:proofErr w:type="spellEnd"/>
      <w:r w:rsidR="0014604B" w:rsidRPr="0014604B">
        <w:rPr>
          <w:sz w:val="24"/>
          <w:szCs w:val="24"/>
        </w:rPr>
        <w:t xml:space="preserve"> and El-</w:t>
      </w:r>
      <w:proofErr w:type="spellStart"/>
      <w:r w:rsidR="0014604B" w:rsidRPr="0014604B">
        <w:rPr>
          <w:sz w:val="24"/>
          <w:szCs w:val="24"/>
        </w:rPr>
        <w:t>Geneidy</w:t>
      </w:r>
      <w:proofErr w:type="spellEnd"/>
      <w:r w:rsidR="0014604B">
        <w:rPr>
          <w:sz w:val="24"/>
          <w:szCs w:val="24"/>
        </w:rPr>
        <w:t>,</w:t>
      </w:r>
      <w:r w:rsidR="0014604B" w:rsidRPr="0014604B">
        <w:rPr>
          <w:sz w:val="24"/>
          <w:szCs w:val="24"/>
        </w:rPr>
        <w:t xml:space="preserve"> 2024). Explanations proposed in the literature for the pre-pandemic decline include rising vehicle ownership (Manville et al.</w:t>
      </w:r>
      <w:r w:rsidR="0014604B">
        <w:rPr>
          <w:sz w:val="24"/>
          <w:szCs w:val="24"/>
        </w:rPr>
        <w:t>,</w:t>
      </w:r>
      <w:r w:rsidR="0014604B" w:rsidRPr="0014604B">
        <w:rPr>
          <w:sz w:val="24"/>
          <w:szCs w:val="24"/>
        </w:rPr>
        <w:t xml:space="preserve"> 2023) and the growth of ride</w:t>
      </w:r>
      <w:r w:rsidR="004E2833">
        <w:rPr>
          <w:sz w:val="24"/>
          <w:szCs w:val="24"/>
        </w:rPr>
        <w:t>-</w:t>
      </w:r>
      <w:r w:rsidR="0014604B" w:rsidRPr="0014604B">
        <w:rPr>
          <w:sz w:val="24"/>
          <w:szCs w:val="24"/>
        </w:rPr>
        <w:t>hailing services (Diao et al.</w:t>
      </w:r>
      <w:r w:rsidR="0014604B">
        <w:rPr>
          <w:sz w:val="24"/>
          <w:szCs w:val="24"/>
        </w:rPr>
        <w:t>,</w:t>
      </w:r>
      <w:r w:rsidR="0014604B" w:rsidRPr="0014604B">
        <w:rPr>
          <w:sz w:val="24"/>
          <w:szCs w:val="24"/>
        </w:rPr>
        <w:t xml:space="preserve"> 2021). However, these aggregate, demand- and market-side explanations still leave open the question of what deters individual travelers from using transit in the first place.</w:t>
      </w:r>
    </w:p>
    <w:p w14:paraId="1C9778C7" w14:textId="08079562" w:rsidR="00EB51C0" w:rsidRDefault="00EB51C0" w:rsidP="00F81560">
      <w:pPr>
        <w:pStyle w:val="FootnoteText"/>
        <w:jc w:val="both"/>
        <w:rPr>
          <w:sz w:val="24"/>
          <w:szCs w:val="24"/>
        </w:rPr>
      </w:pPr>
      <w:r>
        <w:rPr>
          <w:sz w:val="24"/>
          <w:szCs w:val="24"/>
        </w:rPr>
        <w:tab/>
      </w:r>
      <w:r w:rsidR="00F237E6" w:rsidRPr="00F237E6">
        <w:rPr>
          <w:sz w:val="24"/>
          <w:szCs w:val="24"/>
        </w:rPr>
        <w:t>A substantial body of research has examined the individual-level barriers that deter transit use – spanning concerns about personal safety, the comfort and conditions of the travel experience, and the level, quality, and reliability of service – with the magnitude of these barriers varying across sociodemographic groups and built environment contexts (see, for example, Yavuz et al.</w:t>
      </w:r>
      <w:r w:rsidR="00366EF2">
        <w:rPr>
          <w:sz w:val="24"/>
          <w:szCs w:val="24"/>
        </w:rPr>
        <w:t>,</w:t>
      </w:r>
      <w:r w:rsidR="00F237E6" w:rsidRPr="00F237E6">
        <w:rPr>
          <w:sz w:val="24"/>
          <w:szCs w:val="24"/>
        </w:rPr>
        <w:t xml:space="preserve"> 2007; Fan et al.</w:t>
      </w:r>
      <w:r w:rsidR="00366EF2">
        <w:rPr>
          <w:sz w:val="24"/>
          <w:szCs w:val="24"/>
        </w:rPr>
        <w:t>,</w:t>
      </w:r>
      <w:r w:rsidR="00F237E6" w:rsidRPr="00F237E6">
        <w:rPr>
          <w:sz w:val="24"/>
          <w:szCs w:val="24"/>
        </w:rPr>
        <w:t xml:space="preserve"> 2016; Mers et al.</w:t>
      </w:r>
      <w:r w:rsidR="00DB0A2C">
        <w:rPr>
          <w:sz w:val="24"/>
          <w:szCs w:val="24"/>
        </w:rPr>
        <w:t>,</w:t>
      </w:r>
      <w:r w:rsidR="00F237E6" w:rsidRPr="00F237E6">
        <w:rPr>
          <w:sz w:val="24"/>
          <w:szCs w:val="24"/>
        </w:rPr>
        <w:t xml:space="preserve"> 2024; </w:t>
      </w:r>
      <w:proofErr w:type="spellStart"/>
      <w:r w:rsidR="00F237E6" w:rsidRPr="00F237E6">
        <w:rPr>
          <w:sz w:val="24"/>
          <w:szCs w:val="24"/>
        </w:rPr>
        <w:t>Asgharpour</w:t>
      </w:r>
      <w:proofErr w:type="spellEnd"/>
      <w:r w:rsidR="00F237E6" w:rsidRPr="00F237E6">
        <w:rPr>
          <w:sz w:val="24"/>
          <w:szCs w:val="24"/>
        </w:rPr>
        <w:t xml:space="preserve"> et al.</w:t>
      </w:r>
      <w:r w:rsidR="00DB0A2C">
        <w:rPr>
          <w:sz w:val="24"/>
          <w:szCs w:val="24"/>
        </w:rPr>
        <w:t>,</w:t>
      </w:r>
      <w:r w:rsidR="00F237E6" w:rsidRPr="00F237E6">
        <w:rPr>
          <w:sz w:val="24"/>
          <w:szCs w:val="24"/>
        </w:rPr>
        <w:t xml:space="preserve"> 2025; Hosseini et al.</w:t>
      </w:r>
      <w:r w:rsidR="00DB0A2C">
        <w:rPr>
          <w:sz w:val="24"/>
          <w:szCs w:val="24"/>
        </w:rPr>
        <w:t>,</w:t>
      </w:r>
      <w:r w:rsidR="00F237E6" w:rsidRPr="00F237E6">
        <w:rPr>
          <w:sz w:val="24"/>
          <w:szCs w:val="24"/>
        </w:rPr>
        <w:t xml:space="preserve"> 2025). Yet, despite this attention, a comprehensive understanding of the relative impacts of different barriers </w:t>
      </w:r>
      <w:r w:rsidR="00F237E6" w:rsidRPr="00F237E6">
        <w:rPr>
          <w:sz w:val="24"/>
          <w:szCs w:val="24"/>
        </w:rPr>
        <w:lastRenderedPageBreak/>
        <w:t>in deterring transit use remains elusive. Transit usage and the barriers to transit usage have typically been examined separately, making it difficult to fully understand how specific barriers relate to one another and to an individual's frequency of use. Much of the evidence on barriers to transit use, moreover, is drawn from single cities or transit systems and from data pre-dating the pandemic-era restructuring of travel behavior. Changes in travel behavior have persisted in the post-pandemic era (Morris et al.</w:t>
      </w:r>
      <w:r w:rsidR="00AC46EF">
        <w:rPr>
          <w:sz w:val="24"/>
          <w:szCs w:val="24"/>
        </w:rPr>
        <w:t>,</w:t>
      </w:r>
      <w:r w:rsidR="00F237E6" w:rsidRPr="00F237E6">
        <w:rPr>
          <w:sz w:val="24"/>
          <w:szCs w:val="24"/>
        </w:rPr>
        <w:t xml:space="preserve"> 2025), limiting what the pre-pandemic era data sets can say about the national population today.</w:t>
      </w:r>
    </w:p>
    <w:p w14:paraId="177B4E0E" w14:textId="27CDD9BA" w:rsidR="00F9374D" w:rsidRDefault="00F9374D" w:rsidP="00F81560">
      <w:pPr>
        <w:pStyle w:val="FootnoteText"/>
        <w:jc w:val="both"/>
        <w:rPr>
          <w:sz w:val="24"/>
          <w:szCs w:val="24"/>
        </w:rPr>
      </w:pPr>
      <w:r>
        <w:rPr>
          <w:sz w:val="24"/>
          <w:szCs w:val="24"/>
        </w:rPr>
        <w:tab/>
      </w:r>
      <w:r w:rsidR="002D0535" w:rsidRPr="002D0535">
        <w:rPr>
          <w:sz w:val="24"/>
          <w:szCs w:val="24"/>
        </w:rPr>
        <w:t xml:space="preserve">These gaps motivate the current study, which examines the relationship between transit usage and its barriers jointly rather than in isolation. The data are drawn from the second wave of the Transportation Heartbeat of America (THA) Survey, a nationwide survey of 8,273 respondents conducted in February and March 2026. The survey provides the ability to link self-reported transit usage and barriers to a rich set of sociodemographic attributes. Transit usage frequency is measured across six ordered categories. The barriers are elicited only from non- and low-frequency transit users, defined as respondents who report that public transportation is not available to them, that it is </w:t>
      </w:r>
      <w:proofErr w:type="gramStart"/>
      <w:r w:rsidR="002D0535" w:rsidRPr="002D0535">
        <w:rPr>
          <w:sz w:val="24"/>
          <w:szCs w:val="24"/>
        </w:rPr>
        <w:t>available</w:t>
      </w:r>
      <w:proofErr w:type="gramEnd"/>
      <w:r w:rsidR="002D0535" w:rsidRPr="002D0535">
        <w:rPr>
          <w:sz w:val="24"/>
          <w:szCs w:val="24"/>
        </w:rPr>
        <w:t xml:space="preserve"> but they never use it, or that they use it less than one day per month. These respondents indicate which of nine barriers affect their use of transit, organized into three thematic groups referenced throughout the paper: personal safety; comfort and conditions; and service (non-)</w:t>
      </w:r>
      <w:r w:rsidR="000B382C">
        <w:rPr>
          <w:sz w:val="24"/>
          <w:szCs w:val="24"/>
        </w:rPr>
        <w:t xml:space="preserve"> </w:t>
      </w:r>
      <w:r w:rsidR="002D0535" w:rsidRPr="002D0535">
        <w:rPr>
          <w:sz w:val="24"/>
          <w:szCs w:val="24"/>
        </w:rPr>
        <w:t>availability.</w:t>
      </w:r>
    </w:p>
    <w:p w14:paraId="2C993C62" w14:textId="146BBF50" w:rsidR="002D0535" w:rsidRDefault="002D0535" w:rsidP="00F81560">
      <w:pPr>
        <w:pStyle w:val="FootnoteText"/>
        <w:jc w:val="both"/>
        <w:rPr>
          <w:sz w:val="24"/>
          <w:szCs w:val="24"/>
        </w:rPr>
      </w:pPr>
      <w:r>
        <w:rPr>
          <w:sz w:val="24"/>
          <w:szCs w:val="24"/>
        </w:rPr>
        <w:tab/>
      </w:r>
      <w:r w:rsidR="0048190B" w:rsidRPr="0048190B">
        <w:rPr>
          <w:sz w:val="24"/>
          <w:szCs w:val="24"/>
        </w:rPr>
        <w:t>Transit usage frequency and the nine barriers to transit use are modeled together, for a total of ten ordered outcomes, within a multivariate ordered probit framework. Estimating the outcomes simultaneously and allowing them to be correlated helps capture how usage and barriers are interrelated through shared observed and unobserved factors (rather than treating each barrier as an independent outcome). Because both usage frequency and the barriers are tied to a common set of sociodemographic and built environment attributes, and because the joint framework accounts for unobserved differences between those who report barriers and those who do not, the findings extend beyond the non- and low-frequency users who were asked about barriers to the population as a whole. This allows transit agencies and planners to identify the demographic and locational profiles most likely to face different types of barriers and to target interventions accordingly, regardless of an individual's current level of transit use.</w:t>
      </w:r>
    </w:p>
    <w:p w14:paraId="7819FA85" w14:textId="4A7EA392" w:rsidR="00F81560" w:rsidRDefault="0048190B" w:rsidP="00F81560">
      <w:pPr>
        <w:pStyle w:val="FootnoteText"/>
        <w:jc w:val="both"/>
        <w:rPr>
          <w:sz w:val="24"/>
          <w:szCs w:val="24"/>
        </w:rPr>
      </w:pPr>
      <w:r>
        <w:rPr>
          <w:sz w:val="24"/>
          <w:szCs w:val="24"/>
        </w:rPr>
        <w:tab/>
      </w:r>
      <w:r w:rsidR="009F18B4" w:rsidRPr="009F18B4">
        <w:rPr>
          <w:sz w:val="24"/>
          <w:szCs w:val="24"/>
        </w:rPr>
        <w:t xml:space="preserve">The remainder of this paper is organized as follows. The next section presents a review of the literature on barriers to public transit use. This is followed by a description of the survey data and the modeling methodology. </w:t>
      </w:r>
      <w:r w:rsidR="00807262" w:rsidRPr="00807262">
        <w:rPr>
          <w:sz w:val="24"/>
          <w:szCs w:val="24"/>
        </w:rPr>
        <w:t>Model estimation results are then presented and discussed, followed by average treatment effects that quantify the magnitude of the estimated relationships. The final section discusses implications for transit agencies and planners and offers concluding remarks</w:t>
      </w:r>
      <w:r w:rsidR="00807262">
        <w:rPr>
          <w:sz w:val="24"/>
          <w:szCs w:val="24"/>
        </w:rPr>
        <w:t>.</w:t>
      </w:r>
    </w:p>
    <w:p w14:paraId="59F7F956" w14:textId="77777777" w:rsidR="00F81560" w:rsidRPr="00794CF4" w:rsidRDefault="00F81560" w:rsidP="00F81560">
      <w:pPr>
        <w:pStyle w:val="FootnoteText"/>
        <w:jc w:val="both"/>
        <w:rPr>
          <w:color w:val="000000"/>
          <w:sz w:val="24"/>
          <w:szCs w:val="24"/>
        </w:rPr>
      </w:pPr>
    </w:p>
    <w:p w14:paraId="72EDC9D0" w14:textId="1E02093B" w:rsidR="002C55E1" w:rsidRPr="008B64FF" w:rsidRDefault="002C55E1" w:rsidP="004247F3">
      <w:pPr>
        <w:rPr>
          <w:b/>
          <w:bCs/>
          <w:sz w:val="24"/>
          <w:szCs w:val="24"/>
        </w:rPr>
      </w:pPr>
      <w:r w:rsidRPr="008B64FF">
        <w:rPr>
          <w:b/>
          <w:bCs/>
          <w:sz w:val="24"/>
          <w:szCs w:val="24"/>
        </w:rPr>
        <w:t xml:space="preserve">2. </w:t>
      </w:r>
      <w:r w:rsidR="008B64FF" w:rsidRPr="008B64FF">
        <w:rPr>
          <w:b/>
          <w:bCs/>
          <w:sz w:val="24"/>
          <w:szCs w:val="24"/>
        </w:rPr>
        <w:t xml:space="preserve">LITERATURE </w:t>
      </w:r>
      <w:r w:rsidR="009F18B4">
        <w:rPr>
          <w:b/>
          <w:bCs/>
          <w:sz w:val="24"/>
          <w:szCs w:val="24"/>
        </w:rPr>
        <w:t>REVIEW</w:t>
      </w:r>
    </w:p>
    <w:p w14:paraId="4C008E40" w14:textId="0266F31B" w:rsidR="004247F3" w:rsidRDefault="00210327" w:rsidP="004247F3">
      <w:pPr>
        <w:pStyle w:val="FootnoteText"/>
        <w:jc w:val="both"/>
        <w:rPr>
          <w:color w:val="000000"/>
          <w:sz w:val="24"/>
          <w:szCs w:val="24"/>
        </w:rPr>
      </w:pPr>
      <w:r w:rsidRPr="00210327">
        <w:rPr>
          <w:color w:val="000000"/>
          <w:sz w:val="24"/>
          <w:szCs w:val="24"/>
        </w:rPr>
        <w:t>A comprehensive review of the literature on barriers to public transit use is beyond the scope of this paper. This section therefore offers a synthesis of the research conducted to date with citations to illustrative references – highlighting the substantive findings that have emerged, the gaps that remain, and the contribution this study seeks to make in addressing them. The barriers identified in prior research may be broadly grouped into three categories: personal safety, comfort and conditions, and service availability. The discussion below is organized accordingly.</w:t>
      </w:r>
    </w:p>
    <w:p w14:paraId="3F8F629B" w14:textId="60909C6C" w:rsidR="00210327" w:rsidRDefault="00210327" w:rsidP="004247F3">
      <w:pPr>
        <w:pStyle w:val="FootnoteText"/>
        <w:jc w:val="both"/>
        <w:rPr>
          <w:color w:val="000000"/>
          <w:sz w:val="24"/>
          <w:szCs w:val="24"/>
        </w:rPr>
      </w:pPr>
      <w:r>
        <w:rPr>
          <w:color w:val="000000"/>
          <w:sz w:val="24"/>
          <w:szCs w:val="24"/>
        </w:rPr>
        <w:tab/>
      </w:r>
      <w:r w:rsidR="00E5486D" w:rsidRPr="00E5486D">
        <w:rPr>
          <w:color w:val="000000"/>
          <w:sz w:val="24"/>
          <w:szCs w:val="24"/>
        </w:rPr>
        <w:t xml:space="preserve">Personal safety concerns are among the most consistently documented barriers to transit use. Using Chicago Transit Authority data linked to neighborhood-level characteristics, Yavuz et al. (2007) found that perceived insecurity varies systematically with individual demographics and </w:t>
      </w:r>
      <w:r w:rsidR="00E5486D" w:rsidRPr="00E5486D">
        <w:rPr>
          <w:color w:val="000000"/>
          <w:sz w:val="24"/>
          <w:szCs w:val="24"/>
        </w:rPr>
        <w:lastRenderedPageBreak/>
        <w:t xml:space="preserve">neighborhood disorder, poverty, and density. Physical stop design also shapes perceived safety; </w:t>
      </w:r>
      <w:proofErr w:type="spellStart"/>
      <w:r w:rsidR="00E5486D" w:rsidRPr="00E5486D">
        <w:rPr>
          <w:color w:val="000000"/>
          <w:sz w:val="24"/>
          <w:szCs w:val="24"/>
        </w:rPr>
        <w:t>Abenoza</w:t>
      </w:r>
      <w:proofErr w:type="spellEnd"/>
      <w:r w:rsidR="00E5486D" w:rsidRPr="00E5486D">
        <w:rPr>
          <w:color w:val="000000"/>
          <w:sz w:val="24"/>
          <w:szCs w:val="24"/>
        </w:rPr>
        <w:t xml:space="preserve"> et al. (2018) found that shelter characteristics, natural surveillance, and trustworthy real-time information were the most influential factors at Stockholm bus stops, with women reporting lower perceived safety than men. Fan et al. (2016) found that women waiting more than 10 minutes in perceived insecure surroundings in the Twin Cities region reported waits as dramatically longer than they </w:t>
      </w:r>
      <w:proofErr w:type="gramStart"/>
      <w:r w:rsidR="00E5486D" w:rsidRPr="00E5486D">
        <w:rPr>
          <w:color w:val="000000"/>
          <w:sz w:val="24"/>
          <w:szCs w:val="24"/>
        </w:rPr>
        <w:t>actually were</w:t>
      </w:r>
      <w:proofErr w:type="gramEnd"/>
      <w:r w:rsidR="00E5486D" w:rsidRPr="00E5486D">
        <w:rPr>
          <w:color w:val="000000"/>
          <w:sz w:val="24"/>
          <w:szCs w:val="24"/>
        </w:rPr>
        <w:t xml:space="preserve">, and longer than what men reported under the same conditions. Harassment can compound these concerns for </w:t>
      </w:r>
      <w:proofErr w:type="gramStart"/>
      <w:r w:rsidR="00E5486D" w:rsidRPr="00E5486D">
        <w:rPr>
          <w:color w:val="000000"/>
          <w:sz w:val="24"/>
          <w:szCs w:val="24"/>
        </w:rPr>
        <w:t>particular rider</w:t>
      </w:r>
      <w:proofErr w:type="gramEnd"/>
      <w:r w:rsidR="00E5486D" w:rsidRPr="00E5486D">
        <w:rPr>
          <w:color w:val="000000"/>
          <w:sz w:val="24"/>
          <w:szCs w:val="24"/>
        </w:rPr>
        <w:t xml:space="preserve"> groups; </w:t>
      </w:r>
      <w:proofErr w:type="spellStart"/>
      <w:r w:rsidR="00E5486D" w:rsidRPr="00E5486D">
        <w:rPr>
          <w:color w:val="000000"/>
          <w:sz w:val="24"/>
          <w:szCs w:val="24"/>
        </w:rPr>
        <w:t>Lubitow</w:t>
      </w:r>
      <w:proofErr w:type="spellEnd"/>
      <w:r w:rsidR="00E5486D" w:rsidRPr="00E5486D">
        <w:rPr>
          <w:color w:val="000000"/>
          <w:sz w:val="24"/>
          <w:szCs w:val="24"/>
        </w:rPr>
        <w:t xml:space="preserve"> et al. (2020) found that routine harassment and discrimination from other passengers, staff, and members of the public led transgender and gender nonconforming riders in Portland, Oregon, to limit and alter their travel behavior. Concerns about interactions with law enforcement add a further dimension to personal safety, with He et al. (2022) finding Hispanic and Latinx riders more likely than others to cite such concerns as a reason for reducing transit use, and Aeschliman and Stathopoulos (2025) finding that 10 to 20 percent of Chicago-region riders felt less safe in the presence of enforcement personnel, even though enforcement was associated with higher rider satisfaction overall.</w:t>
      </w:r>
    </w:p>
    <w:p w14:paraId="2C26CD82" w14:textId="4F7022DC" w:rsidR="00261038" w:rsidRDefault="00261038" w:rsidP="004247F3">
      <w:pPr>
        <w:pStyle w:val="FootnoteText"/>
        <w:jc w:val="both"/>
        <w:rPr>
          <w:color w:val="000000"/>
          <w:sz w:val="24"/>
          <w:szCs w:val="24"/>
        </w:rPr>
      </w:pPr>
      <w:r>
        <w:rPr>
          <w:color w:val="000000"/>
          <w:sz w:val="24"/>
          <w:szCs w:val="24"/>
        </w:rPr>
        <w:tab/>
      </w:r>
      <w:r w:rsidRPr="00261038">
        <w:rPr>
          <w:color w:val="000000"/>
          <w:sz w:val="24"/>
          <w:szCs w:val="24"/>
        </w:rPr>
        <w:t xml:space="preserve">Comfort and conditions on board and at stops constitute a second recurring barrier, and one whose importance also varies across demographic groups. </w:t>
      </w:r>
      <w:proofErr w:type="spellStart"/>
      <w:r w:rsidRPr="00261038">
        <w:rPr>
          <w:color w:val="000000"/>
          <w:sz w:val="24"/>
          <w:szCs w:val="24"/>
        </w:rPr>
        <w:t>Asgharpour</w:t>
      </w:r>
      <w:proofErr w:type="spellEnd"/>
      <w:r w:rsidRPr="00261038">
        <w:rPr>
          <w:color w:val="000000"/>
          <w:sz w:val="24"/>
          <w:szCs w:val="24"/>
        </w:rPr>
        <w:t xml:space="preserve"> et al. (2025), analyzing a large Chicago Transit Authority satisfaction survey, found that cleanliness, comfort, safety, and reliability affected user segments unevenly, with higher-income and higher-education riders particularly sensitive to cleanliness and reliability, women more dissatisfied with current safety measures, and riders with disabilities and those facing intersecting vulnerabilities reporting the greatest dissatisfaction. Mers et al. (2024), pooling survey responses across nine U.S. transit agencies, similarly found that the attributes driving satisfaction differ by gender, income, and race, with reliability and comfort emerging as concerns that cut across multiple demographic groups. Sanitation-related fears proved especially consequential during the pandemic; Bian et al. (2022) found that perceived infection and sanitation risk led many choice riders in El Paso, Texas, to abandon transit, with awareness of </w:t>
      </w:r>
      <w:r w:rsidR="003B3028" w:rsidRPr="00261038">
        <w:rPr>
          <w:color w:val="000000"/>
          <w:sz w:val="24"/>
          <w:szCs w:val="24"/>
        </w:rPr>
        <w:t>operators’</w:t>
      </w:r>
      <w:r w:rsidRPr="00261038">
        <w:rPr>
          <w:color w:val="000000"/>
          <w:sz w:val="24"/>
          <w:szCs w:val="24"/>
        </w:rPr>
        <w:t xml:space="preserve"> safety measures significantly lowering perceived risk. Physical comfort on board is a further concern; Silvano and Ohlin (2019), drawing on Swedish emergency department records, found that falls from acceleration and braking maneuvers disproportionately involved older riders, those using walking frames, and women across all age groups.</w:t>
      </w:r>
    </w:p>
    <w:p w14:paraId="1BC3C874" w14:textId="09A4BADE" w:rsidR="00784997" w:rsidRDefault="00784997" w:rsidP="004247F3">
      <w:pPr>
        <w:pStyle w:val="FootnoteText"/>
        <w:jc w:val="both"/>
        <w:rPr>
          <w:color w:val="000000"/>
          <w:sz w:val="24"/>
          <w:szCs w:val="24"/>
        </w:rPr>
      </w:pPr>
      <w:r>
        <w:rPr>
          <w:color w:val="000000"/>
          <w:sz w:val="24"/>
          <w:szCs w:val="24"/>
        </w:rPr>
        <w:tab/>
      </w:r>
      <w:r w:rsidR="00B67C41" w:rsidRPr="00B67C41">
        <w:rPr>
          <w:color w:val="000000"/>
          <w:sz w:val="24"/>
          <w:szCs w:val="24"/>
        </w:rPr>
        <w:t xml:space="preserve">Service availability, encompassing both spatial coverage and temporal frequency, represents a third fundamental barrier to transit use. </w:t>
      </w:r>
      <w:r w:rsidR="0018527F" w:rsidRPr="0018527F">
        <w:rPr>
          <w:color w:val="000000"/>
          <w:sz w:val="24"/>
          <w:szCs w:val="24"/>
        </w:rPr>
        <w:t>Hosseini et al. (2025) found that lower-income riders and residents of historically underserved Charlotte neighborhoods were especially sensitive to service availability, more often reporting limited routes, long wait times, and a lack of accessible stops as barriers to transit use, with Latino and Native American riders reporting the greatest difficulty.</w:t>
      </w:r>
      <w:r w:rsidR="00B67C41" w:rsidRPr="00B67C41">
        <w:rPr>
          <w:color w:val="000000"/>
          <w:sz w:val="24"/>
          <w:szCs w:val="24"/>
        </w:rPr>
        <w:t xml:space="preserve"> Using structural equation modeling across 152 U.S. urbanized regions, Lyons et al. (2025) found that both route density and service frequency substantially shape ridership, with frequency exerting a moderately larger effect than coverage. Consistent with this, Boisjoly et al. (2018) found that the volume of service supplied was among the strongest determinants of ridership across 25 North American transit agencies, suggesting that reductions in service supply </w:t>
      </w:r>
      <w:r w:rsidR="0051115E">
        <w:rPr>
          <w:color w:val="000000"/>
          <w:sz w:val="24"/>
          <w:szCs w:val="24"/>
        </w:rPr>
        <w:t xml:space="preserve">may </w:t>
      </w:r>
      <w:r w:rsidR="00B67C41" w:rsidRPr="00B67C41">
        <w:rPr>
          <w:color w:val="000000"/>
          <w:sz w:val="24"/>
          <w:szCs w:val="24"/>
        </w:rPr>
        <w:t xml:space="preserve">have </w:t>
      </w:r>
      <w:r w:rsidR="0018527F">
        <w:rPr>
          <w:color w:val="000000"/>
          <w:sz w:val="24"/>
          <w:szCs w:val="24"/>
        </w:rPr>
        <w:t xml:space="preserve">exacerbated </w:t>
      </w:r>
      <w:r w:rsidR="0018527F" w:rsidRPr="00B67C41">
        <w:rPr>
          <w:color w:val="000000"/>
          <w:sz w:val="24"/>
          <w:szCs w:val="24"/>
        </w:rPr>
        <w:t>ridership</w:t>
      </w:r>
      <w:r w:rsidR="00B67C41" w:rsidRPr="00B67C41">
        <w:rPr>
          <w:color w:val="000000"/>
          <w:sz w:val="24"/>
          <w:szCs w:val="24"/>
        </w:rPr>
        <w:t xml:space="preserve"> declines observed in North American cities.</w:t>
      </w:r>
    </w:p>
    <w:p w14:paraId="7342BEC9" w14:textId="3395CAE8" w:rsidR="00AF4EE8" w:rsidRDefault="00AF4EE8" w:rsidP="004247F3">
      <w:pPr>
        <w:pStyle w:val="FootnoteText"/>
        <w:jc w:val="both"/>
        <w:rPr>
          <w:color w:val="000000"/>
          <w:sz w:val="24"/>
          <w:szCs w:val="24"/>
        </w:rPr>
      </w:pPr>
      <w:r>
        <w:rPr>
          <w:color w:val="000000"/>
          <w:sz w:val="24"/>
          <w:szCs w:val="24"/>
        </w:rPr>
        <w:tab/>
      </w:r>
      <w:r w:rsidRPr="00AF4EE8">
        <w:rPr>
          <w:color w:val="000000"/>
          <w:sz w:val="24"/>
          <w:szCs w:val="24"/>
        </w:rPr>
        <w:t xml:space="preserve">Taken together, this literature establishes that personal safety, comfort and conditions, and service availability each act as meaningful barriers to transit use, with their importance varying across sociodemographic groups and built environment contexts. However, existing studies have largely examined these barriers in isolation from one another and from actual transit usage frequency – leaving the relationships among barriers, and between barriers and use, not well </w:t>
      </w:r>
      <w:r w:rsidRPr="00AF4EE8">
        <w:rPr>
          <w:color w:val="000000"/>
          <w:sz w:val="24"/>
          <w:szCs w:val="24"/>
        </w:rPr>
        <w:lastRenderedPageBreak/>
        <w:t xml:space="preserve">understood. Much of the evidence is also drawn from individual cities or transit systems and from data predating recent post-pandemic shifts in travel behavior, limiting its applicability to the national population today. Using a recent nationally representative survey sample, this study addresses these gaps by jointly modeling transit usage frequency alongside nine different barriers spanning all three thematic categories </w:t>
      </w:r>
      <w:proofErr w:type="gramStart"/>
      <w:r w:rsidRPr="00AF4EE8">
        <w:rPr>
          <w:color w:val="000000"/>
          <w:sz w:val="24"/>
          <w:szCs w:val="24"/>
        </w:rPr>
        <w:t>in order to</w:t>
      </w:r>
      <w:proofErr w:type="gramEnd"/>
      <w:r w:rsidRPr="00AF4EE8">
        <w:rPr>
          <w:color w:val="000000"/>
          <w:sz w:val="24"/>
          <w:szCs w:val="24"/>
        </w:rPr>
        <w:t xml:space="preserve"> characterize how these barriers collectively shape transit use across the U.S. population.</w:t>
      </w:r>
    </w:p>
    <w:p w14:paraId="70D8912F" w14:textId="77777777" w:rsidR="00AF4EE8" w:rsidRDefault="00AF4EE8" w:rsidP="004247F3">
      <w:pPr>
        <w:pStyle w:val="FootnoteText"/>
        <w:jc w:val="both"/>
        <w:rPr>
          <w:color w:val="000000"/>
          <w:sz w:val="24"/>
          <w:szCs w:val="24"/>
        </w:rPr>
      </w:pPr>
    </w:p>
    <w:p w14:paraId="3C8A8B3A" w14:textId="11691D33" w:rsidR="003121F1" w:rsidRDefault="003121F1" w:rsidP="003121F1">
      <w:pPr>
        <w:rPr>
          <w:b/>
          <w:bCs/>
          <w:sz w:val="24"/>
          <w:szCs w:val="24"/>
        </w:rPr>
      </w:pPr>
      <w:r w:rsidRPr="003916F3">
        <w:rPr>
          <w:b/>
          <w:bCs/>
          <w:sz w:val="24"/>
          <w:szCs w:val="24"/>
        </w:rPr>
        <w:t xml:space="preserve">3. </w:t>
      </w:r>
      <w:r>
        <w:rPr>
          <w:b/>
          <w:bCs/>
          <w:sz w:val="24"/>
          <w:szCs w:val="24"/>
        </w:rPr>
        <w:t>DATA DESCRIPTION</w:t>
      </w:r>
    </w:p>
    <w:p w14:paraId="0BA4152B" w14:textId="621D4182" w:rsidR="003121F1" w:rsidRDefault="00E80061" w:rsidP="00E80061">
      <w:pPr>
        <w:rPr>
          <w:sz w:val="24"/>
          <w:szCs w:val="24"/>
        </w:rPr>
      </w:pPr>
      <w:r w:rsidRPr="00E80061">
        <w:rPr>
          <w:sz w:val="24"/>
          <w:szCs w:val="24"/>
        </w:rPr>
        <w:t>This section presents a detailed description of the data used in the study.</w:t>
      </w:r>
    </w:p>
    <w:p w14:paraId="65AE8D55" w14:textId="77777777" w:rsidR="00E80061" w:rsidRDefault="00E80061" w:rsidP="00E80061">
      <w:pPr>
        <w:rPr>
          <w:sz w:val="24"/>
          <w:szCs w:val="24"/>
        </w:rPr>
      </w:pPr>
    </w:p>
    <w:p w14:paraId="2C6C7780" w14:textId="00191ABD" w:rsidR="00E80061" w:rsidRDefault="00E80061" w:rsidP="00E80061">
      <w:pPr>
        <w:rPr>
          <w:b/>
          <w:bCs/>
          <w:sz w:val="24"/>
          <w:szCs w:val="24"/>
        </w:rPr>
      </w:pPr>
      <w:r w:rsidRPr="00E80061">
        <w:rPr>
          <w:b/>
          <w:bCs/>
          <w:sz w:val="24"/>
          <w:szCs w:val="24"/>
        </w:rPr>
        <w:t>3.1 Survey Overview</w:t>
      </w:r>
    </w:p>
    <w:p w14:paraId="3024F7CB" w14:textId="77777777" w:rsidR="0073044D" w:rsidRPr="0073044D" w:rsidRDefault="0073044D" w:rsidP="0073044D">
      <w:pPr>
        <w:jc w:val="both"/>
        <w:rPr>
          <w:sz w:val="24"/>
          <w:szCs w:val="24"/>
        </w:rPr>
      </w:pPr>
      <w:r w:rsidRPr="0073044D">
        <w:rPr>
          <w:sz w:val="24"/>
          <w:szCs w:val="24"/>
        </w:rPr>
        <w:t>The data analyzed in this paper are drawn from the second wave of the Transportation Heartbeat of America (THA) Survey, fielded across the United States between February and March 2026. The survey was administered to an online panel of participants assembled by a commercial firm, with quotas specified on an extensive set of socio-economic attributes to ensure that the respondent sample captured the variation in attributes that would be seen in the general population. This quota-based sampling approach ensured that reasonable sample sizes were obtained within multiple demographic subgroups defined by race, age, gender, educational attainment, household income, area type of residence (urban/rural), and census division of residence. Eligible participants included adults aged 18 years or older residing in the United States, and multiple attention checks and quality control questions were embedded in the survey to ensure robust response quality.</w:t>
      </w:r>
    </w:p>
    <w:p w14:paraId="11C1C885" w14:textId="13E8975C" w:rsidR="00E80061" w:rsidRDefault="0073044D" w:rsidP="0073044D">
      <w:pPr>
        <w:ind w:firstLine="720"/>
        <w:jc w:val="both"/>
        <w:rPr>
          <w:sz w:val="24"/>
          <w:szCs w:val="24"/>
        </w:rPr>
      </w:pPr>
      <w:r w:rsidRPr="0073044D">
        <w:rPr>
          <w:sz w:val="24"/>
          <w:szCs w:val="24"/>
        </w:rPr>
        <w:t>The dataset offers detailed coverage of attitudes regarding transportation, mobility, and urban living; current activity-travel behaviors and mode use; safety experiences across travel modes; commuting patterns and telework arrangements; online shopping and delivery behaviors; and knowledge and opinions about emerging transportation technologies and infrastructure investments. Additional built environment attributes were appended to the survey records, based on residential zip code, using information from the Environmental Protection Agency (EPA) Smart Location Database (Chapman et al.</w:t>
      </w:r>
      <w:r w:rsidR="002F4298">
        <w:rPr>
          <w:sz w:val="24"/>
          <w:szCs w:val="24"/>
        </w:rPr>
        <w:t>,</w:t>
      </w:r>
      <w:r w:rsidRPr="0073044D">
        <w:rPr>
          <w:sz w:val="24"/>
          <w:szCs w:val="24"/>
        </w:rPr>
        <w:t xml:space="preserve"> 2021). While the original survey dataset included a total of 8,567 responses, the final analysis dataset, cleaned of missing data and obviously erroneous records and inclusive of the appended built environment attributes, comprised 8,273 observations.</w:t>
      </w:r>
    </w:p>
    <w:p w14:paraId="7C193F85" w14:textId="77777777" w:rsidR="006E356A" w:rsidRDefault="006E356A" w:rsidP="006E356A">
      <w:pPr>
        <w:jc w:val="both"/>
        <w:rPr>
          <w:sz w:val="24"/>
          <w:szCs w:val="24"/>
        </w:rPr>
      </w:pPr>
    </w:p>
    <w:p w14:paraId="15C947BD" w14:textId="3D92FDD0" w:rsidR="006E356A" w:rsidRPr="006E356A" w:rsidRDefault="006E356A" w:rsidP="006E356A">
      <w:pPr>
        <w:jc w:val="both"/>
        <w:rPr>
          <w:b/>
          <w:bCs/>
          <w:sz w:val="24"/>
          <w:szCs w:val="24"/>
        </w:rPr>
      </w:pPr>
      <w:r w:rsidRPr="006E356A">
        <w:rPr>
          <w:b/>
          <w:bCs/>
          <w:sz w:val="24"/>
          <w:szCs w:val="24"/>
        </w:rPr>
        <w:t>3.2 Endogenous Outcomes</w:t>
      </w:r>
    </w:p>
    <w:p w14:paraId="379852E9" w14:textId="2BD67650" w:rsidR="003C5CA6" w:rsidRPr="003C5CA6" w:rsidRDefault="003C5CA6" w:rsidP="003C5CA6">
      <w:pPr>
        <w:pStyle w:val="FootnoteText"/>
        <w:jc w:val="both"/>
        <w:rPr>
          <w:color w:val="000000"/>
          <w:sz w:val="24"/>
          <w:szCs w:val="24"/>
        </w:rPr>
      </w:pPr>
      <w:r w:rsidRPr="003C5CA6">
        <w:rPr>
          <w:color w:val="000000"/>
          <w:sz w:val="24"/>
          <w:szCs w:val="24"/>
        </w:rPr>
        <w:t>The endogenous outcomes examined in this study consist of public transportation usage frequency and the nine self-reported barriers to public transportation use, each treated as a distinct outcome variable, for a total of ten endogenous outcomes modeled jointly. Although transit use was originally collected using six response categories, the usage frequency variable specified in the model retains only five ordered levels, as respondents who indicated that public transportation is not available to them were excluded from this outcome. The “</w:t>
      </w:r>
      <w:r w:rsidR="002E5A14">
        <w:rPr>
          <w:color w:val="000000"/>
          <w:sz w:val="24"/>
          <w:szCs w:val="24"/>
        </w:rPr>
        <w:t>This is not available to me</w:t>
      </w:r>
      <w:r w:rsidRPr="003C5CA6">
        <w:rPr>
          <w:color w:val="000000"/>
          <w:sz w:val="24"/>
          <w:szCs w:val="24"/>
        </w:rPr>
        <w:t xml:space="preserve">” </w:t>
      </w:r>
      <w:r w:rsidR="00C20494">
        <w:rPr>
          <w:color w:val="000000"/>
          <w:sz w:val="24"/>
          <w:szCs w:val="24"/>
        </w:rPr>
        <w:t>response</w:t>
      </w:r>
      <w:r w:rsidRPr="003C5CA6">
        <w:rPr>
          <w:color w:val="000000"/>
          <w:sz w:val="24"/>
          <w:szCs w:val="24"/>
        </w:rPr>
        <w:t xml:space="preserve"> reflects a lack of access rather than a level of </w:t>
      </w:r>
      <w:proofErr w:type="gramStart"/>
      <w:r w:rsidRPr="003C5CA6">
        <w:rPr>
          <w:color w:val="000000"/>
          <w:sz w:val="24"/>
          <w:szCs w:val="24"/>
        </w:rPr>
        <w:t>use, and</w:t>
      </w:r>
      <w:proofErr w:type="gramEnd"/>
      <w:r w:rsidRPr="003C5CA6">
        <w:rPr>
          <w:color w:val="000000"/>
          <w:sz w:val="24"/>
          <w:szCs w:val="24"/>
        </w:rPr>
        <w:t xml:space="preserve"> is therefore more appropriately treated as a separate consideration rather than the lowest level of a use-frequency scale.</w:t>
      </w:r>
    </w:p>
    <w:p w14:paraId="69B17814" w14:textId="4C8CA640" w:rsidR="003C5CA6" w:rsidRPr="003C5CA6" w:rsidRDefault="003C5CA6" w:rsidP="003C5CA6">
      <w:pPr>
        <w:pStyle w:val="FootnoteText"/>
        <w:ind w:firstLine="720"/>
        <w:jc w:val="both"/>
        <w:rPr>
          <w:color w:val="000000"/>
          <w:sz w:val="24"/>
          <w:szCs w:val="24"/>
        </w:rPr>
      </w:pPr>
      <w:r w:rsidRPr="003C5CA6">
        <w:rPr>
          <w:color w:val="000000"/>
          <w:sz w:val="24"/>
          <w:szCs w:val="24"/>
        </w:rPr>
        <w:t xml:space="preserve">The nine barrier outcomes were elicited only from non- and low-frequency users, defined as respondents who reported that public transportation is not available to them, that it is available to </w:t>
      </w:r>
      <w:proofErr w:type="gramStart"/>
      <w:r w:rsidRPr="003C5CA6">
        <w:rPr>
          <w:color w:val="000000"/>
          <w:sz w:val="24"/>
          <w:szCs w:val="24"/>
        </w:rPr>
        <w:t>them</w:t>
      </w:r>
      <w:proofErr w:type="gramEnd"/>
      <w:r w:rsidRPr="003C5CA6">
        <w:rPr>
          <w:color w:val="000000"/>
          <w:sz w:val="24"/>
          <w:szCs w:val="24"/>
        </w:rPr>
        <w:t xml:space="preserve"> but they never use it, or that they use it less than one day per month. These 6,279 respondents, </w:t>
      </w:r>
      <w:r w:rsidRPr="00E7308B">
        <w:rPr>
          <w:color w:val="000000"/>
          <w:sz w:val="24"/>
          <w:szCs w:val="24"/>
        </w:rPr>
        <w:t>representing 75.9 percent of the full sample, were asked the following question: “</w:t>
      </w:r>
      <w:r w:rsidR="00E7308B" w:rsidRPr="00E7308B">
        <w:rPr>
          <w:color w:val="000000" w:themeColor="text1"/>
          <w:sz w:val="24"/>
          <w:szCs w:val="24"/>
        </w:rPr>
        <w:t>Do any of the following concerns contribute to your decision not to travel by public transportation more often? Please select all that apply</w:t>
      </w:r>
      <w:r w:rsidRPr="00E7308B">
        <w:rPr>
          <w:color w:val="000000"/>
          <w:sz w:val="24"/>
          <w:szCs w:val="24"/>
        </w:rPr>
        <w:t xml:space="preserve">.” Respondents could select as many of the nine barriers </w:t>
      </w:r>
      <w:r w:rsidR="00E15CDD" w:rsidRPr="00E15CDD">
        <w:rPr>
          <w:color w:val="000000"/>
          <w:sz w:val="24"/>
          <w:szCs w:val="24"/>
        </w:rPr>
        <w:t xml:space="preserve">as </w:t>
      </w:r>
      <w:r w:rsidR="00E15CDD" w:rsidRPr="00E15CDD">
        <w:rPr>
          <w:color w:val="000000"/>
          <w:sz w:val="24"/>
          <w:szCs w:val="24"/>
        </w:rPr>
        <w:lastRenderedPageBreak/>
        <w:t>they deem</w:t>
      </w:r>
      <w:r w:rsidR="007E7792">
        <w:rPr>
          <w:color w:val="000000"/>
          <w:sz w:val="24"/>
          <w:szCs w:val="24"/>
        </w:rPr>
        <w:t>ed</w:t>
      </w:r>
      <w:r w:rsidR="00E15CDD" w:rsidRPr="00E15CDD">
        <w:rPr>
          <w:color w:val="000000"/>
          <w:sz w:val="24"/>
          <w:szCs w:val="24"/>
        </w:rPr>
        <w:t xml:space="preserve"> applicable</w:t>
      </w:r>
      <w:r w:rsidRPr="00E7308B">
        <w:rPr>
          <w:color w:val="000000"/>
          <w:sz w:val="24"/>
          <w:szCs w:val="24"/>
        </w:rPr>
        <w:t>, and the resulting percentages</w:t>
      </w:r>
      <w:r w:rsidRPr="003C5CA6">
        <w:rPr>
          <w:color w:val="000000"/>
          <w:sz w:val="24"/>
          <w:szCs w:val="24"/>
        </w:rPr>
        <w:t xml:space="preserve"> are therefore not mutually exclusive and do not sum to 100 percent.</w:t>
      </w:r>
    </w:p>
    <w:p w14:paraId="58588363" w14:textId="2B68CE27" w:rsidR="003C5CA6" w:rsidRPr="003C5CA6" w:rsidRDefault="003C5CA6" w:rsidP="003C5CA6">
      <w:pPr>
        <w:pStyle w:val="FootnoteText"/>
        <w:ind w:firstLine="720"/>
        <w:jc w:val="both"/>
        <w:rPr>
          <w:color w:val="000000"/>
          <w:sz w:val="24"/>
          <w:szCs w:val="24"/>
        </w:rPr>
      </w:pPr>
      <w:r w:rsidRPr="003C5CA6">
        <w:rPr>
          <w:color w:val="000000"/>
          <w:sz w:val="24"/>
          <w:szCs w:val="24"/>
        </w:rPr>
        <w:t>Table 1 presents descriptive statistics for all ten endogenous outcomes, with the usage frequency outcome shown across its six original response categories and the nine barriers organized into the three thematic groups introduced earlier. Among the usage frequency categories, the largest single group of respondents, at 33.8 percent, reported that transit is available to them but that they never use it, while smaller shares reported using transit with increasing frequency, from 13.2 percent using it less than one day per month down to 6.1 percent using it three or more days per week. Notably, 28.9 percent of the full sample reported that public transportation is not available to them at all, underscoring that lack of access remains a first-order barrier for a substantial share of the population before considerations of comfort, safety, or habit even come into play.</w:t>
      </w:r>
    </w:p>
    <w:p w14:paraId="128794E5" w14:textId="77777777" w:rsidR="00355279" w:rsidRDefault="00355279" w:rsidP="000202E8">
      <w:pPr>
        <w:rPr>
          <w:b/>
          <w:bCs/>
          <w:color w:val="000000"/>
        </w:rPr>
      </w:pPr>
    </w:p>
    <w:p w14:paraId="413E4683" w14:textId="62207724" w:rsidR="00615FBE" w:rsidRDefault="000202E8" w:rsidP="000202E8">
      <w:pPr>
        <w:rPr>
          <w:b/>
          <w:bCs/>
          <w:color w:val="000000"/>
        </w:rPr>
      </w:pPr>
      <w:r w:rsidRPr="004C7B35">
        <w:rPr>
          <w:b/>
          <w:bCs/>
          <w:color w:val="000000"/>
        </w:rPr>
        <w:t>T</w:t>
      </w:r>
      <w:r w:rsidR="00AF4FEC">
        <w:rPr>
          <w:b/>
          <w:bCs/>
          <w:color w:val="000000"/>
        </w:rPr>
        <w:t>able</w:t>
      </w:r>
      <w:r w:rsidRPr="004C7B35">
        <w:rPr>
          <w:b/>
          <w:bCs/>
          <w:color w:val="000000"/>
        </w:rPr>
        <w:t xml:space="preserve"> 1</w:t>
      </w:r>
      <w:r w:rsidR="00AF4FEC">
        <w:rPr>
          <w:b/>
          <w:bCs/>
          <w:color w:val="000000"/>
        </w:rPr>
        <w:t>.</w:t>
      </w:r>
      <w:r w:rsidRPr="004C7B35">
        <w:rPr>
          <w:b/>
          <w:bCs/>
          <w:color w:val="000000"/>
        </w:rPr>
        <w:t xml:space="preserve"> Descriptive Statistics of Transit Use Frequency and Self-Reported Transit Use Barriers </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7346"/>
        <w:gridCol w:w="984"/>
        <w:gridCol w:w="984"/>
      </w:tblGrid>
      <w:tr w:rsidR="009730F0" w:rsidRPr="009730F0" w14:paraId="0F9AF175" w14:textId="77777777" w:rsidTr="00154678">
        <w:trPr>
          <w:trHeight w:val="20"/>
        </w:trPr>
        <w:tc>
          <w:tcPr>
            <w:tcW w:w="3944" w:type="pct"/>
            <w:tcBorders>
              <w:top w:val="single" w:sz="18" w:space="0" w:color="auto"/>
              <w:left w:val="single" w:sz="18" w:space="0" w:color="auto"/>
              <w:bottom w:val="single" w:sz="18" w:space="0" w:color="auto"/>
              <w:right w:val="single" w:sz="18" w:space="0" w:color="auto"/>
            </w:tcBorders>
            <w:shd w:val="clear" w:color="auto" w:fill="FFFFFF"/>
            <w:tcMar>
              <w:top w:w="30" w:type="dxa"/>
              <w:left w:w="45" w:type="dxa"/>
              <w:bottom w:w="30" w:type="dxa"/>
              <w:right w:w="45" w:type="dxa"/>
            </w:tcMar>
            <w:hideMark/>
          </w:tcPr>
          <w:p w14:paraId="7997B7EA" w14:textId="77777777" w:rsidR="009730F0" w:rsidRPr="009730F0" w:rsidRDefault="009730F0" w:rsidP="009730F0">
            <w:pPr>
              <w:jc w:val="both"/>
              <w:rPr>
                <w:rFonts w:eastAsia="Calibri"/>
                <w:b/>
                <w:bCs/>
                <w:sz w:val="20"/>
                <w:szCs w:val="20"/>
              </w:rPr>
            </w:pPr>
            <w:r w:rsidRPr="009730F0">
              <w:rPr>
                <w:rFonts w:eastAsia="Calibri"/>
                <w:b/>
                <w:bCs/>
                <w:sz w:val="20"/>
                <w:szCs w:val="20"/>
              </w:rPr>
              <w:t>Outcome variable</w:t>
            </w:r>
          </w:p>
        </w:tc>
        <w:tc>
          <w:tcPr>
            <w:tcW w:w="528" w:type="pct"/>
            <w:tcBorders>
              <w:top w:val="single" w:sz="18" w:space="0" w:color="auto"/>
              <w:left w:val="single" w:sz="18" w:space="0" w:color="auto"/>
              <w:bottom w:val="single" w:sz="18" w:space="0" w:color="auto"/>
              <w:right w:val="single" w:sz="18" w:space="0" w:color="auto"/>
            </w:tcBorders>
            <w:shd w:val="clear" w:color="auto" w:fill="FFFFFF"/>
            <w:tcMar>
              <w:top w:w="30" w:type="dxa"/>
              <w:left w:w="45" w:type="dxa"/>
              <w:bottom w:w="30" w:type="dxa"/>
              <w:right w:w="45" w:type="dxa"/>
            </w:tcMar>
            <w:vAlign w:val="center"/>
            <w:hideMark/>
          </w:tcPr>
          <w:p w14:paraId="4C778684" w14:textId="77777777" w:rsidR="009730F0" w:rsidRPr="009730F0" w:rsidRDefault="009730F0" w:rsidP="009730F0">
            <w:pPr>
              <w:jc w:val="center"/>
              <w:rPr>
                <w:rFonts w:eastAsia="Calibri"/>
                <w:b/>
                <w:bCs/>
                <w:sz w:val="20"/>
                <w:szCs w:val="20"/>
              </w:rPr>
            </w:pPr>
            <w:r w:rsidRPr="009730F0">
              <w:rPr>
                <w:rFonts w:eastAsia="Calibri"/>
                <w:b/>
                <w:bCs/>
                <w:sz w:val="20"/>
                <w:szCs w:val="20"/>
              </w:rPr>
              <w:t>Count</w:t>
            </w:r>
          </w:p>
        </w:tc>
        <w:tc>
          <w:tcPr>
            <w:tcW w:w="528" w:type="pct"/>
            <w:tcBorders>
              <w:top w:val="single" w:sz="18" w:space="0" w:color="auto"/>
              <w:left w:val="single" w:sz="18" w:space="0" w:color="auto"/>
              <w:bottom w:val="single" w:sz="18" w:space="0" w:color="auto"/>
              <w:right w:val="single" w:sz="18" w:space="0" w:color="auto"/>
            </w:tcBorders>
            <w:shd w:val="clear" w:color="auto" w:fill="FFFFFF"/>
            <w:tcMar>
              <w:top w:w="30" w:type="dxa"/>
              <w:left w:w="45" w:type="dxa"/>
              <w:bottom w:w="30" w:type="dxa"/>
              <w:right w:w="45" w:type="dxa"/>
            </w:tcMar>
            <w:vAlign w:val="center"/>
            <w:hideMark/>
          </w:tcPr>
          <w:p w14:paraId="20704F32" w14:textId="77777777" w:rsidR="009730F0" w:rsidRPr="009730F0" w:rsidRDefault="009730F0" w:rsidP="009730F0">
            <w:pPr>
              <w:jc w:val="center"/>
              <w:rPr>
                <w:rFonts w:eastAsia="Calibri"/>
                <w:b/>
                <w:bCs/>
                <w:sz w:val="20"/>
                <w:szCs w:val="20"/>
              </w:rPr>
            </w:pPr>
            <w:r w:rsidRPr="009730F0">
              <w:rPr>
                <w:rFonts w:eastAsia="Calibri"/>
                <w:b/>
                <w:bCs/>
                <w:sz w:val="20"/>
                <w:szCs w:val="20"/>
              </w:rPr>
              <w:t>%</w:t>
            </w:r>
          </w:p>
        </w:tc>
      </w:tr>
      <w:tr w:rsidR="009730F0" w:rsidRPr="009730F0" w14:paraId="64A3E0F1" w14:textId="77777777" w:rsidTr="00154678">
        <w:trPr>
          <w:trHeight w:val="20"/>
        </w:trPr>
        <w:tc>
          <w:tcPr>
            <w:tcW w:w="5000" w:type="pct"/>
            <w:gridSpan w:val="3"/>
            <w:tcBorders>
              <w:top w:val="single" w:sz="18" w:space="0" w:color="auto"/>
              <w:left w:val="single" w:sz="18" w:space="0" w:color="auto"/>
              <w:bottom w:val="double" w:sz="4" w:space="0" w:color="auto"/>
              <w:right w:val="single" w:sz="18" w:space="0" w:color="auto"/>
            </w:tcBorders>
            <w:shd w:val="clear" w:color="auto" w:fill="FFFFFF"/>
            <w:tcMar>
              <w:top w:w="30" w:type="dxa"/>
              <w:left w:w="45" w:type="dxa"/>
              <w:bottom w:w="30" w:type="dxa"/>
              <w:right w:w="45" w:type="dxa"/>
            </w:tcMar>
            <w:vAlign w:val="center"/>
            <w:hideMark/>
          </w:tcPr>
          <w:p w14:paraId="462DC323" w14:textId="77777777" w:rsidR="009730F0" w:rsidRPr="009730F0" w:rsidRDefault="009730F0" w:rsidP="009730F0">
            <w:pPr>
              <w:rPr>
                <w:rFonts w:eastAsia="Calibri"/>
                <w:b/>
                <w:bCs/>
                <w:sz w:val="20"/>
                <w:szCs w:val="20"/>
              </w:rPr>
            </w:pPr>
            <w:r w:rsidRPr="009730F0">
              <w:rPr>
                <w:rFonts w:eastAsia="Calibri"/>
                <w:b/>
                <w:bCs/>
                <w:sz w:val="20"/>
                <w:szCs w:val="20"/>
              </w:rPr>
              <w:t>Transit use frequency (N = 8,273)</w:t>
            </w:r>
          </w:p>
        </w:tc>
      </w:tr>
      <w:tr w:rsidR="009730F0" w:rsidRPr="009730F0" w14:paraId="3BCEB66A" w14:textId="77777777" w:rsidTr="00154678">
        <w:trPr>
          <w:trHeight w:val="20"/>
        </w:trPr>
        <w:tc>
          <w:tcPr>
            <w:tcW w:w="3944" w:type="pct"/>
            <w:tcBorders>
              <w:top w:val="double" w:sz="4" w:space="0" w:color="auto"/>
              <w:left w:val="single" w:sz="18" w:space="0" w:color="auto"/>
              <w:right w:val="single" w:sz="18" w:space="0" w:color="auto"/>
            </w:tcBorders>
            <w:shd w:val="clear" w:color="auto" w:fill="FFFFFF"/>
            <w:tcMar>
              <w:top w:w="30" w:type="dxa"/>
              <w:left w:w="45" w:type="dxa"/>
              <w:bottom w:w="30" w:type="dxa"/>
              <w:right w:w="45" w:type="dxa"/>
            </w:tcMar>
            <w:hideMark/>
          </w:tcPr>
          <w:p w14:paraId="7DF96579" w14:textId="77777777" w:rsidR="009730F0" w:rsidRPr="009730F0" w:rsidRDefault="009730F0" w:rsidP="009730F0">
            <w:pPr>
              <w:ind w:left="144"/>
              <w:jc w:val="both"/>
              <w:rPr>
                <w:rFonts w:eastAsia="Calibri"/>
                <w:i/>
                <w:iCs/>
                <w:sz w:val="20"/>
                <w:szCs w:val="20"/>
              </w:rPr>
            </w:pPr>
            <w:r w:rsidRPr="009730F0">
              <w:rPr>
                <w:rFonts w:eastAsia="Calibri"/>
                <w:i/>
                <w:iCs/>
                <w:sz w:val="20"/>
                <w:szCs w:val="20"/>
              </w:rPr>
              <w:t>This is not available to me*</w:t>
            </w:r>
          </w:p>
        </w:tc>
        <w:tc>
          <w:tcPr>
            <w:tcW w:w="528" w:type="pct"/>
            <w:tcBorders>
              <w:top w:val="double" w:sz="4" w:space="0" w:color="auto"/>
              <w:left w:val="single" w:sz="18" w:space="0" w:color="auto"/>
              <w:right w:val="single" w:sz="18" w:space="0" w:color="auto"/>
            </w:tcBorders>
            <w:shd w:val="clear" w:color="auto" w:fill="FFFFFF"/>
            <w:tcMar>
              <w:top w:w="30" w:type="dxa"/>
              <w:left w:w="45" w:type="dxa"/>
              <w:bottom w:w="30" w:type="dxa"/>
              <w:right w:w="45" w:type="dxa"/>
            </w:tcMar>
            <w:vAlign w:val="center"/>
            <w:hideMark/>
          </w:tcPr>
          <w:p w14:paraId="63B6D0AF" w14:textId="77777777" w:rsidR="009730F0" w:rsidRPr="009730F0" w:rsidRDefault="009730F0" w:rsidP="009730F0">
            <w:pPr>
              <w:jc w:val="center"/>
              <w:rPr>
                <w:rFonts w:eastAsia="Calibri"/>
                <w:i/>
                <w:iCs/>
                <w:sz w:val="20"/>
                <w:szCs w:val="20"/>
              </w:rPr>
            </w:pPr>
            <w:r w:rsidRPr="009730F0">
              <w:rPr>
                <w:rFonts w:eastAsia="Calibri"/>
                <w:i/>
                <w:iCs/>
                <w:sz w:val="20"/>
                <w:szCs w:val="20"/>
              </w:rPr>
              <w:t>2,388</w:t>
            </w:r>
          </w:p>
        </w:tc>
        <w:tc>
          <w:tcPr>
            <w:tcW w:w="528" w:type="pct"/>
            <w:tcBorders>
              <w:top w:val="double" w:sz="4" w:space="0" w:color="auto"/>
              <w:left w:val="single" w:sz="18" w:space="0" w:color="auto"/>
              <w:right w:val="single" w:sz="18" w:space="0" w:color="auto"/>
            </w:tcBorders>
            <w:shd w:val="clear" w:color="auto" w:fill="FFFFFF"/>
            <w:tcMar>
              <w:top w:w="30" w:type="dxa"/>
              <w:left w:w="45" w:type="dxa"/>
              <w:bottom w:w="30" w:type="dxa"/>
              <w:right w:w="45" w:type="dxa"/>
            </w:tcMar>
            <w:vAlign w:val="center"/>
            <w:hideMark/>
          </w:tcPr>
          <w:p w14:paraId="7770C1FB" w14:textId="77777777" w:rsidR="009730F0" w:rsidRPr="009730F0" w:rsidRDefault="009730F0" w:rsidP="009730F0">
            <w:pPr>
              <w:jc w:val="center"/>
              <w:rPr>
                <w:rFonts w:eastAsia="Calibri"/>
                <w:i/>
                <w:iCs/>
                <w:sz w:val="20"/>
                <w:szCs w:val="20"/>
              </w:rPr>
            </w:pPr>
            <w:r w:rsidRPr="009730F0">
              <w:rPr>
                <w:rFonts w:eastAsia="Calibri"/>
                <w:i/>
                <w:iCs/>
                <w:sz w:val="20"/>
                <w:szCs w:val="20"/>
              </w:rPr>
              <w:t>28.9</w:t>
            </w:r>
          </w:p>
        </w:tc>
      </w:tr>
      <w:tr w:rsidR="009730F0" w:rsidRPr="009730F0" w14:paraId="0E445860" w14:textId="77777777" w:rsidTr="00154678">
        <w:trPr>
          <w:trHeight w:val="20"/>
        </w:trPr>
        <w:tc>
          <w:tcPr>
            <w:tcW w:w="3944" w:type="pct"/>
            <w:tcBorders>
              <w:left w:val="single" w:sz="18" w:space="0" w:color="auto"/>
              <w:right w:val="single" w:sz="18" w:space="0" w:color="auto"/>
            </w:tcBorders>
            <w:shd w:val="clear" w:color="auto" w:fill="FFFFFF"/>
            <w:tcMar>
              <w:top w:w="30" w:type="dxa"/>
              <w:left w:w="45" w:type="dxa"/>
              <w:bottom w:w="30" w:type="dxa"/>
              <w:right w:w="45" w:type="dxa"/>
            </w:tcMar>
            <w:hideMark/>
          </w:tcPr>
          <w:p w14:paraId="0438E0A5" w14:textId="77777777" w:rsidR="009730F0" w:rsidRPr="009730F0" w:rsidRDefault="009730F0" w:rsidP="009730F0">
            <w:pPr>
              <w:ind w:left="144"/>
              <w:jc w:val="both"/>
              <w:rPr>
                <w:rFonts w:eastAsia="Calibri"/>
                <w:sz w:val="20"/>
                <w:szCs w:val="20"/>
              </w:rPr>
            </w:pPr>
            <w:r w:rsidRPr="009730F0">
              <w:rPr>
                <w:rFonts w:eastAsia="Calibri"/>
                <w:sz w:val="20"/>
                <w:szCs w:val="20"/>
              </w:rPr>
              <w:t>This is available but I never use it</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150ECF25" w14:textId="77777777" w:rsidR="009730F0" w:rsidRPr="009730F0" w:rsidRDefault="009730F0" w:rsidP="009730F0">
            <w:pPr>
              <w:jc w:val="center"/>
              <w:rPr>
                <w:rFonts w:eastAsia="Calibri"/>
                <w:sz w:val="20"/>
                <w:szCs w:val="20"/>
              </w:rPr>
            </w:pPr>
            <w:r w:rsidRPr="009730F0">
              <w:rPr>
                <w:rFonts w:eastAsia="Calibri"/>
                <w:sz w:val="20"/>
                <w:szCs w:val="20"/>
              </w:rPr>
              <w:t>2,797</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742D7091" w14:textId="77777777" w:rsidR="009730F0" w:rsidRPr="009730F0" w:rsidRDefault="009730F0" w:rsidP="009730F0">
            <w:pPr>
              <w:jc w:val="center"/>
              <w:rPr>
                <w:rFonts w:eastAsia="Calibri"/>
                <w:sz w:val="20"/>
                <w:szCs w:val="20"/>
              </w:rPr>
            </w:pPr>
            <w:r w:rsidRPr="009730F0">
              <w:rPr>
                <w:rFonts w:eastAsia="Calibri"/>
                <w:sz w:val="20"/>
                <w:szCs w:val="20"/>
              </w:rPr>
              <w:t>33.8</w:t>
            </w:r>
          </w:p>
        </w:tc>
      </w:tr>
      <w:tr w:rsidR="009730F0" w:rsidRPr="009730F0" w14:paraId="4CA60AFD" w14:textId="77777777" w:rsidTr="00154678">
        <w:trPr>
          <w:trHeight w:val="20"/>
        </w:trPr>
        <w:tc>
          <w:tcPr>
            <w:tcW w:w="3944" w:type="pct"/>
            <w:tcBorders>
              <w:left w:val="single" w:sz="18" w:space="0" w:color="auto"/>
              <w:right w:val="single" w:sz="18" w:space="0" w:color="auto"/>
            </w:tcBorders>
            <w:shd w:val="clear" w:color="auto" w:fill="FFFFFF"/>
            <w:tcMar>
              <w:top w:w="30" w:type="dxa"/>
              <w:left w:w="45" w:type="dxa"/>
              <w:bottom w:w="30" w:type="dxa"/>
              <w:right w:w="45" w:type="dxa"/>
            </w:tcMar>
            <w:hideMark/>
          </w:tcPr>
          <w:p w14:paraId="6EFF0B5A" w14:textId="77777777" w:rsidR="009730F0" w:rsidRPr="009730F0" w:rsidRDefault="009730F0" w:rsidP="009730F0">
            <w:pPr>
              <w:ind w:left="144"/>
              <w:jc w:val="both"/>
              <w:rPr>
                <w:rFonts w:eastAsia="Calibri"/>
                <w:sz w:val="20"/>
                <w:szCs w:val="20"/>
              </w:rPr>
            </w:pPr>
            <w:r w:rsidRPr="009730F0">
              <w:rPr>
                <w:rFonts w:eastAsia="Calibri"/>
                <w:sz w:val="20"/>
                <w:szCs w:val="20"/>
              </w:rPr>
              <w:t>I use it less than one day per month</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4963698A" w14:textId="77777777" w:rsidR="009730F0" w:rsidRPr="009730F0" w:rsidRDefault="009730F0" w:rsidP="009730F0">
            <w:pPr>
              <w:jc w:val="center"/>
              <w:rPr>
                <w:rFonts w:eastAsia="Calibri"/>
                <w:sz w:val="20"/>
                <w:szCs w:val="20"/>
              </w:rPr>
            </w:pPr>
            <w:r w:rsidRPr="009730F0">
              <w:rPr>
                <w:rFonts w:eastAsia="Calibri"/>
                <w:sz w:val="20"/>
                <w:szCs w:val="20"/>
              </w:rPr>
              <w:t>1,094</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05D4B811" w14:textId="77777777" w:rsidR="009730F0" w:rsidRPr="009730F0" w:rsidRDefault="009730F0" w:rsidP="009730F0">
            <w:pPr>
              <w:jc w:val="center"/>
              <w:rPr>
                <w:rFonts w:eastAsia="Calibri"/>
                <w:sz w:val="20"/>
                <w:szCs w:val="20"/>
              </w:rPr>
            </w:pPr>
            <w:r w:rsidRPr="009730F0">
              <w:rPr>
                <w:rFonts w:eastAsia="Calibri"/>
                <w:sz w:val="20"/>
                <w:szCs w:val="20"/>
              </w:rPr>
              <w:t>13.2</w:t>
            </w:r>
          </w:p>
        </w:tc>
      </w:tr>
      <w:tr w:rsidR="009730F0" w:rsidRPr="009730F0" w14:paraId="17A3A1AE" w14:textId="77777777" w:rsidTr="00154678">
        <w:trPr>
          <w:trHeight w:val="20"/>
        </w:trPr>
        <w:tc>
          <w:tcPr>
            <w:tcW w:w="3944" w:type="pct"/>
            <w:tcBorders>
              <w:left w:val="single" w:sz="18" w:space="0" w:color="auto"/>
              <w:right w:val="single" w:sz="18" w:space="0" w:color="auto"/>
            </w:tcBorders>
            <w:shd w:val="clear" w:color="auto" w:fill="FFFFFF"/>
            <w:tcMar>
              <w:top w:w="30" w:type="dxa"/>
              <w:left w:w="45" w:type="dxa"/>
              <w:bottom w:w="30" w:type="dxa"/>
              <w:right w:w="45" w:type="dxa"/>
            </w:tcMar>
            <w:hideMark/>
          </w:tcPr>
          <w:p w14:paraId="19006933" w14:textId="77777777" w:rsidR="009730F0" w:rsidRPr="009730F0" w:rsidRDefault="009730F0" w:rsidP="009730F0">
            <w:pPr>
              <w:ind w:left="144"/>
              <w:jc w:val="both"/>
              <w:rPr>
                <w:rFonts w:eastAsia="Calibri"/>
                <w:sz w:val="20"/>
                <w:szCs w:val="20"/>
              </w:rPr>
            </w:pPr>
            <w:r w:rsidRPr="009730F0">
              <w:rPr>
                <w:rFonts w:eastAsia="Calibri"/>
                <w:sz w:val="20"/>
                <w:szCs w:val="20"/>
              </w:rPr>
              <w:t>I use it 1-3 days per month</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3FD08279" w14:textId="77777777" w:rsidR="009730F0" w:rsidRPr="009730F0" w:rsidRDefault="009730F0" w:rsidP="009730F0">
            <w:pPr>
              <w:jc w:val="center"/>
              <w:rPr>
                <w:rFonts w:eastAsia="Calibri"/>
                <w:sz w:val="20"/>
                <w:szCs w:val="20"/>
              </w:rPr>
            </w:pPr>
            <w:r w:rsidRPr="009730F0">
              <w:rPr>
                <w:rFonts w:eastAsia="Calibri"/>
                <w:sz w:val="20"/>
                <w:szCs w:val="20"/>
              </w:rPr>
              <w:t>886</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3D2A3798" w14:textId="77777777" w:rsidR="009730F0" w:rsidRPr="009730F0" w:rsidRDefault="009730F0" w:rsidP="009730F0">
            <w:pPr>
              <w:jc w:val="center"/>
              <w:rPr>
                <w:rFonts w:eastAsia="Calibri"/>
                <w:sz w:val="20"/>
                <w:szCs w:val="20"/>
              </w:rPr>
            </w:pPr>
            <w:r w:rsidRPr="009730F0">
              <w:rPr>
                <w:rFonts w:eastAsia="Calibri"/>
                <w:sz w:val="20"/>
                <w:szCs w:val="20"/>
              </w:rPr>
              <w:t>10.7</w:t>
            </w:r>
          </w:p>
        </w:tc>
      </w:tr>
      <w:tr w:rsidR="009730F0" w:rsidRPr="009730F0" w14:paraId="232FD89F" w14:textId="77777777" w:rsidTr="00154678">
        <w:trPr>
          <w:trHeight w:val="20"/>
        </w:trPr>
        <w:tc>
          <w:tcPr>
            <w:tcW w:w="3944" w:type="pct"/>
            <w:tcBorders>
              <w:left w:val="single" w:sz="18" w:space="0" w:color="auto"/>
              <w:right w:val="single" w:sz="18" w:space="0" w:color="auto"/>
            </w:tcBorders>
            <w:shd w:val="clear" w:color="auto" w:fill="FFFFFF"/>
            <w:tcMar>
              <w:top w:w="30" w:type="dxa"/>
              <w:left w:w="45" w:type="dxa"/>
              <w:bottom w:w="30" w:type="dxa"/>
              <w:right w:w="45" w:type="dxa"/>
            </w:tcMar>
            <w:hideMark/>
          </w:tcPr>
          <w:p w14:paraId="7B7E536B" w14:textId="77777777" w:rsidR="009730F0" w:rsidRPr="009730F0" w:rsidRDefault="009730F0" w:rsidP="009730F0">
            <w:pPr>
              <w:ind w:left="144"/>
              <w:jc w:val="both"/>
              <w:rPr>
                <w:rFonts w:eastAsia="Calibri"/>
                <w:sz w:val="20"/>
                <w:szCs w:val="20"/>
              </w:rPr>
            </w:pPr>
            <w:r w:rsidRPr="009730F0">
              <w:rPr>
                <w:rFonts w:eastAsia="Calibri"/>
                <w:sz w:val="20"/>
                <w:szCs w:val="20"/>
              </w:rPr>
              <w:t>I use it 1-2 days per week</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38532D74" w14:textId="77777777" w:rsidR="009730F0" w:rsidRPr="009730F0" w:rsidRDefault="009730F0" w:rsidP="009730F0">
            <w:pPr>
              <w:jc w:val="center"/>
              <w:rPr>
                <w:rFonts w:eastAsia="Calibri"/>
                <w:sz w:val="20"/>
                <w:szCs w:val="20"/>
              </w:rPr>
            </w:pPr>
            <w:r w:rsidRPr="009730F0">
              <w:rPr>
                <w:rFonts w:eastAsia="Calibri"/>
                <w:sz w:val="20"/>
                <w:szCs w:val="20"/>
              </w:rPr>
              <w:t>602</w:t>
            </w:r>
          </w:p>
        </w:tc>
        <w:tc>
          <w:tcPr>
            <w:tcW w:w="528" w:type="pct"/>
            <w:tcBorders>
              <w:left w:val="single" w:sz="18" w:space="0" w:color="auto"/>
              <w:right w:val="single" w:sz="18" w:space="0" w:color="auto"/>
            </w:tcBorders>
            <w:shd w:val="clear" w:color="auto" w:fill="FFFFFF"/>
            <w:tcMar>
              <w:top w:w="30" w:type="dxa"/>
              <w:left w:w="45" w:type="dxa"/>
              <w:bottom w:w="30" w:type="dxa"/>
              <w:right w:w="45" w:type="dxa"/>
            </w:tcMar>
            <w:vAlign w:val="center"/>
            <w:hideMark/>
          </w:tcPr>
          <w:p w14:paraId="6A037F19" w14:textId="77777777" w:rsidR="009730F0" w:rsidRPr="009730F0" w:rsidRDefault="009730F0" w:rsidP="009730F0">
            <w:pPr>
              <w:jc w:val="center"/>
              <w:rPr>
                <w:rFonts w:eastAsia="Calibri"/>
                <w:sz w:val="20"/>
                <w:szCs w:val="20"/>
              </w:rPr>
            </w:pPr>
            <w:r w:rsidRPr="009730F0">
              <w:rPr>
                <w:rFonts w:eastAsia="Calibri"/>
                <w:sz w:val="20"/>
                <w:szCs w:val="20"/>
              </w:rPr>
              <w:t xml:space="preserve">  7.3</w:t>
            </w:r>
          </w:p>
        </w:tc>
      </w:tr>
      <w:tr w:rsidR="009730F0" w:rsidRPr="009730F0" w14:paraId="0D0AE4B3" w14:textId="77777777" w:rsidTr="00154678">
        <w:trPr>
          <w:trHeight w:val="20"/>
        </w:trPr>
        <w:tc>
          <w:tcPr>
            <w:tcW w:w="3944" w:type="pct"/>
            <w:tcBorders>
              <w:left w:val="single" w:sz="18" w:space="0" w:color="auto"/>
              <w:bottom w:val="double" w:sz="4" w:space="0" w:color="auto"/>
              <w:right w:val="single" w:sz="18" w:space="0" w:color="auto"/>
            </w:tcBorders>
            <w:shd w:val="clear" w:color="auto" w:fill="FFFFFF"/>
            <w:tcMar>
              <w:top w:w="30" w:type="dxa"/>
              <w:left w:w="45" w:type="dxa"/>
              <w:bottom w:w="30" w:type="dxa"/>
              <w:right w:w="45" w:type="dxa"/>
            </w:tcMar>
            <w:hideMark/>
          </w:tcPr>
          <w:p w14:paraId="7D960CDF" w14:textId="77777777" w:rsidR="009730F0" w:rsidRPr="009730F0" w:rsidRDefault="009730F0" w:rsidP="009730F0">
            <w:pPr>
              <w:ind w:left="144"/>
              <w:jc w:val="both"/>
              <w:rPr>
                <w:rFonts w:eastAsia="Calibri"/>
                <w:sz w:val="20"/>
                <w:szCs w:val="20"/>
              </w:rPr>
            </w:pPr>
            <w:r w:rsidRPr="009730F0">
              <w:rPr>
                <w:rFonts w:eastAsia="Calibri"/>
                <w:sz w:val="20"/>
                <w:szCs w:val="20"/>
              </w:rPr>
              <w:t>I use it 3 or more days per week</w:t>
            </w:r>
          </w:p>
        </w:tc>
        <w:tc>
          <w:tcPr>
            <w:tcW w:w="528" w:type="pct"/>
            <w:tcBorders>
              <w:left w:val="single" w:sz="18" w:space="0" w:color="auto"/>
              <w:bottom w:val="double" w:sz="4" w:space="0" w:color="auto"/>
              <w:right w:val="single" w:sz="18" w:space="0" w:color="auto"/>
            </w:tcBorders>
            <w:shd w:val="clear" w:color="auto" w:fill="FFFFFF"/>
            <w:tcMar>
              <w:top w:w="30" w:type="dxa"/>
              <w:left w:w="45" w:type="dxa"/>
              <w:bottom w:w="30" w:type="dxa"/>
              <w:right w:w="45" w:type="dxa"/>
            </w:tcMar>
            <w:vAlign w:val="center"/>
            <w:hideMark/>
          </w:tcPr>
          <w:p w14:paraId="0078C14D" w14:textId="77777777" w:rsidR="009730F0" w:rsidRPr="009730F0" w:rsidRDefault="009730F0" w:rsidP="009730F0">
            <w:pPr>
              <w:jc w:val="center"/>
              <w:rPr>
                <w:rFonts w:eastAsia="Calibri"/>
                <w:sz w:val="20"/>
                <w:szCs w:val="20"/>
              </w:rPr>
            </w:pPr>
            <w:r w:rsidRPr="009730F0">
              <w:rPr>
                <w:rFonts w:eastAsia="Calibri"/>
                <w:sz w:val="20"/>
                <w:szCs w:val="20"/>
              </w:rPr>
              <w:t>506</w:t>
            </w:r>
          </w:p>
        </w:tc>
        <w:tc>
          <w:tcPr>
            <w:tcW w:w="528" w:type="pct"/>
            <w:tcBorders>
              <w:left w:val="single" w:sz="18" w:space="0" w:color="auto"/>
              <w:bottom w:val="double" w:sz="4" w:space="0" w:color="auto"/>
              <w:right w:val="single" w:sz="18" w:space="0" w:color="auto"/>
            </w:tcBorders>
            <w:shd w:val="clear" w:color="auto" w:fill="FFFFFF"/>
            <w:tcMar>
              <w:top w:w="30" w:type="dxa"/>
              <w:left w:w="45" w:type="dxa"/>
              <w:bottom w:w="30" w:type="dxa"/>
              <w:right w:w="45" w:type="dxa"/>
            </w:tcMar>
            <w:vAlign w:val="center"/>
            <w:hideMark/>
          </w:tcPr>
          <w:p w14:paraId="339C44DF" w14:textId="77777777" w:rsidR="009730F0" w:rsidRPr="009730F0" w:rsidRDefault="009730F0" w:rsidP="009730F0">
            <w:pPr>
              <w:jc w:val="center"/>
              <w:rPr>
                <w:rFonts w:eastAsia="Calibri"/>
                <w:sz w:val="20"/>
                <w:szCs w:val="20"/>
              </w:rPr>
            </w:pPr>
            <w:r w:rsidRPr="009730F0">
              <w:rPr>
                <w:rFonts w:eastAsia="Calibri"/>
                <w:sz w:val="20"/>
                <w:szCs w:val="20"/>
              </w:rPr>
              <w:t xml:space="preserve">  6.1</w:t>
            </w:r>
          </w:p>
        </w:tc>
      </w:tr>
      <w:tr w:rsidR="009730F0" w:rsidRPr="009730F0" w14:paraId="3B8CD999" w14:textId="77777777" w:rsidTr="00154678">
        <w:trPr>
          <w:trHeight w:val="20"/>
        </w:trPr>
        <w:tc>
          <w:tcPr>
            <w:tcW w:w="5000" w:type="pct"/>
            <w:gridSpan w:val="3"/>
            <w:tcBorders>
              <w:top w:val="double" w:sz="4" w:space="0" w:color="auto"/>
              <w:left w:val="single" w:sz="18" w:space="0" w:color="auto"/>
              <w:bottom w:val="double" w:sz="4" w:space="0" w:color="auto"/>
              <w:right w:val="single" w:sz="18" w:space="0" w:color="auto"/>
            </w:tcBorders>
            <w:shd w:val="clear" w:color="auto" w:fill="FFFFFF"/>
            <w:tcMar>
              <w:top w:w="30" w:type="dxa"/>
              <w:left w:w="45" w:type="dxa"/>
              <w:bottom w:w="30" w:type="dxa"/>
              <w:right w:w="45" w:type="dxa"/>
            </w:tcMar>
            <w:vAlign w:val="center"/>
            <w:hideMark/>
          </w:tcPr>
          <w:p w14:paraId="75F46328" w14:textId="77777777" w:rsidR="009730F0" w:rsidRPr="009730F0" w:rsidRDefault="009730F0" w:rsidP="009730F0">
            <w:pPr>
              <w:rPr>
                <w:rFonts w:eastAsia="Calibri"/>
                <w:b/>
                <w:bCs/>
                <w:sz w:val="20"/>
                <w:szCs w:val="20"/>
              </w:rPr>
            </w:pPr>
            <w:r w:rsidRPr="009730F0">
              <w:rPr>
                <w:rFonts w:eastAsia="Calibri"/>
                <w:b/>
                <w:bCs/>
                <w:sz w:val="20"/>
                <w:szCs w:val="20"/>
              </w:rPr>
              <w:t>Self-reported transit barriers among non-transit users and infrequent users (N = 6,279)</w:t>
            </w:r>
          </w:p>
        </w:tc>
      </w:tr>
      <w:tr w:rsidR="007B2DA1" w:rsidRPr="009730F0" w14:paraId="3381D24D" w14:textId="77777777" w:rsidTr="007B2DA1">
        <w:trPr>
          <w:trHeight w:val="20"/>
        </w:trPr>
        <w:tc>
          <w:tcPr>
            <w:tcW w:w="5000" w:type="pct"/>
            <w:gridSpan w:val="3"/>
            <w:tcBorders>
              <w:left w:val="single" w:sz="18" w:space="0" w:color="auto"/>
              <w:right w:val="single" w:sz="18" w:space="0" w:color="auto"/>
            </w:tcBorders>
            <w:shd w:val="clear" w:color="auto" w:fill="FFDBC1"/>
            <w:tcMar>
              <w:top w:w="30" w:type="dxa"/>
              <w:left w:w="45" w:type="dxa"/>
              <w:bottom w:w="30" w:type="dxa"/>
              <w:right w:w="45" w:type="dxa"/>
            </w:tcMar>
          </w:tcPr>
          <w:p w14:paraId="1A907915" w14:textId="5B7372B8" w:rsidR="007B2DA1" w:rsidRPr="009730F0" w:rsidRDefault="007B2DA1" w:rsidP="007B2DA1">
            <w:pPr>
              <w:rPr>
                <w:rFonts w:eastAsia="Calibri"/>
                <w:sz w:val="20"/>
                <w:szCs w:val="20"/>
              </w:rPr>
            </w:pPr>
            <w:r>
              <w:rPr>
                <w:rFonts w:eastAsia="Calibri"/>
                <w:i/>
                <w:iCs/>
                <w:sz w:val="20"/>
                <w:szCs w:val="20"/>
              </w:rPr>
              <w:t xml:space="preserve">  </w:t>
            </w:r>
            <w:r w:rsidRPr="009730F0">
              <w:rPr>
                <w:rFonts w:eastAsia="Calibri"/>
                <w:i/>
                <w:iCs/>
                <w:sz w:val="20"/>
                <w:szCs w:val="20"/>
              </w:rPr>
              <w:t>Personal Safety Concerns</w:t>
            </w:r>
          </w:p>
        </w:tc>
      </w:tr>
      <w:tr w:rsidR="009730F0" w:rsidRPr="009730F0" w14:paraId="33498C68" w14:textId="77777777" w:rsidTr="009730F0">
        <w:trPr>
          <w:trHeight w:val="20"/>
        </w:trPr>
        <w:tc>
          <w:tcPr>
            <w:tcW w:w="3944" w:type="pct"/>
            <w:tcBorders>
              <w:left w:val="single" w:sz="18" w:space="0" w:color="auto"/>
              <w:right w:val="single" w:sz="18" w:space="0" w:color="auto"/>
            </w:tcBorders>
            <w:shd w:val="clear" w:color="auto" w:fill="FFDBC1"/>
            <w:tcMar>
              <w:top w:w="30" w:type="dxa"/>
              <w:left w:w="45" w:type="dxa"/>
              <w:bottom w:w="30" w:type="dxa"/>
              <w:right w:w="45" w:type="dxa"/>
            </w:tcMar>
            <w:hideMark/>
          </w:tcPr>
          <w:p w14:paraId="166DAC3E" w14:textId="77777777" w:rsidR="009730F0" w:rsidRPr="009730F0" w:rsidRDefault="009730F0" w:rsidP="009730F0">
            <w:pPr>
              <w:ind w:left="288"/>
              <w:jc w:val="both"/>
              <w:rPr>
                <w:rFonts w:eastAsia="Calibri"/>
                <w:sz w:val="20"/>
                <w:szCs w:val="20"/>
              </w:rPr>
            </w:pPr>
            <w:r w:rsidRPr="009730F0">
              <w:rPr>
                <w:rFonts w:eastAsia="Calibri"/>
                <w:sz w:val="20"/>
                <w:szCs w:val="20"/>
              </w:rPr>
              <w:t>Unpredictable or threatening behavior of other passengers</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087578F4" w14:textId="77777777" w:rsidR="009730F0" w:rsidRPr="009730F0" w:rsidRDefault="009730F0" w:rsidP="009730F0">
            <w:pPr>
              <w:jc w:val="center"/>
              <w:rPr>
                <w:rFonts w:eastAsia="Calibri"/>
                <w:sz w:val="20"/>
                <w:szCs w:val="20"/>
              </w:rPr>
            </w:pPr>
            <w:r w:rsidRPr="009730F0">
              <w:rPr>
                <w:rFonts w:eastAsia="Calibri"/>
                <w:sz w:val="20"/>
                <w:szCs w:val="20"/>
              </w:rPr>
              <w:t>1,229</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1DADE57C" w14:textId="77777777" w:rsidR="009730F0" w:rsidRPr="009730F0" w:rsidRDefault="009730F0" w:rsidP="009730F0">
            <w:pPr>
              <w:jc w:val="center"/>
              <w:rPr>
                <w:rFonts w:eastAsia="Calibri"/>
                <w:sz w:val="20"/>
                <w:szCs w:val="20"/>
              </w:rPr>
            </w:pPr>
            <w:r w:rsidRPr="009730F0">
              <w:rPr>
                <w:rFonts w:eastAsia="Calibri"/>
                <w:sz w:val="20"/>
                <w:szCs w:val="20"/>
              </w:rPr>
              <w:t>19.6</w:t>
            </w:r>
          </w:p>
        </w:tc>
      </w:tr>
      <w:tr w:rsidR="009730F0" w:rsidRPr="009730F0" w14:paraId="19497016" w14:textId="77777777" w:rsidTr="009730F0">
        <w:trPr>
          <w:trHeight w:val="20"/>
        </w:trPr>
        <w:tc>
          <w:tcPr>
            <w:tcW w:w="3944" w:type="pct"/>
            <w:tcBorders>
              <w:left w:val="single" w:sz="18" w:space="0" w:color="auto"/>
              <w:right w:val="single" w:sz="18" w:space="0" w:color="auto"/>
            </w:tcBorders>
            <w:shd w:val="clear" w:color="auto" w:fill="FFDBC1"/>
            <w:tcMar>
              <w:top w:w="30" w:type="dxa"/>
              <w:left w:w="45" w:type="dxa"/>
              <w:bottom w:w="30" w:type="dxa"/>
              <w:right w:w="45" w:type="dxa"/>
            </w:tcMar>
            <w:hideMark/>
          </w:tcPr>
          <w:p w14:paraId="279C3AC3" w14:textId="77777777" w:rsidR="009730F0" w:rsidRPr="009730F0" w:rsidRDefault="009730F0" w:rsidP="009730F0">
            <w:pPr>
              <w:ind w:left="288"/>
              <w:jc w:val="both"/>
              <w:rPr>
                <w:rFonts w:eastAsia="Calibri"/>
                <w:sz w:val="20"/>
                <w:szCs w:val="20"/>
              </w:rPr>
            </w:pPr>
            <w:r w:rsidRPr="009730F0">
              <w:rPr>
                <w:rFonts w:eastAsia="Calibri"/>
                <w:sz w:val="20"/>
                <w:szCs w:val="20"/>
              </w:rPr>
              <w:t>Risk of theft</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2F872189" w14:textId="77777777" w:rsidR="009730F0" w:rsidRPr="009730F0" w:rsidRDefault="009730F0" w:rsidP="009730F0">
            <w:pPr>
              <w:jc w:val="center"/>
              <w:rPr>
                <w:rFonts w:eastAsia="Calibri"/>
                <w:sz w:val="20"/>
                <w:szCs w:val="20"/>
              </w:rPr>
            </w:pPr>
            <w:r w:rsidRPr="009730F0">
              <w:rPr>
                <w:rFonts w:eastAsia="Calibri"/>
                <w:sz w:val="20"/>
                <w:szCs w:val="20"/>
              </w:rPr>
              <w:t xml:space="preserve">  753</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6E1E3E50" w14:textId="77777777" w:rsidR="009730F0" w:rsidRPr="009730F0" w:rsidRDefault="009730F0" w:rsidP="009730F0">
            <w:pPr>
              <w:jc w:val="center"/>
              <w:rPr>
                <w:rFonts w:eastAsia="Calibri"/>
                <w:sz w:val="20"/>
                <w:szCs w:val="20"/>
              </w:rPr>
            </w:pPr>
            <w:r w:rsidRPr="009730F0">
              <w:rPr>
                <w:rFonts w:eastAsia="Calibri"/>
                <w:sz w:val="20"/>
                <w:szCs w:val="20"/>
              </w:rPr>
              <w:t>12.0</w:t>
            </w:r>
          </w:p>
        </w:tc>
      </w:tr>
      <w:tr w:rsidR="009730F0" w:rsidRPr="009730F0" w14:paraId="261DC708" w14:textId="77777777" w:rsidTr="009730F0">
        <w:trPr>
          <w:trHeight w:val="20"/>
        </w:trPr>
        <w:tc>
          <w:tcPr>
            <w:tcW w:w="3944" w:type="pct"/>
            <w:tcBorders>
              <w:left w:val="single" w:sz="18" w:space="0" w:color="auto"/>
              <w:right w:val="single" w:sz="18" w:space="0" w:color="auto"/>
            </w:tcBorders>
            <w:shd w:val="clear" w:color="auto" w:fill="FFDBC1"/>
            <w:tcMar>
              <w:top w:w="30" w:type="dxa"/>
              <w:left w:w="45" w:type="dxa"/>
              <w:bottom w:w="30" w:type="dxa"/>
              <w:right w:w="45" w:type="dxa"/>
            </w:tcMar>
            <w:hideMark/>
          </w:tcPr>
          <w:p w14:paraId="315DBA8F" w14:textId="77777777" w:rsidR="009730F0" w:rsidRPr="009730F0" w:rsidRDefault="009730F0" w:rsidP="009730F0">
            <w:pPr>
              <w:ind w:left="288"/>
              <w:jc w:val="both"/>
              <w:rPr>
                <w:rFonts w:eastAsia="Calibri"/>
                <w:sz w:val="20"/>
                <w:szCs w:val="20"/>
              </w:rPr>
            </w:pPr>
            <w:r w:rsidRPr="009730F0">
              <w:rPr>
                <w:rFonts w:eastAsia="Calibri"/>
                <w:sz w:val="20"/>
                <w:szCs w:val="20"/>
              </w:rPr>
              <w:t>Concerns about interactions with law enforcement or security officers</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73CACD1F" w14:textId="77777777" w:rsidR="009730F0" w:rsidRPr="009730F0" w:rsidRDefault="009730F0" w:rsidP="009730F0">
            <w:pPr>
              <w:jc w:val="center"/>
              <w:rPr>
                <w:rFonts w:eastAsia="Calibri"/>
                <w:sz w:val="20"/>
                <w:szCs w:val="20"/>
              </w:rPr>
            </w:pPr>
            <w:r w:rsidRPr="009730F0">
              <w:rPr>
                <w:rFonts w:eastAsia="Calibri"/>
                <w:sz w:val="20"/>
                <w:szCs w:val="20"/>
              </w:rPr>
              <w:t xml:space="preserve">  261</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462C21E9" w14:textId="77777777" w:rsidR="009730F0" w:rsidRPr="009730F0" w:rsidRDefault="009730F0" w:rsidP="009730F0">
            <w:pPr>
              <w:jc w:val="center"/>
              <w:rPr>
                <w:rFonts w:eastAsia="Calibri"/>
                <w:sz w:val="20"/>
                <w:szCs w:val="20"/>
              </w:rPr>
            </w:pPr>
            <w:r w:rsidRPr="009730F0">
              <w:rPr>
                <w:rFonts w:eastAsia="Calibri"/>
                <w:sz w:val="20"/>
                <w:szCs w:val="20"/>
              </w:rPr>
              <w:t xml:space="preserve">  4.2</w:t>
            </w:r>
          </w:p>
        </w:tc>
      </w:tr>
      <w:tr w:rsidR="009730F0" w:rsidRPr="009730F0" w14:paraId="2F766A3D" w14:textId="77777777" w:rsidTr="009730F0">
        <w:trPr>
          <w:trHeight w:val="20"/>
        </w:trPr>
        <w:tc>
          <w:tcPr>
            <w:tcW w:w="3944" w:type="pct"/>
            <w:tcBorders>
              <w:left w:val="single" w:sz="18" w:space="0" w:color="auto"/>
              <w:right w:val="single" w:sz="18" w:space="0" w:color="auto"/>
            </w:tcBorders>
            <w:shd w:val="clear" w:color="auto" w:fill="FFDBC1"/>
            <w:tcMar>
              <w:top w:w="30" w:type="dxa"/>
              <w:left w:w="45" w:type="dxa"/>
              <w:bottom w:w="30" w:type="dxa"/>
              <w:right w:w="45" w:type="dxa"/>
            </w:tcMar>
            <w:hideMark/>
          </w:tcPr>
          <w:p w14:paraId="5F693A26" w14:textId="77777777" w:rsidR="009730F0" w:rsidRPr="009730F0" w:rsidRDefault="009730F0" w:rsidP="009730F0">
            <w:pPr>
              <w:ind w:left="288"/>
              <w:jc w:val="both"/>
              <w:rPr>
                <w:rFonts w:eastAsia="Calibri"/>
                <w:sz w:val="20"/>
                <w:szCs w:val="20"/>
              </w:rPr>
            </w:pPr>
            <w:r w:rsidRPr="009730F0">
              <w:rPr>
                <w:rFonts w:eastAsia="Calibri"/>
                <w:sz w:val="20"/>
                <w:szCs w:val="20"/>
              </w:rPr>
              <w:t>Feeling unsafe walking to or from transit stops</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62E89F24" w14:textId="77777777" w:rsidR="009730F0" w:rsidRPr="009730F0" w:rsidRDefault="009730F0" w:rsidP="009730F0">
            <w:pPr>
              <w:jc w:val="center"/>
              <w:rPr>
                <w:rFonts w:eastAsia="Calibri"/>
                <w:sz w:val="20"/>
                <w:szCs w:val="20"/>
              </w:rPr>
            </w:pPr>
            <w:r w:rsidRPr="009730F0">
              <w:rPr>
                <w:rFonts w:eastAsia="Calibri"/>
                <w:sz w:val="20"/>
                <w:szCs w:val="20"/>
              </w:rPr>
              <w:t xml:space="preserve">  802</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112E1208" w14:textId="77777777" w:rsidR="009730F0" w:rsidRPr="009730F0" w:rsidRDefault="009730F0" w:rsidP="009730F0">
            <w:pPr>
              <w:jc w:val="center"/>
              <w:rPr>
                <w:rFonts w:eastAsia="Calibri"/>
                <w:sz w:val="20"/>
                <w:szCs w:val="20"/>
              </w:rPr>
            </w:pPr>
            <w:r w:rsidRPr="009730F0">
              <w:rPr>
                <w:rFonts w:eastAsia="Calibri"/>
                <w:sz w:val="20"/>
                <w:szCs w:val="20"/>
              </w:rPr>
              <w:t>12.8</w:t>
            </w:r>
          </w:p>
        </w:tc>
      </w:tr>
      <w:tr w:rsidR="009730F0" w:rsidRPr="009730F0" w14:paraId="54FB6065" w14:textId="77777777" w:rsidTr="009730F0">
        <w:trPr>
          <w:trHeight w:val="20"/>
        </w:trPr>
        <w:tc>
          <w:tcPr>
            <w:tcW w:w="3944" w:type="pct"/>
            <w:tcBorders>
              <w:left w:val="single" w:sz="18" w:space="0" w:color="auto"/>
              <w:right w:val="single" w:sz="18" w:space="0" w:color="auto"/>
            </w:tcBorders>
            <w:shd w:val="clear" w:color="auto" w:fill="FFDBC1"/>
            <w:tcMar>
              <w:top w:w="30" w:type="dxa"/>
              <w:left w:w="45" w:type="dxa"/>
              <w:bottom w:w="30" w:type="dxa"/>
              <w:right w:w="45" w:type="dxa"/>
            </w:tcMar>
            <w:hideMark/>
          </w:tcPr>
          <w:p w14:paraId="6CD67BE0" w14:textId="77777777" w:rsidR="009730F0" w:rsidRPr="009730F0" w:rsidRDefault="009730F0" w:rsidP="009730F0">
            <w:pPr>
              <w:ind w:left="288"/>
              <w:jc w:val="both"/>
              <w:rPr>
                <w:rFonts w:eastAsia="Calibri"/>
                <w:sz w:val="20"/>
                <w:szCs w:val="20"/>
              </w:rPr>
            </w:pPr>
            <w:r w:rsidRPr="009730F0">
              <w:rPr>
                <w:rFonts w:eastAsia="Calibri"/>
                <w:sz w:val="20"/>
                <w:szCs w:val="20"/>
              </w:rPr>
              <w:t>Feeling unsafe while waiting at transit stops</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7B5B38C8" w14:textId="77777777" w:rsidR="009730F0" w:rsidRPr="009730F0" w:rsidRDefault="009730F0" w:rsidP="009730F0">
            <w:pPr>
              <w:jc w:val="center"/>
              <w:rPr>
                <w:rFonts w:eastAsia="Calibri"/>
                <w:sz w:val="20"/>
                <w:szCs w:val="20"/>
              </w:rPr>
            </w:pPr>
            <w:r w:rsidRPr="009730F0">
              <w:rPr>
                <w:rFonts w:eastAsia="Calibri"/>
                <w:sz w:val="20"/>
                <w:szCs w:val="20"/>
              </w:rPr>
              <w:t xml:space="preserve">  964</w:t>
            </w:r>
          </w:p>
        </w:tc>
        <w:tc>
          <w:tcPr>
            <w:tcW w:w="528" w:type="pct"/>
            <w:tcBorders>
              <w:left w:val="single" w:sz="18" w:space="0" w:color="auto"/>
              <w:right w:val="single" w:sz="18" w:space="0" w:color="auto"/>
            </w:tcBorders>
            <w:shd w:val="clear" w:color="auto" w:fill="FFDBC1"/>
            <w:tcMar>
              <w:top w:w="30" w:type="dxa"/>
              <w:left w:w="45" w:type="dxa"/>
              <w:bottom w:w="30" w:type="dxa"/>
              <w:right w:w="45" w:type="dxa"/>
            </w:tcMar>
            <w:vAlign w:val="center"/>
            <w:hideMark/>
          </w:tcPr>
          <w:p w14:paraId="759E4CF6" w14:textId="77777777" w:rsidR="009730F0" w:rsidRPr="009730F0" w:rsidRDefault="009730F0" w:rsidP="009730F0">
            <w:pPr>
              <w:jc w:val="center"/>
              <w:rPr>
                <w:rFonts w:eastAsia="Calibri"/>
                <w:sz w:val="20"/>
                <w:szCs w:val="20"/>
              </w:rPr>
            </w:pPr>
            <w:r w:rsidRPr="009730F0">
              <w:rPr>
                <w:rFonts w:eastAsia="Calibri"/>
                <w:sz w:val="20"/>
                <w:szCs w:val="20"/>
              </w:rPr>
              <w:t>15.4</w:t>
            </w:r>
          </w:p>
        </w:tc>
      </w:tr>
      <w:tr w:rsidR="001A76F0" w:rsidRPr="009730F0" w14:paraId="2AFDF11D" w14:textId="77777777" w:rsidTr="001A76F0">
        <w:trPr>
          <w:trHeight w:val="20"/>
        </w:trPr>
        <w:tc>
          <w:tcPr>
            <w:tcW w:w="5000" w:type="pct"/>
            <w:gridSpan w:val="3"/>
            <w:tcBorders>
              <w:left w:val="single" w:sz="18" w:space="0" w:color="auto"/>
              <w:right w:val="single" w:sz="18" w:space="0" w:color="auto"/>
            </w:tcBorders>
            <w:shd w:val="clear" w:color="auto" w:fill="BBEDFF"/>
            <w:tcMar>
              <w:top w:w="30" w:type="dxa"/>
              <w:left w:w="45" w:type="dxa"/>
              <w:bottom w:w="30" w:type="dxa"/>
              <w:right w:w="45" w:type="dxa"/>
            </w:tcMar>
          </w:tcPr>
          <w:p w14:paraId="1B83D137" w14:textId="6EAF703E" w:rsidR="001A76F0" w:rsidRPr="009730F0" w:rsidRDefault="001A76F0" w:rsidP="001A76F0">
            <w:pPr>
              <w:rPr>
                <w:rFonts w:eastAsia="Calibri"/>
                <w:sz w:val="20"/>
                <w:szCs w:val="20"/>
              </w:rPr>
            </w:pPr>
            <w:r>
              <w:rPr>
                <w:rFonts w:eastAsia="Calibri"/>
                <w:i/>
                <w:iCs/>
                <w:sz w:val="20"/>
                <w:szCs w:val="20"/>
              </w:rPr>
              <w:t xml:space="preserve">  </w:t>
            </w:r>
            <w:r w:rsidRPr="009730F0">
              <w:rPr>
                <w:rFonts w:eastAsia="Calibri"/>
                <w:i/>
                <w:iCs/>
                <w:sz w:val="20"/>
                <w:szCs w:val="20"/>
              </w:rPr>
              <w:t xml:space="preserve">Comfort/Conditions </w:t>
            </w:r>
            <w:proofErr w:type="gramStart"/>
            <w:r w:rsidRPr="009730F0">
              <w:rPr>
                <w:rFonts w:eastAsia="Calibri"/>
                <w:i/>
                <w:iCs/>
                <w:sz w:val="20"/>
                <w:szCs w:val="20"/>
              </w:rPr>
              <w:t>On-Board</w:t>
            </w:r>
            <w:proofErr w:type="gramEnd"/>
          </w:p>
        </w:tc>
      </w:tr>
      <w:tr w:rsidR="009730F0" w:rsidRPr="009730F0" w14:paraId="51AF39D6" w14:textId="77777777" w:rsidTr="009730F0">
        <w:trPr>
          <w:trHeight w:val="20"/>
        </w:trPr>
        <w:tc>
          <w:tcPr>
            <w:tcW w:w="3944" w:type="pct"/>
            <w:tcBorders>
              <w:left w:val="single" w:sz="18" w:space="0" w:color="auto"/>
              <w:right w:val="single" w:sz="18" w:space="0" w:color="auto"/>
            </w:tcBorders>
            <w:shd w:val="clear" w:color="auto" w:fill="BBEDFF"/>
            <w:tcMar>
              <w:top w:w="30" w:type="dxa"/>
              <w:left w:w="45" w:type="dxa"/>
              <w:bottom w:w="30" w:type="dxa"/>
              <w:right w:w="45" w:type="dxa"/>
            </w:tcMar>
            <w:hideMark/>
          </w:tcPr>
          <w:p w14:paraId="6B17BFF9" w14:textId="77777777" w:rsidR="009730F0" w:rsidRPr="009730F0" w:rsidRDefault="009730F0" w:rsidP="009730F0">
            <w:pPr>
              <w:ind w:left="288"/>
              <w:jc w:val="both"/>
              <w:rPr>
                <w:rFonts w:eastAsia="Calibri"/>
                <w:sz w:val="20"/>
                <w:szCs w:val="20"/>
              </w:rPr>
            </w:pPr>
            <w:r w:rsidRPr="009730F0">
              <w:rPr>
                <w:rFonts w:eastAsia="Calibri"/>
                <w:sz w:val="20"/>
                <w:szCs w:val="20"/>
              </w:rPr>
              <w:t>Dirty or unsanitary conditions on transit vehicles or at stops</w:t>
            </w:r>
          </w:p>
        </w:tc>
        <w:tc>
          <w:tcPr>
            <w:tcW w:w="528" w:type="pct"/>
            <w:tcBorders>
              <w:left w:val="single" w:sz="18" w:space="0" w:color="auto"/>
              <w:right w:val="single" w:sz="18" w:space="0" w:color="auto"/>
            </w:tcBorders>
            <w:shd w:val="clear" w:color="auto" w:fill="BBEDFF"/>
            <w:tcMar>
              <w:top w:w="30" w:type="dxa"/>
              <w:left w:w="45" w:type="dxa"/>
              <w:bottom w:w="30" w:type="dxa"/>
              <w:right w:w="45" w:type="dxa"/>
            </w:tcMar>
            <w:vAlign w:val="center"/>
            <w:hideMark/>
          </w:tcPr>
          <w:p w14:paraId="092C9684" w14:textId="77777777" w:rsidR="009730F0" w:rsidRPr="009730F0" w:rsidRDefault="009730F0" w:rsidP="009730F0">
            <w:pPr>
              <w:jc w:val="center"/>
              <w:rPr>
                <w:rFonts w:eastAsia="Calibri"/>
                <w:sz w:val="20"/>
                <w:szCs w:val="20"/>
              </w:rPr>
            </w:pPr>
            <w:r w:rsidRPr="009730F0">
              <w:rPr>
                <w:rFonts w:eastAsia="Calibri"/>
                <w:sz w:val="20"/>
                <w:szCs w:val="20"/>
              </w:rPr>
              <w:t>1,212</w:t>
            </w:r>
          </w:p>
        </w:tc>
        <w:tc>
          <w:tcPr>
            <w:tcW w:w="528" w:type="pct"/>
            <w:tcBorders>
              <w:left w:val="single" w:sz="18" w:space="0" w:color="auto"/>
              <w:right w:val="single" w:sz="18" w:space="0" w:color="auto"/>
            </w:tcBorders>
            <w:shd w:val="clear" w:color="auto" w:fill="BBEDFF"/>
            <w:tcMar>
              <w:top w:w="30" w:type="dxa"/>
              <w:left w:w="45" w:type="dxa"/>
              <w:bottom w:w="30" w:type="dxa"/>
              <w:right w:w="45" w:type="dxa"/>
            </w:tcMar>
            <w:vAlign w:val="center"/>
            <w:hideMark/>
          </w:tcPr>
          <w:p w14:paraId="0E96FE87" w14:textId="77777777" w:rsidR="009730F0" w:rsidRPr="009730F0" w:rsidRDefault="009730F0" w:rsidP="009730F0">
            <w:pPr>
              <w:jc w:val="center"/>
              <w:rPr>
                <w:rFonts w:eastAsia="Calibri"/>
                <w:sz w:val="20"/>
                <w:szCs w:val="20"/>
              </w:rPr>
            </w:pPr>
            <w:r w:rsidRPr="009730F0">
              <w:rPr>
                <w:rFonts w:eastAsia="Calibri"/>
                <w:sz w:val="20"/>
                <w:szCs w:val="20"/>
              </w:rPr>
              <w:t>19.3</w:t>
            </w:r>
          </w:p>
        </w:tc>
      </w:tr>
      <w:tr w:rsidR="009730F0" w:rsidRPr="009730F0" w14:paraId="703B6D7A" w14:textId="77777777" w:rsidTr="009730F0">
        <w:trPr>
          <w:trHeight w:val="20"/>
        </w:trPr>
        <w:tc>
          <w:tcPr>
            <w:tcW w:w="3944" w:type="pct"/>
            <w:tcBorders>
              <w:left w:val="single" w:sz="18" w:space="0" w:color="auto"/>
              <w:right w:val="single" w:sz="18" w:space="0" w:color="auto"/>
            </w:tcBorders>
            <w:shd w:val="clear" w:color="auto" w:fill="BBEDFF"/>
            <w:tcMar>
              <w:top w:w="30" w:type="dxa"/>
              <w:left w:w="45" w:type="dxa"/>
              <w:bottom w:w="30" w:type="dxa"/>
              <w:right w:w="45" w:type="dxa"/>
            </w:tcMar>
            <w:hideMark/>
          </w:tcPr>
          <w:p w14:paraId="4A4ABACE" w14:textId="77777777" w:rsidR="009730F0" w:rsidRPr="009730F0" w:rsidRDefault="009730F0" w:rsidP="009730F0">
            <w:pPr>
              <w:ind w:left="288"/>
              <w:jc w:val="both"/>
              <w:rPr>
                <w:rFonts w:eastAsia="Calibri"/>
                <w:sz w:val="20"/>
                <w:szCs w:val="20"/>
              </w:rPr>
            </w:pPr>
            <w:r w:rsidRPr="009730F0">
              <w:rPr>
                <w:rFonts w:eastAsia="Calibri"/>
                <w:sz w:val="20"/>
                <w:szCs w:val="20"/>
              </w:rPr>
              <w:t>Fear of falling due to rapid acceleration or lack of seating</w:t>
            </w:r>
          </w:p>
        </w:tc>
        <w:tc>
          <w:tcPr>
            <w:tcW w:w="528" w:type="pct"/>
            <w:tcBorders>
              <w:left w:val="single" w:sz="18" w:space="0" w:color="auto"/>
              <w:right w:val="single" w:sz="18" w:space="0" w:color="auto"/>
            </w:tcBorders>
            <w:shd w:val="clear" w:color="auto" w:fill="BBEDFF"/>
            <w:tcMar>
              <w:top w:w="30" w:type="dxa"/>
              <w:left w:w="45" w:type="dxa"/>
              <w:bottom w:w="30" w:type="dxa"/>
              <w:right w:w="45" w:type="dxa"/>
            </w:tcMar>
            <w:vAlign w:val="center"/>
            <w:hideMark/>
          </w:tcPr>
          <w:p w14:paraId="2FED588A" w14:textId="77777777" w:rsidR="009730F0" w:rsidRPr="009730F0" w:rsidRDefault="009730F0" w:rsidP="009730F0">
            <w:pPr>
              <w:jc w:val="center"/>
              <w:rPr>
                <w:rFonts w:eastAsia="Calibri"/>
                <w:sz w:val="20"/>
                <w:szCs w:val="20"/>
              </w:rPr>
            </w:pPr>
            <w:r w:rsidRPr="009730F0">
              <w:rPr>
                <w:rFonts w:eastAsia="Calibri"/>
                <w:sz w:val="20"/>
                <w:szCs w:val="20"/>
              </w:rPr>
              <w:t xml:space="preserve">  422</w:t>
            </w:r>
          </w:p>
        </w:tc>
        <w:tc>
          <w:tcPr>
            <w:tcW w:w="528" w:type="pct"/>
            <w:tcBorders>
              <w:left w:val="single" w:sz="18" w:space="0" w:color="auto"/>
              <w:right w:val="single" w:sz="18" w:space="0" w:color="auto"/>
            </w:tcBorders>
            <w:shd w:val="clear" w:color="auto" w:fill="BBEDFF"/>
            <w:tcMar>
              <w:top w:w="30" w:type="dxa"/>
              <w:left w:w="45" w:type="dxa"/>
              <w:bottom w:w="30" w:type="dxa"/>
              <w:right w:w="45" w:type="dxa"/>
            </w:tcMar>
            <w:vAlign w:val="center"/>
            <w:hideMark/>
          </w:tcPr>
          <w:p w14:paraId="3F6A6898" w14:textId="77777777" w:rsidR="009730F0" w:rsidRPr="009730F0" w:rsidRDefault="009730F0" w:rsidP="009730F0">
            <w:pPr>
              <w:jc w:val="center"/>
              <w:rPr>
                <w:rFonts w:eastAsia="Calibri"/>
                <w:sz w:val="20"/>
                <w:szCs w:val="20"/>
              </w:rPr>
            </w:pPr>
            <w:r w:rsidRPr="009730F0">
              <w:rPr>
                <w:rFonts w:eastAsia="Calibri"/>
                <w:sz w:val="20"/>
                <w:szCs w:val="20"/>
              </w:rPr>
              <w:t xml:space="preserve">  6.7</w:t>
            </w:r>
          </w:p>
        </w:tc>
      </w:tr>
      <w:tr w:rsidR="001A76F0" w:rsidRPr="009730F0" w14:paraId="2ED2299B" w14:textId="77777777" w:rsidTr="001A76F0">
        <w:trPr>
          <w:trHeight w:val="20"/>
        </w:trPr>
        <w:tc>
          <w:tcPr>
            <w:tcW w:w="5000" w:type="pct"/>
            <w:gridSpan w:val="3"/>
            <w:tcBorders>
              <w:left w:val="single" w:sz="18" w:space="0" w:color="auto"/>
              <w:right w:val="single" w:sz="18" w:space="0" w:color="auto"/>
            </w:tcBorders>
            <w:shd w:val="clear" w:color="auto" w:fill="FDDBDB"/>
            <w:tcMar>
              <w:top w:w="30" w:type="dxa"/>
              <w:left w:w="45" w:type="dxa"/>
              <w:bottom w:w="30" w:type="dxa"/>
              <w:right w:w="45" w:type="dxa"/>
            </w:tcMar>
          </w:tcPr>
          <w:p w14:paraId="7F605CB9" w14:textId="6F1F5076" w:rsidR="001A76F0" w:rsidRPr="009730F0" w:rsidRDefault="001A76F0" w:rsidP="001A76F0">
            <w:pPr>
              <w:rPr>
                <w:rFonts w:eastAsia="Calibri"/>
                <w:sz w:val="20"/>
                <w:szCs w:val="20"/>
              </w:rPr>
            </w:pPr>
            <w:r>
              <w:rPr>
                <w:rFonts w:eastAsia="Calibri"/>
                <w:i/>
                <w:iCs/>
                <w:sz w:val="20"/>
                <w:szCs w:val="20"/>
              </w:rPr>
              <w:t xml:space="preserve">  </w:t>
            </w:r>
            <w:r w:rsidRPr="009730F0">
              <w:rPr>
                <w:rFonts w:eastAsia="Calibri"/>
                <w:i/>
                <w:iCs/>
                <w:sz w:val="20"/>
                <w:szCs w:val="20"/>
              </w:rPr>
              <w:t>Service Availability</w:t>
            </w:r>
          </w:p>
        </w:tc>
      </w:tr>
      <w:tr w:rsidR="009730F0" w:rsidRPr="009730F0" w14:paraId="170D854A" w14:textId="77777777" w:rsidTr="009730F0">
        <w:trPr>
          <w:trHeight w:val="20"/>
        </w:trPr>
        <w:tc>
          <w:tcPr>
            <w:tcW w:w="3944" w:type="pct"/>
            <w:tcBorders>
              <w:left w:val="single" w:sz="18" w:space="0" w:color="auto"/>
              <w:right w:val="single" w:sz="18" w:space="0" w:color="auto"/>
            </w:tcBorders>
            <w:shd w:val="clear" w:color="auto" w:fill="FDDBDB"/>
            <w:tcMar>
              <w:top w:w="30" w:type="dxa"/>
              <w:left w:w="45" w:type="dxa"/>
              <w:bottom w:w="30" w:type="dxa"/>
              <w:right w:w="45" w:type="dxa"/>
            </w:tcMar>
            <w:hideMark/>
          </w:tcPr>
          <w:p w14:paraId="4F92F7A6" w14:textId="77777777" w:rsidR="009730F0" w:rsidRPr="009730F0" w:rsidRDefault="009730F0" w:rsidP="009730F0">
            <w:pPr>
              <w:ind w:left="288"/>
              <w:jc w:val="both"/>
              <w:rPr>
                <w:rFonts w:eastAsia="Calibri"/>
                <w:sz w:val="20"/>
                <w:szCs w:val="20"/>
              </w:rPr>
            </w:pPr>
            <w:r w:rsidRPr="009730F0">
              <w:rPr>
                <w:rFonts w:eastAsia="Calibri"/>
                <w:sz w:val="20"/>
                <w:szCs w:val="20"/>
              </w:rPr>
              <w:t>Public transportation is not available near where I live</w:t>
            </w:r>
          </w:p>
        </w:tc>
        <w:tc>
          <w:tcPr>
            <w:tcW w:w="528" w:type="pct"/>
            <w:tcBorders>
              <w:left w:val="single" w:sz="18" w:space="0" w:color="auto"/>
              <w:right w:val="single" w:sz="18" w:space="0" w:color="auto"/>
            </w:tcBorders>
            <w:shd w:val="clear" w:color="auto" w:fill="FDDBDB"/>
            <w:tcMar>
              <w:top w:w="30" w:type="dxa"/>
              <w:left w:w="45" w:type="dxa"/>
              <w:bottom w:w="30" w:type="dxa"/>
              <w:right w:w="45" w:type="dxa"/>
            </w:tcMar>
            <w:vAlign w:val="center"/>
            <w:hideMark/>
          </w:tcPr>
          <w:p w14:paraId="54337B10" w14:textId="77777777" w:rsidR="009730F0" w:rsidRPr="009730F0" w:rsidRDefault="009730F0" w:rsidP="009730F0">
            <w:pPr>
              <w:jc w:val="center"/>
              <w:rPr>
                <w:rFonts w:eastAsia="Calibri"/>
                <w:sz w:val="20"/>
                <w:szCs w:val="20"/>
              </w:rPr>
            </w:pPr>
            <w:r w:rsidRPr="009730F0">
              <w:rPr>
                <w:rFonts w:eastAsia="Calibri"/>
                <w:sz w:val="20"/>
                <w:szCs w:val="20"/>
              </w:rPr>
              <w:t>1,931</w:t>
            </w:r>
          </w:p>
        </w:tc>
        <w:tc>
          <w:tcPr>
            <w:tcW w:w="528" w:type="pct"/>
            <w:tcBorders>
              <w:left w:val="single" w:sz="18" w:space="0" w:color="auto"/>
              <w:right w:val="single" w:sz="18" w:space="0" w:color="auto"/>
            </w:tcBorders>
            <w:shd w:val="clear" w:color="auto" w:fill="FDDBDB"/>
            <w:tcMar>
              <w:top w:w="30" w:type="dxa"/>
              <w:left w:w="45" w:type="dxa"/>
              <w:bottom w:w="30" w:type="dxa"/>
              <w:right w:w="45" w:type="dxa"/>
            </w:tcMar>
            <w:vAlign w:val="center"/>
            <w:hideMark/>
          </w:tcPr>
          <w:p w14:paraId="5604F3E5" w14:textId="77777777" w:rsidR="009730F0" w:rsidRPr="009730F0" w:rsidRDefault="009730F0" w:rsidP="009730F0">
            <w:pPr>
              <w:jc w:val="center"/>
              <w:rPr>
                <w:rFonts w:eastAsia="Calibri"/>
                <w:sz w:val="20"/>
                <w:szCs w:val="20"/>
              </w:rPr>
            </w:pPr>
            <w:r w:rsidRPr="009730F0">
              <w:rPr>
                <w:rFonts w:eastAsia="Calibri"/>
                <w:sz w:val="20"/>
                <w:szCs w:val="20"/>
              </w:rPr>
              <w:t>30.8</w:t>
            </w:r>
          </w:p>
        </w:tc>
      </w:tr>
      <w:tr w:rsidR="009730F0" w:rsidRPr="009730F0" w14:paraId="07AD94CE" w14:textId="77777777" w:rsidTr="009730F0">
        <w:trPr>
          <w:trHeight w:val="20"/>
        </w:trPr>
        <w:tc>
          <w:tcPr>
            <w:tcW w:w="3944" w:type="pct"/>
            <w:tcBorders>
              <w:left w:val="single" w:sz="18" w:space="0" w:color="auto"/>
              <w:bottom w:val="single" w:sz="18" w:space="0" w:color="auto"/>
              <w:right w:val="single" w:sz="18" w:space="0" w:color="auto"/>
            </w:tcBorders>
            <w:shd w:val="clear" w:color="auto" w:fill="FDDBDB"/>
            <w:tcMar>
              <w:top w:w="30" w:type="dxa"/>
              <w:left w:w="45" w:type="dxa"/>
              <w:bottom w:w="30" w:type="dxa"/>
              <w:right w:w="45" w:type="dxa"/>
            </w:tcMar>
            <w:hideMark/>
          </w:tcPr>
          <w:p w14:paraId="7CBF2D57" w14:textId="77777777" w:rsidR="009730F0" w:rsidRPr="009730F0" w:rsidRDefault="009730F0" w:rsidP="009730F0">
            <w:pPr>
              <w:ind w:left="288"/>
              <w:jc w:val="both"/>
              <w:rPr>
                <w:rFonts w:eastAsia="Calibri"/>
                <w:sz w:val="20"/>
                <w:szCs w:val="20"/>
              </w:rPr>
            </w:pPr>
            <w:r w:rsidRPr="009730F0">
              <w:rPr>
                <w:rFonts w:eastAsia="Calibri"/>
                <w:sz w:val="20"/>
                <w:szCs w:val="20"/>
              </w:rPr>
              <w:t>Public transportation is not available to reach my destinations</w:t>
            </w:r>
          </w:p>
        </w:tc>
        <w:tc>
          <w:tcPr>
            <w:tcW w:w="528" w:type="pct"/>
            <w:tcBorders>
              <w:left w:val="single" w:sz="18" w:space="0" w:color="auto"/>
              <w:bottom w:val="single" w:sz="18" w:space="0" w:color="auto"/>
              <w:right w:val="single" w:sz="18" w:space="0" w:color="auto"/>
            </w:tcBorders>
            <w:shd w:val="clear" w:color="auto" w:fill="FDDBDB"/>
            <w:tcMar>
              <w:top w:w="30" w:type="dxa"/>
              <w:left w:w="45" w:type="dxa"/>
              <w:bottom w:w="30" w:type="dxa"/>
              <w:right w:w="45" w:type="dxa"/>
            </w:tcMar>
            <w:vAlign w:val="center"/>
            <w:hideMark/>
          </w:tcPr>
          <w:p w14:paraId="4D3B4B0E" w14:textId="77777777" w:rsidR="009730F0" w:rsidRPr="009730F0" w:rsidRDefault="009730F0" w:rsidP="009730F0">
            <w:pPr>
              <w:jc w:val="center"/>
              <w:rPr>
                <w:rFonts w:eastAsia="Calibri"/>
                <w:sz w:val="20"/>
                <w:szCs w:val="20"/>
              </w:rPr>
            </w:pPr>
            <w:r w:rsidRPr="009730F0">
              <w:rPr>
                <w:rFonts w:eastAsia="Calibri"/>
                <w:sz w:val="20"/>
                <w:szCs w:val="20"/>
              </w:rPr>
              <w:t>1,597</w:t>
            </w:r>
          </w:p>
        </w:tc>
        <w:tc>
          <w:tcPr>
            <w:tcW w:w="528" w:type="pct"/>
            <w:tcBorders>
              <w:left w:val="single" w:sz="18" w:space="0" w:color="auto"/>
              <w:bottom w:val="single" w:sz="18" w:space="0" w:color="auto"/>
              <w:right w:val="single" w:sz="18" w:space="0" w:color="auto"/>
            </w:tcBorders>
            <w:shd w:val="clear" w:color="auto" w:fill="FDDBDB"/>
            <w:tcMar>
              <w:top w:w="30" w:type="dxa"/>
              <w:left w:w="45" w:type="dxa"/>
              <w:bottom w:w="30" w:type="dxa"/>
              <w:right w:w="45" w:type="dxa"/>
            </w:tcMar>
            <w:vAlign w:val="center"/>
            <w:hideMark/>
          </w:tcPr>
          <w:p w14:paraId="76BB3A04" w14:textId="77777777" w:rsidR="009730F0" w:rsidRPr="009730F0" w:rsidRDefault="009730F0" w:rsidP="009730F0">
            <w:pPr>
              <w:jc w:val="center"/>
              <w:rPr>
                <w:rFonts w:eastAsia="Calibri"/>
                <w:sz w:val="20"/>
                <w:szCs w:val="20"/>
              </w:rPr>
            </w:pPr>
            <w:r w:rsidRPr="009730F0">
              <w:rPr>
                <w:rFonts w:eastAsia="Calibri"/>
                <w:sz w:val="20"/>
                <w:szCs w:val="20"/>
              </w:rPr>
              <w:t>25.4</w:t>
            </w:r>
          </w:p>
        </w:tc>
      </w:tr>
    </w:tbl>
    <w:p w14:paraId="0EEB9B0F" w14:textId="77777777" w:rsidR="001243A0" w:rsidRDefault="001243A0" w:rsidP="001243A0">
      <w:pPr>
        <w:rPr>
          <w:rFonts w:eastAsia="Calibri"/>
          <w:sz w:val="20"/>
          <w:szCs w:val="20"/>
        </w:rPr>
      </w:pPr>
      <w:r>
        <w:rPr>
          <w:rFonts w:eastAsia="Calibri"/>
          <w:sz w:val="20"/>
          <w:szCs w:val="20"/>
        </w:rPr>
        <w:t>Note. (*) Excluded from the transit use frequency variable used in the model estimation stage.</w:t>
      </w:r>
    </w:p>
    <w:p w14:paraId="33463421" w14:textId="77777777" w:rsidR="001243A0" w:rsidRDefault="001243A0" w:rsidP="001243A0">
      <w:pPr>
        <w:rPr>
          <w:rFonts w:eastAsia="Calibri"/>
          <w:sz w:val="20"/>
          <w:szCs w:val="20"/>
        </w:rPr>
      </w:pPr>
    </w:p>
    <w:p w14:paraId="5D6158EF" w14:textId="3E2B3493" w:rsidR="00E66634" w:rsidRDefault="00E66634" w:rsidP="00E66634">
      <w:pPr>
        <w:pStyle w:val="FootnoteText"/>
        <w:ind w:firstLine="720"/>
        <w:jc w:val="both"/>
        <w:rPr>
          <w:color w:val="000000"/>
          <w:sz w:val="24"/>
          <w:szCs w:val="24"/>
        </w:rPr>
      </w:pPr>
      <w:r w:rsidRPr="003C5CA6">
        <w:rPr>
          <w:color w:val="000000"/>
          <w:sz w:val="24"/>
          <w:szCs w:val="24"/>
        </w:rPr>
        <w:t xml:space="preserve">Among the nine self-reported barriers, the two service availability items are the most frequently cited, with 30.8 percent of non- and low-frequency users reporting that public transportation is not available near where they live and 25.4 percent reporting that it is not available to reach their destinations. Personal safety concerns are also widely reported, led by unpredictable or threatening behavior of other passengers at 19.6 percent, </w:t>
      </w:r>
      <w:r w:rsidR="007E7792" w:rsidRPr="007E7792">
        <w:rPr>
          <w:color w:val="000000"/>
          <w:sz w:val="24"/>
          <w:szCs w:val="24"/>
        </w:rPr>
        <w:t>followed by feeling unsafe while waiting at transit stops at 15.4 percent, feeling unsafe walking to or from transit stops at 12.8 percent, and risk of theft at 12.0 percent</w:t>
      </w:r>
      <w:r w:rsidRPr="003C5CA6">
        <w:rPr>
          <w:color w:val="000000"/>
          <w:sz w:val="24"/>
          <w:szCs w:val="24"/>
        </w:rPr>
        <w:t xml:space="preserve">. Concerns about interactions with law enforcement or security officers are cited least often, at just 4.2 percent, suggesting that this </w:t>
      </w:r>
      <w:proofErr w:type="gramStart"/>
      <w:r w:rsidRPr="003C5CA6">
        <w:rPr>
          <w:color w:val="000000"/>
          <w:sz w:val="24"/>
          <w:szCs w:val="24"/>
        </w:rPr>
        <w:t>particular safety</w:t>
      </w:r>
      <w:proofErr w:type="gramEnd"/>
      <w:r w:rsidRPr="003C5CA6">
        <w:rPr>
          <w:color w:val="000000"/>
          <w:sz w:val="24"/>
          <w:szCs w:val="24"/>
        </w:rPr>
        <w:t xml:space="preserve"> </w:t>
      </w:r>
      <w:r w:rsidRPr="003C5CA6">
        <w:rPr>
          <w:color w:val="000000"/>
          <w:sz w:val="24"/>
          <w:szCs w:val="24"/>
        </w:rPr>
        <w:lastRenderedPageBreak/>
        <w:t>concern, while real for a meaningful minority of riders, is considerably less pervasive than concerns rooted in the behavior of fellow passengers or the physical environment surrounding transit. Within the comfort and conditions category, dirty or unsanitary conditions on transit vehicles or at stops are cited by 19.3 percent of respondents, a share comparable to the leading personal safety concern, while fear of falling due to rapid acceleration or lack of seating is cited by 6.7 percent. Taken together, these patterns suggest that service availability constraints and passenger-behavior-related safety concerns are the most pervasive barriers to transit use in the sample, while concerns tied specifically to law enforcement presence and the physical hazard of falling are comparatively less prevalent, though still meaningful for the subgroups of riders who report them.</w:t>
      </w:r>
    </w:p>
    <w:p w14:paraId="44F746BB" w14:textId="77777777" w:rsidR="00E66634" w:rsidRDefault="00E66634" w:rsidP="001243A0">
      <w:pPr>
        <w:rPr>
          <w:rFonts w:eastAsia="Calibri"/>
          <w:sz w:val="20"/>
          <w:szCs w:val="20"/>
        </w:rPr>
      </w:pPr>
    </w:p>
    <w:p w14:paraId="34DF0454" w14:textId="12AFEC6B" w:rsidR="00822E92" w:rsidRPr="008A3DED" w:rsidRDefault="001243A0" w:rsidP="00822E92">
      <w:r w:rsidRPr="006E356A">
        <w:rPr>
          <w:b/>
          <w:bCs/>
          <w:sz w:val="24"/>
          <w:szCs w:val="24"/>
        </w:rPr>
        <w:t>3.</w:t>
      </w:r>
      <w:r>
        <w:rPr>
          <w:b/>
          <w:bCs/>
          <w:sz w:val="24"/>
          <w:szCs w:val="24"/>
        </w:rPr>
        <w:t>3</w:t>
      </w:r>
      <w:r w:rsidRPr="006E356A">
        <w:rPr>
          <w:b/>
          <w:bCs/>
          <w:sz w:val="24"/>
          <w:szCs w:val="24"/>
        </w:rPr>
        <w:t xml:space="preserve"> </w:t>
      </w:r>
      <w:r w:rsidR="00822E92" w:rsidRPr="008A3DED">
        <w:rPr>
          <w:b/>
          <w:bCs/>
        </w:rPr>
        <w:t xml:space="preserve">Sample Description and Comparison by Transit </w:t>
      </w:r>
      <w:r w:rsidR="00F25AFF">
        <w:rPr>
          <w:b/>
          <w:bCs/>
        </w:rPr>
        <w:t>Access</w:t>
      </w:r>
    </w:p>
    <w:p w14:paraId="1B37ABB8" w14:textId="14FB1E25" w:rsidR="00D5681A" w:rsidRPr="00D5681A" w:rsidRDefault="00D5681A" w:rsidP="00D5681A">
      <w:pPr>
        <w:jc w:val="both"/>
        <w:rPr>
          <w:sz w:val="24"/>
          <w:szCs w:val="24"/>
        </w:rPr>
      </w:pPr>
      <w:r w:rsidRPr="00D5681A">
        <w:rPr>
          <w:sz w:val="24"/>
          <w:szCs w:val="24"/>
        </w:rPr>
        <w:t>This section profiles the analysis sample and examines whether systematic differences in socio-demographic and household characteristics distinguish respondents who report that public transit is unavailable to them from those who report that it is available to them. Table 2 compares these two groups, i.e., respondents reporting no access to transit (N = 2,388; 28.9 percent) and respondents reporting that transit is available to them (N = 5,885; 71.1 percent), across individual- and household-level attributes. In the remainder of this paper, the former group is referred to as the "</w:t>
      </w:r>
      <w:r w:rsidRPr="00D5681A">
        <w:rPr>
          <w:i/>
          <w:iCs/>
          <w:sz w:val="24"/>
          <w:szCs w:val="24"/>
        </w:rPr>
        <w:t>Without Access</w:t>
      </w:r>
      <w:r w:rsidRPr="00D5681A">
        <w:rPr>
          <w:sz w:val="24"/>
          <w:szCs w:val="24"/>
        </w:rPr>
        <w:t>" group and the latter as the "</w:t>
      </w:r>
      <w:r w:rsidRPr="00D5681A">
        <w:rPr>
          <w:i/>
          <w:iCs/>
          <w:sz w:val="24"/>
          <w:szCs w:val="24"/>
        </w:rPr>
        <w:t>With Access</w:t>
      </w:r>
      <w:r w:rsidRPr="00D5681A">
        <w:rPr>
          <w:sz w:val="24"/>
          <w:szCs w:val="24"/>
        </w:rPr>
        <w:t xml:space="preserve">" group. Because availability is self-reported, the </w:t>
      </w:r>
      <w:r w:rsidRPr="00D5681A">
        <w:rPr>
          <w:i/>
          <w:iCs/>
          <w:sz w:val="24"/>
          <w:szCs w:val="24"/>
        </w:rPr>
        <w:t>Without Access</w:t>
      </w:r>
      <w:r w:rsidRPr="00D5681A">
        <w:rPr>
          <w:sz w:val="24"/>
          <w:szCs w:val="24"/>
        </w:rPr>
        <w:t xml:space="preserve"> designation reflects </w:t>
      </w:r>
      <w:r w:rsidR="0029392F" w:rsidRPr="00D5681A">
        <w:rPr>
          <w:sz w:val="24"/>
          <w:szCs w:val="24"/>
        </w:rPr>
        <w:t>respondents’</w:t>
      </w:r>
      <w:r w:rsidRPr="00D5681A">
        <w:rPr>
          <w:sz w:val="24"/>
          <w:szCs w:val="24"/>
        </w:rPr>
        <w:t xml:space="preserve"> own perception of their transit environment rather than an objective service measure, and the </w:t>
      </w:r>
      <w:r w:rsidRPr="00D5681A">
        <w:rPr>
          <w:i/>
          <w:iCs/>
          <w:sz w:val="24"/>
          <w:szCs w:val="24"/>
        </w:rPr>
        <w:t>With Access</w:t>
      </w:r>
      <w:r w:rsidRPr="00D5681A">
        <w:rPr>
          <w:sz w:val="24"/>
          <w:szCs w:val="24"/>
        </w:rPr>
        <w:t xml:space="preserve"> group encompasses both active transit users and respondents who indicate that transit is available to them but choose to never use it.</w:t>
      </w:r>
    </w:p>
    <w:p w14:paraId="41C383AA" w14:textId="2E02E93D" w:rsidR="00D5681A" w:rsidRPr="00D5681A" w:rsidRDefault="00D5681A" w:rsidP="00D5681A">
      <w:pPr>
        <w:ind w:firstLine="720"/>
        <w:jc w:val="both"/>
        <w:rPr>
          <w:sz w:val="24"/>
          <w:szCs w:val="24"/>
        </w:rPr>
      </w:pPr>
      <w:r w:rsidRPr="00D5681A">
        <w:rPr>
          <w:sz w:val="24"/>
          <w:szCs w:val="24"/>
        </w:rPr>
        <w:t xml:space="preserve">As shown in Table 2, the characteristics that distinguish the </w:t>
      </w:r>
      <w:r w:rsidRPr="00D5681A">
        <w:rPr>
          <w:i/>
          <w:iCs/>
          <w:sz w:val="24"/>
          <w:szCs w:val="24"/>
        </w:rPr>
        <w:t>Without Access</w:t>
      </w:r>
      <w:r w:rsidRPr="00D5681A">
        <w:rPr>
          <w:sz w:val="24"/>
          <w:szCs w:val="24"/>
        </w:rPr>
        <w:t xml:space="preserve"> </w:t>
      </w:r>
      <w:proofErr w:type="gramStart"/>
      <w:r w:rsidRPr="00D5681A">
        <w:rPr>
          <w:sz w:val="24"/>
          <w:szCs w:val="24"/>
        </w:rPr>
        <w:t>group point</w:t>
      </w:r>
      <w:proofErr w:type="gramEnd"/>
      <w:r w:rsidRPr="00D5681A">
        <w:rPr>
          <w:sz w:val="24"/>
          <w:szCs w:val="24"/>
        </w:rPr>
        <w:t xml:space="preserve"> consistently to residential context and lifecycle stage rather than to any single demographic attribute considered in isolation. Respondents who report lacking access skew markedly older, with close to 39 percent aged 65 or older compared with just about a quarter among those with access, and they are considerably more likely to be retired or not employed. At the household level, this </w:t>
      </w:r>
      <w:r w:rsidRPr="00D5681A">
        <w:rPr>
          <w:i/>
          <w:iCs/>
          <w:sz w:val="24"/>
          <w:szCs w:val="24"/>
        </w:rPr>
        <w:t>Without Access</w:t>
      </w:r>
      <w:r w:rsidRPr="00D5681A">
        <w:rPr>
          <w:sz w:val="24"/>
          <w:szCs w:val="24"/>
        </w:rPr>
        <w:t xml:space="preserve"> group is more concentrated in smaller households without children present and residing in owner-occupied, single-family homes, with apartment living comparatively rare. Taken together, these traits form the demographic profile of low-density residential settings, suggesting that perceived unavailability is associated with where people live and their lifecycle stage.</w:t>
      </w:r>
    </w:p>
    <w:p w14:paraId="049EF816" w14:textId="77777777" w:rsidR="00D5681A" w:rsidRPr="00D5681A" w:rsidRDefault="00D5681A" w:rsidP="00D5681A">
      <w:pPr>
        <w:ind w:firstLine="720"/>
        <w:jc w:val="both"/>
        <w:rPr>
          <w:sz w:val="24"/>
          <w:szCs w:val="24"/>
        </w:rPr>
      </w:pPr>
      <w:r w:rsidRPr="00D5681A">
        <w:rPr>
          <w:sz w:val="24"/>
          <w:szCs w:val="24"/>
        </w:rPr>
        <w:t>Perceived unavailability also carries a discernible equity dimension, falling more heavily on populations with fewer resources to offset it. Women make up nearly 63 percent of the Without Access group, a notably higher share than among those with access. Educational attainment and household income both follow a similar gradient, with lower educational attainment and lower income households reporting a lack of transit access at noticeably higher rates than their more educated and higher-income counterparts. Limited transit availability thus tends to coincide with the very groups for whom the burden of resulting automobile dependence is likely to weigh most heavily.</w:t>
      </w:r>
    </w:p>
    <w:p w14:paraId="61A029F9" w14:textId="77777777" w:rsidR="00D5681A" w:rsidRPr="00D5681A" w:rsidRDefault="00D5681A" w:rsidP="00D5681A">
      <w:pPr>
        <w:ind w:firstLine="720"/>
        <w:jc w:val="both"/>
        <w:rPr>
          <w:sz w:val="24"/>
          <w:szCs w:val="24"/>
        </w:rPr>
      </w:pPr>
      <w:r w:rsidRPr="00D5681A">
        <w:rPr>
          <w:sz w:val="24"/>
          <w:szCs w:val="24"/>
        </w:rPr>
        <w:t xml:space="preserve">The racial and ethnic composition of the two groups reinforces the locational context narrative rather than pointing to a distinct racial disparity. Respondents in the </w:t>
      </w:r>
      <w:r w:rsidRPr="00D5681A">
        <w:rPr>
          <w:i/>
          <w:iCs/>
          <w:sz w:val="24"/>
          <w:szCs w:val="24"/>
        </w:rPr>
        <w:t>Without Access</w:t>
      </w:r>
      <w:r w:rsidRPr="00D5681A">
        <w:rPr>
          <w:sz w:val="24"/>
          <w:szCs w:val="24"/>
        </w:rPr>
        <w:t xml:space="preserve"> group are more White and non-Hispanic, while Black and Hispanic respondents, populations that concentrate more heavily in the urban areas where transit service tends to exist, are less prevalent among those reporting no access (when compared with the group having access to transit). This pattern signals the suburban and rural footprint of perceived unavailability rather than a racial </w:t>
      </w:r>
      <w:r w:rsidRPr="00D5681A">
        <w:rPr>
          <w:sz w:val="24"/>
          <w:szCs w:val="24"/>
        </w:rPr>
        <w:lastRenderedPageBreak/>
        <w:t>disparity in access per se, a distinction worth bearing in mind when interpreting model estimation results presented later in the paper.</w:t>
      </w:r>
    </w:p>
    <w:p w14:paraId="58772852" w14:textId="77777777" w:rsidR="00D5681A" w:rsidRPr="00D5681A" w:rsidRDefault="00D5681A" w:rsidP="00D5681A">
      <w:pPr>
        <w:ind w:firstLine="720"/>
        <w:jc w:val="both"/>
        <w:rPr>
          <w:sz w:val="24"/>
          <w:szCs w:val="24"/>
        </w:rPr>
      </w:pPr>
      <w:r w:rsidRPr="00D5681A">
        <w:rPr>
          <w:sz w:val="24"/>
          <w:szCs w:val="24"/>
        </w:rPr>
        <w:t xml:space="preserve">Perhaps the most intriguing pattern to emerge from Table 2 concerns vehicle ownership, precisely because of how little it differs between the two groups. One might expect the </w:t>
      </w:r>
      <w:r w:rsidRPr="00D5681A">
        <w:rPr>
          <w:i/>
          <w:iCs/>
          <w:sz w:val="24"/>
          <w:szCs w:val="24"/>
        </w:rPr>
        <w:t>Without Access</w:t>
      </w:r>
      <w:r w:rsidRPr="00D5681A">
        <w:rPr>
          <w:sz w:val="24"/>
          <w:szCs w:val="24"/>
        </w:rPr>
        <w:t xml:space="preserve"> group to show substantially higher vehicle ownership than the </w:t>
      </w:r>
      <w:r w:rsidRPr="00D5681A">
        <w:rPr>
          <w:i/>
          <w:iCs/>
          <w:sz w:val="24"/>
          <w:szCs w:val="24"/>
        </w:rPr>
        <w:t>With Access</w:t>
      </w:r>
      <w:r w:rsidRPr="00D5681A">
        <w:rPr>
          <w:sz w:val="24"/>
          <w:szCs w:val="24"/>
        </w:rPr>
        <w:t xml:space="preserve"> group, simply because those with transit access are likely situated in residential environments where multimodal options are available. Yet the two groups look remarkably similar on the vehicle ownership attribute, with the </w:t>
      </w:r>
      <w:r w:rsidRPr="00D5681A">
        <w:rPr>
          <w:i/>
          <w:iCs/>
          <w:sz w:val="24"/>
          <w:szCs w:val="24"/>
        </w:rPr>
        <w:t>Without Access</w:t>
      </w:r>
      <w:r w:rsidRPr="00D5681A">
        <w:rPr>
          <w:sz w:val="24"/>
          <w:szCs w:val="24"/>
        </w:rPr>
        <w:t xml:space="preserve"> group registering only a marginally lower zero-vehicle share (9.6 percent) than the </w:t>
      </w:r>
      <w:r w:rsidRPr="00D5681A">
        <w:rPr>
          <w:i/>
          <w:iCs/>
          <w:sz w:val="24"/>
          <w:szCs w:val="24"/>
        </w:rPr>
        <w:t>With Access</w:t>
      </w:r>
      <w:r w:rsidRPr="00D5681A">
        <w:rPr>
          <w:sz w:val="24"/>
          <w:szCs w:val="24"/>
        </w:rPr>
        <w:t xml:space="preserve"> group (11.5 percent), and comparable distributions across one-vehicle and multi-vehicle households as well. The direction of the difference is consistent with the locational context reasoning mentioned above, but the very modest magnitude of the difference is the </w:t>
      </w:r>
      <w:proofErr w:type="gramStart"/>
      <w:r w:rsidRPr="00D5681A">
        <w:rPr>
          <w:sz w:val="24"/>
          <w:szCs w:val="24"/>
        </w:rPr>
        <w:t>more</w:t>
      </w:r>
      <w:proofErr w:type="gramEnd"/>
      <w:r w:rsidRPr="00D5681A">
        <w:rPr>
          <w:sz w:val="24"/>
          <w:szCs w:val="24"/>
        </w:rPr>
        <w:t xml:space="preserve"> notable finding. It suggests that vehicle ownership in the United States has become so nearly universal that locational context, at least as captured by a broad </w:t>
      </w:r>
      <w:r w:rsidRPr="00D5681A">
        <w:rPr>
          <w:i/>
          <w:iCs/>
          <w:sz w:val="24"/>
          <w:szCs w:val="24"/>
        </w:rPr>
        <w:t xml:space="preserve">Without Access/With Access </w:t>
      </w:r>
      <w:r w:rsidRPr="00D5681A">
        <w:rPr>
          <w:sz w:val="24"/>
          <w:szCs w:val="24"/>
        </w:rPr>
        <w:t xml:space="preserve">distinction, is no longer a strong differentiator of car ownership patterns; meaningful gaps in vehicle ownership may now be confined to very niche transit-intensive markets </w:t>
      </w:r>
      <w:proofErr w:type="gramStart"/>
      <w:r w:rsidRPr="00D5681A">
        <w:rPr>
          <w:sz w:val="24"/>
          <w:szCs w:val="24"/>
        </w:rPr>
        <w:t>where</w:t>
      </w:r>
      <w:proofErr w:type="gramEnd"/>
      <w:r w:rsidRPr="00D5681A">
        <w:rPr>
          <w:sz w:val="24"/>
          <w:szCs w:val="24"/>
        </w:rPr>
        <w:t xml:space="preserve"> owning and operating/parking an automobile is onerous.</w:t>
      </w:r>
    </w:p>
    <w:p w14:paraId="7C2319F7" w14:textId="77777777" w:rsidR="00F73468" w:rsidRDefault="00F73468" w:rsidP="001243A0">
      <w:pPr>
        <w:jc w:val="both"/>
        <w:rPr>
          <w:sz w:val="24"/>
          <w:szCs w:val="24"/>
        </w:rPr>
      </w:pPr>
    </w:p>
    <w:p w14:paraId="71EDEDD7" w14:textId="1DAC8B6F" w:rsidR="00F73468" w:rsidRDefault="00AF4FEC" w:rsidP="001243A0">
      <w:pPr>
        <w:jc w:val="both"/>
        <w:rPr>
          <w:b/>
          <w:bCs/>
          <w:sz w:val="24"/>
          <w:szCs w:val="24"/>
        </w:rPr>
      </w:pPr>
      <w:r w:rsidRPr="00AF4FEC">
        <w:rPr>
          <w:b/>
          <w:bCs/>
          <w:sz w:val="24"/>
          <w:szCs w:val="24"/>
        </w:rPr>
        <w:t>T</w:t>
      </w:r>
      <w:r>
        <w:rPr>
          <w:b/>
          <w:bCs/>
          <w:sz w:val="24"/>
          <w:szCs w:val="24"/>
        </w:rPr>
        <w:t>able</w:t>
      </w:r>
      <w:r w:rsidRPr="00AF4FEC">
        <w:rPr>
          <w:b/>
          <w:bCs/>
          <w:sz w:val="24"/>
          <w:szCs w:val="24"/>
        </w:rPr>
        <w:t xml:space="preserve"> 2</w:t>
      </w:r>
      <w:r>
        <w:rPr>
          <w:b/>
          <w:bCs/>
          <w:sz w:val="24"/>
          <w:szCs w:val="24"/>
        </w:rPr>
        <w:t>.</w:t>
      </w:r>
      <w:r w:rsidRPr="00AF4FEC">
        <w:rPr>
          <w:b/>
          <w:bCs/>
          <w:sz w:val="24"/>
          <w:szCs w:val="24"/>
        </w:rPr>
        <w:t xml:space="preserve"> Socio-Demographic Characteristics by Reported Transit A</w:t>
      </w:r>
      <w:r w:rsidR="0020325F">
        <w:rPr>
          <w:b/>
          <w:bCs/>
          <w:sz w:val="24"/>
          <w:szCs w:val="24"/>
        </w:rPr>
        <w:t>ccess</w:t>
      </w:r>
      <w:r w:rsidRPr="00AF4FEC">
        <w:rPr>
          <w:b/>
          <w:bCs/>
          <w:sz w:val="24"/>
          <w:szCs w:val="24"/>
        </w:rPr>
        <w:t xml:space="preserve"> (%)</w:t>
      </w:r>
    </w:p>
    <w:tbl>
      <w:tblPr>
        <w:tblStyle w:val="TableGrid"/>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43" w:type="dxa"/>
          <w:right w:w="43" w:type="dxa"/>
        </w:tblCellMar>
        <w:tblLook w:val="04A0" w:firstRow="1" w:lastRow="0" w:firstColumn="1" w:lastColumn="0" w:noHBand="0" w:noVBand="1"/>
      </w:tblPr>
      <w:tblGrid>
        <w:gridCol w:w="2407"/>
        <w:gridCol w:w="1170"/>
        <w:gridCol w:w="1078"/>
        <w:gridCol w:w="2392"/>
        <w:gridCol w:w="1120"/>
        <w:gridCol w:w="1147"/>
      </w:tblGrid>
      <w:tr w:rsidR="00166F79" w:rsidRPr="00F81ABD" w14:paraId="53CE5134" w14:textId="77777777" w:rsidTr="00154678">
        <w:trPr>
          <w:trHeight w:val="144"/>
        </w:trPr>
        <w:tc>
          <w:tcPr>
            <w:tcW w:w="4655" w:type="dxa"/>
            <w:gridSpan w:val="3"/>
            <w:tcBorders>
              <w:top w:val="single" w:sz="18" w:space="0" w:color="auto"/>
              <w:left w:val="single" w:sz="18" w:space="0" w:color="auto"/>
              <w:bottom w:val="single" w:sz="8" w:space="0" w:color="auto"/>
              <w:right w:val="single" w:sz="18" w:space="0" w:color="auto"/>
            </w:tcBorders>
          </w:tcPr>
          <w:p w14:paraId="6D205221" w14:textId="77777777" w:rsidR="00166F79" w:rsidRPr="00F81ABD" w:rsidRDefault="00166F79" w:rsidP="00154678">
            <w:pPr>
              <w:rPr>
                <w:rFonts w:cstheme="minorHAnsi"/>
                <w:b/>
                <w:bCs/>
                <w:i/>
                <w:iCs/>
                <w:color w:val="000000"/>
                <w:sz w:val="20"/>
                <w:szCs w:val="20"/>
              </w:rPr>
            </w:pPr>
            <w:r w:rsidRPr="00F81ABD">
              <w:rPr>
                <w:rFonts w:cstheme="minorHAnsi"/>
                <w:b/>
                <w:bCs/>
                <w:i/>
                <w:iCs/>
                <w:color w:val="000000"/>
                <w:sz w:val="20"/>
                <w:szCs w:val="20"/>
              </w:rPr>
              <w:t>Individual-level characteristics</w:t>
            </w:r>
          </w:p>
        </w:tc>
        <w:tc>
          <w:tcPr>
            <w:tcW w:w="4659" w:type="dxa"/>
            <w:gridSpan w:val="3"/>
            <w:tcBorders>
              <w:top w:val="single" w:sz="18" w:space="0" w:color="auto"/>
              <w:left w:val="single" w:sz="18" w:space="0" w:color="auto"/>
              <w:bottom w:val="single" w:sz="8" w:space="0" w:color="auto"/>
              <w:right w:val="single" w:sz="18" w:space="0" w:color="auto"/>
            </w:tcBorders>
          </w:tcPr>
          <w:p w14:paraId="0BFBBEAB" w14:textId="77777777" w:rsidR="00166F79" w:rsidRPr="00F81ABD" w:rsidRDefault="00166F79" w:rsidP="00154678">
            <w:pPr>
              <w:rPr>
                <w:rFonts w:cstheme="minorHAnsi"/>
                <w:b/>
                <w:bCs/>
                <w:i/>
                <w:iCs/>
                <w:color w:val="000000"/>
                <w:sz w:val="20"/>
                <w:szCs w:val="20"/>
              </w:rPr>
            </w:pPr>
            <w:r w:rsidRPr="00F81ABD">
              <w:rPr>
                <w:rFonts w:cstheme="minorHAnsi"/>
                <w:b/>
                <w:bCs/>
                <w:i/>
                <w:iCs/>
                <w:color w:val="000000"/>
                <w:sz w:val="20"/>
                <w:szCs w:val="20"/>
              </w:rPr>
              <w:t>Household-level attributes</w:t>
            </w:r>
          </w:p>
        </w:tc>
      </w:tr>
      <w:tr w:rsidR="00166F79" w:rsidRPr="00F81ABD" w14:paraId="2DD8ABC0" w14:textId="77777777" w:rsidTr="00154678">
        <w:trPr>
          <w:trHeight w:val="144"/>
        </w:trPr>
        <w:tc>
          <w:tcPr>
            <w:tcW w:w="2407" w:type="dxa"/>
            <w:tcBorders>
              <w:top w:val="single" w:sz="8" w:space="0" w:color="auto"/>
              <w:left w:val="single" w:sz="18" w:space="0" w:color="auto"/>
              <w:bottom w:val="single" w:sz="18" w:space="0" w:color="auto"/>
            </w:tcBorders>
            <w:vAlign w:val="center"/>
          </w:tcPr>
          <w:p w14:paraId="2D0E22BD" w14:textId="77777777" w:rsidR="00166F79" w:rsidRPr="00F81ABD" w:rsidRDefault="00166F79" w:rsidP="00154678">
            <w:pPr>
              <w:rPr>
                <w:rFonts w:cstheme="minorHAnsi"/>
                <w:b/>
                <w:bCs/>
                <w:color w:val="000000"/>
                <w:sz w:val="20"/>
                <w:szCs w:val="20"/>
              </w:rPr>
            </w:pPr>
            <w:r w:rsidRPr="00F81ABD">
              <w:rPr>
                <w:rFonts w:cstheme="minorHAnsi"/>
                <w:b/>
                <w:bCs/>
                <w:color w:val="000000"/>
                <w:sz w:val="20"/>
                <w:szCs w:val="20"/>
              </w:rPr>
              <w:t>Variable</w:t>
            </w:r>
          </w:p>
        </w:tc>
        <w:tc>
          <w:tcPr>
            <w:tcW w:w="1170" w:type="dxa"/>
            <w:tcBorders>
              <w:top w:val="single" w:sz="8" w:space="0" w:color="auto"/>
              <w:bottom w:val="single" w:sz="18" w:space="0" w:color="auto"/>
            </w:tcBorders>
          </w:tcPr>
          <w:p w14:paraId="12578740" w14:textId="77777777" w:rsidR="00166F79" w:rsidRPr="00A27749" w:rsidRDefault="00166F79" w:rsidP="00154678">
            <w:pPr>
              <w:tabs>
                <w:tab w:val="decimal" w:pos="0"/>
              </w:tabs>
              <w:jc w:val="center"/>
              <w:rPr>
                <w:rFonts w:cstheme="minorHAnsi"/>
                <w:b/>
                <w:bCs/>
                <w:i/>
                <w:iCs/>
                <w:color w:val="000000" w:themeColor="text1"/>
                <w:sz w:val="20"/>
                <w:szCs w:val="20"/>
              </w:rPr>
            </w:pPr>
            <w:r w:rsidRPr="00A27749">
              <w:rPr>
                <w:rFonts w:cstheme="minorHAnsi"/>
                <w:b/>
                <w:bCs/>
                <w:i/>
                <w:iCs/>
                <w:color w:val="000000" w:themeColor="text1"/>
                <w:sz w:val="20"/>
                <w:szCs w:val="20"/>
              </w:rPr>
              <w:t>Without Access</w:t>
            </w:r>
          </w:p>
          <w:p w14:paraId="42EC6CE1" w14:textId="77777777" w:rsidR="00166F79" w:rsidRPr="00BD737C" w:rsidRDefault="00166F79" w:rsidP="00154678">
            <w:pPr>
              <w:tabs>
                <w:tab w:val="decimal" w:pos="0"/>
              </w:tabs>
              <w:jc w:val="center"/>
              <w:rPr>
                <w:rFonts w:cstheme="minorHAnsi"/>
                <w:b/>
                <w:bCs/>
                <w:color w:val="000000" w:themeColor="text1"/>
                <w:sz w:val="20"/>
                <w:szCs w:val="20"/>
              </w:rPr>
            </w:pPr>
            <w:r w:rsidRPr="00BD737C">
              <w:rPr>
                <w:rFonts w:cstheme="minorHAnsi"/>
                <w:b/>
                <w:bCs/>
                <w:color w:val="000000" w:themeColor="text1"/>
                <w:sz w:val="20"/>
                <w:szCs w:val="20"/>
              </w:rPr>
              <w:t>(N = 2,388)</w:t>
            </w:r>
          </w:p>
        </w:tc>
        <w:tc>
          <w:tcPr>
            <w:tcW w:w="1078" w:type="dxa"/>
            <w:tcBorders>
              <w:top w:val="single" w:sz="8" w:space="0" w:color="auto"/>
              <w:bottom w:val="single" w:sz="18" w:space="0" w:color="auto"/>
              <w:right w:val="single" w:sz="18" w:space="0" w:color="auto"/>
            </w:tcBorders>
          </w:tcPr>
          <w:p w14:paraId="0319CA49" w14:textId="77777777" w:rsidR="00166F79" w:rsidRDefault="00166F79" w:rsidP="00154678">
            <w:pPr>
              <w:tabs>
                <w:tab w:val="decimal" w:pos="0"/>
              </w:tabs>
              <w:jc w:val="center"/>
              <w:rPr>
                <w:rFonts w:cstheme="minorHAnsi"/>
                <w:b/>
                <w:bCs/>
                <w:color w:val="000000" w:themeColor="text1"/>
                <w:sz w:val="20"/>
                <w:szCs w:val="20"/>
              </w:rPr>
            </w:pPr>
            <w:r w:rsidRPr="00A27749">
              <w:rPr>
                <w:rFonts w:cstheme="minorHAnsi"/>
                <w:b/>
                <w:bCs/>
                <w:i/>
                <w:iCs/>
                <w:color w:val="000000" w:themeColor="text1"/>
                <w:sz w:val="20"/>
                <w:szCs w:val="20"/>
              </w:rPr>
              <w:t>With Access</w:t>
            </w:r>
            <w:r>
              <w:rPr>
                <w:rFonts w:cstheme="minorHAnsi"/>
                <w:b/>
                <w:bCs/>
                <w:color w:val="000000" w:themeColor="text1"/>
                <w:sz w:val="20"/>
                <w:szCs w:val="20"/>
              </w:rPr>
              <w:t xml:space="preserve"> </w:t>
            </w:r>
          </w:p>
          <w:p w14:paraId="0F71FE22" w14:textId="77777777" w:rsidR="00166F79" w:rsidRPr="00BD737C" w:rsidRDefault="00166F79" w:rsidP="00154678">
            <w:pPr>
              <w:tabs>
                <w:tab w:val="decimal" w:pos="0"/>
              </w:tabs>
              <w:jc w:val="center"/>
              <w:rPr>
                <w:rFonts w:cstheme="minorHAnsi"/>
                <w:b/>
                <w:bCs/>
                <w:color w:val="000000" w:themeColor="text1"/>
                <w:sz w:val="20"/>
                <w:szCs w:val="20"/>
              </w:rPr>
            </w:pPr>
            <w:r w:rsidRPr="00BD737C">
              <w:rPr>
                <w:rFonts w:cstheme="minorHAnsi"/>
                <w:b/>
                <w:bCs/>
                <w:color w:val="000000" w:themeColor="text1"/>
                <w:sz w:val="20"/>
                <w:szCs w:val="20"/>
              </w:rPr>
              <w:t>(N = 5,885)</w:t>
            </w:r>
          </w:p>
        </w:tc>
        <w:tc>
          <w:tcPr>
            <w:tcW w:w="2392" w:type="dxa"/>
            <w:tcBorders>
              <w:top w:val="single" w:sz="8" w:space="0" w:color="auto"/>
              <w:left w:val="single" w:sz="18" w:space="0" w:color="auto"/>
              <w:bottom w:val="single" w:sz="18" w:space="0" w:color="auto"/>
            </w:tcBorders>
            <w:vAlign w:val="center"/>
          </w:tcPr>
          <w:p w14:paraId="232F06E4" w14:textId="77777777" w:rsidR="00166F79" w:rsidRPr="00F81ABD" w:rsidRDefault="00166F79" w:rsidP="00154678">
            <w:pPr>
              <w:rPr>
                <w:rFonts w:cstheme="minorHAnsi"/>
                <w:b/>
                <w:bCs/>
                <w:color w:val="000000"/>
                <w:sz w:val="20"/>
                <w:szCs w:val="20"/>
              </w:rPr>
            </w:pPr>
            <w:r w:rsidRPr="00F81ABD">
              <w:rPr>
                <w:rFonts w:cstheme="minorHAnsi"/>
                <w:b/>
                <w:bCs/>
                <w:color w:val="000000"/>
                <w:sz w:val="20"/>
                <w:szCs w:val="20"/>
              </w:rPr>
              <w:t>Variable</w:t>
            </w:r>
          </w:p>
        </w:tc>
        <w:tc>
          <w:tcPr>
            <w:tcW w:w="1120" w:type="dxa"/>
            <w:tcBorders>
              <w:top w:val="single" w:sz="8" w:space="0" w:color="auto"/>
              <w:bottom w:val="single" w:sz="18" w:space="0" w:color="auto"/>
            </w:tcBorders>
          </w:tcPr>
          <w:p w14:paraId="5E282D92" w14:textId="77777777" w:rsidR="00166F79" w:rsidRDefault="00166F79" w:rsidP="00154678">
            <w:pPr>
              <w:tabs>
                <w:tab w:val="decimal" w:pos="0"/>
              </w:tabs>
              <w:jc w:val="center"/>
              <w:rPr>
                <w:rFonts w:cstheme="minorHAnsi"/>
                <w:b/>
                <w:bCs/>
                <w:color w:val="000000" w:themeColor="text1"/>
                <w:sz w:val="20"/>
                <w:szCs w:val="20"/>
              </w:rPr>
            </w:pPr>
            <w:r w:rsidRPr="00384E90">
              <w:rPr>
                <w:rFonts w:cstheme="minorHAnsi"/>
                <w:b/>
                <w:bCs/>
                <w:i/>
                <w:iCs/>
                <w:color w:val="000000" w:themeColor="text1"/>
                <w:sz w:val="20"/>
                <w:szCs w:val="20"/>
              </w:rPr>
              <w:t>Without Access</w:t>
            </w:r>
            <w:r w:rsidRPr="00BD737C">
              <w:rPr>
                <w:rFonts w:cstheme="minorHAnsi"/>
                <w:b/>
                <w:bCs/>
                <w:color w:val="000000" w:themeColor="text1"/>
                <w:sz w:val="20"/>
                <w:szCs w:val="20"/>
              </w:rPr>
              <w:t xml:space="preserve"> </w:t>
            </w:r>
          </w:p>
          <w:p w14:paraId="46692496" w14:textId="77777777" w:rsidR="00166F79" w:rsidRPr="00BD737C" w:rsidRDefault="00166F79" w:rsidP="00154678">
            <w:pPr>
              <w:tabs>
                <w:tab w:val="decimal" w:pos="0"/>
              </w:tabs>
              <w:jc w:val="center"/>
              <w:rPr>
                <w:rFonts w:cstheme="minorHAnsi"/>
                <w:b/>
                <w:bCs/>
                <w:color w:val="000000" w:themeColor="text1"/>
                <w:sz w:val="20"/>
                <w:szCs w:val="20"/>
              </w:rPr>
            </w:pPr>
            <w:r w:rsidRPr="00BD737C">
              <w:rPr>
                <w:rFonts w:cstheme="minorHAnsi"/>
                <w:b/>
                <w:bCs/>
                <w:color w:val="000000" w:themeColor="text1"/>
                <w:sz w:val="20"/>
                <w:szCs w:val="20"/>
              </w:rPr>
              <w:t>(N = 2,388)</w:t>
            </w:r>
          </w:p>
        </w:tc>
        <w:tc>
          <w:tcPr>
            <w:tcW w:w="1147" w:type="dxa"/>
            <w:tcBorders>
              <w:top w:val="single" w:sz="8" w:space="0" w:color="auto"/>
              <w:right w:val="single" w:sz="18" w:space="0" w:color="auto"/>
            </w:tcBorders>
          </w:tcPr>
          <w:p w14:paraId="4AAD7392" w14:textId="77777777" w:rsidR="00166F79" w:rsidRDefault="00166F79" w:rsidP="00154678">
            <w:pPr>
              <w:tabs>
                <w:tab w:val="decimal" w:pos="0"/>
              </w:tabs>
              <w:jc w:val="center"/>
              <w:rPr>
                <w:rFonts w:cstheme="minorHAnsi"/>
                <w:b/>
                <w:bCs/>
                <w:i/>
                <w:iCs/>
                <w:color w:val="000000" w:themeColor="text1"/>
                <w:sz w:val="20"/>
                <w:szCs w:val="20"/>
              </w:rPr>
            </w:pPr>
            <w:r w:rsidRPr="00384E90">
              <w:rPr>
                <w:rFonts w:cstheme="minorHAnsi"/>
                <w:b/>
                <w:bCs/>
                <w:i/>
                <w:iCs/>
                <w:color w:val="000000" w:themeColor="text1"/>
                <w:sz w:val="20"/>
                <w:szCs w:val="20"/>
              </w:rPr>
              <w:t xml:space="preserve">With </w:t>
            </w:r>
          </w:p>
          <w:p w14:paraId="7B378326" w14:textId="77777777" w:rsidR="00166F79" w:rsidRDefault="00166F79" w:rsidP="00154678">
            <w:pPr>
              <w:tabs>
                <w:tab w:val="decimal" w:pos="0"/>
              </w:tabs>
              <w:jc w:val="center"/>
              <w:rPr>
                <w:rFonts w:cstheme="minorHAnsi"/>
                <w:b/>
                <w:bCs/>
                <w:color w:val="000000" w:themeColor="text1"/>
                <w:sz w:val="20"/>
                <w:szCs w:val="20"/>
              </w:rPr>
            </w:pPr>
            <w:r w:rsidRPr="00384E90">
              <w:rPr>
                <w:rFonts w:cstheme="minorHAnsi"/>
                <w:b/>
                <w:bCs/>
                <w:i/>
                <w:iCs/>
                <w:color w:val="000000" w:themeColor="text1"/>
                <w:sz w:val="20"/>
                <w:szCs w:val="20"/>
              </w:rPr>
              <w:t>Access</w:t>
            </w:r>
            <w:r>
              <w:rPr>
                <w:rFonts w:cstheme="minorHAnsi"/>
                <w:b/>
                <w:bCs/>
                <w:color w:val="000000" w:themeColor="text1"/>
                <w:sz w:val="20"/>
                <w:szCs w:val="20"/>
              </w:rPr>
              <w:t xml:space="preserve"> </w:t>
            </w:r>
          </w:p>
          <w:p w14:paraId="1BAF4437" w14:textId="77777777" w:rsidR="00166F79" w:rsidRPr="00BD737C" w:rsidRDefault="00166F79" w:rsidP="00154678">
            <w:pPr>
              <w:tabs>
                <w:tab w:val="decimal" w:pos="0"/>
              </w:tabs>
              <w:jc w:val="center"/>
              <w:rPr>
                <w:rFonts w:cstheme="minorHAnsi"/>
                <w:b/>
                <w:bCs/>
                <w:color w:val="000000" w:themeColor="text1"/>
                <w:sz w:val="20"/>
                <w:szCs w:val="20"/>
              </w:rPr>
            </w:pPr>
            <w:r w:rsidRPr="00BD737C">
              <w:rPr>
                <w:rFonts w:cstheme="minorHAnsi"/>
                <w:b/>
                <w:bCs/>
                <w:color w:val="000000" w:themeColor="text1"/>
                <w:sz w:val="20"/>
                <w:szCs w:val="20"/>
              </w:rPr>
              <w:t>(N = 5,885)</w:t>
            </w:r>
          </w:p>
        </w:tc>
      </w:tr>
      <w:tr w:rsidR="00166F79" w:rsidRPr="00F81ABD" w14:paraId="6D252FFD" w14:textId="77777777" w:rsidTr="00154678">
        <w:trPr>
          <w:trHeight w:val="144"/>
        </w:trPr>
        <w:tc>
          <w:tcPr>
            <w:tcW w:w="4655" w:type="dxa"/>
            <w:gridSpan w:val="3"/>
            <w:tcBorders>
              <w:top w:val="single" w:sz="18" w:space="0" w:color="auto"/>
              <w:left w:val="single" w:sz="18" w:space="0" w:color="auto"/>
              <w:right w:val="single" w:sz="18" w:space="0" w:color="auto"/>
            </w:tcBorders>
          </w:tcPr>
          <w:p w14:paraId="6C41C04F" w14:textId="77777777" w:rsidR="00166F79" w:rsidRPr="00F81ABD" w:rsidRDefault="00166F79" w:rsidP="00154678">
            <w:pPr>
              <w:rPr>
                <w:rFonts w:cstheme="minorHAnsi"/>
                <w:b/>
                <w:bCs/>
                <w:color w:val="000000" w:themeColor="text1"/>
                <w:sz w:val="20"/>
                <w:szCs w:val="20"/>
              </w:rPr>
            </w:pPr>
            <w:r w:rsidRPr="00F81ABD">
              <w:rPr>
                <w:rFonts w:cstheme="minorHAnsi"/>
                <w:b/>
                <w:bCs/>
                <w:color w:val="000000" w:themeColor="text1"/>
                <w:sz w:val="20"/>
                <w:szCs w:val="20"/>
              </w:rPr>
              <w:t>Gender</w:t>
            </w:r>
          </w:p>
        </w:tc>
        <w:tc>
          <w:tcPr>
            <w:tcW w:w="4659" w:type="dxa"/>
            <w:gridSpan w:val="3"/>
            <w:tcBorders>
              <w:top w:val="single" w:sz="18" w:space="0" w:color="auto"/>
              <w:left w:val="single" w:sz="18" w:space="0" w:color="auto"/>
              <w:right w:val="single" w:sz="18" w:space="0" w:color="auto"/>
            </w:tcBorders>
          </w:tcPr>
          <w:p w14:paraId="317B958E" w14:textId="467C44B4" w:rsidR="00166F79" w:rsidRPr="00F81ABD" w:rsidRDefault="00166F79" w:rsidP="00154678">
            <w:pPr>
              <w:rPr>
                <w:rFonts w:cstheme="minorHAnsi"/>
                <w:b/>
                <w:bCs/>
                <w:color w:val="000000" w:themeColor="text1"/>
                <w:sz w:val="20"/>
                <w:szCs w:val="20"/>
              </w:rPr>
            </w:pPr>
            <w:r w:rsidRPr="00F81ABD">
              <w:rPr>
                <w:rFonts w:cstheme="minorHAnsi"/>
                <w:b/>
                <w:bCs/>
                <w:color w:val="000000" w:themeColor="text1"/>
                <w:sz w:val="20"/>
                <w:szCs w:val="20"/>
              </w:rPr>
              <w:t>Annual household i</w:t>
            </w:r>
            <w:r w:rsidR="004B4BA4">
              <w:rPr>
                <w:rFonts w:cstheme="minorHAnsi"/>
                <w:b/>
                <w:bCs/>
                <w:color w:val="000000" w:themeColor="text1"/>
                <w:sz w:val="20"/>
                <w:szCs w:val="20"/>
              </w:rPr>
              <w:t>ncome</w:t>
            </w:r>
          </w:p>
        </w:tc>
      </w:tr>
      <w:tr w:rsidR="00166F79" w:rsidRPr="00F81ABD" w14:paraId="57EE1843" w14:textId="77777777" w:rsidTr="00154678">
        <w:trPr>
          <w:trHeight w:val="144"/>
        </w:trPr>
        <w:tc>
          <w:tcPr>
            <w:tcW w:w="2407" w:type="dxa"/>
            <w:tcBorders>
              <w:left w:val="single" w:sz="18" w:space="0" w:color="auto"/>
            </w:tcBorders>
          </w:tcPr>
          <w:p w14:paraId="46AF0115"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Female</w:t>
            </w:r>
          </w:p>
        </w:tc>
        <w:tc>
          <w:tcPr>
            <w:tcW w:w="1170" w:type="dxa"/>
          </w:tcPr>
          <w:p w14:paraId="42C96C5A"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62.8</w:t>
            </w:r>
          </w:p>
        </w:tc>
        <w:tc>
          <w:tcPr>
            <w:tcW w:w="1078" w:type="dxa"/>
            <w:tcBorders>
              <w:right w:val="single" w:sz="18" w:space="0" w:color="auto"/>
            </w:tcBorders>
          </w:tcPr>
          <w:p w14:paraId="444E9DD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48.9</w:t>
            </w:r>
          </w:p>
        </w:tc>
        <w:tc>
          <w:tcPr>
            <w:tcW w:w="2392" w:type="dxa"/>
            <w:tcBorders>
              <w:left w:val="single" w:sz="18" w:space="0" w:color="auto"/>
            </w:tcBorders>
          </w:tcPr>
          <w:p w14:paraId="170A6FEA"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Less than $25,000</w:t>
            </w:r>
          </w:p>
        </w:tc>
        <w:tc>
          <w:tcPr>
            <w:tcW w:w="1120" w:type="dxa"/>
          </w:tcPr>
          <w:p w14:paraId="067434EF"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24.1</w:t>
            </w:r>
          </w:p>
        </w:tc>
        <w:tc>
          <w:tcPr>
            <w:tcW w:w="1147" w:type="dxa"/>
            <w:tcBorders>
              <w:right w:val="single" w:sz="18" w:space="0" w:color="auto"/>
            </w:tcBorders>
          </w:tcPr>
          <w:p w14:paraId="331F6EE5"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17.0</w:t>
            </w:r>
          </w:p>
        </w:tc>
      </w:tr>
      <w:tr w:rsidR="00166F79" w:rsidRPr="00F81ABD" w14:paraId="0A805310" w14:textId="77777777" w:rsidTr="00154678">
        <w:trPr>
          <w:trHeight w:val="144"/>
        </w:trPr>
        <w:tc>
          <w:tcPr>
            <w:tcW w:w="2407" w:type="dxa"/>
            <w:tcBorders>
              <w:left w:val="single" w:sz="18" w:space="0" w:color="auto"/>
            </w:tcBorders>
          </w:tcPr>
          <w:p w14:paraId="6425B0B5"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Male</w:t>
            </w:r>
          </w:p>
        </w:tc>
        <w:tc>
          <w:tcPr>
            <w:tcW w:w="1170" w:type="dxa"/>
          </w:tcPr>
          <w:p w14:paraId="14F8FEF3"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37.2</w:t>
            </w:r>
          </w:p>
        </w:tc>
        <w:tc>
          <w:tcPr>
            <w:tcW w:w="1078" w:type="dxa"/>
            <w:tcBorders>
              <w:right w:val="single" w:sz="18" w:space="0" w:color="auto"/>
            </w:tcBorders>
          </w:tcPr>
          <w:p w14:paraId="2F59790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51.1</w:t>
            </w:r>
          </w:p>
        </w:tc>
        <w:tc>
          <w:tcPr>
            <w:tcW w:w="2392" w:type="dxa"/>
            <w:tcBorders>
              <w:left w:val="single" w:sz="18" w:space="0" w:color="auto"/>
            </w:tcBorders>
          </w:tcPr>
          <w:p w14:paraId="1685100F"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$25,000 to $49,999</w:t>
            </w:r>
          </w:p>
        </w:tc>
        <w:tc>
          <w:tcPr>
            <w:tcW w:w="1120" w:type="dxa"/>
          </w:tcPr>
          <w:p w14:paraId="09C5D55C"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21.9</w:t>
            </w:r>
          </w:p>
        </w:tc>
        <w:tc>
          <w:tcPr>
            <w:tcW w:w="1147" w:type="dxa"/>
            <w:tcBorders>
              <w:right w:val="single" w:sz="18" w:space="0" w:color="auto"/>
            </w:tcBorders>
          </w:tcPr>
          <w:p w14:paraId="0596EFF6"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19.6</w:t>
            </w:r>
          </w:p>
        </w:tc>
      </w:tr>
      <w:tr w:rsidR="00166F79" w:rsidRPr="00F81ABD" w14:paraId="2926E2D3" w14:textId="77777777" w:rsidTr="00154678">
        <w:trPr>
          <w:trHeight w:val="144"/>
        </w:trPr>
        <w:tc>
          <w:tcPr>
            <w:tcW w:w="4655" w:type="dxa"/>
            <w:gridSpan w:val="3"/>
            <w:tcBorders>
              <w:left w:val="single" w:sz="18" w:space="0" w:color="auto"/>
              <w:right w:val="single" w:sz="18" w:space="0" w:color="auto"/>
            </w:tcBorders>
          </w:tcPr>
          <w:p w14:paraId="77FF441B" w14:textId="77777777" w:rsidR="00166F79" w:rsidRPr="00F81ABD" w:rsidRDefault="00166F79" w:rsidP="00154678">
            <w:pPr>
              <w:tabs>
                <w:tab w:val="decimal" w:pos="0"/>
              </w:tabs>
              <w:rPr>
                <w:rFonts w:cstheme="minorHAnsi"/>
                <w:b/>
                <w:bCs/>
                <w:color w:val="000000" w:themeColor="text1"/>
                <w:sz w:val="20"/>
                <w:szCs w:val="20"/>
              </w:rPr>
            </w:pPr>
            <w:r w:rsidRPr="00F81ABD">
              <w:rPr>
                <w:rFonts w:cstheme="minorHAnsi"/>
                <w:b/>
                <w:bCs/>
                <w:color w:val="000000" w:themeColor="text1"/>
                <w:sz w:val="20"/>
                <w:szCs w:val="20"/>
              </w:rPr>
              <w:t>Age category</w:t>
            </w:r>
          </w:p>
        </w:tc>
        <w:tc>
          <w:tcPr>
            <w:tcW w:w="2392" w:type="dxa"/>
            <w:tcBorders>
              <w:left w:val="single" w:sz="18" w:space="0" w:color="auto"/>
            </w:tcBorders>
          </w:tcPr>
          <w:p w14:paraId="16E4C1F6"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$50,000 to $99,999</w:t>
            </w:r>
          </w:p>
        </w:tc>
        <w:tc>
          <w:tcPr>
            <w:tcW w:w="1120" w:type="dxa"/>
          </w:tcPr>
          <w:p w14:paraId="60F1C17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27.9</w:t>
            </w:r>
          </w:p>
        </w:tc>
        <w:tc>
          <w:tcPr>
            <w:tcW w:w="1147" w:type="dxa"/>
            <w:tcBorders>
              <w:right w:val="single" w:sz="18" w:space="0" w:color="auto"/>
            </w:tcBorders>
          </w:tcPr>
          <w:p w14:paraId="35982742"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26.1</w:t>
            </w:r>
          </w:p>
        </w:tc>
      </w:tr>
      <w:tr w:rsidR="00166F79" w:rsidRPr="00F81ABD" w14:paraId="2893BBB4" w14:textId="77777777" w:rsidTr="00154678">
        <w:trPr>
          <w:trHeight w:val="144"/>
        </w:trPr>
        <w:tc>
          <w:tcPr>
            <w:tcW w:w="2407" w:type="dxa"/>
            <w:tcBorders>
              <w:left w:val="single" w:sz="18" w:space="0" w:color="auto"/>
            </w:tcBorders>
          </w:tcPr>
          <w:p w14:paraId="53D875F1"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18 to 24 years</w:t>
            </w:r>
          </w:p>
        </w:tc>
        <w:tc>
          <w:tcPr>
            <w:tcW w:w="1170" w:type="dxa"/>
          </w:tcPr>
          <w:p w14:paraId="32318EB8"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8.2</w:t>
            </w:r>
          </w:p>
        </w:tc>
        <w:tc>
          <w:tcPr>
            <w:tcW w:w="1078" w:type="dxa"/>
            <w:tcBorders>
              <w:right w:val="single" w:sz="18" w:space="0" w:color="auto"/>
            </w:tcBorders>
          </w:tcPr>
          <w:p w14:paraId="323CFF76"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11.0</w:t>
            </w:r>
          </w:p>
        </w:tc>
        <w:tc>
          <w:tcPr>
            <w:tcW w:w="2392" w:type="dxa"/>
            <w:tcBorders>
              <w:left w:val="single" w:sz="18" w:space="0" w:color="auto"/>
            </w:tcBorders>
          </w:tcPr>
          <w:p w14:paraId="69212ACE"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$100,000 to $149,999</w:t>
            </w:r>
          </w:p>
        </w:tc>
        <w:tc>
          <w:tcPr>
            <w:tcW w:w="1120" w:type="dxa"/>
          </w:tcPr>
          <w:p w14:paraId="387411FA"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14.8</w:t>
            </w:r>
          </w:p>
        </w:tc>
        <w:tc>
          <w:tcPr>
            <w:tcW w:w="1147" w:type="dxa"/>
            <w:tcBorders>
              <w:right w:val="single" w:sz="18" w:space="0" w:color="auto"/>
            </w:tcBorders>
          </w:tcPr>
          <w:p w14:paraId="57E2884C"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21.6</w:t>
            </w:r>
          </w:p>
        </w:tc>
      </w:tr>
      <w:tr w:rsidR="00166F79" w:rsidRPr="00F81ABD" w14:paraId="77CADB00" w14:textId="77777777" w:rsidTr="00154678">
        <w:trPr>
          <w:trHeight w:val="144"/>
        </w:trPr>
        <w:tc>
          <w:tcPr>
            <w:tcW w:w="2407" w:type="dxa"/>
            <w:tcBorders>
              <w:left w:val="single" w:sz="18" w:space="0" w:color="auto"/>
            </w:tcBorders>
          </w:tcPr>
          <w:p w14:paraId="4694B80A" w14:textId="77777777" w:rsidR="00166F79" w:rsidRPr="00F81ABD" w:rsidRDefault="00166F79" w:rsidP="00154678">
            <w:pPr>
              <w:rPr>
                <w:rFonts w:cstheme="minorHAnsi"/>
                <w:color w:val="000000" w:themeColor="text1"/>
                <w:sz w:val="20"/>
                <w:szCs w:val="20"/>
              </w:rPr>
            </w:pPr>
            <w:r w:rsidRPr="00F81ABD">
              <w:rPr>
                <w:rFonts w:cstheme="minorHAnsi"/>
                <w:b/>
                <w:bCs/>
                <w:color w:val="000000" w:themeColor="text1"/>
                <w:sz w:val="20"/>
                <w:szCs w:val="20"/>
              </w:rPr>
              <w:t xml:space="preserve">  </w:t>
            </w:r>
            <w:r w:rsidRPr="00F81ABD">
              <w:rPr>
                <w:rFonts w:cstheme="minorHAnsi"/>
                <w:color w:val="000000" w:themeColor="text1"/>
                <w:sz w:val="20"/>
                <w:szCs w:val="20"/>
              </w:rPr>
              <w:t>25 to 44 years</w:t>
            </w:r>
          </w:p>
        </w:tc>
        <w:tc>
          <w:tcPr>
            <w:tcW w:w="1170" w:type="dxa"/>
          </w:tcPr>
          <w:p w14:paraId="526534B1"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21.2</w:t>
            </w:r>
          </w:p>
        </w:tc>
        <w:tc>
          <w:tcPr>
            <w:tcW w:w="1078" w:type="dxa"/>
            <w:tcBorders>
              <w:right w:val="single" w:sz="18" w:space="0" w:color="auto"/>
            </w:tcBorders>
          </w:tcPr>
          <w:p w14:paraId="0FA35B12"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34.7</w:t>
            </w:r>
          </w:p>
        </w:tc>
        <w:tc>
          <w:tcPr>
            <w:tcW w:w="2392" w:type="dxa"/>
            <w:tcBorders>
              <w:left w:val="single" w:sz="18" w:space="0" w:color="auto"/>
            </w:tcBorders>
          </w:tcPr>
          <w:p w14:paraId="08E9832E"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$150,000 to $199,999</w:t>
            </w:r>
          </w:p>
        </w:tc>
        <w:tc>
          <w:tcPr>
            <w:tcW w:w="1120" w:type="dxa"/>
          </w:tcPr>
          <w:p w14:paraId="015A33B0"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6.9</w:t>
            </w:r>
          </w:p>
        </w:tc>
        <w:tc>
          <w:tcPr>
            <w:tcW w:w="1147" w:type="dxa"/>
            <w:tcBorders>
              <w:right w:val="single" w:sz="18" w:space="0" w:color="auto"/>
            </w:tcBorders>
          </w:tcPr>
          <w:p w14:paraId="7C7D8E5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10.4</w:t>
            </w:r>
          </w:p>
        </w:tc>
      </w:tr>
      <w:tr w:rsidR="00166F79" w:rsidRPr="00F81ABD" w14:paraId="33B6667C" w14:textId="77777777" w:rsidTr="00154678">
        <w:trPr>
          <w:trHeight w:val="144"/>
        </w:trPr>
        <w:tc>
          <w:tcPr>
            <w:tcW w:w="2407" w:type="dxa"/>
            <w:tcBorders>
              <w:left w:val="single" w:sz="18" w:space="0" w:color="auto"/>
            </w:tcBorders>
          </w:tcPr>
          <w:p w14:paraId="3C407F51" w14:textId="77777777" w:rsidR="00166F79" w:rsidRPr="00F81ABD" w:rsidRDefault="00166F79" w:rsidP="00154678">
            <w:pPr>
              <w:rPr>
                <w:rFonts w:cstheme="minorHAnsi"/>
                <w:color w:val="000000" w:themeColor="text1"/>
                <w:sz w:val="20"/>
                <w:szCs w:val="20"/>
              </w:rPr>
            </w:pPr>
            <w:r w:rsidRPr="00F81ABD">
              <w:rPr>
                <w:rFonts w:cstheme="minorHAnsi"/>
                <w:b/>
                <w:bCs/>
                <w:color w:val="000000" w:themeColor="text1"/>
                <w:sz w:val="20"/>
                <w:szCs w:val="20"/>
              </w:rPr>
              <w:t xml:space="preserve">  </w:t>
            </w:r>
            <w:r w:rsidRPr="00F81ABD">
              <w:rPr>
                <w:rFonts w:cstheme="minorHAnsi"/>
                <w:color w:val="000000" w:themeColor="text1"/>
                <w:sz w:val="20"/>
                <w:szCs w:val="20"/>
              </w:rPr>
              <w:t>45 to 64 years</w:t>
            </w:r>
          </w:p>
        </w:tc>
        <w:tc>
          <w:tcPr>
            <w:tcW w:w="1170" w:type="dxa"/>
          </w:tcPr>
          <w:p w14:paraId="11612B0F"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32.0</w:t>
            </w:r>
          </w:p>
        </w:tc>
        <w:tc>
          <w:tcPr>
            <w:tcW w:w="1078" w:type="dxa"/>
            <w:tcBorders>
              <w:right w:val="single" w:sz="18" w:space="0" w:color="auto"/>
            </w:tcBorders>
          </w:tcPr>
          <w:p w14:paraId="57BD8FC0"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29.8</w:t>
            </w:r>
          </w:p>
        </w:tc>
        <w:tc>
          <w:tcPr>
            <w:tcW w:w="2392" w:type="dxa"/>
            <w:tcBorders>
              <w:left w:val="single" w:sz="18" w:space="0" w:color="auto"/>
            </w:tcBorders>
          </w:tcPr>
          <w:p w14:paraId="1E40A686"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$200,000 or more</w:t>
            </w:r>
          </w:p>
        </w:tc>
        <w:tc>
          <w:tcPr>
            <w:tcW w:w="1120" w:type="dxa"/>
          </w:tcPr>
          <w:p w14:paraId="31411A21"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4.4</w:t>
            </w:r>
          </w:p>
        </w:tc>
        <w:tc>
          <w:tcPr>
            <w:tcW w:w="1147" w:type="dxa"/>
            <w:tcBorders>
              <w:right w:val="single" w:sz="18" w:space="0" w:color="auto"/>
            </w:tcBorders>
          </w:tcPr>
          <w:p w14:paraId="2994275A"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5.3</w:t>
            </w:r>
          </w:p>
        </w:tc>
      </w:tr>
      <w:tr w:rsidR="00166F79" w:rsidRPr="00F81ABD" w14:paraId="005F0390" w14:textId="77777777" w:rsidTr="00154678">
        <w:trPr>
          <w:trHeight w:val="144"/>
        </w:trPr>
        <w:tc>
          <w:tcPr>
            <w:tcW w:w="2407" w:type="dxa"/>
            <w:tcBorders>
              <w:left w:val="single" w:sz="18" w:space="0" w:color="auto"/>
            </w:tcBorders>
          </w:tcPr>
          <w:p w14:paraId="77868520"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65 years or older</w:t>
            </w:r>
          </w:p>
        </w:tc>
        <w:tc>
          <w:tcPr>
            <w:tcW w:w="1170" w:type="dxa"/>
          </w:tcPr>
          <w:p w14:paraId="7EAE13E8"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38.6</w:t>
            </w:r>
          </w:p>
        </w:tc>
        <w:tc>
          <w:tcPr>
            <w:tcW w:w="1078" w:type="dxa"/>
            <w:tcBorders>
              <w:right w:val="single" w:sz="18" w:space="0" w:color="auto"/>
            </w:tcBorders>
          </w:tcPr>
          <w:p w14:paraId="773EB213" w14:textId="77777777" w:rsidR="00166F79" w:rsidRPr="00F81ABD" w:rsidRDefault="00166F79" w:rsidP="00154678">
            <w:pPr>
              <w:tabs>
                <w:tab w:val="decimal" w:pos="0"/>
              </w:tabs>
              <w:jc w:val="center"/>
              <w:rPr>
                <w:rFonts w:cstheme="minorHAnsi"/>
                <w:sz w:val="20"/>
                <w:szCs w:val="20"/>
              </w:rPr>
            </w:pPr>
            <w:r w:rsidRPr="00F81ABD">
              <w:rPr>
                <w:rFonts w:cstheme="minorHAnsi"/>
                <w:sz w:val="20"/>
                <w:szCs w:val="20"/>
              </w:rPr>
              <w:t>24.5</w:t>
            </w:r>
          </w:p>
        </w:tc>
        <w:tc>
          <w:tcPr>
            <w:tcW w:w="4659" w:type="dxa"/>
            <w:gridSpan w:val="3"/>
            <w:tcBorders>
              <w:left w:val="single" w:sz="18" w:space="0" w:color="auto"/>
              <w:right w:val="single" w:sz="18" w:space="0" w:color="auto"/>
            </w:tcBorders>
          </w:tcPr>
          <w:p w14:paraId="3B427A6A" w14:textId="77777777" w:rsidR="00166F79" w:rsidRPr="00F81ABD" w:rsidRDefault="00166F79" w:rsidP="00154678">
            <w:pPr>
              <w:tabs>
                <w:tab w:val="decimal" w:pos="0"/>
              </w:tabs>
              <w:rPr>
                <w:rFonts w:cstheme="minorHAnsi"/>
                <w:b/>
                <w:bCs/>
                <w:color w:val="000000" w:themeColor="text1"/>
                <w:sz w:val="20"/>
                <w:szCs w:val="20"/>
              </w:rPr>
            </w:pPr>
            <w:r w:rsidRPr="00F81ABD">
              <w:rPr>
                <w:rFonts w:cstheme="minorHAnsi"/>
                <w:b/>
                <w:bCs/>
                <w:color w:val="000000" w:themeColor="text1"/>
                <w:sz w:val="20"/>
                <w:szCs w:val="20"/>
              </w:rPr>
              <w:t>Household size</w:t>
            </w:r>
          </w:p>
        </w:tc>
      </w:tr>
      <w:tr w:rsidR="00166F79" w:rsidRPr="00F81ABD" w14:paraId="58AD61E1" w14:textId="77777777" w:rsidTr="00154678">
        <w:trPr>
          <w:trHeight w:val="144"/>
        </w:trPr>
        <w:tc>
          <w:tcPr>
            <w:tcW w:w="4655" w:type="dxa"/>
            <w:gridSpan w:val="3"/>
            <w:tcBorders>
              <w:left w:val="single" w:sz="18" w:space="0" w:color="auto"/>
              <w:right w:val="single" w:sz="18" w:space="0" w:color="auto"/>
            </w:tcBorders>
          </w:tcPr>
          <w:p w14:paraId="581850A0" w14:textId="77777777" w:rsidR="00166F79" w:rsidRPr="00F81ABD" w:rsidRDefault="00166F79" w:rsidP="00154678">
            <w:pPr>
              <w:tabs>
                <w:tab w:val="decimal" w:pos="0"/>
              </w:tabs>
              <w:rPr>
                <w:rFonts w:cstheme="minorHAnsi"/>
                <w:sz w:val="20"/>
                <w:szCs w:val="20"/>
              </w:rPr>
            </w:pPr>
            <w:r w:rsidRPr="00F81ABD">
              <w:rPr>
                <w:rFonts w:cstheme="minorHAnsi"/>
                <w:b/>
                <w:bCs/>
                <w:color w:val="000000" w:themeColor="text1"/>
                <w:sz w:val="20"/>
                <w:szCs w:val="20"/>
              </w:rPr>
              <w:t>Employment status</w:t>
            </w:r>
          </w:p>
        </w:tc>
        <w:tc>
          <w:tcPr>
            <w:tcW w:w="2392" w:type="dxa"/>
            <w:tcBorders>
              <w:left w:val="single" w:sz="18" w:space="0" w:color="auto"/>
            </w:tcBorders>
          </w:tcPr>
          <w:p w14:paraId="37D9F580"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One</w:t>
            </w:r>
          </w:p>
        </w:tc>
        <w:tc>
          <w:tcPr>
            <w:tcW w:w="1120" w:type="dxa"/>
          </w:tcPr>
          <w:p w14:paraId="3FABFC87"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22.3</w:t>
            </w:r>
          </w:p>
        </w:tc>
        <w:tc>
          <w:tcPr>
            <w:tcW w:w="1147" w:type="dxa"/>
            <w:tcBorders>
              <w:right w:val="single" w:sz="18" w:space="0" w:color="auto"/>
            </w:tcBorders>
          </w:tcPr>
          <w:p w14:paraId="44039664"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21.0</w:t>
            </w:r>
          </w:p>
        </w:tc>
      </w:tr>
      <w:tr w:rsidR="00166F79" w:rsidRPr="00F81ABD" w14:paraId="3DD5F6DD" w14:textId="77777777" w:rsidTr="00154678">
        <w:trPr>
          <w:trHeight w:val="144"/>
        </w:trPr>
        <w:tc>
          <w:tcPr>
            <w:tcW w:w="2407" w:type="dxa"/>
            <w:tcBorders>
              <w:left w:val="single" w:sz="18" w:space="0" w:color="auto"/>
              <w:right w:val="dotted" w:sz="4" w:space="0" w:color="auto"/>
            </w:tcBorders>
          </w:tcPr>
          <w:p w14:paraId="0E90CFA1"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Full-time</w:t>
            </w:r>
          </w:p>
        </w:tc>
        <w:tc>
          <w:tcPr>
            <w:tcW w:w="1170" w:type="dxa"/>
            <w:tcBorders>
              <w:top w:val="dotted" w:sz="4" w:space="0" w:color="auto"/>
              <w:left w:val="dotted" w:sz="4" w:space="0" w:color="auto"/>
              <w:right w:val="dotted" w:sz="4" w:space="0" w:color="auto"/>
            </w:tcBorders>
          </w:tcPr>
          <w:p w14:paraId="647A13A0"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27.4</w:t>
            </w:r>
          </w:p>
        </w:tc>
        <w:tc>
          <w:tcPr>
            <w:tcW w:w="1078" w:type="dxa"/>
            <w:tcBorders>
              <w:left w:val="dotted" w:sz="4" w:space="0" w:color="auto"/>
              <w:right w:val="single" w:sz="18" w:space="0" w:color="auto"/>
            </w:tcBorders>
          </w:tcPr>
          <w:p w14:paraId="3A4FCD8C"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45.9</w:t>
            </w:r>
          </w:p>
        </w:tc>
        <w:tc>
          <w:tcPr>
            <w:tcW w:w="2392" w:type="dxa"/>
            <w:tcBorders>
              <w:left w:val="single" w:sz="18" w:space="0" w:color="auto"/>
            </w:tcBorders>
          </w:tcPr>
          <w:p w14:paraId="228D4755"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Two</w:t>
            </w:r>
          </w:p>
        </w:tc>
        <w:tc>
          <w:tcPr>
            <w:tcW w:w="1120" w:type="dxa"/>
          </w:tcPr>
          <w:p w14:paraId="20F648B2"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42.1</w:t>
            </w:r>
          </w:p>
        </w:tc>
        <w:tc>
          <w:tcPr>
            <w:tcW w:w="1147" w:type="dxa"/>
            <w:tcBorders>
              <w:right w:val="single" w:sz="18" w:space="0" w:color="auto"/>
            </w:tcBorders>
          </w:tcPr>
          <w:p w14:paraId="234F8CB6"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31.0</w:t>
            </w:r>
          </w:p>
        </w:tc>
      </w:tr>
      <w:tr w:rsidR="00166F79" w:rsidRPr="00F81ABD" w14:paraId="2ADAEEC6" w14:textId="77777777" w:rsidTr="00154678">
        <w:trPr>
          <w:trHeight w:val="144"/>
        </w:trPr>
        <w:tc>
          <w:tcPr>
            <w:tcW w:w="2407" w:type="dxa"/>
            <w:tcBorders>
              <w:left w:val="single" w:sz="18" w:space="0" w:color="auto"/>
            </w:tcBorders>
          </w:tcPr>
          <w:p w14:paraId="546C4078"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Part-time</w:t>
            </w:r>
          </w:p>
        </w:tc>
        <w:tc>
          <w:tcPr>
            <w:tcW w:w="1170" w:type="dxa"/>
          </w:tcPr>
          <w:p w14:paraId="57F220AC"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8.5</w:t>
            </w:r>
          </w:p>
        </w:tc>
        <w:tc>
          <w:tcPr>
            <w:tcW w:w="1078" w:type="dxa"/>
            <w:tcBorders>
              <w:right w:val="single" w:sz="18" w:space="0" w:color="auto"/>
            </w:tcBorders>
          </w:tcPr>
          <w:p w14:paraId="7EDC4198"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9.7</w:t>
            </w:r>
          </w:p>
        </w:tc>
        <w:tc>
          <w:tcPr>
            <w:tcW w:w="2392" w:type="dxa"/>
            <w:tcBorders>
              <w:left w:val="single" w:sz="18" w:space="0" w:color="auto"/>
            </w:tcBorders>
          </w:tcPr>
          <w:p w14:paraId="62CD5FA0"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Three or more</w:t>
            </w:r>
          </w:p>
        </w:tc>
        <w:tc>
          <w:tcPr>
            <w:tcW w:w="1120" w:type="dxa"/>
          </w:tcPr>
          <w:p w14:paraId="7BDA5D41"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35.6</w:t>
            </w:r>
          </w:p>
        </w:tc>
        <w:tc>
          <w:tcPr>
            <w:tcW w:w="1147" w:type="dxa"/>
            <w:tcBorders>
              <w:right w:val="single" w:sz="18" w:space="0" w:color="auto"/>
            </w:tcBorders>
          </w:tcPr>
          <w:p w14:paraId="0338888B"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48.0</w:t>
            </w:r>
          </w:p>
        </w:tc>
      </w:tr>
      <w:tr w:rsidR="00166F79" w:rsidRPr="00F81ABD" w14:paraId="14A4FA6C" w14:textId="77777777" w:rsidTr="00154678">
        <w:trPr>
          <w:trHeight w:val="144"/>
        </w:trPr>
        <w:tc>
          <w:tcPr>
            <w:tcW w:w="2407" w:type="dxa"/>
            <w:tcBorders>
              <w:left w:val="single" w:sz="18" w:space="0" w:color="auto"/>
            </w:tcBorders>
          </w:tcPr>
          <w:p w14:paraId="2C06F734"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Retired or not employed</w:t>
            </w:r>
          </w:p>
        </w:tc>
        <w:tc>
          <w:tcPr>
            <w:tcW w:w="1170" w:type="dxa"/>
          </w:tcPr>
          <w:p w14:paraId="22464522"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64.1</w:t>
            </w:r>
          </w:p>
        </w:tc>
        <w:tc>
          <w:tcPr>
            <w:tcW w:w="1078" w:type="dxa"/>
            <w:tcBorders>
              <w:right w:val="single" w:sz="18" w:space="0" w:color="auto"/>
            </w:tcBorders>
          </w:tcPr>
          <w:p w14:paraId="7CD6E883"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44.4</w:t>
            </w:r>
          </w:p>
        </w:tc>
        <w:tc>
          <w:tcPr>
            <w:tcW w:w="4659" w:type="dxa"/>
            <w:gridSpan w:val="3"/>
            <w:tcBorders>
              <w:left w:val="single" w:sz="18" w:space="0" w:color="auto"/>
              <w:right w:val="single" w:sz="18" w:space="0" w:color="auto"/>
            </w:tcBorders>
          </w:tcPr>
          <w:p w14:paraId="5BA2EE83" w14:textId="77777777" w:rsidR="00166F79" w:rsidRPr="00F81ABD" w:rsidRDefault="00166F79" w:rsidP="00154678">
            <w:pPr>
              <w:tabs>
                <w:tab w:val="decimal" w:pos="0"/>
              </w:tabs>
              <w:rPr>
                <w:rFonts w:cstheme="minorHAnsi"/>
                <w:color w:val="000000" w:themeColor="text1"/>
                <w:sz w:val="20"/>
                <w:szCs w:val="20"/>
              </w:rPr>
            </w:pPr>
            <w:r w:rsidRPr="00F81ABD">
              <w:rPr>
                <w:rFonts w:cstheme="minorHAnsi"/>
                <w:b/>
                <w:bCs/>
                <w:color w:val="000000" w:themeColor="text1"/>
                <w:sz w:val="20"/>
                <w:szCs w:val="20"/>
              </w:rPr>
              <w:t>Housing unit type</w:t>
            </w:r>
          </w:p>
        </w:tc>
      </w:tr>
      <w:tr w:rsidR="00166F79" w:rsidRPr="00F81ABD" w14:paraId="120F9C9E" w14:textId="77777777" w:rsidTr="00154678">
        <w:trPr>
          <w:trHeight w:val="144"/>
        </w:trPr>
        <w:tc>
          <w:tcPr>
            <w:tcW w:w="4655" w:type="dxa"/>
            <w:gridSpan w:val="3"/>
            <w:tcBorders>
              <w:left w:val="single" w:sz="18" w:space="0" w:color="auto"/>
              <w:right w:val="single" w:sz="18" w:space="0" w:color="auto"/>
            </w:tcBorders>
          </w:tcPr>
          <w:p w14:paraId="1827CB1E" w14:textId="77777777" w:rsidR="00166F79" w:rsidRPr="00F81ABD" w:rsidRDefault="00166F79" w:rsidP="00154678">
            <w:pPr>
              <w:tabs>
                <w:tab w:val="decimal" w:pos="0"/>
              </w:tabs>
              <w:rPr>
                <w:rFonts w:cstheme="minorHAnsi"/>
                <w:color w:val="000000" w:themeColor="text1"/>
                <w:sz w:val="20"/>
                <w:szCs w:val="20"/>
              </w:rPr>
            </w:pPr>
            <w:r w:rsidRPr="00F81ABD">
              <w:rPr>
                <w:rFonts w:cstheme="minorHAnsi"/>
                <w:b/>
                <w:bCs/>
                <w:color w:val="000000" w:themeColor="text1"/>
                <w:sz w:val="20"/>
                <w:szCs w:val="20"/>
              </w:rPr>
              <w:t>Educational attainment</w:t>
            </w:r>
          </w:p>
        </w:tc>
        <w:tc>
          <w:tcPr>
            <w:tcW w:w="2392" w:type="dxa"/>
            <w:tcBorders>
              <w:left w:val="single" w:sz="18" w:space="0" w:color="auto"/>
            </w:tcBorders>
          </w:tcPr>
          <w:p w14:paraId="49A7F51F"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Single-family</w:t>
            </w:r>
          </w:p>
        </w:tc>
        <w:tc>
          <w:tcPr>
            <w:tcW w:w="1120" w:type="dxa"/>
          </w:tcPr>
          <w:p w14:paraId="4B737B15"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71.4</w:t>
            </w:r>
          </w:p>
        </w:tc>
        <w:tc>
          <w:tcPr>
            <w:tcW w:w="1147" w:type="dxa"/>
            <w:tcBorders>
              <w:right w:val="single" w:sz="18" w:space="0" w:color="auto"/>
            </w:tcBorders>
          </w:tcPr>
          <w:p w14:paraId="28459FC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66.2</w:t>
            </w:r>
          </w:p>
        </w:tc>
      </w:tr>
      <w:tr w:rsidR="00166F79" w:rsidRPr="00F81ABD" w14:paraId="18FCDD77" w14:textId="77777777" w:rsidTr="00154678">
        <w:trPr>
          <w:trHeight w:val="144"/>
        </w:trPr>
        <w:tc>
          <w:tcPr>
            <w:tcW w:w="2407" w:type="dxa"/>
            <w:tcBorders>
              <w:left w:val="single" w:sz="18" w:space="0" w:color="auto"/>
              <w:right w:val="dotted" w:sz="4" w:space="0" w:color="auto"/>
            </w:tcBorders>
          </w:tcPr>
          <w:p w14:paraId="7BF80E85" w14:textId="77777777" w:rsidR="00166F79" w:rsidRPr="00F81ABD" w:rsidRDefault="00166F79" w:rsidP="00154678">
            <w:pPr>
              <w:tabs>
                <w:tab w:val="decimal" w:pos="360"/>
              </w:tabs>
              <w:rPr>
                <w:rFonts w:cstheme="minorHAnsi"/>
                <w:color w:val="000000" w:themeColor="text1"/>
                <w:sz w:val="20"/>
                <w:szCs w:val="20"/>
              </w:rPr>
            </w:pPr>
            <w:r w:rsidRPr="00F81ABD">
              <w:rPr>
                <w:rFonts w:cstheme="minorHAnsi"/>
                <w:color w:val="000000" w:themeColor="text1"/>
                <w:sz w:val="20"/>
                <w:szCs w:val="20"/>
              </w:rPr>
              <w:t xml:space="preserve">  High school or less</w:t>
            </w:r>
          </w:p>
        </w:tc>
        <w:tc>
          <w:tcPr>
            <w:tcW w:w="1170" w:type="dxa"/>
            <w:tcBorders>
              <w:left w:val="dotted" w:sz="4" w:space="0" w:color="auto"/>
              <w:right w:val="dotted" w:sz="4" w:space="0" w:color="auto"/>
            </w:tcBorders>
          </w:tcPr>
          <w:p w14:paraId="7651FC33"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38.4</w:t>
            </w:r>
          </w:p>
        </w:tc>
        <w:tc>
          <w:tcPr>
            <w:tcW w:w="1078" w:type="dxa"/>
            <w:tcBorders>
              <w:left w:val="dotted" w:sz="4" w:space="0" w:color="auto"/>
              <w:right w:val="single" w:sz="18" w:space="0" w:color="auto"/>
            </w:tcBorders>
          </w:tcPr>
          <w:p w14:paraId="42452258"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29.9</w:t>
            </w:r>
          </w:p>
        </w:tc>
        <w:tc>
          <w:tcPr>
            <w:tcW w:w="2392" w:type="dxa"/>
            <w:tcBorders>
              <w:left w:val="single" w:sz="18" w:space="0" w:color="auto"/>
            </w:tcBorders>
          </w:tcPr>
          <w:p w14:paraId="71436082"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Apartment</w:t>
            </w:r>
          </w:p>
        </w:tc>
        <w:tc>
          <w:tcPr>
            <w:tcW w:w="1120" w:type="dxa"/>
          </w:tcPr>
          <w:p w14:paraId="40DA5390"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14.8</w:t>
            </w:r>
          </w:p>
        </w:tc>
        <w:tc>
          <w:tcPr>
            <w:tcW w:w="1147" w:type="dxa"/>
            <w:tcBorders>
              <w:right w:val="single" w:sz="18" w:space="0" w:color="auto"/>
            </w:tcBorders>
          </w:tcPr>
          <w:p w14:paraId="12C48A5D"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22.8</w:t>
            </w:r>
          </w:p>
        </w:tc>
      </w:tr>
      <w:tr w:rsidR="00166F79" w:rsidRPr="00F81ABD" w14:paraId="78D33710" w14:textId="77777777" w:rsidTr="00154678">
        <w:trPr>
          <w:trHeight w:val="144"/>
        </w:trPr>
        <w:tc>
          <w:tcPr>
            <w:tcW w:w="2407" w:type="dxa"/>
            <w:tcBorders>
              <w:left w:val="single" w:sz="18" w:space="0" w:color="auto"/>
            </w:tcBorders>
          </w:tcPr>
          <w:p w14:paraId="37C8E33E" w14:textId="291AD808"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Some college</w:t>
            </w:r>
            <w:r w:rsidR="00A01A48">
              <w:rPr>
                <w:rFonts w:cstheme="minorHAnsi"/>
                <w:color w:val="000000" w:themeColor="text1"/>
                <w:sz w:val="20"/>
                <w:szCs w:val="20"/>
              </w:rPr>
              <w:t>/technical</w:t>
            </w:r>
          </w:p>
        </w:tc>
        <w:tc>
          <w:tcPr>
            <w:tcW w:w="1170" w:type="dxa"/>
          </w:tcPr>
          <w:p w14:paraId="30C2802A"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36.0</w:t>
            </w:r>
          </w:p>
        </w:tc>
        <w:tc>
          <w:tcPr>
            <w:tcW w:w="1078" w:type="dxa"/>
            <w:tcBorders>
              <w:right w:val="single" w:sz="18" w:space="0" w:color="auto"/>
            </w:tcBorders>
          </w:tcPr>
          <w:p w14:paraId="30BB9F67"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31.2</w:t>
            </w:r>
          </w:p>
        </w:tc>
        <w:tc>
          <w:tcPr>
            <w:tcW w:w="2392" w:type="dxa"/>
            <w:tcBorders>
              <w:left w:val="single" w:sz="18" w:space="0" w:color="auto"/>
            </w:tcBorders>
          </w:tcPr>
          <w:p w14:paraId="28DF0B96" w14:textId="77777777" w:rsidR="00166F79" w:rsidRPr="00F81ABD" w:rsidRDefault="00166F79" w:rsidP="00154678">
            <w:pPr>
              <w:rPr>
                <w:rFonts w:cstheme="minorHAnsi"/>
                <w:b/>
                <w:bCs/>
                <w:color w:val="000000" w:themeColor="text1"/>
                <w:sz w:val="20"/>
                <w:szCs w:val="20"/>
              </w:rPr>
            </w:pPr>
            <w:r w:rsidRPr="00F81ABD">
              <w:rPr>
                <w:rFonts w:cstheme="minorHAnsi"/>
                <w:color w:val="EE0000"/>
                <w:sz w:val="20"/>
                <w:szCs w:val="20"/>
              </w:rPr>
              <w:t xml:space="preserve">  </w:t>
            </w:r>
            <w:r w:rsidRPr="00F81ABD">
              <w:rPr>
                <w:rFonts w:cstheme="minorHAnsi"/>
                <w:color w:val="000000" w:themeColor="text1"/>
                <w:sz w:val="20"/>
                <w:szCs w:val="20"/>
              </w:rPr>
              <w:t>Other</w:t>
            </w:r>
          </w:p>
        </w:tc>
        <w:tc>
          <w:tcPr>
            <w:tcW w:w="1120" w:type="dxa"/>
          </w:tcPr>
          <w:p w14:paraId="0FCC32D1"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13.8</w:t>
            </w:r>
          </w:p>
        </w:tc>
        <w:tc>
          <w:tcPr>
            <w:tcW w:w="1147" w:type="dxa"/>
            <w:tcBorders>
              <w:right w:val="single" w:sz="18" w:space="0" w:color="auto"/>
            </w:tcBorders>
          </w:tcPr>
          <w:p w14:paraId="27C62DAE"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11.0</w:t>
            </w:r>
          </w:p>
        </w:tc>
      </w:tr>
      <w:tr w:rsidR="00166F79" w:rsidRPr="00F81ABD" w14:paraId="40EFB628" w14:textId="77777777" w:rsidTr="00154678">
        <w:trPr>
          <w:trHeight w:val="144"/>
        </w:trPr>
        <w:tc>
          <w:tcPr>
            <w:tcW w:w="2407" w:type="dxa"/>
            <w:tcBorders>
              <w:left w:val="single" w:sz="18" w:space="0" w:color="auto"/>
            </w:tcBorders>
          </w:tcPr>
          <w:p w14:paraId="59F44C42" w14:textId="77777777" w:rsidR="00166F79" w:rsidRPr="00F81ABD" w:rsidRDefault="00166F79" w:rsidP="00154678">
            <w:pPr>
              <w:rPr>
                <w:rFonts w:cstheme="minorHAnsi"/>
                <w:color w:val="000000"/>
                <w:sz w:val="20"/>
                <w:szCs w:val="20"/>
              </w:rPr>
            </w:pPr>
            <w:r w:rsidRPr="00F81ABD">
              <w:rPr>
                <w:rFonts w:cstheme="minorHAnsi"/>
                <w:color w:val="000000" w:themeColor="text1"/>
                <w:sz w:val="20"/>
                <w:szCs w:val="20"/>
              </w:rPr>
              <w:t xml:space="preserve">  Bachelor’s degree(s)</w:t>
            </w:r>
          </w:p>
        </w:tc>
        <w:tc>
          <w:tcPr>
            <w:tcW w:w="1170" w:type="dxa"/>
          </w:tcPr>
          <w:p w14:paraId="0C1E6C1A"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14.2</w:t>
            </w:r>
          </w:p>
        </w:tc>
        <w:tc>
          <w:tcPr>
            <w:tcW w:w="1078" w:type="dxa"/>
            <w:tcBorders>
              <w:right w:val="single" w:sz="18" w:space="0" w:color="auto"/>
            </w:tcBorders>
          </w:tcPr>
          <w:p w14:paraId="0625D90C"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18.5</w:t>
            </w:r>
          </w:p>
        </w:tc>
        <w:tc>
          <w:tcPr>
            <w:tcW w:w="4659" w:type="dxa"/>
            <w:gridSpan w:val="3"/>
            <w:tcBorders>
              <w:left w:val="single" w:sz="18" w:space="0" w:color="auto"/>
              <w:right w:val="single" w:sz="18" w:space="0" w:color="auto"/>
            </w:tcBorders>
          </w:tcPr>
          <w:p w14:paraId="75044C4A" w14:textId="77777777" w:rsidR="00166F79" w:rsidRPr="00F81ABD" w:rsidRDefault="00166F79" w:rsidP="00154678">
            <w:pPr>
              <w:tabs>
                <w:tab w:val="decimal" w:pos="0"/>
              </w:tabs>
              <w:rPr>
                <w:rFonts w:cstheme="minorHAnsi"/>
                <w:color w:val="000000" w:themeColor="text1"/>
                <w:sz w:val="20"/>
                <w:szCs w:val="20"/>
              </w:rPr>
            </w:pPr>
            <w:r w:rsidRPr="00F81ABD">
              <w:rPr>
                <w:rFonts w:cstheme="minorHAnsi"/>
                <w:b/>
                <w:bCs/>
                <w:color w:val="000000" w:themeColor="text1"/>
                <w:sz w:val="20"/>
                <w:szCs w:val="20"/>
              </w:rPr>
              <w:t>Homeownership status</w:t>
            </w:r>
          </w:p>
        </w:tc>
      </w:tr>
      <w:tr w:rsidR="00166F79" w:rsidRPr="00F81ABD" w14:paraId="3FACAA43" w14:textId="77777777" w:rsidTr="00154678">
        <w:trPr>
          <w:trHeight w:val="144"/>
        </w:trPr>
        <w:tc>
          <w:tcPr>
            <w:tcW w:w="2407" w:type="dxa"/>
            <w:tcBorders>
              <w:left w:val="single" w:sz="18" w:space="0" w:color="auto"/>
            </w:tcBorders>
          </w:tcPr>
          <w:p w14:paraId="472BFF5D" w14:textId="77777777" w:rsidR="00166F79" w:rsidRPr="00F81ABD" w:rsidRDefault="00166F79" w:rsidP="00154678">
            <w:pPr>
              <w:rPr>
                <w:rFonts w:cstheme="minorHAnsi"/>
                <w:b/>
                <w:bCs/>
                <w:color w:val="000000"/>
                <w:sz w:val="20"/>
                <w:szCs w:val="20"/>
              </w:rPr>
            </w:pPr>
            <w:r w:rsidRPr="00F81ABD">
              <w:rPr>
                <w:rFonts w:cstheme="minorHAnsi"/>
                <w:color w:val="000000" w:themeColor="text1"/>
                <w:sz w:val="20"/>
                <w:szCs w:val="20"/>
              </w:rPr>
              <w:t xml:space="preserve">  Graduate degree(s)</w:t>
            </w:r>
          </w:p>
        </w:tc>
        <w:tc>
          <w:tcPr>
            <w:tcW w:w="1170" w:type="dxa"/>
          </w:tcPr>
          <w:p w14:paraId="7DF05CA9"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11.4</w:t>
            </w:r>
          </w:p>
        </w:tc>
        <w:tc>
          <w:tcPr>
            <w:tcW w:w="1078" w:type="dxa"/>
            <w:tcBorders>
              <w:right w:val="single" w:sz="18" w:space="0" w:color="auto"/>
            </w:tcBorders>
          </w:tcPr>
          <w:p w14:paraId="091FC35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20.4</w:t>
            </w:r>
          </w:p>
        </w:tc>
        <w:tc>
          <w:tcPr>
            <w:tcW w:w="2392" w:type="dxa"/>
            <w:tcBorders>
              <w:left w:val="single" w:sz="18" w:space="0" w:color="auto"/>
            </w:tcBorders>
          </w:tcPr>
          <w:p w14:paraId="2295DBDD"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Own or other</w:t>
            </w:r>
          </w:p>
        </w:tc>
        <w:tc>
          <w:tcPr>
            <w:tcW w:w="1120" w:type="dxa"/>
          </w:tcPr>
          <w:p w14:paraId="6A207F68"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70.7</w:t>
            </w:r>
          </w:p>
        </w:tc>
        <w:tc>
          <w:tcPr>
            <w:tcW w:w="1147" w:type="dxa"/>
            <w:tcBorders>
              <w:right w:val="single" w:sz="18" w:space="0" w:color="auto"/>
            </w:tcBorders>
          </w:tcPr>
          <w:p w14:paraId="7BC4959D"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63.8</w:t>
            </w:r>
          </w:p>
        </w:tc>
      </w:tr>
      <w:tr w:rsidR="00166F79" w:rsidRPr="00F81ABD" w14:paraId="22413EB1" w14:textId="77777777" w:rsidTr="00154678">
        <w:trPr>
          <w:trHeight w:val="144"/>
        </w:trPr>
        <w:tc>
          <w:tcPr>
            <w:tcW w:w="4655" w:type="dxa"/>
            <w:gridSpan w:val="3"/>
            <w:tcBorders>
              <w:left w:val="single" w:sz="18" w:space="0" w:color="auto"/>
              <w:right w:val="single" w:sz="18" w:space="0" w:color="auto"/>
            </w:tcBorders>
          </w:tcPr>
          <w:p w14:paraId="5E0C9A7D" w14:textId="77777777" w:rsidR="00166F79" w:rsidRPr="00F81ABD" w:rsidRDefault="00166F79" w:rsidP="00154678">
            <w:pPr>
              <w:tabs>
                <w:tab w:val="decimal" w:pos="0"/>
              </w:tabs>
              <w:rPr>
                <w:rFonts w:cstheme="minorHAnsi"/>
                <w:color w:val="000000" w:themeColor="text1"/>
                <w:sz w:val="20"/>
                <w:szCs w:val="20"/>
              </w:rPr>
            </w:pPr>
            <w:r w:rsidRPr="00F81ABD">
              <w:rPr>
                <w:rFonts w:cstheme="minorHAnsi"/>
                <w:b/>
                <w:bCs/>
                <w:color w:val="000000" w:themeColor="text1"/>
                <w:sz w:val="20"/>
                <w:szCs w:val="20"/>
              </w:rPr>
              <w:t>Race</w:t>
            </w:r>
          </w:p>
        </w:tc>
        <w:tc>
          <w:tcPr>
            <w:tcW w:w="2392" w:type="dxa"/>
            <w:tcBorders>
              <w:left w:val="single" w:sz="18" w:space="0" w:color="auto"/>
            </w:tcBorders>
          </w:tcPr>
          <w:p w14:paraId="248F988F"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Rent</w:t>
            </w:r>
          </w:p>
        </w:tc>
        <w:tc>
          <w:tcPr>
            <w:tcW w:w="1120" w:type="dxa"/>
          </w:tcPr>
          <w:p w14:paraId="33DC760C"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29.3</w:t>
            </w:r>
          </w:p>
        </w:tc>
        <w:tc>
          <w:tcPr>
            <w:tcW w:w="1147" w:type="dxa"/>
            <w:tcBorders>
              <w:right w:val="single" w:sz="18" w:space="0" w:color="auto"/>
            </w:tcBorders>
          </w:tcPr>
          <w:p w14:paraId="2BA98ADE"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36.2</w:t>
            </w:r>
          </w:p>
        </w:tc>
      </w:tr>
      <w:tr w:rsidR="00166F79" w:rsidRPr="00F81ABD" w14:paraId="47802EF9" w14:textId="77777777" w:rsidTr="00154678">
        <w:trPr>
          <w:trHeight w:val="144"/>
        </w:trPr>
        <w:tc>
          <w:tcPr>
            <w:tcW w:w="2407" w:type="dxa"/>
            <w:tcBorders>
              <w:left w:val="single" w:sz="18" w:space="0" w:color="auto"/>
              <w:right w:val="dotted" w:sz="4" w:space="0" w:color="auto"/>
            </w:tcBorders>
          </w:tcPr>
          <w:p w14:paraId="3C0ED030"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Asian or Pacific Islander</w:t>
            </w:r>
          </w:p>
        </w:tc>
        <w:tc>
          <w:tcPr>
            <w:tcW w:w="1170" w:type="dxa"/>
            <w:tcBorders>
              <w:left w:val="dotted" w:sz="4" w:space="0" w:color="auto"/>
              <w:right w:val="dotted" w:sz="4" w:space="0" w:color="auto"/>
            </w:tcBorders>
          </w:tcPr>
          <w:p w14:paraId="1F558AA5"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sz w:val="20"/>
                <w:szCs w:val="20"/>
              </w:rPr>
              <w:t>8.0</w:t>
            </w:r>
          </w:p>
        </w:tc>
        <w:tc>
          <w:tcPr>
            <w:tcW w:w="1078" w:type="dxa"/>
            <w:tcBorders>
              <w:left w:val="dotted" w:sz="4" w:space="0" w:color="auto"/>
              <w:right w:val="single" w:sz="18" w:space="0" w:color="auto"/>
            </w:tcBorders>
          </w:tcPr>
          <w:p w14:paraId="2FB4A12D"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7.8</w:t>
            </w:r>
          </w:p>
        </w:tc>
        <w:tc>
          <w:tcPr>
            <w:tcW w:w="4659" w:type="dxa"/>
            <w:gridSpan w:val="3"/>
            <w:tcBorders>
              <w:left w:val="single" w:sz="18" w:space="0" w:color="auto"/>
              <w:right w:val="single" w:sz="18" w:space="0" w:color="auto"/>
            </w:tcBorders>
          </w:tcPr>
          <w:p w14:paraId="3F980EE5" w14:textId="77777777" w:rsidR="00166F79" w:rsidRPr="00F81ABD" w:rsidRDefault="00166F79" w:rsidP="00154678">
            <w:pPr>
              <w:tabs>
                <w:tab w:val="decimal" w:pos="0"/>
              </w:tabs>
              <w:rPr>
                <w:rFonts w:cstheme="minorHAnsi"/>
                <w:color w:val="000000"/>
                <w:sz w:val="20"/>
                <w:szCs w:val="20"/>
              </w:rPr>
            </w:pPr>
            <w:r w:rsidRPr="00F81ABD">
              <w:rPr>
                <w:rFonts w:cstheme="minorHAnsi"/>
                <w:b/>
                <w:bCs/>
                <w:color w:val="000000" w:themeColor="text1"/>
                <w:sz w:val="20"/>
                <w:szCs w:val="20"/>
              </w:rPr>
              <w:t>Presence of children</w:t>
            </w:r>
          </w:p>
        </w:tc>
      </w:tr>
      <w:tr w:rsidR="00166F79" w:rsidRPr="00F81ABD" w14:paraId="6DC53097" w14:textId="77777777" w:rsidTr="00154678">
        <w:trPr>
          <w:trHeight w:val="144"/>
        </w:trPr>
        <w:tc>
          <w:tcPr>
            <w:tcW w:w="2407" w:type="dxa"/>
            <w:tcBorders>
              <w:left w:val="single" w:sz="18" w:space="0" w:color="auto"/>
            </w:tcBorders>
          </w:tcPr>
          <w:p w14:paraId="1B96E0C0" w14:textId="77777777" w:rsidR="00166F79" w:rsidRPr="00F81ABD" w:rsidRDefault="00166F79" w:rsidP="00154678">
            <w:pPr>
              <w:rPr>
                <w:rFonts w:cstheme="minorHAnsi"/>
                <w:b/>
                <w:bCs/>
                <w:color w:val="000000"/>
                <w:sz w:val="20"/>
                <w:szCs w:val="20"/>
              </w:rPr>
            </w:pPr>
            <w:r w:rsidRPr="00F81ABD">
              <w:rPr>
                <w:rFonts w:cstheme="minorHAnsi"/>
                <w:color w:val="000000" w:themeColor="text1"/>
                <w:sz w:val="20"/>
                <w:szCs w:val="20"/>
              </w:rPr>
              <w:t xml:space="preserve">  Black</w:t>
            </w:r>
          </w:p>
        </w:tc>
        <w:tc>
          <w:tcPr>
            <w:tcW w:w="1170" w:type="dxa"/>
          </w:tcPr>
          <w:p w14:paraId="0638D482"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11.3</w:t>
            </w:r>
          </w:p>
        </w:tc>
        <w:tc>
          <w:tcPr>
            <w:tcW w:w="1078" w:type="dxa"/>
            <w:tcBorders>
              <w:right w:val="single" w:sz="18" w:space="0" w:color="auto"/>
            </w:tcBorders>
          </w:tcPr>
          <w:p w14:paraId="4D3D3FE4"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18.0</w:t>
            </w:r>
          </w:p>
        </w:tc>
        <w:tc>
          <w:tcPr>
            <w:tcW w:w="2392" w:type="dxa"/>
            <w:tcBorders>
              <w:left w:val="single" w:sz="18" w:space="0" w:color="auto"/>
            </w:tcBorders>
          </w:tcPr>
          <w:p w14:paraId="41C8DE4D"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One or more</w:t>
            </w:r>
          </w:p>
        </w:tc>
        <w:tc>
          <w:tcPr>
            <w:tcW w:w="1120" w:type="dxa"/>
          </w:tcPr>
          <w:p w14:paraId="52050CF5"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21.9</w:t>
            </w:r>
          </w:p>
        </w:tc>
        <w:tc>
          <w:tcPr>
            <w:tcW w:w="1147" w:type="dxa"/>
            <w:tcBorders>
              <w:right w:val="single" w:sz="18" w:space="0" w:color="auto"/>
            </w:tcBorders>
          </w:tcPr>
          <w:p w14:paraId="26CEFCCE"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36.1</w:t>
            </w:r>
          </w:p>
        </w:tc>
      </w:tr>
      <w:tr w:rsidR="00166F79" w:rsidRPr="00F81ABD" w14:paraId="4333B105" w14:textId="77777777" w:rsidTr="00154678">
        <w:trPr>
          <w:trHeight w:val="144"/>
        </w:trPr>
        <w:tc>
          <w:tcPr>
            <w:tcW w:w="2407" w:type="dxa"/>
            <w:tcBorders>
              <w:left w:val="single" w:sz="18" w:space="0" w:color="auto"/>
            </w:tcBorders>
          </w:tcPr>
          <w:p w14:paraId="40E6152E" w14:textId="77777777" w:rsidR="00166F79" w:rsidRPr="00F81ABD" w:rsidRDefault="00166F79" w:rsidP="00154678">
            <w:pPr>
              <w:rPr>
                <w:rFonts w:cstheme="minorHAnsi"/>
                <w:b/>
                <w:bCs/>
                <w:color w:val="000000"/>
                <w:sz w:val="20"/>
                <w:szCs w:val="20"/>
              </w:rPr>
            </w:pPr>
            <w:r w:rsidRPr="00F81ABD">
              <w:rPr>
                <w:rFonts w:cstheme="minorHAnsi"/>
                <w:color w:val="000000"/>
                <w:sz w:val="20"/>
                <w:szCs w:val="20"/>
              </w:rPr>
              <w:t xml:space="preserve">  </w:t>
            </w:r>
            <w:r w:rsidRPr="00F81ABD">
              <w:rPr>
                <w:rFonts w:cstheme="minorHAnsi"/>
                <w:color w:val="000000" w:themeColor="text1"/>
                <w:sz w:val="20"/>
                <w:szCs w:val="20"/>
              </w:rPr>
              <w:t>Other</w:t>
            </w:r>
          </w:p>
        </w:tc>
        <w:tc>
          <w:tcPr>
            <w:tcW w:w="1170" w:type="dxa"/>
          </w:tcPr>
          <w:p w14:paraId="55C75728"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11.5</w:t>
            </w:r>
          </w:p>
        </w:tc>
        <w:tc>
          <w:tcPr>
            <w:tcW w:w="1078" w:type="dxa"/>
            <w:tcBorders>
              <w:right w:val="single" w:sz="18" w:space="0" w:color="auto"/>
            </w:tcBorders>
          </w:tcPr>
          <w:p w14:paraId="5B678461"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13.3</w:t>
            </w:r>
          </w:p>
        </w:tc>
        <w:tc>
          <w:tcPr>
            <w:tcW w:w="2392" w:type="dxa"/>
            <w:tcBorders>
              <w:left w:val="single" w:sz="18" w:space="0" w:color="auto"/>
            </w:tcBorders>
          </w:tcPr>
          <w:p w14:paraId="2D4E57D4"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None</w:t>
            </w:r>
          </w:p>
        </w:tc>
        <w:tc>
          <w:tcPr>
            <w:tcW w:w="1120" w:type="dxa"/>
          </w:tcPr>
          <w:p w14:paraId="318C2AA5"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78.1</w:t>
            </w:r>
          </w:p>
        </w:tc>
        <w:tc>
          <w:tcPr>
            <w:tcW w:w="1147" w:type="dxa"/>
            <w:tcBorders>
              <w:right w:val="single" w:sz="18" w:space="0" w:color="auto"/>
            </w:tcBorders>
          </w:tcPr>
          <w:p w14:paraId="694CD27B"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63.9</w:t>
            </w:r>
          </w:p>
        </w:tc>
      </w:tr>
      <w:tr w:rsidR="00166F79" w:rsidRPr="00F81ABD" w14:paraId="2B6041DA" w14:textId="77777777" w:rsidTr="00154678">
        <w:trPr>
          <w:trHeight w:val="144"/>
        </w:trPr>
        <w:tc>
          <w:tcPr>
            <w:tcW w:w="2407" w:type="dxa"/>
            <w:tcBorders>
              <w:left w:val="single" w:sz="18" w:space="0" w:color="auto"/>
            </w:tcBorders>
          </w:tcPr>
          <w:p w14:paraId="311ADBB8" w14:textId="77777777" w:rsidR="00166F79" w:rsidRPr="00C97AF6" w:rsidRDefault="00166F79" w:rsidP="00154678">
            <w:pPr>
              <w:rPr>
                <w:rFonts w:cstheme="minorHAnsi"/>
                <w:color w:val="000000"/>
                <w:sz w:val="20"/>
                <w:szCs w:val="20"/>
              </w:rPr>
            </w:pPr>
            <w:r>
              <w:rPr>
                <w:rFonts w:cstheme="minorHAnsi"/>
                <w:b/>
                <w:bCs/>
                <w:color w:val="000000"/>
                <w:sz w:val="20"/>
                <w:szCs w:val="20"/>
              </w:rPr>
              <w:t xml:space="preserve">  </w:t>
            </w:r>
            <w:r>
              <w:rPr>
                <w:rFonts w:cstheme="minorHAnsi"/>
                <w:color w:val="000000"/>
                <w:sz w:val="20"/>
                <w:szCs w:val="20"/>
              </w:rPr>
              <w:t>White</w:t>
            </w:r>
          </w:p>
        </w:tc>
        <w:tc>
          <w:tcPr>
            <w:tcW w:w="1170" w:type="dxa"/>
          </w:tcPr>
          <w:p w14:paraId="6E6BDF95" w14:textId="77777777" w:rsidR="00166F79" w:rsidRPr="00F81ABD" w:rsidRDefault="00166F79" w:rsidP="00154678">
            <w:pPr>
              <w:tabs>
                <w:tab w:val="decimal" w:pos="0"/>
              </w:tabs>
              <w:jc w:val="center"/>
              <w:rPr>
                <w:rFonts w:cstheme="minorHAnsi"/>
                <w:color w:val="000000"/>
                <w:sz w:val="20"/>
                <w:szCs w:val="20"/>
              </w:rPr>
            </w:pPr>
            <w:r>
              <w:rPr>
                <w:rFonts w:cstheme="minorHAnsi"/>
                <w:color w:val="000000"/>
                <w:sz w:val="20"/>
                <w:szCs w:val="20"/>
              </w:rPr>
              <w:t>69.2</w:t>
            </w:r>
          </w:p>
        </w:tc>
        <w:tc>
          <w:tcPr>
            <w:tcW w:w="1078" w:type="dxa"/>
            <w:tcBorders>
              <w:right w:val="single" w:sz="18" w:space="0" w:color="auto"/>
            </w:tcBorders>
          </w:tcPr>
          <w:p w14:paraId="3B6D4ABE" w14:textId="77777777" w:rsidR="00166F79" w:rsidRPr="00F81ABD" w:rsidRDefault="00166F79" w:rsidP="00154678">
            <w:pPr>
              <w:tabs>
                <w:tab w:val="decimal" w:pos="0"/>
              </w:tabs>
              <w:jc w:val="center"/>
              <w:rPr>
                <w:rFonts w:cstheme="minorHAnsi"/>
                <w:color w:val="000000" w:themeColor="text1"/>
                <w:sz w:val="20"/>
                <w:szCs w:val="20"/>
              </w:rPr>
            </w:pPr>
            <w:r>
              <w:rPr>
                <w:rFonts w:cstheme="minorHAnsi"/>
                <w:color w:val="000000" w:themeColor="text1"/>
                <w:sz w:val="20"/>
                <w:szCs w:val="20"/>
              </w:rPr>
              <w:t>60.9</w:t>
            </w:r>
          </w:p>
        </w:tc>
        <w:tc>
          <w:tcPr>
            <w:tcW w:w="4659" w:type="dxa"/>
            <w:gridSpan w:val="3"/>
            <w:tcBorders>
              <w:left w:val="single" w:sz="18" w:space="0" w:color="auto"/>
              <w:right w:val="single" w:sz="18" w:space="0" w:color="auto"/>
            </w:tcBorders>
          </w:tcPr>
          <w:p w14:paraId="6AD93F5A" w14:textId="77777777" w:rsidR="00166F79" w:rsidRPr="00F81ABD" w:rsidRDefault="00166F79" w:rsidP="00154678">
            <w:pPr>
              <w:tabs>
                <w:tab w:val="decimal" w:pos="0"/>
              </w:tabs>
              <w:rPr>
                <w:rFonts w:cstheme="minorHAnsi"/>
                <w:color w:val="000000" w:themeColor="text1"/>
                <w:sz w:val="20"/>
                <w:szCs w:val="20"/>
              </w:rPr>
            </w:pPr>
            <w:r w:rsidRPr="00F81ABD">
              <w:rPr>
                <w:rFonts w:cstheme="minorHAnsi"/>
                <w:b/>
                <w:bCs/>
                <w:color w:val="000000" w:themeColor="text1"/>
                <w:sz w:val="20"/>
                <w:szCs w:val="20"/>
              </w:rPr>
              <w:t>Vehicle ownership</w:t>
            </w:r>
          </w:p>
        </w:tc>
      </w:tr>
      <w:tr w:rsidR="00166F79" w:rsidRPr="00F81ABD" w14:paraId="05688632" w14:textId="77777777" w:rsidTr="00154678">
        <w:trPr>
          <w:trHeight w:val="144"/>
        </w:trPr>
        <w:tc>
          <w:tcPr>
            <w:tcW w:w="4655" w:type="dxa"/>
            <w:gridSpan w:val="3"/>
            <w:tcBorders>
              <w:left w:val="single" w:sz="18" w:space="0" w:color="auto"/>
              <w:right w:val="single" w:sz="18" w:space="0" w:color="auto"/>
            </w:tcBorders>
          </w:tcPr>
          <w:p w14:paraId="26CB203D" w14:textId="77777777" w:rsidR="00166F79" w:rsidRPr="00F81ABD" w:rsidRDefault="00166F79" w:rsidP="00154678">
            <w:pPr>
              <w:tabs>
                <w:tab w:val="decimal" w:pos="0"/>
              </w:tabs>
              <w:rPr>
                <w:rFonts w:cstheme="minorHAnsi"/>
                <w:color w:val="000000" w:themeColor="text1"/>
                <w:sz w:val="20"/>
                <w:szCs w:val="20"/>
              </w:rPr>
            </w:pPr>
            <w:r w:rsidRPr="00F81ABD">
              <w:rPr>
                <w:rFonts w:cstheme="minorHAnsi"/>
                <w:b/>
                <w:bCs/>
                <w:color w:val="000000" w:themeColor="text1"/>
                <w:sz w:val="20"/>
                <w:szCs w:val="20"/>
              </w:rPr>
              <w:t>Ethnicity</w:t>
            </w:r>
          </w:p>
        </w:tc>
        <w:tc>
          <w:tcPr>
            <w:tcW w:w="2392" w:type="dxa"/>
            <w:tcBorders>
              <w:left w:val="single" w:sz="18" w:space="0" w:color="auto"/>
            </w:tcBorders>
          </w:tcPr>
          <w:p w14:paraId="59A0880B"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Zero</w:t>
            </w:r>
          </w:p>
        </w:tc>
        <w:tc>
          <w:tcPr>
            <w:tcW w:w="1120" w:type="dxa"/>
          </w:tcPr>
          <w:p w14:paraId="7E8FFD90"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9.6</w:t>
            </w:r>
          </w:p>
        </w:tc>
        <w:tc>
          <w:tcPr>
            <w:tcW w:w="1147" w:type="dxa"/>
            <w:tcBorders>
              <w:right w:val="single" w:sz="18" w:space="0" w:color="auto"/>
            </w:tcBorders>
          </w:tcPr>
          <w:p w14:paraId="74FF68E8"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11.5</w:t>
            </w:r>
          </w:p>
        </w:tc>
      </w:tr>
      <w:tr w:rsidR="00166F79" w:rsidRPr="00F81ABD" w14:paraId="02CDFA32" w14:textId="77777777" w:rsidTr="00154678">
        <w:trPr>
          <w:trHeight w:val="144"/>
        </w:trPr>
        <w:tc>
          <w:tcPr>
            <w:tcW w:w="2407" w:type="dxa"/>
            <w:tcBorders>
              <w:left w:val="single" w:sz="18" w:space="0" w:color="auto"/>
              <w:right w:val="dotted" w:sz="4" w:space="0" w:color="auto"/>
            </w:tcBorders>
          </w:tcPr>
          <w:p w14:paraId="15F0CDA9" w14:textId="77777777" w:rsidR="00166F79" w:rsidRPr="00F81ABD" w:rsidRDefault="00166F79" w:rsidP="00154678">
            <w:pPr>
              <w:rPr>
                <w:rFonts w:cstheme="minorHAnsi"/>
                <w:color w:val="000000" w:themeColor="text1"/>
                <w:sz w:val="20"/>
                <w:szCs w:val="20"/>
              </w:rPr>
            </w:pPr>
            <w:r w:rsidRPr="00F81ABD">
              <w:rPr>
                <w:rFonts w:cstheme="minorHAnsi"/>
                <w:color w:val="000000"/>
                <w:sz w:val="20"/>
                <w:szCs w:val="20"/>
              </w:rPr>
              <w:t xml:space="preserve">  Hispanic</w:t>
            </w:r>
          </w:p>
        </w:tc>
        <w:tc>
          <w:tcPr>
            <w:tcW w:w="1170" w:type="dxa"/>
            <w:tcBorders>
              <w:left w:val="dotted" w:sz="4" w:space="0" w:color="auto"/>
              <w:right w:val="dotted" w:sz="4" w:space="0" w:color="auto"/>
            </w:tcBorders>
          </w:tcPr>
          <w:p w14:paraId="520E874A"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12.9</w:t>
            </w:r>
          </w:p>
        </w:tc>
        <w:tc>
          <w:tcPr>
            <w:tcW w:w="1078" w:type="dxa"/>
            <w:tcBorders>
              <w:left w:val="dotted" w:sz="4" w:space="0" w:color="auto"/>
              <w:right w:val="single" w:sz="18" w:space="0" w:color="auto"/>
            </w:tcBorders>
          </w:tcPr>
          <w:p w14:paraId="1268F2E2"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21.7</w:t>
            </w:r>
          </w:p>
        </w:tc>
        <w:tc>
          <w:tcPr>
            <w:tcW w:w="2392" w:type="dxa"/>
            <w:tcBorders>
              <w:left w:val="single" w:sz="18" w:space="0" w:color="auto"/>
            </w:tcBorders>
          </w:tcPr>
          <w:p w14:paraId="5F3A8923"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One</w:t>
            </w:r>
          </w:p>
        </w:tc>
        <w:tc>
          <w:tcPr>
            <w:tcW w:w="1120" w:type="dxa"/>
          </w:tcPr>
          <w:p w14:paraId="63ABF707"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45.1</w:t>
            </w:r>
          </w:p>
        </w:tc>
        <w:tc>
          <w:tcPr>
            <w:tcW w:w="1147" w:type="dxa"/>
            <w:tcBorders>
              <w:right w:val="single" w:sz="18" w:space="0" w:color="auto"/>
            </w:tcBorders>
          </w:tcPr>
          <w:p w14:paraId="5730B649"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43.6</w:t>
            </w:r>
          </w:p>
        </w:tc>
      </w:tr>
      <w:tr w:rsidR="00166F79" w:rsidRPr="00F81ABD" w14:paraId="44FDAAEF" w14:textId="77777777" w:rsidTr="00154678">
        <w:trPr>
          <w:trHeight w:val="144"/>
        </w:trPr>
        <w:tc>
          <w:tcPr>
            <w:tcW w:w="2407" w:type="dxa"/>
            <w:tcBorders>
              <w:left w:val="single" w:sz="18" w:space="0" w:color="auto"/>
              <w:bottom w:val="single" w:sz="18" w:space="0" w:color="auto"/>
            </w:tcBorders>
          </w:tcPr>
          <w:p w14:paraId="33040451" w14:textId="77777777" w:rsidR="00166F79" w:rsidRPr="00F81ABD" w:rsidRDefault="00166F79" w:rsidP="00154678">
            <w:pPr>
              <w:rPr>
                <w:rFonts w:cstheme="minorHAnsi"/>
                <w:b/>
                <w:bCs/>
                <w:color w:val="000000"/>
                <w:sz w:val="20"/>
                <w:szCs w:val="20"/>
              </w:rPr>
            </w:pPr>
            <w:r w:rsidRPr="00F81ABD">
              <w:rPr>
                <w:rFonts w:cstheme="minorHAnsi"/>
                <w:color w:val="000000"/>
                <w:sz w:val="20"/>
                <w:szCs w:val="20"/>
              </w:rPr>
              <w:t xml:space="preserve">  Non-Hispanic</w:t>
            </w:r>
          </w:p>
        </w:tc>
        <w:tc>
          <w:tcPr>
            <w:tcW w:w="1170" w:type="dxa"/>
            <w:tcBorders>
              <w:bottom w:val="single" w:sz="18" w:space="0" w:color="auto"/>
            </w:tcBorders>
          </w:tcPr>
          <w:p w14:paraId="3C265B17"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87.1</w:t>
            </w:r>
          </w:p>
        </w:tc>
        <w:tc>
          <w:tcPr>
            <w:tcW w:w="1078" w:type="dxa"/>
            <w:tcBorders>
              <w:bottom w:val="single" w:sz="18" w:space="0" w:color="auto"/>
              <w:right w:val="single" w:sz="18" w:space="0" w:color="auto"/>
            </w:tcBorders>
          </w:tcPr>
          <w:p w14:paraId="26814CA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78.3</w:t>
            </w:r>
          </w:p>
        </w:tc>
        <w:tc>
          <w:tcPr>
            <w:tcW w:w="2392" w:type="dxa"/>
            <w:tcBorders>
              <w:left w:val="single" w:sz="18" w:space="0" w:color="auto"/>
              <w:bottom w:val="single" w:sz="18" w:space="0" w:color="auto"/>
            </w:tcBorders>
          </w:tcPr>
          <w:p w14:paraId="4966B7ED" w14:textId="77777777" w:rsidR="00166F79" w:rsidRPr="00F81ABD" w:rsidRDefault="00166F79" w:rsidP="00154678">
            <w:pPr>
              <w:rPr>
                <w:rFonts w:cstheme="minorHAnsi"/>
                <w:color w:val="000000" w:themeColor="text1"/>
                <w:sz w:val="20"/>
                <w:szCs w:val="20"/>
              </w:rPr>
            </w:pPr>
            <w:r w:rsidRPr="00F81ABD">
              <w:rPr>
                <w:rFonts w:cstheme="minorHAnsi"/>
                <w:color w:val="000000" w:themeColor="text1"/>
                <w:sz w:val="20"/>
                <w:szCs w:val="20"/>
              </w:rPr>
              <w:t xml:space="preserve">  Two or more</w:t>
            </w:r>
          </w:p>
        </w:tc>
        <w:tc>
          <w:tcPr>
            <w:tcW w:w="1120" w:type="dxa"/>
            <w:tcBorders>
              <w:bottom w:val="single" w:sz="18" w:space="0" w:color="auto"/>
            </w:tcBorders>
          </w:tcPr>
          <w:p w14:paraId="04AAD259" w14:textId="77777777" w:rsidR="00166F79" w:rsidRPr="00F81ABD" w:rsidRDefault="00166F79" w:rsidP="00154678">
            <w:pPr>
              <w:tabs>
                <w:tab w:val="decimal" w:pos="0"/>
              </w:tabs>
              <w:jc w:val="center"/>
              <w:rPr>
                <w:rFonts w:cstheme="minorHAnsi"/>
                <w:color w:val="000000" w:themeColor="text1"/>
                <w:sz w:val="20"/>
                <w:szCs w:val="20"/>
              </w:rPr>
            </w:pPr>
            <w:r w:rsidRPr="00F81ABD">
              <w:rPr>
                <w:rFonts w:cstheme="minorHAnsi"/>
                <w:color w:val="000000" w:themeColor="text1"/>
                <w:sz w:val="20"/>
                <w:szCs w:val="20"/>
              </w:rPr>
              <w:t>45.3</w:t>
            </w:r>
          </w:p>
        </w:tc>
        <w:tc>
          <w:tcPr>
            <w:tcW w:w="1147" w:type="dxa"/>
            <w:tcBorders>
              <w:bottom w:val="single" w:sz="18" w:space="0" w:color="auto"/>
              <w:right w:val="single" w:sz="18" w:space="0" w:color="auto"/>
            </w:tcBorders>
          </w:tcPr>
          <w:p w14:paraId="28544C3E" w14:textId="77777777" w:rsidR="00166F79" w:rsidRPr="00F81ABD" w:rsidRDefault="00166F79" w:rsidP="00154678">
            <w:pPr>
              <w:tabs>
                <w:tab w:val="decimal" w:pos="0"/>
              </w:tabs>
              <w:jc w:val="center"/>
              <w:rPr>
                <w:rFonts w:cstheme="minorHAnsi"/>
                <w:color w:val="000000"/>
                <w:sz w:val="20"/>
                <w:szCs w:val="20"/>
              </w:rPr>
            </w:pPr>
            <w:r w:rsidRPr="00F81ABD">
              <w:rPr>
                <w:rFonts w:cstheme="minorHAnsi"/>
                <w:color w:val="000000"/>
                <w:sz w:val="20"/>
                <w:szCs w:val="20"/>
              </w:rPr>
              <w:t>44.9</w:t>
            </w:r>
          </w:p>
        </w:tc>
      </w:tr>
    </w:tbl>
    <w:p w14:paraId="2DCCAE42" w14:textId="77777777" w:rsidR="003615F3" w:rsidRPr="00AF4FEC" w:rsidRDefault="003615F3" w:rsidP="001243A0">
      <w:pPr>
        <w:jc w:val="both"/>
        <w:rPr>
          <w:b/>
          <w:bCs/>
          <w:sz w:val="24"/>
          <w:szCs w:val="24"/>
        </w:rPr>
      </w:pPr>
    </w:p>
    <w:p w14:paraId="11B81042" w14:textId="77777777" w:rsidR="00EF55FE" w:rsidRDefault="00EF55FE" w:rsidP="00190C7C">
      <w:pPr>
        <w:rPr>
          <w:b/>
          <w:bCs/>
          <w:sz w:val="24"/>
          <w:szCs w:val="24"/>
        </w:rPr>
      </w:pPr>
    </w:p>
    <w:p w14:paraId="0BE069FF" w14:textId="77777777" w:rsidR="00EF55FE" w:rsidRDefault="00EF55FE" w:rsidP="00190C7C">
      <w:pPr>
        <w:rPr>
          <w:b/>
          <w:bCs/>
          <w:sz w:val="24"/>
          <w:szCs w:val="24"/>
        </w:rPr>
      </w:pPr>
    </w:p>
    <w:p w14:paraId="4BB724EF" w14:textId="5D547384" w:rsidR="00190C7C" w:rsidRPr="00465363" w:rsidRDefault="00190C7C" w:rsidP="00190C7C">
      <w:pPr>
        <w:rPr>
          <w:b/>
          <w:bCs/>
          <w:sz w:val="24"/>
          <w:szCs w:val="24"/>
        </w:rPr>
      </w:pPr>
      <w:r w:rsidRPr="00465363">
        <w:rPr>
          <w:b/>
          <w:bCs/>
          <w:sz w:val="24"/>
          <w:szCs w:val="24"/>
        </w:rPr>
        <w:lastRenderedPageBreak/>
        <w:t xml:space="preserve">3.4 </w:t>
      </w:r>
      <w:r w:rsidR="00CC2C2F" w:rsidRPr="00465363">
        <w:rPr>
          <w:b/>
          <w:bCs/>
          <w:sz w:val="24"/>
          <w:szCs w:val="24"/>
        </w:rPr>
        <w:t xml:space="preserve">Comparison of Attitudes by Transit </w:t>
      </w:r>
      <w:r w:rsidR="0020325F">
        <w:rPr>
          <w:b/>
          <w:bCs/>
          <w:sz w:val="24"/>
          <w:szCs w:val="24"/>
        </w:rPr>
        <w:t>Access</w:t>
      </w:r>
    </w:p>
    <w:p w14:paraId="67E1AC6F" w14:textId="23B39CA2" w:rsidR="00CC2C2F" w:rsidRDefault="001E2EE7" w:rsidP="001E2EE7">
      <w:pPr>
        <w:jc w:val="both"/>
        <w:rPr>
          <w:sz w:val="24"/>
          <w:szCs w:val="24"/>
        </w:rPr>
      </w:pPr>
      <w:r w:rsidRPr="00D5681A">
        <w:rPr>
          <w:sz w:val="24"/>
          <w:szCs w:val="24"/>
        </w:rPr>
        <w:t xml:space="preserve">This section presents a comparison of attitudes toward transportation, travel, the environment, and residential living between the </w:t>
      </w:r>
      <w:r w:rsidRPr="00D5681A">
        <w:rPr>
          <w:i/>
          <w:iCs/>
          <w:sz w:val="24"/>
          <w:szCs w:val="24"/>
        </w:rPr>
        <w:t>Without Access</w:t>
      </w:r>
      <w:r w:rsidRPr="00D5681A">
        <w:rPr>
          <w:sz w:val="24"/>
          <w:szCs w:val="24"/>
        </w:rPr>
        <w:t xml:space="preserve"> and </w:t>
      </w:r>
      <w:r w:rsidRPr="00D5681A">
        <w:rPr>
          <w:i/>
          <w:iCs/>
          <w:sz w:val="24"/>
          <w:szCs w:val="24"/>
        </w:rPr>
        <w:t>With Access</w:t>
      </w:r>
      <w:r w:rsidRPr="00D5681A">
        <w:rPr>
          <w:sz w:val="24"/>
          <w:szCs w:val="24"/>
        </w:rPr>
        <w:t xml:space="preserve"> groups. In addition to understanding the socio-economic characteristics that distinguish between the two groups, it is important to consider differences in attitudes, values, and preferences, as these differences shape where people choose to live, how they travel, and how they view different modal options. A deeper understanding of these attitudinal differences can help inform policies and campaigns aimed at fostering more multimodal travel patterns.</w:t>
      </w:r>
    </w:p>
    <w:p w14:paraId="4A7DEB68" w14:textId="77777777" w:rsidR="00F2464C" w:rsidRPr="00F2464C" w:rsidRDefault="00F2464C" w:rsidP="00F2464C">
      <w:pPr>
        <w:ind w:firstLine="720"/>
        <w:jc w:val="both"/>
        <w:rPr>
          <w:sz w:val="24"/>
          <w:szCs w:val="24"/>
        </w:rPr>
      </w:pPr>
      <w:r w:rsidRPr="00F2464C">
        <w:rPr>
          <w:sz w:val="24"/>
          <w:szCs w:val="24"/>
        </w:rPr>
        <w:t xml:space="preserve">Figure 1 compares the attitudes of the </w:t>
      </w:r>
      <w:r w:rsidRPr="00F2464C">
        <w:rPr>
          <w:i/>
          <w:iCs/>
          <w:sz w:val="24"/>
          <w:szCs w:val="24"/>
        </w:rPr>
        <w:t>Without Access</w:t>
      </w:r>
      <w:r w:rsidRPr="00F2464C">
        <w:rPr>
          <w:sz w:val="24"/>
          <w:szCs w:val="24"/>
        </w:rPr>
        <w:t xml:space="preserve"> and </w:t>
      </w:r>
      <w:r w:rsidRPr="00F2464C">
        <w:rPr>
          <w:i/>
          <w:iCs/>
          <w:sz w:val="24"/>
          <w:szCs w:val="24"/>
        </w:rPr>
        <w:t>With Access</w:t>
      </w:r>
      <w:r w:rsidRPr="00F2464C">
        <w:rPr>
          <w:sz w:val="24"/>
          <w:szCs w:val="24"/>
        </w:rPr>
        <w:t xml:space="preserve"> groups across a range of statements touching on transportation, travel time use, environmental orientation, congestion, and residential preferences. Unless otherwise noted, the percentages reported in this comparison represent the share of respondents who agree with each statement, computed as the sum of the “strongly agree” and “somewhat agree” response categories.</w:t>
      </w:r>
    </w:p>
    <w:p w14:paraId="5BBCD669" w14:textId="77777777" w:rsidR="00F2464C" w:rsidRPr="00F2464C" w:rsidRDefault="00F2464C" w:rsidP="00F2464C">
      <w:pPr>
        <w:ind w:firstLine="720"/>
        <w:jc w:val="both"/>
        <w:rPr>
          <w:sz w:val="24"/>
          <w:szCs w:val="24"/>
        </w:rPr>
      </w:pPr>
      <w:r w:rsidRPr="00F2464C">
        <w:rPr>
          <w:sz w:val="24"/>
          <w:szCs w:val="24"/>
        </w:rPr>
        <w:t xml:space="preserve">The comparison is defined as much by where the two groups agree as by where they diverge. The importance of owning a car is essentially universal and virtually indistinguishable between the two groups, with 85.5 percent of those without access agreeing with this statement compared to 84.4 percent of those with access. Preferences for a spacious home even if farther from transit are similarly close, within two points of one another. On these two fronts at least, it appears that both groups place a similar premium on cars and on spacious living arrangements. </w:t>
      </w:r>
    </w:p>
    <w:p w14:paraId="767A6DFB" w14:textId="510C5FB1" w:rsidR="00F2464C" w:rsidRPr="00F2464C" w:rsidRDefault="00F2464C" w:rsidP="00F2464C">
      <w:pPr>
        <w:ind w:firstLine="720"/>
        <w:jc w:val="both"/>
        <w:rPr>
          <w:sz w:val="24"/>
          <w:szCs w:val="24"/>
        </w:rPr>
      </w:pPr>
      <w:r w:rsidRPr="00F2464C">
        <w:rPr>
          <w:sz w:val="24"/>
          <w:szCs w:val="24"/>
        </w:rPr>
        <w:t>Where the groups diverge most is on transit itself and on the kinds of neighborhoods that support it. Under one-third of those without access like the idea of using public transit personally, compared with over one-half of those with access. Enthusiasm for mixed-use neighborhoods, where stores, restaurants, and homes sit close together, also shows a substantive difference of nearly 17 percentage points between the two groups. This suggests that those with transit access are far more likely to self-select into mix</w:t>
      </w:r>
      <w:r w:rsidR="00583C4D">
        <w:rPr>
          <w:sz w:val="24"/>
          <w:szCs w:val="24"/>
        </w:rPr>
        <w:t>ed</w:t>
      </w:r>
      <w:r w:rsidRPr="00F2464C">
        <w:rPr>
          <w:sz w:val="24"/>
          <w:szCs w:val="24"/>
        </w:rPr>
        <w:t xml:space="preserve">-use neighborhoods. The one item in this cluster where the </w:t>
      </w:r>
      <w:r w:rsidRPr="00F2464C">
        <w:rPr>
          <w:i/>
          <w:iCs/>
          <w:sz w:val="24"/>
          <w:szCs w:val="24"/>
        </w:rPr>
        <w:t>Without Access</w:t>
      </w:r>
      <w:r w:rsidRPr="00F2464C">
        <w:rPr>
          <w:sz w:val="24"/>
          <w:szCs w:val="24"/>
        </w:rPr>
        <w:t xml:space="preserve"> group </w:t>
      </w:r>
      <w:proofErr w:type="gramStart"/>
      <w:r w:rsidRPr="00F2464C">
        <w:rPr>
          <w:sz w:val="24"/>
          <w:szCs w:val="24"/>
        </w:rPr>
        <w:t>actually scores</w:t>
      </w:r>
      <w:proofErr w:type="gramEnd"/>
      <w:r w:rsidRPr="00F2464C">
        <w:rPr>
          <w:sz w:val="24"/>
          <w:szCs w:val="24"/>
        </w:rPr>
        <w:t xml:space="preserve"> higher is the view that apartment living does not provide enough privacy, which fits with this group’s greater concentration in single-family homes. Perceived unavailability of transit, in other words, seems to be associated with a more tepid interest in transit-supportive living more broadly, rather than just a more modest interest in using transit as a means of travel. </w:t>
      </w:r>
    </w:p>
    <w:p w14:paraId="51DA2F58" w14:textId="77777777" w:rsidR="00F2464C" w:rsidRPr="00F2464C" w:rsidRDefault="00F2464C" w:rsidP="00F2464C">
      <w:pPr>
        <w:ind w:firstLine="720"/>
        <w:jc w:val="both"/>
        <w:rPr>
          <w:sz w:val="24"/>
          <w:szCs w:val="24"/>
        </w:rPr>
      </w:pPr>
      <w:r w:rsidRPr="00F2464C">
        <w:rPr>
          <w:sz w:val="24"/>
          <w:szCs w:val="24"/>
        </w:rPr>
        <w:t xml:space="preserve">The environmental items are revealing because they separate stated conviction from actual behavior. Commitment to an environmentally friendly lifestyle differs only moderately between the two groups. But the behavioral items tell a different story. Only 24.4 percent of those without access report using </w:t>
      </w:r>
      <w:proofErr w:type="gramStart"/>
      <w:r w:rsidRPr="00F2464C">
        <w:rPr>
          <w:sz w:val="24"/>
          <w:szCs w:val="24"/>
        </w:rPr>
        <w:t>less</w:t>
      </w:r>
      <w:proofErr w:type="gramEnd"/>
      <w:r w:rsidRPr="00F2464C">
        <w:rPr>
          <w:sz w:val="24"/>
          <w:szCs w:val="24"/>
        </w:rPr>
        <w:t xml:space="preserve"> polluting modes of travel as much as possible, and just 19.9 percent try to walk or bicycle for their trips, compared with 44.8 percent and 40.0 percent among those with access. This suggests that people in both groups hold rather similar values regarding the environment and the importance of following an environmentally friendly lifestyle; however, they diverge in actual behavior because of the differences in built environment contexts, situational and personal circumstances, and multimodal option availability.  </w:t>
      </w:r>
    </w:p>
    <w:p w14:paraId="3A5711DE" w14:textId="77777777" w:rsidR="00F2464C" w:rsidRPr="00F2464C" w:rsidRDefault="00F2464C" w:rsidP="00F2464C">
      <w:pPr>
        <w:ind w:firstLine="720"/>
        <w:jc w:val="both"/>
        <w:rPr>
          <w:sz w:val="24"/>
          <w:szCs w:val="24"/>
        </w:rPr>
      </w:pPr>
      <w:r w:rsidRPr="00F2464C">
        <w:rPr>
          <w:sz w:val="24"/>
          <w:szCs w:val="24"/>
        </w:rPr>
        <w:t xml:space="preserve">Attitudes toward congestion tell a similar story, with differences more likely rooted in where people live rather than what they believe. Those without access are considerably less likely to describe congestion as a major problem in their daily travel, less inclined to adjust their schedules around it, and less willing to pay more for a faster trip. This fits naturally with the low-density, more suburban and exurban residential profile of this Without Access group. For residents in these settings, the everyday travel problem is less about sitting in traffic and more about distance </w:t>
      </w:r>
      <w:r w:rsidRPr="00F2464C">
        <w:rPr>
          <w:sz w:val="24"/>
          <w:szCs w:val="24"/>
        </w:rPr>
        <w:lastRenderedPageBreak/>
        <w:t>and a lack of options, a distinction that matters for the kinds of improvements these residents are likely to value.</w:t>
      </w:r>
    </w:p>
    <w:p w14:paraId="395555C1" w14:textId="77777777" w:rsidR="00F2464C" w:rsidRPr="00F2464C" w:rsidRDefault="00F2464C" w:rsidP="00F2464C">
      <w:pPr>
        <w:ind w:firstLine="720"/>
        <w:jc w:val="both"/>
        <w:rPr>
          <w:sz w:val="24"/>
          <w:szCs w:val="24"/>
        </w:rPr>
      </w:pPr>
      <w:r w:rsidRPr="00F2464C">
        <w:rPr>
          <w:sz w:val="24"/>
          <w:szCs w:val="24"/>
        </w:rPr>
        <w:t xml:space="preserve">Finally, the mobility constraint items reveal interesting patterns of differences. A majority of those without access to transit agree that their situation makes using public transportation hard or nearly impossible, and 70.7 percent say they have no reasonable alternative to their usual way of getting around. Yet 71.8 percent of the Without Access group still describe themselves as satisfied with their transportation options overall. This pattern shows up alongside a more general pattern of lower engagement with the act of traveling itself, as those without access are also less likely to say they enjoy traveling or make good use of time spent traveling. Together, these patterns suggest a group that has adjusted its expectations to fit a more car-reliant environment and lifestyle, coming to treat travel as a necessary task rather than as an experience worth </w:t>
      </w:r>
      <w:proofErr w:type="gramStart"/>
      <w:r w:rsidRPr="00F2464C">
        <w:rPr>
          <w:sz w:val="24"/>
          <w:szCs w:val="24"/>
        </w:rPr>
        <w:t>valuing in its own right</w:t>
      </w:r>
      <w:proofErr w:type="gramEnd"/>
      <w:r w:rsidRPr="00F2464C">
        <w:rPr>
          <w:sz w:val="24"/>
          <w:szCs w:val="24"/>
        </w:rPr>
        <w:t>.</w:t>
      </w:r>
    </w:p>
    <w:p w14:paraId="19C79A5E" w14:textId="77777777" w:rsidR="00F2464C" w:rsidRDefault="00F2464C" w:rsidP="00F2464C">
      <w:pPr>
        <w:ind w:firstLine="720"/>
        <w:jc w:val="both"/>
        <w:rPr>
          <w:sz w:val="24"/>
          <w:szCs w:val="24"/>
        </w:rPr>
      </w:pPr>
      <w:r w:rsidRPr="00F2464C">
        <w:rPr>
          <w:sz w:val="24"/>
          <w:szCs w:val="24"/>
        </w:rPr>
        <w:t xml:space="preserve">Taken as a whole, </w:t>
      </w:r>
      <w:proofErr w:type="gramStart"/>
      <w:r w:rsidRPr="00F2464C">
        <w:rPr>
          <w:sz w:val="24"/>
          <w:szCs w:val="24"/>
        </w:rPr>
        <w:t>the attitudinal</w:t>
      </w:r>
      <w:proofErr w:type="gramEnd"/>
      <w:r w:rsidRPr="00F2464C">
        <w:rPr>
          <w:sz w:val="24"/>
          <w:szCs w:val="24"/>
        </w:rPr>
        <w:t xml:space="preserve"> comparison is helpful in discerning the values, perceptions, and preferences of those with and without access to transit. They place the same value on car ownership and living space, but those without transit access feel less drawn to transit-supportive ways of living, are largely unbothered by congestion, and appear largely content with a more limited car-oriented transportation context.</w:t>
      </w:r>
    </w:p>
    <w:p w14:paraId="50E1CB0A" w14:textId="77777777" w:rsidR="00BE5634" w:rsidRDefault="00BE5634" w:rsidP="00F2464C">
      <w:pPr>
        <w:ind w:firstLine="720"/>
        <w:jc w:val="both"/>
        <w:rPr>
          <w:sz w:val="24"/>
          <w:szCs w:val="24"/>
        </w:rPr>
      </w:pPr>
    </w:p>
    <w:p w14:paraId="2B9394C4" w14:textId="33160239" w:rsidR="006061E7" w:rsidRPr="00F2464C" w:rsidRDefault="00F674FD" w:rsidP="006061E7">
      <w:pPr>
        <w:jc w:val="both"/>
        <w:rPr>
          <w:sz w:val="24"/>
          <w:szCs w:val="24"/>
        </w:rPr>
      </w:pPr>
      <w:r>
        <w:rPr>
          <w:noProof/>
          <w:sz w:val="24"/>
          <w:szCs w:val="24"/>
        </w:rPr>
        <w:drawing>
          <wp:inline distT="0" distB="0" distL="0" distR="0" wp14:anchorId="370CA10B" wp14:editId="3A61BDFB">
            <wp:extent cx="5924109" cy="2903743"/>
            <wp:effectExtent l="0" t="0" r="0" b="0"/>
            <wp:docPr id="11818149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80872" cy="2931566"/>
                    </a:xfrm>
                    <a:prstGeom prst="rect">
                      <a:avLst/>
                    </a:prstGeom>
                    <a:noFill/>
                  </pic:spPr>
                </pic:pic>
              </a:graphicData>
            </a:graphic>
          </wp:inline>
        </w:drawing>
      </w:r>
    </w:p>
    <w:p w14:paraId="67F44659" w14:textId="74846C0A" w:rsidR="00147429" w:rsidRPr="00147429" w:rsidRDefault="00147429" w:rsidP="00147429">
      <w:pPr>
        <w:jc w:val="center"/>
        <w:rPr>
          <w:b/>
          <w:iCs/>
          <w:sz w:val="24"/>
          <w:szCs w:val="24"/>
        </w:rPr>
      </w:pPr>
      <w:r w:rsidRPr="00147429">
        <w:rPr>
          <w:b/>
          <w:iCs/>
          <w:sz w:val="24"/>
          <w:szCs w:val="24"/>
        </w:rPr>
        <w:t>Figure 1. Transportation and Residential Attitudes by Reported Transit A</w:t>
      </w:r>
      <w:r w:rsidR="0020325F">
        <w:rPr>
          <w:b/>
          <w:iCs/>
          <w:sz w:val="24"/>
          <w:szCs w:val="24"/>
        </w:rPr>
        <w:t>ccess</w:t>
      </w:r>
      <w:r w:rsidRPr="00147429">
        <w:rPr>
          <w:b/>
          <w:iCs/>
          <w:sz w:val="24"/>
          <w:szCs w:val="24"/>
        </w:rPr>
        <w:t xml:space="preserve"> </w:t>
      </w:r>
    </w:p>
    <w:p w14:paraId="213BC5F6" w14:textId="6C52CCF8" w:rsidR="00147429" w:rsidRPr="00147429" w:rsidRDefault="00147429" w:rsidP="00147429">
      <w:pPr>
        <w:jc w:val="center"/>
        <w:rPr>
          <w:b/>
          <w:iCs/>
          <w:sz w:val="24"/>
          <w:szCs w:val="24"/>
        </w:rPr>
      </w:pPr>
      <w:r w:rsidRPr="00147429">
        <w:rPr>
          <w:b/>
          <w:iCs/>
          <w:sz w:val="24"/>
          <w:szCs w:val="24"/>
        </w:rPr>
        <w:t xml:space="preserve">(Percent Somewhat or Strongly Agreeing with Each Statement; </w:t>
      </w:r>
      <w:r w:rsidR="006F662F">
        <w:rPr>
          <w:b/>
          <w:iCs/>
          <w:sz w:val="24"/>
          <w:szCs w:val="24"/>
        </w:rPr>
        <w:t>Without Access</w:t>
      </w:r>
      <w:r w:rsidRPr="00147429">
        <w:rPr>
          <w:b/>
          <w:iCs/>
          <w:sz w:val="24"/>
          <w:szCs w:val="24"/>
        </w:rPr>
        <w:t xml:space="preserve"> = 2,388; </w:t>
      </w:r>
      <w:r w:rsidR="006F662F">
        <w:rPr>
          <w:b/>
          <w:iCs/>
          <w:sz w:val="24"/>
          <w:szCs w:val="24"/>
        </w:rPr>
        <w:t>With Access</w:t>
      </w:r>
      <w:r w:rsidRPr="00147429">
        <w:rPr>
          <w:b/>
          <w:iCs/>
          <w:sz w:val="24"/>
          <w:szCs w:val="24"/>
        </w:rPr>
        <w:t xml:space="preserve"> = 5,885)</w:t>
      </w:r>
    </w:p>
    <w:p w14:paraId="3374BC2E" w14:textId="77777777" w:rsidR="009C0522" w:rsidRDefault="009C0522" w:rsidP="001243A0">
      <w:pPr>
        <w:rPr>
          <w:sz w:val="24"/>
          <w:szCs w:val="24"/>
        </w:rPr>
      </w:pPr>
    </w:p>
    <w:p w14:paraId="5DDEDD19" w14:textId="520FC1A3" w:rsidR="00465363" w:rsidRDefault="00465363" w:rsidP="00465363">
      <w:pPr>
        <w:rPr>
          <w:b/>
          <w:bCs/>
          <w:sz w:val="24"/>
          <w:szCs w:val="24"/>
        </w:rPr>
      </w:pPr>
      <w:r w:rsidRPr="00465363">
        <w:rPr>
          <w:b/>
          <w:bCs/>
          <w:sz w:val="24"/>
          <w:szCs w:val="24"/>
        </w:rPr>
        <w:t>3.5 Travel Choices and Mode Use Patterns by Transit Access</w:t>
      </w:r>
    </w:p>
    <w:p w14:paraId="55FE3BDE" w14:textId="7C25B8FE" w:rsidR="005F1031" w:rsidRPr="005F1031" w:rsidRDefault="005F1031" w:rsidP="005F1031">
      <w:pPr>
        <w:jc w:val="both"/>
        <w:rPr>
          <w:sz w:val="24"/>
          <w:szCs w:val="24"/>
        </w:rPr>
      </w:pPr>
      <w:r w:rsidRPr="005F1031">
        <w:rPr>
          <w:sz w:val="24"/>
          <w:szCs w:val="24"/>
        </w:rPr>
        <w:t xml:space="preserve">This section compares how the </w:t>
      </w:r>
      <w:r w:rsidRPr="005F1031">
        <w:rPr>
          <w:i/>
          <w:iCs/>
          <w:sz w:val="24"/>
          <w:szCs w:val="24"/>
        </w:rPr>
        <w:t>Without Access</w:t>
      </w:r>
      <w:r w:rsidRPr="005F1031">
        <w:rPr>
          <w:sz w:val="24"/>
          <w:szCs w:val="24"/>
        </w:rPr>
        <w:t xml:space="preserve"> and </w:t>
      </w:r>
      <w:r w:rsidRPr="005F1031">
        <w:rPr>
          <w:i/>
          <w:iCs/>
          <w:sz w:val="24"/>
          <w:szCs w:val="24"/>
        </w:rPr>
        <w:t>With Access</w:t>
      </w:r>
      <w:r w:rsidRPr="005F1031">
        <w:rPr>
          <w:sz w:val="24"/>
          <w:szCs w:val="24"/>
        </w:rPr>
        <w:t xml:space="preserve"> groups differ in the use of various travel modes, specifically driving alone, riding in a carpool or vanpool (informal or formal), using a ride</w:t>
      </w:r>
      <w:r w:rsidR="00927C9E">
        <w:rPr>
          <w:sz w:val="24"/>
          <w:szCs w:val="24"/>
        </w:rPr>
        <w:t>-</w:t>
      </w:r>
      <w:r w:rsidRPr="005F1031">
        <w:rPr>
          <w:sz w:val="24"/>
          <w:szCs w:val="24"/>
        </w:rPr>
        <w:t xml:space="preserve">hailing service, walking, and bicycling. Comparing mode use across the two groups helps establish the extent to which the absence of transit is offset by greater reliance on other modes, or whether it instead reflects a broader shortage of travel options in these </w:t>
      </w:r>
      <w:r w:rsidR="00583C4D" w:rsidRPr="005F1031">
        <w:rPr>
          <w:sz w:val="24"/>
          <w:szCs w:val="24"/>
        </w:rPr>
        <w:t>residents’</w:t>
      </w:r>
      <w:r w:rsidRPr="005F1031">
        <w:rPr>
          <w:sz w:val="24"/>
          <w:szCs w:val="24"/>
        </w:rPr>
        <w:t xml:space="preserve"> contexts. Figure 2 presents this comparison.</w:t>
      </w:r>
    </w:p>
    <w:p w14:paraId="154B950F" w14:textId="77777777" w:rsidR="005F1031" w:rsidRPr="005F1031" w:rsidRDefault="005F1031" w:rsidP="005F1031">
      <w:pPr>
        <w:ind w:firstLine="720"/>
        <w:jc w:val="both"/>
        <w:rPr>
          <w:sz w:val="24"/>
          <w:szCs w:val="24"/>
        </w:rPr>
      </w:pPr>
      <w:r w:rsidRPr="005F1031">
        <w:rPr>
          <w:sz w:val="24"/>
          <w:szCs w:val="24"/>
        </w:rPr>
        <w:lastRenderedPageBreak/>
        <w:t xml:space="preserve">Driving alone looks quite similar across the two groups, and this similarity is worth noting at the outset, since it shows that perceived transit unavailability does not necessarily separate drivers from non-drivers. About 70 percent of both groups drive alone at least once a week, and the shares reporting less frequent solo driving are quite similar as well. It does not appear that the use of the private automobile distinguishes the </w:t>
      </w:r>
      <w:r w:rsidRPr="005F1031">
        <w:rPr>
          <w:i/>
          <w:iCs/>
          <w:sz w:val="24"/>
          <w:szCs w:val="24"/>
        </w:rPr>
        <w:t>Without Access</w:t>
      </w:r>
      <w:r w:rsidRPr="005F1031">
        <w:rPr>
          <w:sz w:val="24"/>
          <w:szCs w:val="24"/>
        </w:rPr>
        <w:t xml:space="preserve"> group from the </w:t>
      </w:r>
      <w:r w:rsidRPr="005F1031">
        <w:rPr>
          <w:i/>
          <w:iCs/>
          <w:sz w:val="24"/>
          <w:szCs w:val="24"/>
        </w:rPr>
        <w:t>With Access</w:t>
      </w:r>
      <w:r w:rsidRPr="005F1031">
        <w:rPr>
          <w:sz w:val="24"/>
          <w:szCs w:val="24"/>
        </w:rPr>
        <w:t xml:space="preserve"> group.</w:t>
      </w:r>
    </w:p>
    <w:p w14:paraId="0FA21906" w14:textId="77777777" w:rsidR="005F1031" w:rsidRPr="005F1031" w:rsidRDefault="005F1031" w:rsidP="005F1031">
      <w:pPr>
        <w:ind w:firstLine="720"/>
        <w:jc w:val="both"/>
        <w:rPr>
          <w:sz w:val="24"/>
          <w:szCs w:val="24"/>
        </w:rPr>
      </w:pPr>
      <w:r w:rsidRPr="005F1031">
        <w:rPr>
          <w:sz w:val="24"/>
          <w:szCs w:val="24"/>
        </w:rPr>
        <w:t xml:space="preserve">Carpooling and vanpooling show a modest gap favoring the </w:t>
      </w:r>
      <w:r w:rsidRPr="005F1031">
        <w:rPr>
          <w:i/>
          <w:iCs/>
          <w:sz w:val="24"/>
          <w:szCs w:val="24"/>
        </w:rPr>
        <w:t>With Access</w:t>
      </w:r>
      <w:r w:rsidRPr="005F1031">
        <w:rPr>
          <w:sz w:val="24"/>
          <w:szCs w:val="24"/>
        </w:rPr>
        <w:t xml:space="preserve"> group. Fifty-seven percent of those with access ride in a carpool or vanpool at least once a week, compared with 52.1 percent of those without access, and a somewhat larger share of the </w:t>
      </w:r>
      <w:r w:rsidRPr="005F1031">
        <w:rPr>
          <w:i/>
          <w:iCs/>
          <w:sz w:val="24"/>
          <w:szCs w:val="24"/>
        </w:rPr>
        <w:t>Without Access</w:t>
      </w:r>
      <w:r w:rsidRPr="005F1031">
        <w:rPr>
          <w:sz w:val="24"/>
          <w:szCs w:val="24"/>
        </w:rPr>
        <w:t xml:space="preserve"> group, 16.8 percent, reports that carpooling is not available to them at all (versus 9.1 percent among those with access).</w:t>
      </w:r>
    </w:p>
    <w:p w14:paraId="58A6B3F9" w14:textId="7A73581D" w:rsidR="005F1031" w:rsidRPr="005F1031" w:rsidRDefault="005F1031" w:rsidP="005F1031">
      <w:pPr>
        <w:ind w:firstLine="720"/>
        <w:jc w:val="both"/>
        <w:rPr>
          <w:sz w:val="24"/>
          <w:szCs w:val="24"/>
        </w:rPr>
      </w:pPr>
      <w:r w:rsidRPr="005F1031">
        <w:rPr>
          <w:sz w:val="24"/>
          <w:szCs w:val="24"/>
        </w:rPr>
        <w:t>The starkest difference in the figure emerges for ride</w:t>
      </w:r>
      <w:r w:rsidR="00927C9E">
        <w:rPr>
          <w:sz w:val="24"/>
          <w:szCs w:val="24"/>
        </w:rPr>
        <w:t>-</w:t>
      </w:r>
      <w:r w:rsidRPr="005F1031">
        <w:rPr>
          <w:sz w:val="24"/>
          <w:szCs w:val="24"/>
        </w:rPr>
        <w:t>hailing. More than half of those without access, 57.4 percent, report that a ride</w:t>
      </w:r>
      <w:r w:rsidR="00927C9E">
        <w:rPr>
          <w:sz w:val="24"/>
          <w:szCs w:val="24"/>
        </w:rPr>
        <w:t>-</w:t>
      </w:r>
      <w:r w:rsidRPr="005F1031">
        <w:rPr>
          <w:sz w:val="24"/>
          <w:szCs w:val="24"/>
        </w:rPr>
        <w:t>hailing service is not available to them, compared with only 9.7 percent of those with access. Frequent use, at least once a week, is uncommon in both groups but especially rare among those without access, at roughly 2 percent, compared with 11.9 percent among those with access.</w:t>
      </w:r>
      <w:r w:rsidR="000519B0">
        <w:rPr>
          <w:sz w:val="24"/>
          <w:szCs w:val="24"/>
        </w:rPr>
        <w:t xml:space="preserve"> </w:t>
      </w:r>
      <w:r w:rsidRPr="005F1031">
        <w:rPr>
          <w:sz w:val="24"/>
          <w:szCs w:val="24"/>
        </w:rPr>
        <w:t xml:space="preserve">Considering frequent and infrequent use together, only about 18 percent of the </w:t>
      </w:r>
      <w:r w:rsidRPr="005F1031">
        <w:rPr>
          <w:i/>
          <w:iCs/>
          <w:sz w:val="24"/>
          <w:szCs w:val="24"/>
        </w:rPr>
        <w:t>Without Access</w:t>
      </w:r>
      <w:r w:rsidRPr="005F1031">
        <w:rPr>
          <w:sz w:val="24"/>
          <w:szCs w:val="24"/>
        </w:rPr>
        <w:t xml:space="preserve"> group uses ride</w:t>
      </w:r>
      <w:r w:rsidR="00927C9E">
        <w:rPr>
          <w:sz w:val="24"/>
          <w:szCs w:val="24"/>
        </w:rPr>
        <w:t>-</w:t>
      </w:r>
      <w:r w:rsidRPr="005F1031">
        <w:rPr>
          <w:sz w:val="24"/>
          <w:szCs w:val="24"/>
        </w:rPr>
        <w:t xml:space="preserve">hailing at all, compared with over half of the </w:t>
      </w:r>
      <w:r w:rsidRPr="005F1031">
        <w:rPr>
          <w:i/>
          <w:iCs/>
          <w:sz w:val="24"/>
          <w:szCs w:val="24"/>
        </w:rPr>
        <w:t>With Access</w:t>
      </w:r>
      <w:r w:rsidRPr="005F1031">
        <w:rPr>
          <w:sz w:val="24"/>
          <w:szCs w:val="24"/>
        </w:rPr>
        <w:t xml:space="preserve"> group. This finding is noteworthy since ride</w:t>
      </w:r>
      <w:r w:rsidR="00927C9E">
        <w:rPr>
          <w:sz w:val="24"/>
          <w:szCs w:val="24"/>
        </w:rPr>
        <w:t>-</w:t>
      </w:r>
      <w:r w:rsidRPr="005F1031">
        <w:rPr>
          <w:sz w:val="24"/>
          <w:szCs w:val="24"/>
        </w:rPr>
        <w:t>hailing is sometimes proposed as a private-sector substitute for transit in areas where transit service is limited. The results here point in the opposite direction; ride</w:t>
      </w:r>
      <w:r w:rsidR="00927C9E">
        <w:rPr>
          <w:sz w:val="24"/>
          <w:szCs w:val="24"/>
        </w:rPr>
        <w:t>-</w:t>
      </w:r>
      <w:r w:rsidRPr="005F1031">
        <w:rPr>
          <w:sz w:val="24"/>
          <w:szCs w:val="24"/>
        </w:rPr>
        <w:t xml:space="preserve">hailing services tend to be available in the same places where transit operates, rather than filling a void where transit is absent. </w:t>
      </w:r>
    </w:p>
    <w:p w14:paraId="0E534B86" w14:textId="5BB3732D" w:rsidR="005F1031" w:rsidRPr="005F1031" w:rsidRDefault="005F1031" w:rsidP="005F1031">
      <w:pPr>
        <w:ind w:firstLine="720"/>
        <w:jc w:val="both"/>
        <w:rPr>
          <w:sz w:val="24"/>
          <w:szCs w:val="24"/>
        </w:rPr>
      </w:pPr>
      <w:r w:rsidRPr="005F1031">
        <w:rPr>
          <w:sz w:val="24"/>
          <w:szCs w:val="24"/>
        </w:rPr>
        <w:t xml:space="preserve">This pattern is consistent with the residential context established earlier for the </w:t>
      </w:r>
      <w:r w:rsidRPr="005F1031">
        <w:rPr>
          <w:i/>
          <w:iCs/>
          <w:sz w:val="24"/>
          <w:szCs w:val="24"/>
        </w:rPr>
        <w:t xml:space="preserve">Without Access </w:t>
      </w:r>
      <w:r w:rsidRPr="005F1031">
        <w:rPr>
          <w:sz w:val="24"/>
          <w:szCs w:val="24"/>
        </w:rPr>
        <w:t>group, one of lower-density suburban and exurban settings where automobile ownership and use already run quite high. Ride</w:t>
      </w:r>
      <w:r w:rsidR="00927C9E">
        <w:rPr>
          <w:sz w:val="24"/>
          <w:szCs w:val="24"/>
        </w:rPr>
        <w:t>-</w:t>
      </w:r>
      <w:r w:rsidRPr="005F1031">
        <w:rPr>
          <w:sz w:val="24"/>
          <w:szCs w:val="24"/>
        </w:rPr>
        <w:t xml:space="preserve">hailing services tend to concentrate in denser settings, where travel demand is high enough to sustain them and residents are more inclined to seek multimodal alternatives to the automobile. In the lower-density settings that characterize the </w:t>
      </w:r>
      <w:r w:rsidRPr="005F1031">
        <w:rPr>
          <w:i/>
          <w:iCs/>
          <w:sz w:val="24"/>
          <w:szCs w:val="24"/>
        </w:rPr>
        <w:t>Without Access</w:t>
      </w:r>
      <w:r w:rsidRPr="005F1031">
        <w:rPr>
          <w:sz w:val="24"/>
          <w:szCs w:val="24"/>
        </w:rPr>
        <w:t xml:space="preserve"> group, demand for ride</w:t>
      </w:r>
      <w:r w:rsidR="00927C9E">
        <w:rPr>
          <w:sz w:val="24"/>
          <w:szCs w:val="24"/>
        </w:rPr>
        <w:t>-</w:t>
      </w:r>
      <w:r w:rsidRPr="005F1031">
        <w:rPr>
          <w:sz w:val="24"/>
          <w:szCs w:val="24"/>
        </w:rPr>
        <w:t>hailing is simply less likely to exist. Hence, its limited availability there may reflect market realities as much as any gap in service provision. This suggests that ride</w:t>
      </w:r>
      <w:r w:rsidR="00927C9E">
        <w:rPr>
          <w:sz w:val="24"/>
          <w:szCs w:val="24"/>
        </w:rPr>
        <w:t>-</w:t>
      </w:r>
      <w:r w:rsidRPr="005F1031">
        <w:rPr>
          <w:sz w:val="24"/>
          <w:szCs w:val="24"/>
        </w:rPr>
        <w:t>hailing does not fill the void left by the absence of transit, not because providers have overlooked these areas, but because the travel patterns typical of these settings do not generate the demand ride</w:t>
      </w:r>
      <w:r w:rsidR="00927C9E">
        <w:rPr>
          <w:sz w:val="24"/>
          <w:szCs w:val="24"/>
        </w:rPr>
        <w:t>-</w:t>
      </w:r>
      <w:r w:rsidRPr="005F1031">
        <w:rPr>
          <w:sz w:val="24"/>
          <w:szCs w:val="24"/>
        </w:rPr>
        <w:t>hailing needs to be economically viable.</w:t>
      </w:r>
    </w:p>
    <w:p w14:paraId="606CA15B" w14:textId="77777777" w:rsidR="009C0522" w:rsidRDefault="009C0522" w:rsidP="001243A0">
      <w:pPr>
        <w:rPr>
          <w:rFonts w:eastAsia="Calibri"/>
          <w:sz w:val="20"/>
          <w:szCs w:val="20"/>
        </w:rPr>
      </w:pPr>
    </w:p>
    <w:p w14:paraId="3041B14E" w14:textId="3CA32308" w:rsidR="00AF45F3" w:rsidRDefault="007459D8" w:rsidP="000202E8">
      <w:pPr>
        <w:rPr>
          <w:b/>
          <w:bCs/>
          <w:color w:val="000000"/>
        </w:rPr>
      </w:pPr>
      <w:r>
        <w:rPr>
          <w:b/>
          <w:bCs/>
          <w:noProof/>
          <w:color w:val="000000"/>
        </w:rPr>
        <w:lastRenderedPageBreak/>
        <w:drawing>
          <wp:inline distT="0" distB="0" distL="0" distR="0" wp14:anchorId="78816DF4" wp14:editId="141BE8C6">
            <wp:extent cx="5945751" cy="2894896"/>
            <wp:effectExtent l="0" t="0" r="0" b="0"/>
            <wp:docPr id="13560395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94865" cy="2918809"/>
                    </a:xfrm>
                    <a:prstGeom prst="rect">
                      <a:avLst/>
                    </a:prstGeom>
                    <a:noFill/>
                  </pic:spPr>
                </pic:pic>
              </a:graphicData>
            </a:graphic>
          </wp:inline>
        </w:drawing>
      </w:r>
    </w:p>
    <w:p w14:paraId="58323DC4" w14:textId="2092BCF5" w:rsidR="00F252B9" w:rsidRPr="003D38EC" w:rsidRDefault="00F252B9" w:rsidP="00F252B9">
      <w:pPr>
        <w:jc w:val="center"/>
        <w:rPr>
          <w:b/>
          <w:iCs/>
          <w:sz w:val="24"/>
          <w:szCs w:val="20"/>
        </w:rPr>
      </w:pPr>
      <w:r w:rsidRPr="003D38EC">
        <w:rPr>
          <w:b/>
          <w:iCs/>
          <w:sz w:val="24"/>
          <w:szCs w:val="20"/>
        </w:rPr>
        <w:t>Figure 2. Travel Mode Use Frequency by Reported Transit A</w:t>
      </w:r>
      <w:r w:rsidR="00873FD1">
        <w:rPr>
          <w:b/>
          <w:iCs/>
          <w:sz w:val="24"/>
          <w:szCs w:val="20"/>
        </w:rPr>
        <w:t>ccess</w:t>
      </w:r>
    </w:p>
    <w:p w14:paraId="1A787BE5" w14:textId="058CBBD4" w:rsidR="00F252B9" w:rsidRPr="003D38EC" w:rsidRDefault="00F252B9" w:rsidP="00F252B9">
      <w:pPr>
        <w:jc w:val="center"/>
        <w:rPr>
          <w:b/>
          <w:iCs/>
          <w:sz w:val="24"/>
          <w:szCs w:val="20"/>
        </w:rPr>
      </w:pPr>
      <w:r w:rsidRPr="003D38EC">
        <w:rPr>
          <w:b/>
          <w:iCs/>
          <w:sz w:val="24"/>
          <w:szCs w:val="20"/>
        </w:rPr>
        <w:t xml:space="preserve">(Percent of Respondents; </w:t>
      </w:r>
      <w:r w:rsidR="006F662F">
        <w:rPr>
          <w:b/>
          <w:iCs/>
          <w:sz w:val="24"/>
          <w:szCs w:val="20"/>
        </w:rPr>
        <w:t>Without Access</w:t>
      </w:r>
      <w:r w:rsidRPr="003D38EC">
        <w:rPr>
          <w:b/>
          <w:iCs/>
          <w:sz w:val="24"/>
          <w:szCs w:val="20"/>
        </w:rPr>
        <w:t xml:space="preserve"> = 2,388; </w:t>
      </w:r>
      <w:r w:rsidR="006F662F">
        <w:rPr>
          <w:b/>
          <w:iCs/>
          <w:sz w:val="24"/>
          <w:szCs w:val="20"/>
        </w:rPr>
        <w:t>With Access</w:t>
      </w:r>
      <w:r w:rsidRPr="003D38EC">
        <w:rPr>
          <w:b/>
          <w:iCs/>
          <w:sz w:val="24"/>
          <w:szCs w:val="20"/>
        </w:rPr>
        <w:t xml:space="preserve"> = 5,885)</w:t>
      </w:r>
    </w:p>
    <w:p w14:paraId="4C2E1695" w14:textId="77777777" w:rsidR="003D38EC" w:rsidRDefault="003D38EC" w:rsidP="003D38EC">
      <w:pPr>
        <w:rPr>
          <w:bCs/>
          <w:iCs/>
          <w:sz w:val="24"/>
          <w:szCs w:val="20"/>
        </w:rPr>
      </w:pPr>
    </w:p>
    <w:p w14:paraId="34D4AEA3" w14:textId="369DCB3A" w:rsidR="009932D4" w:rsidRPr="009932D4" w:rsidRDefault="009932D4" w:rsidP="009932D4">
      <w:pPr>
        <w:ind w:firstLine="720"/>
        <w:jc w:val="both"/>
        <w:rPr>
          <w:sz w:val="24"/>
          <w:szCs w:val="24"/>
        </w:rPr>
      </w:pPr>
      <w:r w:rsidRPr="009932D4">
        <w:rPr>
          <w:sz w:val="24"/>
          <w:szCs w:val="24"/>
        </w:rPr>
        <w:t>Walking and bicycling exhibit a broadly similar pattern, though somewhat less pronounced. Those without access walk less frequently, with 30.4 percent walking at least once a week compared with 36.6 percent among those with access. They are considerably more likely to report that walking is simply not a viable option in their area (46.7 percent among the Without Access group versus 21.1 percent in the With Access group). Bicycling shows the widest availability gap of the five modes examined. It is found that 81.0 percent of those without access report that bicycling is not available to them, compared with 54.1 percent of those with access, although actual bicycling frequency remains relatively modest in both groups (but higher among those with transit access, suggesting that a multimodal transit-oriented environment sees more bicycling – likely due to both built environment effects and self-selection effects).</w:t>
      </w:r>
    </w:p>
    <w:p w14:paraId="5E3C76FC" w14:textId="0E565C6B" w:rsidR="009932D4" w:rsidRDefault="009932D4" w:rsidP="009932D4">
      <w:pPr>
        <w:ind w:firstLine="720"/>
        <w:jc w:val="both"/>
        <w:rPr>
          <w:sz w:val="24"/>
          <w:szCs w:val="24"/>
        </w:rPr>
      </w:pPr>
      <w:r w:rsidRPr="009932D4">
        <w:rPr>
          <w:sz w:val="24"/>
          <w:szCs w:val="24"/>
        </w:rPr>
        <w:t xml:space="preserve">These results </w:t>
      </w:r>
      <w:proofErr w:type="gramStart"/>
      <w:r w:rsidRPr="009932D4">
        <w:rPr>
          <w:sz w:val="24"/>
          <w:szCs w:val="24"/>
        </w:rPr>
        <w:t>point</w:t>
      </w:r>
      <w:proofErr w:type="gramEnd"/>
      <w:r w:rsidRPr="009932D4">
        <w:rPr>
          <w:sz w:val="24"/>
          <w:szCs w:val="24"/>
        </w:rPr>
        <w:t xml:space="preserve"> to a broader conclusion. The Without Access group does not compensate for the lack of transit through greater use of the private automobile; driving alone occurs at nearly the same rate in both groups. Rather, every alternative to the automobile, i.e., ride</w:t>
      </w:r>
      <w:r w:rsidR="00927C9E">
        <w:rPr>
          <w:sz w:val="24"/>
          <w:szCs w:val="24"/>
        </w:rPr>
        <w:t>-</w:t>
      </w:r>
      <w:r w:rsidRPr="009932D4">
        <w:rPr>
          <w:sz w:val="24"/>
          <w:szCs w:val="24"/>
        </w:rPr>
        <w:t xml:space="preserve">hailing, walking, bicycling, and to a lesser degree carpooling, becomes considerably less available (and used) once transit itself is unavailable – most likely due to the nature of the built environment context. Perceived transit unavailability is greater </w:t>
      </w:r>
      <w:proofErr w:type="gramStart"/>
      <w:r w:rsidRPr="009932D4">
        <w:rPr>
          <w:sz w:val="24"/>
          <w:szCs w:val="24"/>
        </w:rPr>
        <w:t>in built</w:t>
      </w:r>
      <w:proofErr w:type="gramEnd"/>
      <w:r w:rsidRPr="009932D4">
        <w:rPr>
          <w:sz w:val="24"/>
          <w:szCs w:val="24"/>
        </w:rPr>
        <w:t xml:space="preserve"> environments where the private automobile ends up serving as close to the only viable mode choice.</w:t>
      </w:r>
    </w:p>
    <w:p w14:paraId="6016FC78" w14:textId="77777777" w:rsidR="009932D4" w:rsidRDefault="009932D4" w:rsidP="009932D4">
      <w:pPr>
        <w:jc w:val="both"/>
        <w:rPr>
          <w:sz w:val="24"/>
          <w:szCs w:val="24"/>
        </w:rPr>
      </w:pPr>
    </w:p>
    <w:p w14:paraId="2F98AAF4" w14:textId="10FD96D0" w:rsidR="009932D4" w:rsidRPr="003260AB" w:rsidRDefault="003260AB" w:rsidP="009932D4">
      <w:pPr>
        <w:jc w:val="both"/>
        <w:rPr>
          <w:b/>
          <w:bCs/>
          <w:sz w:val="24"/>
          <w:szCs w:val="24"/>
        </w:rPr>
      </w:pPr>
      <w:r w:rsidRPr="003260AB">
        <w:rPr>
          <w:b/>
          <w:bCs/>
          <w:sz w:val="24"/>
          <w:szCs w:val="24"/>
        </w:rPr>
        <w:t xml:space="preserve">4. </w:t>
      </w:r>
      <w:r w:rsidR="00C807B6">
        <w:rPr>
          <w:b/>
          <w:bCs/>
          <w:sz w:val="24"/>
          <w:szCs w:val="24"/>
        </w:rPr>
        <w:t>ANALYTIC FRAMEWORK</w:t>
      </w:r>
    </w:p>
    <w:p w14:paraId="798EB0A9" w14:textId="11132BA7" w:rsidR="00C807B6" w:rsidRDefault="00630B01" w:rsidP="00630B01">
      <w:pPr>
        <w:jc w:val="both"/>
        <w:rPr>
          <w:sz w:val="24"/>
          <w:szCs w:val="24"/>
        </w:rPr>
      </w:pPr>
      <w:r w:rsidRPr="00630B01">
        <w:rPr>
          <w:sz w:val="24"/>
          <w:szCs w:val="24"/>
        </w:rPr>
        <w:t>The modeling framework consists of a multivariate ordered-response probit model with ten outcome dimensions. The first dimension is the transit usage frequency outcome, an ordered-response variable spanning five categories, ranging from having transit available but never using it to using it three or more days per week (as listed in Table 1). Respondents who report that transit is not available to them are not assigned a usage frequency, since their response reflects the absence of service rather than a frequency of use. Besides, the differences between those with and without service available ha</w:t>
      </w:r>
      <w:r w:rsidR="001431ED">
        <w:rPr>
          <w:sz w:val="24"/>
          <w:szCs w:val="24"/>
        </w:rPr>
        <w:t>ve</w:t>
      </w:r>
      <w:r w:rsidRPr="00630B01">
        <w:rPr>
          <w:sz w:val="24"/>
          <w:szCs w:val="24"/>
        </w:rPr>
        <w:t xml:space="preserve"> been descriptively examined </w:t>
      </w:r>
      <w:r w:rsidR="001431ED">
        <w:rPr>
          <w:sz w:val="24"/>
          <w:szCs w:val="24"/>
        </w:rPr>
        <w:t>in</w:t>
      </w:r>
      <w:r w:rsidRPr="00630B01">
        <w:rPr>
          <w:sz w:val="24"/>
          <w:szCs w:val="24"/>
        </w:rPr>
        <w:t xml:space="preserve"> the previous section. </w:t>
      </w:r>
      <w:r w:rsidR="001431ED">
        <w:rPr>
          <w:sz w:val="24"/>
          <w:szCs w:val="24"/>
        </w:rPr>
        <w:t>Therefore</w:t>
      </w:r>
      <w:r w:rsidRPr="00630B01">
        <w:rPr>
          <w:sz w:val="24"/>
          <w:szCs w:val="24"/>
        </w:rPr>
        <w:t xml:space="preserve">, in our analytic framework, we focus on the usage frequency outcome only for the 5,885 (=8,273-2,388) </w:t>
      </w:r>
      <w:r w:rsidRPr="00630B01">
        <w:rPr>
          <w:sz w:val="24"/>
          <w:szCs w:val="24"/>
        </w:rPr>
        <w:lastRenderedPageBreak/>
        <w:t xml:space="preserve">respondents who report transit being available to them. Of these 5,885 respondents, 3,891 are non-users (transit never used) or low-frequency users (transit used less than once a month). These 3,891 respondents provide information on the nine barrier outcomes, while the other 1,994 higher-frequency respondents contribute only the usage frequency outcome. Because the 3,891 respondents were able to select any combination of the nine barrier reasons, each barrier is modeled as a separate binary outcome rather than as a single multinomial choice. The ten dimensions for these 3,891 respondents are estimated jointly to accommodate two distinct sets of unobserved correlation. The first set contains nine correlations between the usage frequency outcome and each of the nine barriers, and the second contains 36 correlations among the barriers themselves. </w:t>
      </w:r>
      <w:r w:rsidR="00316E28" w:rsidRPr="00316E28">
        <w:rPr>
          <w:sz w:val="24"/>
          <w:szCs w:val="24"/>
        </w:rPr>
        <w:t>The full formulation of this joint model</w:t>
      </w:r>
      <w:r w:rsidR="001835E9">
        <w:rPr>
          <w:sz w:val="24"/>
          <w:szCs w:val="24"/>
        </w:rPr>
        <w:t xml:space="preserve"> </w:t>
      </w:r>
      <w:r w:rsidR="00316E28" w:rsidRPr="00316E28">
        <w:rPr>
          <w:sz w:val="24"/>
          <w:szCs w:val="24"/>
        </w:rPr>
        <w:t>is presented in Appendix A. In brief, each of the ten outcomes arises from a latent propensity that is a linear function of exogenous variables and a standard normal error term, and the ten error terms are allowed to be correlated through a general correlation matrix. The model is estimated by maximum likelihood, using the matrix-based analytic approximation of the multivariate normal cumulative distribution function described in Bhat (2018).</w:t>
      </w:r>
    </w:p>
    <w:p w14:paraId="2FBAB7D3" w14:textId="77777777" w:rsidR="00D57D3A" w:rsidRDefault="00D57D3A" w:rsidP="00D57D3A">
      <w:pPr>
        <w:jc w:val="both"/>
        <w:rPr>
          <w:sz w:val="24"/>
          <w:szCs w:val="24"/>
        </w:rPr>
      </w:pPr>
    </w:p>
    <w:p w14:paraId="6E30ECF0" w14:textId="44BB3475" w:rsidR="00D57D3A" w:rsidRDefault="00D57D3A" w:rsidP="00D57D3A">
      <w:pPr>
        <w:jc w:val="both"/>
        <w:rPr>
          <w:b/>
          <w:bCs/>
          <w:sz w:val="24"/>
          <w:szCs w:val="24"/>
        </w:rPr>
      </w:pPr>
      <w:r w:rsidRPr="00D57D3A">
        <w:rPr>
          <w:b/>
          <w:bCs/>
          <w:sz w:val="24"/>
          <w:szCs w:val="24"/>
        </w:rPr>
        <w:t>5. MODEL ESTIMATION RESULTS</w:t>
      </w:r>
    </w:p>
    <w:p w14:paraId="03BC0BF7" w14:textId="475DEF00" w:rsidR="0006634B" w:rsidRDefault="0006634B" w:rsidP="0006634B">
      <w:pPr>
        <w:jc w:val="both"/>
        <w:rPr>
          <w:noProof/>
          <w:sz w:val="24"/>
          <w:szCs w:val="24"/>
        </w:rPr>
      </w:pPr>
      <w:r w:rsidRPr="0006634B">
        <w:rPr>
          <w:noProof/>
          <w:sz w:val="24"/>
          <w:szCs w:val="24"/>
        </w:rPr>
        <w:t xml:space="preserve">This section presents the model estimation results in detail. The discussion begins with the effects of individual, household, and geographic and built-environment attributes on transit use frequency and the nine self-reported barriers to transit use, organized by variable category. This is followed by a discussion of the correlations among the ten outcomes and an assessment of overall model fit. Throughout the discussion of model estimation results, it is important to keep in mind that the coefficients discussed reflect effects on the underlying propensity, or likelihood, of each outcome rather than a direct effect on the observed ordinal or binary variable itself. The average treatment effects presented in the next section help quantify the magnitude of the effects of different variables on the outcome variables. Detailed model estimation results are shown in Table </w:t>
      </w:r>
      <w:r w:rsidR="003E4D67">
        <w:rPr>
          <w:noProof/>
          <w:sz w:val="24"/>
          <w:szCs w:val="24"/>
        </w:rPr>
        <w:t>3</w:t>
      </w:r>
      <w:r w:rsidRPr="0006634B">
        <w:rPr>
          <w:noProof/>
          <w:sz w:val="24"/>
          <w:szCs w:val="24"/>
        </w:rPr>
        <w:t xml:space="preserve">. </w:t>
      </w:r>
    </w:p>
    <w:p w14:paraId="188D74A2" w14:textId="77777777" w:rsidR="0006634B" w:rsidRDefault="0006634B" w:rsidP="0006634B">
      <w:pPr>
        <w:jc w:val="both"/>
        <w:rPr>
          <w:noProof/>
          <w:sz w:val="24"/>
          <w:szCs w:val="24"/>
        </w:rPr>
      </w:pPr>
    </w:p>
    <w:p w14:paraId="59D7A6CC" w14:textId="4196AC75" w:rsidR="00ED5EDB" w:rsidRPr="00ED5EDB" w:rsidRDefault="00ED5EDB" w:rsidP="00ED5EDB">
      <w:pPr>
        <w:ind w:firstLine="720"/>
        <w:jc w:val="both"/>
        <w:rPr>
          <w:sz w:val="24"/>
          <w:szCs w:val="24"/>
        </w:rPr>
      </w:pPr>
    </w:p>
    <w:p w14:paraId="5A865C7D" w14:textId="1B76165F" w:rsidR="00954A4D" w:rsidRPr="00F12121" w:rsidRDefault="00954A4D" w:rsidP="00B9201B">
      <w:pPr>
        <w:jc w:val="both"/>
        <w:rPr>
          <w:color w:val="000000"/>
          <w:sz w:val="24"/>
          <w:szCs w:val="24"/>
        </w:rPr>
        <w:sectPr w:rsidR="00954A4D" w:rsidRPr="00F12121" w:rsidSect="004247F3">
          <w:footerReference w:type="default" r:id="rId18"/>
          <w:pgSz w:w="12240" w:h="15840" w:code="1"/>
          <w:pgMar w:top="1440" w:right="1440" w:bottom="1440" w:left="1440" w:header="720" w:footer="720" w:gutter="0"/>
          <w:pgNumType w:start="1"/>
          <w:cols w:space="720"/>
          <w:docGrid w:linePitch="360"/>
        </w:sectPr>
      </w:pPr>
    </w:p>
    <w:p w14:paraId="22DD77A2" w14:textId="0CD6A809" w:rsidR="00954A4D" w:rsidRPr="008E3C9E" w:rsidRDefault="005D53A5" w:rsidP="007A713B">
      <w:pPr>
        <w:pStyle w:val="FootnoteText"/>
        <w:jc w:val="both"/>
        <w:rPr>
          <w:b/>
          <w:bCs/>
          <w:sz w:val="24"/>
          <w:szCs w:val="24"/>
        </w:rPr>
      </w:pPr>
      <w:r w:rsidRPr="00F670FB">
        <w:rPr>
          <w:b/>
          <w:bCs/>
          <w:sz w:val="24"/>
          <w:szCs w:val="24"/>
        </w:rPr>
        <w:lastRenderedPageBreak/>
        <w:t xml:space="preserve">Table </w:t>
      </w:r>
      <w:r w:rsidR="003E4D67">
        <w:rPr>
          <w:b/>
          <w:bCs/>
          <w:sz w:val="24"/>
          <w:szCs w:val="24"/>
        </w:rPr>
        <w:t>3</w:t>
      </w:r>
      <w:r w:rsidRPr="00F670FB">
        <w:rPr>
          <w:b/>
          <w:bCs/>
          <w:sz w:val="24"/>
          <w:szCs w:val="24"/>
        </w:rPr>
        <w:t>. M</w:t>
      </w:r>
      <w:r w:rsidR="00BC7F89">
        <w:rPr>
          <w:b/>
          <w:bCs/>
          <w:sz w:val="24"/>
          <w:szCs w:val="24"/>
        </w:rPr>
        <w:t>odel</w:t>
      </w:r>
      <w:r w:rsidRPr="00F670FB">
        <w:rPr>
          <w:b/>
          <w:bCs/>
          <w:sz w:val="24"/>
          <w:szCs w:val="24"/>
        </w:rPr>
        <w:t xml:space="preserve"> Estimation Result</w:t>
      </w:r>
      <w:r w:rsidR="008E3C9E">
        <w:rPr>
          <w:b/>
          <w:bCs/>
          <w:sz w:val="24"/>
          <w:szCs w:val="24"/>
        </w:rPr>
        <w:t>s</w:t>
      </w:r>
      <w:r w:rsidR="0029253A">
        <w:rPr>
          <w:b/>
          <w:bCs/>
          <w:sz w:val="24"/>
          <w:szCs w:val="24"/>
        </w:rPr>
        <w:t xml:space="preserve"> (N=</w:t>
      </w:r>
      <w:r w:rsidR="00244621">
        <w:rPr>
          <w:b/>
          <w:bCs/>
          <w:sz w:val="24"/>
          <w:szCs w:val="24"/>
        </w:rPr>
        <w:t>5,885)</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10" w:type="dxa"/>
          <w:right w:w="10" w:type="dxa"/>
        </w:tblCellMar>
        <w:tblLook w:val="0000" w:firstRow="0" w:lastRow="0" w:firstColumn="0" w:lastColumn="0" w:noHBand="0" w:noVBand="0"/>
      </w:tblPr>
      <w:tblGrid>
        <w:gridCol w:w="2155"/>
        <w:gridCol w:w="514"/>
        <w:gridCol w:w="638"/>
        <w:gridCol w:w="643"/>
        <w:gridCol w:w="553"/>
        <w:gridCol w:w="514"/>
        <w:gridCol w:w="517"/>
        <w:gridCol w:w="581"/>
        <w:gridCol w:w="581"/>
        <w:gridCol w:w="509"/>
        <w:gridCol w:w="514"/>
        <w:gridCol w:w="514"/>
        <w:gridCol w:w="519"/>
        <w:gridCol w:w="514"/>
        <w:gridCol w:w="519"/>
        <w:gridCol w:w="514"/>
        <w:gridCol w:w="519"/>
        <w:gridCol w:w="527"/>
        <w:gridCol w:w="529"/>
        <w:gridCol w:w="529"/>
        <w:gridCol w:w="511"/>
      </w:tblGrid>
      <w:tr w:rsidR="00E15CAE" w:rsidRPr="00C14C41" w14:paraId="3698046B" w14:textId="77777777" w:rsidTr="00B72633">
        <w:trPr>
          <w:trHeight w:val="144"/>
          <w:tblHeader/>
        </w:trPr>
        <w:tc>
          <w:tcPr>
            <w:tcW w:w="834" w:type="pct"/>
            <w:vMerge w:val="restart"/>
            <w:tcBorders>
              <w:top w:val="single" w:sz="18" w:space="0" w:color="auto"/>
              <w:left w:val="single" w:sz="18" w:space="0" w:color="auto"/>
              <w:right w:val="single" w:sz="18" w:space="0" w:color="auto"/>
            </w:tcBorders>
            <w:tcMar>
              <w:top w:w="15" w:type="dxa"/>
              <w:left w:w="40" w:type="dxa"/>
              <w:bottom w:w="15" w:type="dxa"/>
              <w:right w:w="40" w:type="dxa"/>
            </w:tcMar>
            <w:vAlign w:val="center"/>
          </w:tcPr>
          <w:p w14:paraId="4E69D4A7" w14:textId="77777777" w:rsidR="00E15CAE" w:rsidRPr="00C14C41" w:rsidRDefault="00E15CAE" w:rsidP="00154678">
            <w:pPr>
              <w:spacing w:line="190" w:lineRule="exact"/>
              <w:rPr>
                <w:rFonts w:cstheme="minorHAnsi"/>
                <w:b/>
                <w:bCs/>
                <w:sz w:val="20"/>
                <w:szCs w:val="20"/>
              </w:rPr>
            </w:pPr>
            <w:r w:rsidRPr="00C14C41">
              <w:rPr>
                <w:rFonts w:cstheme="minorHAnsi"/>
                <w:b/>
                <w:bCs/>
                <w:sz w:val="20"/>
                <w:szCs w:val="20"/>
              </w:rPr>
              <w:t>Explanatory Variables (base category)</w:t>
            </w:r>
          </w:p>
        </w:tc>
        <w:tc>
          <w:tcPr>
            <w:tcW w:w="446" w:type="pct"/>
            <w:gridSpan w:val="2"/>
            <w:vMerge w:val="restart"/>
            <w:tcBorders>
              <w:top w:val="single" w:sz="18" w:space="0" w:color="auto"/>
              <w:left w:val="single" w:sz="18" w:space="0" w:color="auto"/>
              <w:right w:val="single" w:sz="18" w:space="0" w:color="auto"/>
            </w:tcBorders>
            <w:tcMar>
              <w:top w:w="15" w:type="dxa"/>
              <w:left w:w="25" w:type="dxa"/>
              <w:bottom w:w="15" w:type="dxa"/>
              <w:right w:w="25" w:type="dxa"/>
            </w:tcMar>
            <w:vAlign w:val="center"/>
          </w:tcPr>
          <w:p w14:paraId="4D0FE448" w14:textId="77777777" w:rsidR="00E15CAE" w:rsidRDefault="00E15CAE" w:rsidP="00154678">
            <w:pPr>
              <w:spacing w:line="190" w:lineRule="exact"/>
              <w:jc w:val="center"/>
              <w:rPr>
                <w:b/>
                <w:bCs/>
                <w:sz w:val="20"/>
                <w:szCs w:val="20"/>
              </w:rPr>
            </w:pPr>
            <w:r>
              <w:rPr>
                <w:b/>
                <w:bCs/>
                <w:sz w:val="20"/>
                <w:szCs w:val="20"/>
              </w:rPr>
              <w:t>Transit Use Frequency</w:t>
            </w:r>
          </w:p>
          <w:p w14:paraId="75B58149" w14:textId="77777777" w:rsidR="00E15CAE" w:rsidRDefault="00E15CAE" w:rsidP="00154678">
            <w:pPr>
              <w:spacing w:line="190" w:lineRule="exact"/>
              <w:jc w:val="center"/>
              <w:rPr>
                <w:b/>
                <w:bCs/>
                <w:sz w:val="20"/>
                <w:szCs w:val="20"/>
              </w:rPr>
            </w:pPr>
            <w:r w:rsidRPr="0002526D">
              <w:rPr>
                <w:rFonts w:cstheme="minorHAnsi"/>
                <w:i/>
                <w:iCs/>
                <w:sz w:val="20"/>
                <w:szCs w:val="20"/>
              </w:rPr>
              <w:t xml:space="preserve">Ordinal </w:t>
            </w:r>
            <w:r w:rsidRPr="0002526D">
              <w:rPr>
                <w:rFonts w:cstheme="minorHAnsi"/>
                <w:i/>
                <w:iCs/>
                <w:sz w:val="20"/>
                <w:szCs w:val="20"/>
              </w:rPr>
              <w:br/>
              <w:t>(5-level)</w:t>
            </w:r>
          </w:p>
        </w:tc>
        <w:tc>
          <w:tcPr>
            <w:tcW w:w="2108" w:type="pct"/>
            <w:gridSpan w:val="10"/>
            <w:tcBorders>
              <w:top w:val="single" w:sz="18" w:space="0" w:color="auto"/>
              <w:left w:val="single" w:sz="18" w:space="0" w:color="auto"/>
              <w:bottom w:val="single" w:sz="6" w:space="0" w:color="000000" w:themeColor="text1"/>
              <w:right w:val="single" w:sz="18" w:space="0" w:color="auto"/>
            </w:tcBorders>
            <w:tcMar>
              <w:top w:w="15" w:type="dxa"/>
              <w:left w:w="25" w:type="dxa"/>
              <w:bottom w:w="15" w:type="dxa"/>
              <w:right w:w="25" w:type="dxa"/>
            </w:tcMar>
            <w:vAlign w:val="center"/>
          </w:tcPr>
          <w:p w14:paraId="4F2DB346" w14:textId="2AC94602" w:rsidR="00E15CAE" w:rsidRPr="00C14C41" w:rsidRDefault="00E15CAE" w:rsidP="00154678">
            <w:pPr>
              <w:spacing w:line="190" w:lineRule="exact"/>
              <w:jc w:val="center"/>
              <w:rPr>
                <w:rFonts w:cstheme="minorHAnsi"/>
                <w:b/>
                <w:bCs/>
                <w:sz w:val="20"/>
                <w:szCs w:val="20"/>
              </w:rPr>
            </w:pPr>
            <w:r>
              <w:rPr>
                <w:b/>
                <w:bCs/>
                <w:sz w:val="20"/>
                <w:szCs w:val="20"/>
              </w:rPr>
              <w:t>Personal Safety</w:t>
            </w:r>
            <w:r w:rsidR="00EE280E">
              <w:rPr>
                <w:b/>
                <w:bCs/>
                <w:sz w:val="20"/>
                <w:szCs w:val="20"/>
              </w:rPr>
              <w:t xml:space="preserve"> Concerns</w:t>
            </w:r>
          </w:p>
        </w:tc>
        <w:tc>
          <w:tcPr>
            <w:tcW w:w="800" w:type="pct"/>
            <w:gridSpan w:val="4"/>
            <w:tcBorders>
              <w:top w:val="single" w:sz="18" w:space="0" w:color="auto"/>
              <w:left w:val="single" w:sz="18" w:space="0" w:color="auto"/>
              <w:bottom w:val="single" w:sz="6" w:space="0" w:color="000000" w:themeColor="text1"/>
              <w:right w:val="single" w:sz="18" w:space="0" w:color="auto"/>
            </w:tcBorders>
            <w:tcMar>
              <w:top w:w="15" w:type="dxa"/>
              <w:left w:w="25" w:type="dxa"/>
              <w:bottom w:w="15" w:type="dxa"/>
              <w:right w:w="25" w:type="dxa"/>
            </w:tcMar>
            <w:vAlign w:val="center"/>
          </w:tcPr>
          <w:p w14:paraId="274351AF" w14:textId="62FF356D" w:rsidR="00E15CAE" w:rsidRPr="00C14C41" w:rsidRDefault="00E15CAE" w:rsidP="00154678">
            <w:pPr>
              <w:spacing w:line="190" w:lineRule="exact"/>
              <w:jc w:val="center"/>
              <w:rPr>
                <w:rFonts w:cstheme="minorHAnsi"/>
                <w:b/>
                <w:bCs/>
                <w:sz w:val="20"/>
                <w:szCs w:val="20"/>
              </w:rPr>
            </w:pPr>
            <w:r>
              <w:rPr>
                <w:b/>
                <w:bCs/>
                <w:sz w:val="20"/>
                <w:szCs w:val="20"/>
              </w:rPr>
              <w:t>Comfort</w:t>
            </w:r>
            <w:r w:rsidR="00EE280E">
              <w:rPr>
                <w:b/>
                <w:bCs/>
                <w:sz w:val="20"/>
                <w:szCs w:val="20"/>
              </w:rPr>
              <w:t xml:space="preserve"> / </w:t>
            </w:r>
            <w:r>
              <w:rPr>
                <w:b/>
                <w:bCs/>
                <w:sz w:val="20"/>
                <w:szCs w:val="20"/>
              </w:rPr>
              <w:t>Conditions</w:t>
            </w:r>
            <w:r w:rsidR="00EE280E">
              <w:rPr>
                <w:b/>
                <w:bCs/>
                <w:sz w:val="20"/>
                <w:szCs w:val="20"/>
              </w:rPr>
              <w:t xml:space="preserve"> </w:t>
            </w:r>
            <w:proofErr w:type="gramStart"/>
            <w:r w:rsidR="00EE280E">
              <w:rPr>
                <w:b/>
                <w:bCs/>
                <w:sz w:val="20"/>
                <w:szCs w:val="20"/>
              </w:rPr>
              <w:t>On-Board</w:t>
            </w:r>
            <w:proofErr w:type="gramEnd"/>
          </w:p>
        </w:tc>
        <w:tc>
          <w:tcPr>
            <w:tcW w:w="812" w:type="pct"/>
            <w:gridSpan w:val="4"/>
            <w:tcBorders>
              <w:top w:val="single" w:sz="18" w:space="0" w:color="auto"/>
              <w:left w:val="single" w:sz="18" w:space="0" w:color="auto"/>
              <w:bottom w:val="single" w:sz="6" w:space="0" w:color="000000" w:themeColor="text1"/>
              <w:right w:val="single" w:sz="18" w:space="0" w:color="auto"/>
            </w:tcBorders>
            <w:tcMar>
              <w:top w:w="15" w:type="dxa"/>
              <w:left w:w="25" w:type="dxa"/>
              <w:bottom w:w="15" w:type="dxa"/>
              <w:right w:w="25" w:type="dxa"/>
            </w:tcMar>
            <w:vAlign w:val="center"/>
          </w:tcPr>
          <w:p w14:paraId="5CA16477" w14:textId="77777777" w:rsidR="00E15CAE" w:rsidRPr="00C14C41" w:rsidRDefault="00E15CAE" w:rsidP="00154678">
            <w:pPr>
              <w:spacing w:line="190" w:lineRule="exact"/>
              <w:jc w:val="center"/>
              <w:rPr>
                <w:rFonts w:cstheme="minorHAnsi"/>
                <w:b/>
                <w:bCs/>
                <w:sz w:val="20"/>
                <w:szCs w:val="20"/>
              </w:rPr>
            </w:pPr>
            <w:r>
              <w:rPr>
                <w:b/>
                <w:bCs/>
                <w:sz w:val="20"/>
                <w:szCs w:val="20"/>
              </w:rPr>
              <w:t>Service Availability</w:t>
            </w:r>
          </w:p>
        </w:tc>
      </w:tr>
      <w:tr w:rsidR="004B3FF1" w:rsidRPr="00C14C41" w14:paraId="3FB53954" w14:textId="77777777" w:rsidTr="00B72633">
        <w:trPr>
          <w:trHeight w:val="144"/>
          <w:tblHeader/>
        </w:trPr>
        <w:tc>
          <w:tcPr>
            <w:tcW w:w="834" w:type="pct"/>
            <w:vMerge/>
            <w:tcBorders>
              <w:left w:val="single" w:sz="18" w:space="0" w:color="auto"/>
              <w:right w:val="single" w:sz="18" w:space="0" w:color="auto"/>
            </w:tcBorders>
            <w:tcMar>
              <w:top w:w="15" w:type="dxa"/>
              <w:left w:w="40" w:type="dxa"/>
              <w:bottom w:w="15" w:type="dxa"/>
              <w:right w:w="40" w:type="dxa"/>
            </w:tcMar>
            <w:vAlign w:val="center"/>
          </w:tcPr>
          <w:p w14:paraId="00EE58E3" w14:textId="77777777" w:rsidR="004B3FF1" w:rsidRPr="00C14C41" w:rsidRDefault="004B3FF1" w:rsidP="004B3FF1">
            <w:pPr>
              <w:spacing w:line="190" w:lineRule="exact"/>
              <w:rPr>
                <w:rFonts w:cstheme="minorHAnsi"/>
                <w:sz w:val="20"/>
                <w:szCs w:val="20"/>
              </w:rPr>
            </w:pPr>
          </w:p>
        </w:tc>
        <w:tc>
          <w:tcPr>
            <w:tcW w:w="446" w:type="pct"/>
            <w:gridSpan w:val="2"/>
            <w:vMerge/>
            <w:tcBorders>
              <w:left w:val="single" w:sz="18" w:space="0" w:color="auto"/>
              <w:right w:val="single" w:sz="18" w:space="0" w:color="auto"/>
            </w:tcBorders>
            <w:tcMar>
              <w:top w:w="15" w:type="dxa"/>
              <w:left w:w="25" w:type="dxa"/>
              <w:bottom w:w="15" w:type="dxa"/>
              <w:right w:w="25" w:type="dxa"/>
            </w:tcMar>
            <w:vAlign w:val="center"/>
          </w:tcPr>
          <w:p w14:paraId="52D4B20A" w14:textId="77777777" w:rsidR="004B3FF1" w:rsidRPr="00C14C41" w:rsidRDefault="004B3FF1" w:rsidP="004B3FF1">
            <w:pPr>
              <w:spacing w:line="190" w:lineRule="exact"/>
              <w:jc w:val="center"/>
              <w:rPr>
                <w:rFonts w:cstheme="minorHAnsi"/>
                <w:sz w:val="20"/>
                <w:szCs w:val="20"/>
              </w:rPr>
            </w:pPr>
          </w:p>
        </w:tc>
        <w:tc>
          <w:tcPr>
            <w:tcW w:w="463" w:type="pct"/>
            <w:gridSpan w:val="2"/>
            <w:tcBorders>
              <w:top w:val="single" w:sz="18" w:space="0" w:color="auto"/>
              <w:left w:val="single" w:sz="18" w:space="0" w:color="auto"/>
              <w:bottom w:val="single" w:sz="6" w:space="0" w:color="000000" w:themeColor="text1"/>
              <w:right w:val="single" w:sz="6" w:space="0" w:color="000000" w:themeColor="text1"/>
            </w:tcBorders>
            <w:tcMar>
              <w:top w:w="15" w:type="dxa"/>
              <w:left w:w="25" w:type="dxa"/>
              <w:bottom w:w="15" w:type="dxa"/>
              <w:right w:w="25" w:type="dxa"/>
            </w:tcMar>
            <w:vAlign w:val="center"/>
          </w:tcPr>
          <w:p w14:paraId="44BEFE9A" w14:textId="77777777"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Threatening Passengers</w:t>
            </w:r>
          </w:p>
        </w:tc>
        <w:tc>
          <w:tcPr>
            <w:tcW w:w="399" w:type="pct"/>
            <w:gridSpan w:val="2"/>
            <w:tcBorders>
              <w:top w:val="single" w:sz="18" w:space="0" w:color="auto"/>
              <w:left w:val="single" w:sz="6" w:space="0" w:color="000000" w:themeColor="text1"/>
              <w:bottom w:val="single" w:sz="6" w:space="0" w:color="000000" w:themeColor="text1"/>
              <w:right w:val="single" w:sz="6" w:space="0" w:color="000000" w:themeColor="text1"/>
            </w:tcBorders>
            <w:tcMar>
              <w:top w:w="15" w:type="dxa"/>
              <w:left w:w="25" w:type="dxa"/>
              <w:bottom w:w="15" w:type="dxa"/>
              <w:right w:w="25" w:type="dxa"/>
            </w:tcMar>
            <w:vAlign w:val="center"/>
          </w:tcPr>
          <w:p w14:paraId="6E3A3E7F" w14:textId="77777777"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Theft Risk</w:t>
            </w:r>
          </w:p>
        </w:tc>
        <w:tc>
          <w:tcPr>
            <w:tcW w:w="450" w:type="pct"/>
            <w:gridSpan w:val="2"/>
            <w:tcBorders>
              <w:top w:val="single" w:sz="18" w:space="0" w:color="auto"/>
              <w:left w:val="single" w:sz="6" w:space="0" w:color="000000" w:themeColor="text1"/>
              <w:bottom w:val="single" w:sz="6" w:space="0" w:color="000000" w:themeColor="text1"/>
              <w:right w:val="single" w:sz="6" w:space="0" w:color="000000" w:themeColor="text1"/>
            </w:tcBorders>
            <w:tcMar>
              <w:top w:w="15" w:type="dxa"/>
              <w:left w:w="25" w:type="dxa"/>
              <w:bottom w:w="15" w:type="dxa"/>
              <w:right w:w="25" w:type="dxa"/>
            </w:tcMar>
            <w:vAlign w:val="center"/>
          </w:tcPr>
          <w:p w14:paraId="4B7C8533" w14:textId="77777777"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Law Enforcement</w:t>
            </w:r>
          </w:p>
        </w:tc>
        <w:tc>
          <w:tcPr>
            <w:tcW w:w="396" w:type="pct"/>
            <w:gridSpan w:val="2"/>
            <w:tcBorders>
              <w:top w:val="single" w:sz="18" w:space="0" w:color="auto"/>
              <w:left w:val="single" w:sz="6" w:space="0" w:color="000000" w:themeColor="text1"/>
              <w:bottom w:val="single" w:sz="6" w:space="0" w:color="000000" w:themeColor="text1"/>
              <w:right w:val="single" w:sz="6" w:space="0" w:color="000000" w:themeColor="text1"/>
            </w:tcBorders>
            <w:tcMar>
              <w:top w:w="15" w:type="dxa"/>
              <w:left w:w="25" w:type="dxa"/>
              <w:bottom w:w="15" w:type="dxa"/>
              <w:right w:w="25" w:type="dxa"/>
            </w:tcMar>
            <w:vAlign w:val="center"/>
          </w:tcPr>
          <w:p w14:paraId="030EC122" w14:textId="77777777"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Unsafe Walking</w:t>
            </w:r>
          </w:p>
        </w:tc>
        <w:tc>
          <w:tcPr>
            <w:tcW w:w="400" w:type="pct"/>
            <w:gridSpan w:val="2"/>
            <w:tcBorders>
              <w:top w:val="single" w:sz="18" w:space="0" w:color="auto"/>
              <w:left w:val="single" w:sz="6" w:space="0" w:color="000000" w:themeColor="text1"/>
              <w:bottom w:val="single" w:sz="6" w:space="0" w:color="000000" w:themeColor="text1"/>
              <w:right w:val="single" w:sz="18" w:space="0" w:color="auto"/>
            </w:tcBorders>
            <w:tcMar>
              <w:top w:w="15" w:type="dxa"/>
              <w:left w:w="25" w:type="dxa"/>
              <w:bottom w:w="15" w:type="dxa"/>
              <w:right w:w="25" w:type="dxa"/>
            </w:tcMar>
            <w:vAlign w:val="center"/>
          </w:tcPr>
          <w:p w14:paraId="6813F364" w14:textId="77777777"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Unsafe Waiting</w:t>
            </w:r>
          </w:p>
        </w:tc>
        <w:tc>
          <w:tcPr>
            <w:tcW w:w="400" w:type="pct"/>
            <w:gridSpan w:val="2"/>
            <w:tcBorders>
              <w:top w:val="single" w:sz="18" w:space="0" w:color="auto"/>
              <w:left w:val="single" w:sz="18" w:space="0" w:color="auto"/>
              <w:bottom w:val="single" w:sz="6" w:space="0" w:color="000000" w:themeColor="text1"/>
              <w:right w:val="single" w:sz="6" w:space="0" w:color="000000" w:themeColor="text1"/>
            </w:tcBorders>
            <w:tcMar>
              <w:top w:w="15" w:type="dxa"/>
              <w:left w:w="25" w:type="dxa"/>
              <w:bottom w:w="15" w:type="dxa"/>
              <w:right w:w="25" w:type="dxa"/>
            </w:tcMar>
            <w:vAlign w:val="center"/>
          </w:tcPr>
          <w:p w14:paraId="606D2C74" w14:textId="77777777"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Unsanitary Conditions</w:t>
            </w:r>
          </w:p>
        </w:tc>
        <w:tc>
          <w:tcPr>
            <w:tcW w:w="400" w:type="pct"/>
            <w:gridSpan w:val="2"/>
            <w:tcBorders>
              <w:top w:val="single" w:sz="18" w:space="0" w:color="auto"/>
              <w:left w:val="single" w:sz="6" w:space="0" w:color="000000" w:themeColor="text1"/>
              <w:bottom w:val="single" w:sz="6" w:space="0" w:color="000000" w:themeColor="text1"/>
              <w:right w:val="single" w:sz="18" w:space="0" w:color="auto"/>
            </w:tcBorders>
            <w:tcMar>
              <w:top w:w="15" w:type="dxa"/>
              <w:left w:w="25" w:type="dxa"/>
              <w:bottom w:w="15" w:type="dxa"/>
              <w:right w:w="25" w:type="dxa"/>
            </w:tcMar>
            <w:vAlign w:val="center"/>
          </w:tcPr>
          <w:p w14:paraId="574F48EA" w14:textId="77777777"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Fall Risk</w:t>
            </w:r>
          </w:p>
        </w:tc>
        <w:tc>
          <w:tcPr>
            <w:tcW w:w="409" w:type="pct"/>
            <w:gridSpan w:val="2"/>
            <w:tcBorders>
              <w:top w:val="single" w:sz="18" w:space="0" w:color="auto"/>
              <w:left w:val="single" w:sz="18" w:space="0" w:color="auto"/>
              <w:bottom w:val="single" w:sz="6" w:space="0" w:color="000000" w:themeColor="text1"/>
              <w:right w:val="single" w:sz="6" w:space="0" w:color="000000" w:themeColor="text1"/>
            </w:tcBorders>
            <w:tcMar>
              <w:top w:w="15" w:type="dxa"/>
              <w:left w:w="25" w:type="dxa"/>
              <w:bottom w:w="15" w:type="dxa"/>
              <w:right w:w="25" w:type="dxa"/>
            </w:tcMar>
            <w:vAlign w:val="center"/>
          </w:tcPr>
          <w:p w14:paraId="17AD0CA1" w14:textId="23741D2B"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 xml:space="preserve">No Service </w:t>
            </w:r>
            <w:r>
              <w:rPr>
                <w:rFonts w:cstheme="minorHAnsi"/>
                <w:b/>
                <w:bCs/>
                <w:sz w:val="20"/>
                <w:szCs w:val="20"/>
              </w:rPr>
              <w:t>(Org.)</w:t>
            </w:r>
          </w:p>
        </w:tc>
        <w:tc>
          <w:tcPr>
            <w:tcW w:w="403" w:type="pct"/>
            <w:gridSpan w:val="2"/>
            <w:tcBorders>
              <w:top w:val="single" w:sz="18" w:space="0" w:color="auto"/>
              <w:left w:val="single" w:sz="6" w:space="0" w:color="000000" w:themeColor="text1"/>
              <w:bottom w:val="single" w:sz="6" w:space="0" w:color="000000" w:themeColor="text1"/>
              <w:right w:val="single" w:sz="18" w:space="0" w:color="auto"/>
            </w:tcBorders>
            <w:tcMar>
              <w:top w:w="15" w:type="dxa"/>
              <w:left w:w="25" w:type="dxa"/>
              <w:bottom w:w="15" w:type="dxa"/>
              <w:right w:w="25" w:type="dxa"/>
            </w:tcMar>
            <w:vAlign w:val="center"/>
          </w:tcPr>
          <w:p w14:paraId="64CA4B3C" w14:textId="7D360E4F" w:rsidR="004B3FF1" w:rsidRPr="00C14C41" w:rsidRDefault="004B3FF1" w:rsidP="004B3FF1">
            <w:pPr>
              <w:spacing w:line="190" w:lineRule="exact"/>
              <w:jc w:val="center"/>
              <w:rPr>
                <w:rFonts w:cstheme="minorHAnsi"/>
                <w:sz w:val="20"/>
                <w:szCs w:val="20"/>
              </w:rPr>
            </w:pPr>
            <w:r w:rsidRPr="00C14C41">
              <w:rPr>
                <w:rFonts w:cstheme="minorHAnsi"/>
                <w:b/>
                <w:bCs/>
                <w:sz w:val="20"/>
                <w:szCs w:val="20"/>
              </w:rPr>
              <w:t xml:space="preserve">No Service </w:t>
            </w:r>
            <w:r>
              <w:rPr>
                <w:rFonts w:cstheme="minorHAnsi"/>
                <w:b/>
                <w:bCs/>
                <w:sz w:val="20"/>
                <w:szCs w:val="20"/>
              </w:rPr>
              <w:t>(Dest.)</w:t>
            </w:r>
          </w:p>
        </w:tc>
      </w:tr>
      <w:tr w:rsidR="00E15CAE" w:rsidRPr="00C14C41" w14:paraId="0B5E9F98" w14:textId="77777777" w:rsidTr="00B72633">
        <w:trPr>
          <w:trHeight w:val="144"/>
          <w:tblHeader/>
        </w:trPr>
        <w:tc>
          <w:tcPr>
            <w:tcW w:w="834" w:type="pct"/>
            <w:vMerge/>
            <w:tcBorders>
              <w:left w:val="single" w:sz="18" w:space="0" w:color="auto"/>
              <w:right w:val="single" w:sz="18" w:space="0" w:color="auto"/>
            </w:tcBorders>
          </w:tcPr>
          <w:p w14:paraId="26652103" w14:textId="77777777" w:rsidR="00E15CAE" w:rsidRPr="00C14C41" w:rsidRDefault="00E15CAE" w:rsidP="00154678">
            <w:pPr>
              <w:spacing w:line="190" w:lineRule="exact"/>
              <w:rPr>
                <w:rFonts w:cstheme="minorHAnsi"/>
                <w:sz w:val="20"/>
                <w:szCs w:val="20"/>
              </w:rPr>
            </w:pPr>
          </w:p>
        </w:tc>
        <w:tc>
          <w:tcPr>
            <w:tcW w:w="446" w:type="pct"/>
            <w:gridSpan w:val="2"/>
            <w:vMerge/>
            <w:tcBorders>
              <w:left w:val="single" w:sz="18" w:space="0" w:color="auto"/>
              <w:bottom w:val="single" w:sz="18" w:space="0" w:color="auto"/>
              <w:right w:val="single" w:sz="18" w:space="0" w:color="auto"/>
            </w:tcBorders>
            <w:tcMar>
              <w:top w:w="15" w:type="dxa"/>
              <w:left w:w="25" w:type="dxa"/>
              <w:bottom w:w="15" w:type="dxa"/>
              <w:right w:w="25" w:type="dxa"/>
            </w:tcMar>
            <w:vAlign w:val="center"/>
          </w:tcPr>
          <w:p w14:paraId="10B02D3C" w14:textId="77777777" w:rsidR="00E15CAE" w:rsidRPr="0002526D" w:rsidRDefault="00E15CAE" w:rsidP="00154678">
            <w:pPr>
              <w:spacing w:line="190" w:lineRule="exact"/>
              <w:jc w:val="center"/>
              <w:rPr>
                <w:rFonts w:cstheme="minorHAnsi"/>
                <w:i/>
                <w:iCs/>
                <w:sz w:val="20"/>
                <w:szCs w:val="20"/>
              </w:rPr>
            </w:pPr>
          </w:p>
        </w:tc>
        <w:tc>
          <w:tcPr>
            <w:tcW w:w="3522" w:type="pct"/>
            <w:gridSpan w:val="17"/>
            <w:tcBorders>
              <w:top w:val="single" w:sz="6" w:space="0" w:color="000000" w:themeColor="text1"/>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51C412AA" w14:textId="770A7E61" w:rsidR="00E15CAE" w:rsidRPr="0002526D" w:rsidRDefault="00E15CAE" w:rsidP="00154678">
            <w:pPr>
              <w:spacing w:line="190" w:lineRule="exact"/>
              <w:jc w:val="center"/>
              <w:rPr>
                <w:rFonts w:cstheme="minorHAnsi"/>
                <w:i/>
                <w:iCs/>
                <w:sz w:val="20"/>
                <w:szCs w:val="20"/>
              </w:rPr>
            </w:pPr>
            <w:r w:rsidRPr="0002526D">
              <w:rPr>
                <w:rFonts w:cstheme="minorHAnsi"/>
                <w:i/>
                <w:iCs/>
                <w:sz w:val="20"/>
                <w:szCs w:val="20"/>
              </w:rPr>
              <w:t>Binary variables (</w:t>
            </w:r>
            <w:r w:rsidR="00273078">
              <w:rPr>
                <w:rFonts w:cstheme="minorHAnsi"/>
                <w:i/>
                <w:iCs/>
                <w:sz w:val="20"/>
                <w:szCs w:val="20"/>
              </w:rPr>
              <w:t>reported</w:t>
            </w:r>
            <w:r w:rsidRPr="0002526D">
              <w:rPr>
                <w:rFonts w:cstheme="minorHAnsi"/>
                <w:i/>
                <w:iCs/>
                <w:sz w:val="20"/>
                <w:szCs w:val="20"/>
              </w:rPr>
              <w:t xml:space="preserve">, </w:t>
            </w:r>
            <w:r w:rsidR="00273078">
              <w:rPr>
                <w:rFonts w:cstheme="minorHAnsi"/>
                <w:i/>
                <w:iCs/>
                <w:sz w:val="20"/>
                <w:szCs w:val="20"/>
              </w:rPr>
              <w:t>n</w:t>
            </w:r>
            <w:r w:rsidRPr="0002526D">
              <w:rPr>
                <w:rFonts w:cstheme="minorHAnsi"/>
                <w:i/>
                <w:iCs/>
                <w:sz w:val="20"/>
                <w:szCs w:val="20"/>
              </w:rPr>
              <w:t>o</w:t>
            </w:r>
            <w:r>
              <w:rPr>
                <w:rFonts w:cstheme="minorHAnsi"/>
                <w:i/>
                <w:iCs/>
                <w:sz w:val="20"/>
                <w:szCs w:val="20"/>
              </w:rPr>
              <w:t xml:space="preserve">t </w:t>
            </w:r>
            <w:r w:rsidR="00273078">
              <w:rPr>
                <w:rFonts w:cstheme="minorHAnsi"/>
                <w:i/>
                <w:iCs/>
                <w:sz w:val="20"/>
                <w:szCs w:val="20"/>
              </w:rPr>
              <w:t>reported</w:t>
            </w:r>
            <w:r w:rsidRPr="0002526D">
              <w:rPr>
                <w:rFonts w:cstheme="minorHAnsi"/>
                <w:i/>
                <w:iCs/>
                <w:sz w:val="20"/>
                <w:szCs w:val="20"/>
              </w:rPr>
              <w:t xml:space="preserve"> [base]) </w:t>
            </w:r>
          </w:p>
        </w:tc>
        <w:tc>
          <w:tcPr>
            <w:tcW w:w="198" w:type="pct"/>
            <w:tcBorders>
              <w:top w:val="single" w:sz="6" w:space="0" w:color="000000" w:themeColor="text1"/>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6A0CE29D" w14:textId="77777777" w:rsidR="00E15CAE" w:rsidRPr="00C14C41" w:rsidRDefault="00E15CAE" w:rsidP="00154678">
            <w:pPr>
              <w:spacing w:line="190" w:lineRule="exact"/>
              <w:jc w:val="center"/>
              <w:rPr>
                <w:rFonts w:cstheme="minorHAnsi"/>
                <w:b/>
                <w:bCs/>
                <w:sz w:val="20"/>
                <w:szCs w:val="20"/>
              </w:rPr>
            </w:pPr>
          </w:p>
        </w:tc>
      </w:tr>
      <w:tr w:rsidR="00E15CAE" w:rsidRPr="00C14C41" w14:paraId="33C2F101" w14:textId="77777777" w:rsidTr="00B72633">
        <w:trPr>
          <w:trHeight w:val="144"/>
          <w:tblHeader/>
        </w:trPr>
        <w:tc>
          <w:tcPr>
            <w:tcW w:w="834" w:type="pct"/>
            <w:vMerge/>
            <w:tcBorders>
              <w:left w:val="single" w:sz="18" w:space="0" w:color="auto"/>
              <w:bottom w:val="single" w:sz="18" w:space="0" w:color="auto"/>
              <w:right w:val="single" w:sz="18" w:space="0" w:color="auto"/>
            </w:tcBorders>
          </w:tcPr>
          <w:p w14:paraId="481D35AD" w14:textId="77777777" w:rsidR="00E15CAE" w:rsidRPr="00C14C41" w:rsidRDefault="00E15CAE" w:rsidP="00154678">
            <w:pPr>
              <w:spacing w:line="190" w:lineRule="exact"/>
              <w:rPr>
                <w:rFonts w:cstheme="minorHAnsi"/>
                <w:sz w:val="20"/>
                <w:szCs w:val="20"/>
              </w:rPr>
            </w:pPr>
          </w:p>
        </w:tc>
        <w:tc>
          <w:tcPr>
            <w:tcW w:w="199" w:type="pct"/>
            <w:tcBorders>
              <w:top w:val="single" w:sz="6" w:space="0" w:color="000000" w:themeColor="text1"/>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23A1152D"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47" w:type="pct"/>
            <w:tcBorders>
              <w:top w:val="single" w:sz="6" w:space="0" w:color="000000" w:themeColor="text1"/>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75B62554"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249" w:type="pct"/>
            <w:tcBorders>
              <w:top w:val="single" w:sz="6" w:space="0" w:color="000000" w:themeColor="text1"/>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67C2FA61"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14" w:type="pct"/>
            <w:tcBorders>
              <w:top w:val="single" w:sz="6" w:space="0" w:color="000000" w:themeColor="text1"/>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3E0C469C"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199" w:type="pct"/>
            <w:tcBorders>
              <w:top w:val="single" w:sz="6" w:space="0" w:color="000000" w:themeColor="text1"/>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77FDB3AC"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00" w:type="pct"/>
            <w:tcBorders>
              <w:top w:val="single" w:sz="6" w:space="0" w:color="000000" w:themeColor="text1"/>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5AE2C7FE"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225" w:type="pct"/>
            <w:tcBorders>
              <w:top w:val="single" w:sz="6" w:space="0" w:color="000000" w:themeColor="text1"/>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491F3483"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25" w:type="pct"/>
            <w:tcBorders>
              <w:top w:val="single" w:sz="6" w:space="0" w:color="000000" w:themeColor="text1"/>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4D2E6C3E"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197" w:type="pct"/>
            <w:tcBorders>
              <w:top w:val="single" w:sz="6" w:space="0" w:color="000000" w:themeColor="text1"/>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08FB5A86"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199" w:type="pct"/>
            <w:tcBorders>
              <w:top w:val="single" w:sz="6" w:space="0" w:color="000000" w:themeColor="text1"/>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2DCC6B8C"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199" w:type="pct"/>
            <w:tcBorders>
              <w:top w:val="single" w:sz="6" w:space="0" w:color="000000" w:themeColor="text1"/>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16469B6D"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01" w:type="pct"/>
            <w:tcBorders>
              <w:top w:val="single" w:sz="6" w:space="0" w:color="000000" w:themeColor="text1"/>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2DC5559A" w14:textId="77777777" w:rsidR="00E15CAE" w:rsidRPr="00C14C41" w:rsidRDefault="00E15CAE" w:rsidP="00154678">
            <w:pPr>
              <w:spacing w:line="190" w:lineRule="exact"/>
              <w:rPr>
                <w:rFonts w:cstheme="minorHAnsi"/>
                <w:sz w:val="20"/>
                <w:szCs w:val="20"/>
              </w:rPr>
            </w:pPr>
            <w:r w:rsidRPr="00C14C41">
              <w:rPr>
                <w:rFonts w:cstheme="minorHAnsi"/>
                <w:b/>
                <w:bCs/>
                <w:sz w:val="20"/>
                <w:szCs w:val="20"/>
              </w:rPr>
              <w:t>t-stat</w:t>
            </w:r>
          </w:p>
        </w:tc>
        <w:tc>
          <w:tcPr>
            <w:tcW w:w="199" w:type="pct"/>
            <w:tcBorders>
              <w:top w:val="single" w:sz="6" w:space="0" w:color="000000" w:themeColor="text1"/>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0671C6D9"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01" w:type="pct"/>
            <w:tcBorders>
              <w:top w:val="single" w:sz="6" w:space="0" w:color="000000" w:themeColor="text1"/>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55E61466"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199" w:type="pct"/>
            <w:tcBorders>
              <w:top w:val="single" w:sz="6" w:space="0" w:color="000000" w:themeColor="text1"/>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76A97547"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01" w:type="pct"/>
            <w:tcBorders>
              <w:top w:val="single" w:sz="6" w:space="0" w:color="000000" w:themeColor="text1"/>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5E051808"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204" w:type="pct"/>
            <w:tcBorders>
              <w:top w:val="single" w:sz="6" w:space="0" w:color="000000" w:themeColor="text1"/>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0477D2D6"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205" w:type="pct"/>
            <w:tcBorders>
              <w:top w:val="single" w:sz="6" w:space="0" w:color="000000" w:themeColor="text1"/>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03E00CC0"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c>
          <w:tcPr>
            <w:tcW w:w="205" w:type="pct"/>
            <w:tcBorders>
              <w:top w:val="single" w:sz="6" w:space="0" w:color="000000" w:themeColor="text1"/>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4555CD49"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Coef.</w:t>
            </w:r>
          </w:p>
        </w:tc>
        <w:tc>
          <w:tcPr>
            <w:tcW w:w="198" w:type="pct"/>
            <w:tcBorders>
              <w:top w:val="single" w:sz="6" w:space="0" w:color="000000" w:themeColor="text1"/>
              <w:left w:val="single" w:sz="4" w:space="0" w:color="FFFFFF" w:themeColor="background1"/>
              <w:right w:val="single" w:sz="18" w:space="0" w:color="auto"/>
            </w:tcBorders>
            <w:tcMar>
              <w:top w:w="15" w:type="dxa"/>
              <w:left w:w="25" w:type="dxa"/>
              <w:bottom w:w="15" w:type="dxa"/>
              <w:right w:w="25" w:type="dxa"/>
            </w:tcMar>
            <w:vAlign w:val="center"/>
          </w:tcPr>
          <w:p w14:paraId="07B13174" w14:textId="77777777" w:rsidR="00E15CAE" w:rsidRPr="00C14C41" w:rsidRDefault="00E15CAE" w:rsidP="00154678">
            <w:pPr>
              <w:spacing w:line="190" w:lineRule="exact"/>
              <w:jc w:val="center"/>
              <w:rPr>
                <w:rFonts w:cstheme="minorHAnsi"/>
                <w:sz w:val="20"/>
                <w:szCs w:val="20"/>
              </w:rPr>
            </w:pPr>
            <w:r w:rsidRPr="00C14C41">
              <w:rPr>
                <w:rFonts w:cstheme="minorHAnsi"/>
                <w:b/>
                <w:bCs/>
                <w:sz w:val="20"/>
                <w:szCs w:val="20"/>
              </w:rPr>
              <w:t>t-stat</w:t>
            </w:r>
          </w:p>
        </w:tc>
      </w:tr>
      <w:tr w:rsidR="00E15CAE" w:rsidRPr="00C14C41" w14:paraId="39D88BF0" w14:textId="77777777" w:rsidTr="00154678">
        <w:trPr>
          <w:trHeight w:val="144"/>
        </w:trPr>
        <w:tc>
          <w:tcPr>
            <w:tcW w:w="5000" w:type="pct"/>
            <w:gridSpan w:val="21"/>
            <w:tcBorders>
              <w:top w:val="single" w:sz="18" w:space="0" w:color="auto"/>
              <w:left w:val="single" w:sz="18" w:space="0" w:color="auto"/>
              <w:bottom w:val="single" w:sz="12" w:space="0" w:color="auto"/>
              <w:right w:val="single" w:sz="18" w:space="0" w:color="auto"/>
            </w:tcBorders>
            <w:tcMar>
              <w:top w:w="12" w:type="dxa"/>
              <w:left w:w="25" w:type="dxa"/>
              <w:bottom w:w="12" w:type="dxa"/>
              <w:right w:w="25" w:type="dxa"/>
            </w:tcMar>
            <w:vAlign w:val="center"/>
          </w:tcPr>
          <w:p w14:paraId="58A4803D" w14:textId="77777777" w:rsidR="00E15CAE" w:rsidRPr="00C14C41" w:rsidRDefault="00E15CAE" w:rsidP="00154678">
            <w:pPr>
              <w:spacing w:line="190" w:lineRule="exact"/>
              <w:rPr>
                <w:rFonts w:cstheme="minorHAnsi"/>
                <w:sz w:val="20"/>
                <w:szCs w:val="20"/>
              </w:rPr>
            </w:pPr>
            <w:r w:rsidRPr="00C14C41">
              <w:rPr>
                <w:rFonts w:cstheme="minorHAnsi"/>
                <w:b/>
                <w:bCs/>
                <w:i/>
                <w:iCs/>
                <w:sz w:val="20"/>
                <w:szCs w:val="20"/>
              </w:rPr>
              <w:t>Individual-level characteristics</w:t>
            </w:r>
          </w:p>
        </w:tc>
      </w:tr>
      <w:tr w:rsidR="00E15CAE" w:rsidRPr="00C14C41" w14:paraId="6A298A1A" w14:textId="77777777" w:rsidTr="00B72633">
        <w:trPr>
          <w:trHeight w:val="144"/>
        </w:trPr>
        <w:tc>
          <w:tcPr>
            <w:tcW w:w="834" w:type="pct"/>
            <w:tcBorders>
              <w:top w:val="single" w:sz="8"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437D3F9E" w14:textId="77777777" w:rsidR="00E15CAE" w:rsidRPr="00C14C41" w:rsidRDefault="00E15CAE" w:rsidP="00154678">
            <w:pPr>
              <w:spacing w:line="190" w:lineRule="exact"/>
              <w:ind w:left="-47"/>
              <w:rPr>
                <w:rFonts w:cstheme="minorHAnsi"/>
                <w:sz w:val="20"/>
                <w:szCs w:val="20"/>
              </w:rPr>
            </w:pPr>
            <w:r w:rsidRPr="00C14C41">
              <w:rPr>
                <w:rFonts w:cstheme="minorHAnsi"/>
                <w:sz w:val="20"/>
                <w:szCs w:val="20"/>
              </w:rPr>
              <w:t xml:space="preserve"> Female</w:t>
            </w:r>
            <w:r>
              <w:rPr>
                <w:rFonts w:cstheme="minorHAnsi"/>
                <w:sz w:val="20"/>
                <w:szCs w:val="20"/>
              </w:rPr>
              <w:t xml:space="preserve"> (not female)</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36FE6A8A" w14:textId="77777777" w:rsidR="00E15CAE" w:rsidRPr="00C14C41" w:rsidRDefault="00E15CAE" w:rsidP="00154678">
            <w:pPr>
              <w:tabs>
                <w:tab w:val="decimal" w:pos="216"/>
              </w:tabs>
              <w:spacing w:line="190" w:lineRule="exact"/>
              <w:jc w:val="right"/>
              <w:rPr>
                <w:rFonts w:cstheme="minorHAnsi"/>
                <w:sz w:val="20"/>
                <w:szCs w:val="20"/>
              </w:rPr>
            </w:pPr>
            <w:r>
              <w:rPr>
                <w:rFonts w:cstheme="minorHAnsi"/>
                <w:sz w:val="20"/>
                <w:szCs w:val="20"/>
              </w:rPr>
              <w:t>-</w:t>
            </w:r>
            <w:r w:rsidRPr="00C14C41">
              <w:rPr>
                <w:rFonts w:cstheme="minorHAnsi"/>
                <w:sz w:val="20"/>
                <w:szCs w:val="20"/>
              </w:rPr>
              <w:t>0.15</w:t>
            </w:r>
          </w:p>
        </w:tc>
        <w:tc>
          <w:tcPr>
            <w:tcW w:w="247"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5949F750"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 xml:space="preserve">  </w:t>
            </w:r>
            <w:r>
              <w:rPr>
                <w:rFonts w:cstheme="minorHAnsi"/>
                <w:sz w:val="20"/>
                <w:szCs w:val="20"/>
              </w:rPr>
              <w:t>-</w:t>
            </w:r>
            <w:r w:rsidRPr="00C14C41">
              <w:rPr>
                <w:rFonts w:cstheme="minorHAnsi"/>
                <w:sz w:val="20"/>
                <w:szCs w:val="20"/>
              </w:rPr>
              <w:t>4.88</w:t>
            </w:r>
          </w:p>
        </w:tc>
        <w:tc>
          <w:tcPr>
            <w:tcW w:w="24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05A1A756"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0.23</w:t>
            </w:r>
          </w:p>
        </w:tc>
        <w:tc>
          <w:tcPr>
            <w:tcW w:w="214"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259D379B"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5.35</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B6AF2F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0F8271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B00F8D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F566B2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15A83EC"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0.28</w:t>
            </w:r>
          </w:p>
        </w:tc>
        <w:tc>
          <w:tcPr>
            <w:tcW w:w="199"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883E832"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5.39</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276FC2D9"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0.32</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0592BBE7"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6.79</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693F41D1"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0.20</w:t>
            </w:r>
          </w:p>
        </w:tc>
        <w:tc>
          <w:tcPr>
            <w:tcW w:w="201"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ACCD1E8"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4.36</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5E9D8918"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0.17</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5CA1596D"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2.62</w:t>
            </w:r>
          </w:p>
        </w:tc>
        <w:tc>
          <w:tcPr>
            <w:tcW w:w="204"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34F0802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971B5B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A55A50B"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0.11</w:t>
            </w:r>
          </w:p>
        </w:tc>
        <w:tc>
          <w:tcPr>
            <w:tcW w:w="198" w:type="pct"/>
            <w:tcBorders>
              <w:top w:val="single" w:sz="8" w:space="0" w:color="auto"/>
              <w:left w:val="single" w:sz="4" w:space="0" w:color="FFFFFF" w:themeColor="background1"/>
              <w:right w:val="single" w:sz="18" w:space="0" w:color="auto"/>
            </w:tcBorders>
            <w:tcMar>
              <w:top w:w="12" w:type="dxa"/>
              <w:left w:w="25" w:type="dxa"/>
              <w:bottom w:w="12" w:type="dxa"/>
              <w:right w:w="25" w:type="dxa"/>
            </w:tcMar>
            <w:vAlign w:val="center"/>
          </w:tcPr>
          <w:p w14:paraId="72A9763A"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2.46</w:t>
            </w:r>
          </w:p>
        </w:tc>
      </w:tr>
      <w:tr w:rsidR="00E15CAE" w:rsidRPr="00C14C41" w14:paraId="6981EE1E" w14:textId="77777777" w:rsidTr="00154678">
        <w:trPr>
          <w:trHeight w:val="144"/>
        </w:trPr>
        <w:tc>
          <w:tcPr>
            <w:tcW w:w="5000" w:type="pct"/>
            <w:gridSpan w:val="21"/>
            <w:tcBorders>
              <w:top w:val="single" w:sz="8"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56A3EB2C" w14:textId="77777777" w:rsidR="00E15CAE" w:rsidRPr="00C14C41" w:rsidRDefault="00E15CAE" w:rsidP="00154678">
            <w:pPr>
              <w:spacing w:line="190" w:lineRule="exact"/>
              <w:ind w:left="-47"/>
              <w:rPr>
                <w:rFonts w:cstheme="minorHAnsi"/>
                <w:sz w:val="20"/>
                <w:szCs w:val="20"/>
              </w:rPr>
            </w:pPr>
            <w:r w:rsidRPr="00C14C41">
              <w:rPr>
                <w:rFonts w:cstheme="minorHAnsi"/>
                <w:b/>
                <w:bCs/>
                <w:sz w:val="20"/>
                <w:szCs w:val="20"/>
              </w:rPr>
              <w:t xml:space="preserve"> </w:t>
            </w:r>
            <w:r w:rsidRPr="00C14C41">
              <w:rPr>
                <w:rFonts w:cstheme="minorHAnsi"/>
                <w:sz w:val="20"/>
                <w:szCs w:val="20"/>
              </w:rPr>
              <w:t>Age (18–24 years)</w:t>
            </w:r>
          </w:p>
        </w:tc>
      </w:tr>
      <w:tr w:rsidR="00E15CAE" w:rsidRPr="00C14C41" w14:paraId="61933838" w14:textId="77777777" w:rsidTr="00B72633">
        <w:trPr>
          <w:trHeight w:val="144"/>
        </w:trPr>
        <w:tc>
          <w:tcPr>
            <w:tcW w:w="834" w:type="pct"/>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3898EDC2" w14:textId="77777777" w:rsidR="00E15CAE" w:rsidRPr="00C14C41" w:rsidRDefault="00E15CAE" w:rsidP="00154678">
            <w:pPr>
              <w:spacing w:line="190" w:lineRule="exact"/>
              <w:rPr>
                <w:rFonts w:cstheme="minorHAnsi"/>
                <w:sz w:val="20"/>
                <w:szCs w:val="20"/>
              </w:rPr>
            </w:pPr>
            <w:r w:rsidRPr="00C14C41">
              <w:rPr>
                <w:rFonts w:cstheme="minorHAnsi"/>
                <w:sz w:val="20"/>
                <w:szCs w:val="20"/>
              </w:rPr>
              <w:t xml:space="preserve"> 25–44 years</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DE604C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7"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C52A70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9DDA13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67F6CC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17C593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A7888A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D1F1C1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D84E19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DCF2BC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FCF6DE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3B7ED0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20C91D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743A15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891AEA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7E6C01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A63463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D8A4184"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0.15</w:t>
            </w:r>
          </w:p>
        </w:tc>
        <w:tc>
          <w:tcPr>
            <w:tcW w:w="20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C0036FF"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2.55</w:t>
            </w:r>
          </w:p>
        </w:tc>
        <w:tc>
          <w:tcPr>
            <w:tcW w:w="20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F4AD0DF"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0.23</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43BB4C8"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4.00</w:t>
            </w:r>
          </w:p>
        </w:tc>
      </w:tr>
      <w:tr w:rsidR="00E15CAE" w:rsidRPr="00C14C41" w14:paraId="260D750A" w14:textId="77777777" w:rsidTr="00B72633">
        <w:trPr>
          <w:trHeight w:val="144"/>
        </w:trPr>
        <w:tc>
          <w:tcPr>
            <w:tcW w:w="834" w:type="pct"/>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67E094D5" w14:textId="77777777" w:rsidR="00E15CAE" w:rsidRPr="00C14C41" w:rsidRDefault="00E15CAE" w:rsidP="00154678">
            <w:pPr>
              <w:spacing w:line="190" w:lineRule="exact"/>
              <w:rPr>
                <w:rFonts w:cstheme="minorHAnsi"/>
                <w:sz w:val="20"/>
                <w:szCs w:val="20"/>
              </w:rPr>
            </w:pPr>
            <w:r w:rsidRPr="00C14C41">
              <w:rPr>
                <w:rFonts w:cstheme="minorHAnsi"/>
                <w:sz w:val="20"/>
                <w:szCs w:val="20"/>
              </w:rPr>
              <w:t xml:space="preserve"> 45–64 years</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DBA9D13" w14:textId="77777777" w:rsidR="00E15CAE" w:rsidRPr="00C14C41" w:rsidRDefault="00E15CAE" w:rsidP="00154678">
            <w:pPr>
              <w:tabs>
                <w:tab w:val="decimal" w:pos="144"/>
              </w:tabs>
              <w:spacing w:line="190" w:lineRule="exact"/>
              <w:jc w:val="right"/>
              <w:rPr>
                <w:rFonts w:cstheme="minorHAnsi"/>
                <w:sz w:val="20"/>
                <w:szCs w:val="20"/>
              </w:rPr>
            </w:pPr>
            <w:r w:rsidRPr="0013406B">
              <w:rPr>
                <w:rFonts w:cstheme="minorHAnsi"/>
                <w:sz w:val="20"/>
                <w:szCs w:val="20"/>
              </w:rPr>
              <w:t>-</w:t>
            </w:r>
            <w:r w:rsidRPr="00C14C41">
              <w:rPr>
                <w:rFonts w:cstheme="minorHAnsi"/>
                <w:sz w:val="20"/>
                <w:szCs w:val="20"/>
              </w:rPr>
              <w:t>0.17</w:t>
            </w:r>
          </w:p>
        </w:tc>
        <w:tc>
          <w:tcPr>
            <w:tcW w:w="247"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B28B8BE"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 xml:space="preserve">  </w:t>
            </w:r>
            <w:r>
              <w:rPr>
                <w:rFonts w:cstheme="minorHAnsi"/>
                <w:sz w:val="20"/>
                <w:szCs w:val="20"/>
              </w:rPr>
              <w:t>-</w:t>
            </w:r>
            <w:r w:rsidRPr="00C14C41">
              <w:rPr>
                <w:rFonts w:cstheme="minorHAnsi"/>
                <w:sz w:val="20"/>
                <w:szCs w:val="20"/>
              </w:rPr>
              <w:t>4.81</w:t>
            </w:r>
          </w:p>
        </w:tc>
        <w:tc>
          <w:tcPr>
            <w:tcW w:w="24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4443EDF"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0.24</w:t>
            </w:r>
          </w:p>
        </w:tc>
        <w:tc>
          <w:tcPr>
            <w:tcW w:w="214"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92CAF94"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4.34</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2588DF1"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0.34</w:t>
            </w:r>
          </w:p>
        </w:tc>
        <w:tc>
          <w:tcPr>
            <w:tcW w:w="200"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A4A33D5"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5.33</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BB3780E"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0.32</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F11665B"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3.56</w:t>
            </w:r>
          </w:p>
        </w:tc>
        <w:tc>
          <w:tcPr>
            <w:tcW w:w="197"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990B6E1"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0.23</w:t>
            </w:r>
          </w:p>
        </w:tc>
        <w:tc>
          <w:tcPr>
            <w:tcW w:w="199"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FC4BF77"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3.75</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9F1F705"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0.23</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29E5CE6"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3.94</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05EB47B"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0.31</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C3E8CC1"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5.57</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6AA993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9C39CD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0645B6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513C8A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3056BA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20006B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10268C4F" w14:textId="77777777" w:rsidTr="00B72633">
        <w:trPr>
          <w:trHeight w:val="144"/>
        </w:trPr>
        <w:tc>
          <w:tcPr>
            <w:tcW w:w="834" w:type="pct"/>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6D4FD812" w14:textId="77777777" w:rsidR="00E15CAE" w:rsidRPr="00C14C41" w:rsidRDefault="00E15CAE" w:rsidP="00154678">
            <w:pPr>
              <w:spacing w:line="190" w:lineRule="exact"/>
              <w:rPr>
                <w:rFonts w:cstheme="minorHAnsi"/>
                <w:sz w:val="20"/>
                <w:szCs w:val="20"/>
              </w:rPr>
            </w:pPr>
            <w:r w:rsidRPr="00C14C41">
              <w:rPr>
                <w:rFonts w:cstheme="minorHAnsi"/>
                <w:sz w:val="20"/>
                <w:szCs w:val="20"/>
              </w:rPr>
              <w:t xml:space="preserve"> 65 years or older</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B2129C5"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0.69</w:t>
            </w:r>
          </w:p>
        </w:tc>
        <w:tc>
          <w:tcPr>
            <w:tcW w:w="247"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324C2E87"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13.70</w:t>
            </w:r>
          </w:p>
        </w:tc>
        <w:tc>
          <w:tcPr>
            <w:tcW w:w="24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FA1C138"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0.50</w:t>
            </w:r>
          </w:p>
        </w:tc>
        <w:tc>
          <w:tcPr>
            <w:tcW w:w="214"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B7E4274"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8.86</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5C8566C"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0.70</w:t>
            </w:r>
          </w:p>
        </w:tc>
        <w:tc>
          <w:tcPr>
            <w:tcW w:w="200"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51A857DB"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9.95</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23F589B"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0.67</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337094E"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3.80</w:t>
            </w:r>
          </w:p>
        </w:tc>
        <w:tc>
          <w:tcPr>
            <w:tcW w:w="197"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16CA464"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0.49</w:t>
            </w:r>
          </w:p>
        </w:tc>
        <w:tc>
          <w:tcPr>
            <w:tcW w:w="199"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FEB6CDC"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7.46</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05BC40A4"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0.40</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22088BDA"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6.57</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3CE9ED7B"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0.57</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54865DE"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9.98</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578DBD9"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0.25</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38970ABE" w14:textId="77777777" w:rsidR="00E15CAE" w:rsidRPr="00C14C41" w:rsidRDefault="00E15CAE" w:rsidP="00154678">
            <w:pPr>
              <w:tabs>
                <w:tab w:val="decimal" w:pos="144"/>
              </w:tabs>
              <w:spacing w:line="190" w:lineRule="exact"/>
              <w:jc w:val="right"/>
              <w:rPr>
                <w:rFonts w:cstheme="minorHAnsi"/>
                <w:sz w:val="20"/>
                <w:szCs w:val="20"/>
              </w:rPr>
            </w:pPr>
            <w:r>
              <w:rPr>
                <w:rFonts w:cstheme="minorHAnsi"/>
                <w:sz w:val="20"/>
                <w:szCs w:val="20"/>
              </w:rPr>
              <w:t>-</w:t>
            </w:r>
            <w:r w:rsidRPr="00C14C41">
              <w:rPr>
                <w:rFonts w:cstheme="minorHAnsi"/>
                <w:sz w:val="20"/>
                <w:szCs w:val="20"/>
              </w:rPr>
              <w:t>3.02</w:t>
            </w:r>
          </w:p>
        </w:tc>
        <w:tc>
          <w:tcPr>
            <w:tcW w:w="204"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1583FF0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3DC825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D82388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7BF477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328096D6" w14:textId="77777777" w:rsidTr="00154678">
        <w:trPr>
          <w:trHeight w:val="144"/>
        </w:trPr>
        <w:tc>
          <w:tcPr>
            <w:tcW w:w="5000" w:type="pct"/>
            <w:gridSpan w:val="21"/>
            <w:tcBorders>
              <w:top w:val="single" w:sz="8" w:space="0" w:color="auto"/>
              <w:left w:val="single" w:sz="18" w:space="0" w:color="auto"/>
              <w:right w:val="single" w:sz="18" w:space="0" w:color="auto"/>
            </w:tcBorders>
            <w:tcMar>
              <w:top w:w="12" w:type="dxa"/>
              <w:left w:w="25" w:type="dxa"/>
              <w:bottom w:w="12" w:type="dxa"/>
              <w:right w:w="25" w:type="dxa"/>
            </w:tcMar>
            <w:vAlign w:val="center"/>
          </w:tcPr>
          <w:p w14:paraId="31E17CE1" w14:textId="77777777" w:rsidR="00E15CAE" w:rsidRPr="00C14C41" w:rsidRDefault="00E15CAE" w:rsidP="00154678">
            <w:pPr>
              <w:spacing w:line="190" w:lineRule="exact"/>
              <w:ind w:left="-47"/>
              <w:rPr>
                <w:rFonts w:cstheme="minorHAnsi"/>
                <w:sz w:val="20"/>
                <w:szCs w:val="20"/>
              </w:rPr>
            </w:pPr>
            <w:r w:rsidRPr="00C14C41">
              <w:rPr>
                <w:rFonts w:cstheme="minorHAnsi"/>
                <w:b/>
                <w:bCs/>
                <w:sz w:val="20"/>
                <w:szCs w:val="20"/>
              </w:rPr>
              <w:t xml:space="preserve"> </w:t>
            </w:r>
            <w:r w:rsidRPr="00C14C41">
              <w:rPr>
                <w:rFonts w:cstheme="minorHAnsi"/>
                <w:sz w:val="20"/>
                <w:szCs w:val="20"/>
              </w:rPr>
              <w:t>Employment status (retired or not employed)</w:t>
            </w:r>
          </w:p>
        </w:tc>
      </w:tr>
      <w:tr w:rsidR="00E15CAE" w:rsidRPr="00C14C41" w14:paraId="373F7BD4" w14:textId="77777777" w:rsidTr="00B72633">
        <w:trPr>
          <w:trHeight w:val="144"/>
        </w:trPr>
        <w:tc>
          <w:tcPr>
            <w:tcW w:w="834" w:type="pct"/>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0A275415"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Full-time</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1D14FEB"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 xml:space="preserve">  0.36</w:t>
            </w:r>
          </w:p>
        </w:tc>
        <w:tc>
          <w:tcPr>
            <w:tcW w:w="247"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75F3BD3D"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 xml:space="preserve">    8.88</w:t>
            </w:r>
          </w:p>
        </w:tc>
        <w:tc>
          <w:tcPr>
            <w:tcW w:w="24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2AFC95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CCB018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305FDA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7E1655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CFA44E6"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0.52</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8321A87"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6.33</w:t>
            </w:r>
          </w:p>
        </w:tc>
        <w:tc>
          <w:tcPr>
            <w:tcW w:w="197"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53060E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C01FF5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3AD97C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5A3973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FECD32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B6C4AA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479460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B7F841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5FAECC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65B3FC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5AA7DD4"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0.16</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8A9DAE6"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3.05</w:t>
            </w:r>
          </w:p>
        </w:tc>
      </w:tr>
      <w:tr w:rsidR="00E15CAE" w:rsidRPr="00C14C41" w14:paraId="79F8C213" w14:textId="77777777" w:rsidTr="00B72633">
        <w:trPr>
          <w:trHeight w:val="144"/>
        </w:trPr>
        <w:tc>
          <w:tcPr>
            <w:tcW w:w="834" w:type="pct"/>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197E386E"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Part-time</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1A478138"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 xml:space="preserve">  0.28</w:t>
            </w:r>
          </w:p>
        </w:tc>
        <w:tc>
          <w:tcPr>
            <w:tcW w:w="247"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4351018" w14:textId="77777777" w:rsidR="00E15CAE" w:rsidRPr="00C14C41" w:rsidRDefault="00E15CAE" w:rsidP="00154678">
            <w:pPr>
              <w:tabs>
                <w:tab w:val="decimal" w:pos="144"/>
              </w:tabs>
              <w:spacing w:line="190" w:lineRule="exact"/>
              <w:jc w:val="right"/>
              <w:rPr>
                <w:rFonts w:cstheme="minorHAnsi"/>
                <w:sz w:val="20"/>
                <w:szCs w:val="20"/>
              </w:rPr>
            </w:pPr>
            <w:r w:rsidRPr="00C14C41">
              <w:rPr>
                <w:rFonts w:cstheme="minorHAnsi"/>
                <w:sz w:val="20"/>
                <w:szCs w:val="20"/>
              </w:rPr>
              <w:t xml:space="preserve">    5.25</w:t>
            </w:r>
          </w:p>
        </w:tc>
        <w:tc>
          <w:tcPr>
            <w:tcW w:w="24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42B73EE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AF45FF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5C121D8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E02E67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04FF55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684C8F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0F1EF0A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102AAE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E634C4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5271993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6B0F4B3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4C44E7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A03504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2C2C535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3B871C3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952F08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0DE256DE"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0.14</w:t>
            </w:r>
          </w:p>
        </w:tc>
        <w:tc>
          <w:tcPr>
            <w:tcW w:w="198"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3F2B44B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1.78</w:t>
            </w:r>
          </w:p>
        </w:tc>
      </w:tr>
      <w:tr w:rsidR="00E15CAE" w:rsidRPr="00C14C41" w14:paraId="73CF61C3" w14:textId="77777777" w:rsidTr="00154678">
        <w:trPr>
          <w:trHeight w:val="144"/>
        </w:trPr>
        <w:tc>
          <w:tcPr>
            <w:tcW w:w="5000" w:type="pct"/>
            <w:gridSpan w:val="21"/>
            <w:tcBorders>
              <w:top w:val="single" w:sz="8"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573A54AD" w14:textId="77777777" w:rsidR="00E15CAE" w:rsidRPr="00C14C41" w:rsidRDefault="00E15CAE" w:rsidP="00154678">
            <w:pPr>
              <w:spacing w:line="190" w:lineRule="exact"/>
              <w:ind w:left="-47"/>
              <w:rPr>
                <w:rFonts w:cstheme="minorHAnsi"/>
                <w:sz w:val="20"/>
                <w:szCs w:val="20"/>
              </w:rPr>
            </w:pPr>
            <w:r w:rsidRPr="00C14C41">
              <w:rPr>
                <w:rFonts w:cstheme="minorHAnsi"/>
                <w:sz w:val="20"/>
                <w:szCs w:val="20"/>
              </w:rPr>
              <w:t xml:space="preserve"> Educational attainment (high school or less)</w:t>
            </w:r>
          </w:p>
        </w:tc>
      </w:tr>
      <w:tr w:rsidR="00E15CAE" w:rsidRPr="00C14C41" w14:paraId="43F1AFE7" w14:textId="77777777" w:rsidTr="00B72633">
        <w:trPr>
          <w:trHeight w:val="144"/>
        </w:trPr>
        <w:tc>
          <w:tcPr>
            <w:tcW w:w="834" w:type="pct"/>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75E66BC6" w14:textId="6F04747D" w:rsidR="00E15CAE" w:rsidRPr="00C14C41" w:rsidRDefault="00E15CAE" w:rsidP="00154678">
            <w:pPr>
              <w:spacing w:line="190" w:lineRule="exact"/>
              <w:ind w:left="130"/>
              <w:rPr>
                <w:rFonts w:cstheme="minorHAnsi"/>
                <w:sz w:val="20"/>
                <w:szCs w:val="20"/>
              </w:rPr>
            </w:pPr>
            <w:r w:rsidRPr="00C14C41">
              <w:rPr>
                <w:rFonts w:cstheme="minorHAnsi"/>
                <w:sz w:val="20"/>
                <w:szCs w:val="20"/>
              </w:rPr>
              <w:t>Some college</w:t>
            </w:r>
            <w:r w:rsidR="00E56B48">
              <w:rPr>
                <w:rFonts w:cstheme="minorHAnsi"/>
                <w:sz w:val="20"/>
                <w:szCs w:val="20"/>
              </w:rPr>
              <w:t>/technical</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3C1878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7"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2796F4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7AFE9B1"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0.11</w:t>
            </w:r>
          </w:p>
        </w:tc>
        <w:tc>
          <w:tcPr>
            <w:tcW w:w="214"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2A4E36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2.63</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AB581F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047075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FF17A0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DE4690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E9E8B8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35AE33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0CB07C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7F7090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B215AC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9A4885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80E673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B9A700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EC8046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0.20</w:t>
            </w:r>
          </w:p>
        </w:tc>
        <w:tc>
          <w:tcPr>
            <w:tcW w:w="20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A5E7B33"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3.10</w:t>
            </w:r>
          </w:p>
        </w:tc>
        <w:tc>
          <w:tcPr>
            <w:tcW w:w="20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5A936CF"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0.17</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7A87086"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2.71</w:t>
            </w:r>
          </w:p>
        </w:tc>
      </w:tr>
      <w:tr w:rsidR="00E15CAE" w:rsidRPr="00C14C41" w14:paraId="0524FA2C" w14:textId="77777777" w:rsidTr="00B72633">
        <w:trPr>
          <w:trHeight w:val="144"/>
        </w:trPr>
        <w:tc>
          <w:tcPr>
            <w:tcW w:w="834" w:type="pct"/>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29F607FC"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Bachelor's degree(s)</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E9D2AEF"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 xml:space="preserve">  0.17</w:t>
            </w:r>
          </w:p>
        </w:tc>
        <w:tc>
          <w:tcPr>
            <w:tcW w:w="247"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E84EB3D"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3.78</w:t>
            </w:r>
          </w:p>
        </w:tc>
        <w:tc>
          <w:tcPr>
            <w:tcW w:w="24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C4169E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488046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11EB71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261EF7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22CEF2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0E00D6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E6F73E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4BF0B7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02788D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7B91A7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339EF5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09FFD2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4C08B0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09A16F2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1329B3E"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0.47</w:t>
            </w:r>
          </w:p>
        </w:tc>
        <w:tc>
          <w:tcPr>
            <w:tcW w:w="20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D7A4C19"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6.36</w:t>
            </w:r>
          </w:p>
        </w:tc>
        <w:tc>
          <w:tcPr>
            <w:tcW w:w="20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7C64C39"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0.52</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D670B2F"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7.41</w:t>
            </w:r>
          </w:p>
        </w:tc>
      </w:tr>
      <w:tr w:rsidR="00E15CAE" w:rsidRPr="00C14C41" w14:paraId="61944868" w14:textId="77777777" w:rsidTr="00B72633">
        <w:trPr>
          <w:trHeight w:val="144"/>
        </w:trPr>
        <w:tc>
          <w:tcPr>
            <w:tcW w:w="834" w:type="pct"/>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769E1344"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Graduate degree(s)</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9561B21"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 xml:space="preserve">  0.41</w:t>
            </w:r>
          </w:p>
        </w:tc>
        <w:tc>
          <w:tcPr>
            <w:tcW w:w="247"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675B8B8A"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8.07</w:t>
            </w:r>
          </w:p>
        </w:tc>
        <w:tc>
          <w:tcPr>
            <w:tcW w:w="24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3E05231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61F3FA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57D8F86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9BD628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178AA5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0.22</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D2C4770"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2.35</w:t>
            </w:r>
          </w:p>
        </w:tc>
        <w:tc>
          <w:tcPr>
            <w:tcW w:w="197"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26BD807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0.32</w:t>
            </w:r>
          </w:p>
        </w:tc>
        <w:tc>
          <w:tcPr>
            <w:tcW w:w="199"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EF6E4FF"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4.30</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0BBDD34"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0.16</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72221A89"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2.49</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160E35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CFE7E4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A3E9B44"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0.29</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7ED7721D"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2.91</w:t>
            </w:r>
          </w:p>
        </w:tc>
        <w:tc>
          <w:tcPr>
            <w:tcW w:w="204"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A41D0C0"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0.67</w:t>
            </w:r>
          </w:p>
        </w:tc>
        <w:tc>
          <w:tcPr>
            <w:tcW w:w="20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9F2264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8.58</w:t>
            </w:r>
          </w:p>
        </w:tc>
        <w:tc>
          <w:tcPr>
            <w:tcW w:w="20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9B41591"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0.40</w:t>
            </w:r>
          </w:p>
        </w:tc>
        <w:tc>
          <w:tcPr>
            <w:tcW w:w="198"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2CAC1AFE"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5.12</w:t>
            </w:r>
          </w:p>
        </w:tc>
      </w:tr>
      <w:tr w:rsidR="00E15CAE" w:rsidRPr="00C14C41" w14:paraId="7B9E7F65" w14:textId="77777777" w:rsidTr="00154678">
        <w:trPr>
          <w:trHeight w:val="144"/>
        </w:trPr>
        <w:tc>
          <w:tcPr>
            <w:tcW w:w="5000" w:type="pct"/>
            <w:gridSpan w:val="21"/>
            <w:tcBorders>
              <w:top w:val="single" w:sz="8" w:space="0" w:color="auto"/>
              <w:left w:val="single" w:sz="18" w:space="0" w:color="auto"/>
              <w:right w:val="single" w:sz="18" w:space="0" w:color="auto"/>
            </w:tcBorders>
            <w:tcMar>
              <w:top w:w="12" w:type="dxa"/>
              <w:left w:w="25" w:type="dxa"/>
              <w:bottom w:w="12" w:type="dxa"/>
              <w:right w:w="25" w:type="dxa"/>
            </w:tcMar>
            <w:vAlign w:val="center"/>
          </w:tcPr>
          <w:p w14:paraId="10AA9839" w14:textId="77777777" w:rsidR="00E15CAE" w:rsidRPr="00C14C41" w:rsidRDefault="00E15CAE" w:rsidP="00154678">
            <w:pPr>
              <w:spacing w:line="190" w:lineRule="exact"/>
              <w:ind w:left="-47"/>
              <w:rPr>
                <w:rFonts w:cstheme="minorHAnsi"/>
                <w:sz w:val="20"/>
                <w:szCs w:val="20"/>
              </w:rPr>
            </w:pPr>
            <w:r w:rsidRPr="00C14C41">
              <w:rPr>
                <w:rFonts w:cstheme="minorHAnsi"/>
                <w:b/>
                <w:bCs/>
                <w:sz w:val="20"/>
                <w:szCs w:val="20"/>
              </w:rPr>
              <w:t xml:space="preserve"> </w:t>
            </w:r>
            <w:r w:rsidRPr="00C14C41">
              <w:rPr>
                <w:rFonts w:cstheme="minorHAnsi"/>
                <w:sz w:val="20"/>
                <w:szCs w:val="20"/>
              </w:rPr>
              <w:t>Race (White)</w:t>
            </w:r>
          </w:p>
        </w:tc>
      </w:tr>
      <w:tr w:rsidR="00E15CAE" w:rsidRPr="00C14C41" w14:paraId="0C45ED78" w14:textId="77777777" w:rsidTr="00B72633">
        <w:trPr>
          <w:trHeight w:val="144"/>
        </w:trPr>
        <w:tc>
          <w:tcPr>
            <w:tcW w:w="834" w:type="pct"/>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0A8A4AD8"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Black</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665EB66"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 xml:space="preserve">  0.08</w:t>
            </w:r>
          </w:p>
        </w:tc>
        <w:tc>
          <w:tcPr>
            <w:tcW w:w="247"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F04AB54"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2.04</w:t>
            </w:r>
          </w:p>
        </w:tc>
        <w:tc>
          <w:tcPr>
            <w:tcW w:w="24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12D985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D3A583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256ED3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BD6B8B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778E94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499F40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13382F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034101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8599AA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708E7B7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5226D2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4C329F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E2EDC8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6CEE60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A5C9E12"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0.28</w:t>
            </w:r>
          </w:p>
        </w:tc>
        <w:tc>
          <w:tcPr>
            <w:tcW w:w="20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E290375"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3.70</w:t>
            </w:r>
          </w:p>
        </w:tc>
        <w:tc>
          <w:tcPr>
            <w:tcW w:w="20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676A76D"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0.30</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101C742"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4.19</w:t>
            </w:r>
          </w:p>
        </w:tc>
      </w:tr>
      <w:tr w:rsidR="00E15CAE" w:rsidRPr="00C14C41" w14:paraId="6376438F" w14:textId="77777777" w:rsidTr="00B72633">
        <w:trPr>
          <w:trHeight w:val="144"/>
        </w:trPr>
        <w:tc>
          <w:tcPr>
            <w:tcW w:w="834" w:type="pct"/>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71B3DACD"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Other races</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1BDDCBE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7"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26E355A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7A5A86A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DEC35A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9D2BC5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5490B89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F054D6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977EB4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288A8BE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625760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62DE05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6903E50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5576610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9757D2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B4EDD5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B8E37D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A00CF81"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0.17</w:t>
            </w:r>
          </w:p>
        </w:tc>
        <w:tc>
          <w:tcPr>
            <w:tcW w:w="20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C255BA1"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2.19</w:t>
            </w:r>
          </w:p>
        </w:tc>
        <w:tc>
          <w:tcPr>
            <w:tcW w:w="20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039328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6D54A62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04FC3195" w14:textId="77777777" w:rsidTr="00B72633">
        <w:trPr>
          <w:trHeight w:val="144"/>
        </w:trPr>
        <w:tc>
          <w:tcPr>
            <w:tcW w:w="834" w:type="pct"/>
            <w:tcBorders>
              <w:top w:val="single" w:sz="8" w:space="0" w:color="auto"/>
              <w:left w:val="single" w:sz="18" w:space="0" w:color="auto"/>
              <w:bottom w:val="double" w:sz="4" w:space="0" w:color="auto"/>
              <w:right w:val="single" w:sz="18" w:space="0" w:color="auto"/>
            </w:tcBorders>
            <w:tcMar>
              <w:top w:w="12" w:type="dxa"/>
              <w:left w:w="25" w:type="dxa"/>
              <w:bottom w:w="12" w:type="dxa"/>
              <w:right w:w="25" w:type="dxa"/>
            </w:tcMar>
            <w:vAlign w:val="center"/>
          </w:tcPr>
          <w:p w14:paraId="4B0AC3A7" w14:textId="77777777" w:rsidR="00E15CAE" w:rsidRPr="00C14C41" w:rsidRDefault="00E15CAE" w:rsidP="00154678">
            <w:pPr>
              <w:spacing w:line="190" w:lineRule="exact"/>
              <w:rPr>
                <w:rFonts w:cstheme="minorHAnsi"/>
                <w:sz w:val="20"/>
                <w:szCs w:val="20"/>
              </w:rPr>
            </w:pPr>
            <w:r w:rsidRPr="00C14C41">
              <w:rPr>
                <w:rFonts w:cstheme="minorHAnsi"/>
                <w:sz w:val="20"/>
                <w:szCs w:val="20"/>
              </w:rPr>
              <w:t>Hispanic</w:t>
            </w:r>
            <w:r>
              <w:rPr>
                <w:rFonts w:cstheme="minorHAnsi"/>
                <w:sz w:val="20"/>
                <w:szCs w:val="20"/>
              </w:rPr>
              <w:t xml:space="preserve"> </w:t>
            </w:r>
            <w:r w:rsidRPr="00C14C41">
              <w:rPr>
                <w:rFonts w:cstheme="minorHAnsi"/>
                <w:sz w:val="20"/>
                <w:szCs w:val="20"/>
              </w:rPr>
              <w:t>(not Hispanic)</w:t>
            </w:r>
          </w:p>
        </w:tc>
        <w:tc>
          <w:tcPr>
            <w:tcW w:w="199" w:type="pct"/>
            <w:tcBorders>
              <w:top w:val="single" w:sz="8" w:space="0" w:color="auto"/>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7700BD6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0.11</w:t>
            </w:r>
          </w:p>
        </w:tc>
        <w:tc>
          <w:tcPr>
            <w:tcW w:w="247" w:type="pct"/>
            <w:tcBorders>
              <w:top w:val="single" w:sz="8" w:space="0" w:color="auto"/>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726FDDAE"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2.79</w:t>
            </w:r>
          </w:p>
        </w:tc>
        <w:tc>
          <w:tcPr>
            <w:tcW w:w="249" w:type="pct"/>
            <w:tcBorders>
              <w:top w:val="single" w:sz="8" w:space="0" w:color="auto"/>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4898496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1544011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6CEB2DBD"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0.23</w:t>
            </w:r>
          </w:p>
        </w:tc>
        <w:tc>
          <w:tcPr>
            <w:tcW w:w="200" w:type="pct"/>
            <w:tcBorders>
              <w:top w:val="single" w:sz="8" w:space="0" w:color="auto"/>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1546B010"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3.95</w:t>
            </w:r>
          </w:p>
        </w:tc>
        <w:tc>
          <w:tcPr>
            <w:tcW w:w="225" w:type="pct"/>
            <w:tcBorders>
              <w:top w:val="single" w:sz="8" w:space="0" w:color="auto"/>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53DD07C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6180B02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20F2342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06C7F5F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4034D6B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461EAC6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21C80D6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12B6440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755C180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6911D44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6C0A643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65B36E7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2FA0C49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8" w:space="0" w:color="auto"/>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45A278A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559DD2E2" w14:textId="77777777" w:rsidTr="00154678">
        <w:trPr>
          <w:trHeight w:val="144"/>
        </w:trPr>
        <w:tc>
          <w:tcPr>
            <w:tcW w:w="5000" w:type="pct"/>
            <w:gridSpan w:val="21"/>
            <w:tcBorders>
              <w:top w:val="double" w:sz="4" w:space="0" w:color="auto"/>
              <w:left w:val="single" w:sz="18" w:space="0" w:color="auto"/>
              <w:bottom w:val="single" w:sz="12" w:space="0" w:color="auto"/>
              <w:right w:val="single" w:sz="18" w:space="0" w:color="auto"/>
            </w:tcBorders>
            <w:tcMar>
              <w:top w:w="12" w:type="dxa"/>
              <w:left w:w="25" w:type="dxa"/>
              <w:bottom w:w="12" w:type="dxa"/>
              <w:right w:w="25" w:type="dxa"/>
            </w:tcMar>
            <w:vAlign w:val="center"/>
          </w:tcPr>
          <w:p w14:paraId="5A06E576" w14:textId="77777777" w:rsidR="00E15CAE" w:rsidRPr="00C14C41" w:rsidRDefault="00E15CAE" w:rsidP="00154678">
            <w:pPr>
              <w:spacing w:line="190" w:lineRule="exact"/>
              <w:rPr>
                <w:rFonts w:cstheme="minorHAnsi"/>
                <w:sz w:val="20"/>
                <w:szCs w:val="20"/>
              </w:rPr>
            </w:pPr>
            <w:r w:rsidRPr="00C14C41">
              <w:rPr>
                <w:rFonts w:cstheme="minorHAnsi"/>
                <w:b/>
                <w:bCs/>
                <w:i/>
                <w:iCs/>
                <w:sz w:val="20"/>
                <w:szCs w:val="20"/>
              </w:rPr>
              <w:t>Household-level attributes</w:t>
            </w:r>
          </w:p>
        </w:tc>
      </w:tr>
      <w:tr w:rsidR="00E15CAE" w:rsidRPr="00C14C41" w14:paraId="543BF840" w14:textId="77777777" w:rsidTr="00154678">
        <w:trPr>
          <w:trHeight w:val="144"/>
        </w:trPr>
        <w:tc>
          <w:tcPr>
            <w:tcW w:w="5000" w:type="pct"/>
            <w:gridSpan w:val="21"/>
            <w:tcBorders>
              <w:top w:val="single" w:sz="12"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22AFFAF9" w14:textId="77777777" w:rsidR="00E15CAE" w:rsidRPr="00C14C41" w:rsidRDefault="00E15CAE" w:rsidP="00154678">
            <w:pPr>
              <w:spacing w:line="190" w:lineRule="exact"/>
              <w:rPr>
                <w:rFonts w:cstheme="minorHAnsi"/>
                <w:sz w:val="20"/>
                <w:szCs w:val="20"/>
              </w:rPr>
            </w:pPr>
            <w:r w:rsidRPr="00C14C41">
              <w:rPr>
                <w:rFonts w:cstheme="minorHAnsi"/>
                <w:sz w:val="20"/>
                <w:szCs w:val="20"/>
              </w:rPr>
              <w:t>Annual household income (less than $25,000)</w:t>
            </w:r>
          </w:p>
        </w:tc>
      </w:tr>
      <w:tr w:rsidR="00E15CAE" w:rsidRPr="00C14C41" w14:paraId="1AFAF18F" w14:textId="77777777" w:rsidTr="00B72633">
        <w:trPr>
          <w:trHeight w:val="144"/>
        </w:trPr>
        <w:tc>
          <w:tcPr>
            <w:tcW w:w="834" w:type="pct"/>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1BAF8844"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$25,000 – $49,999</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80B6A73"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0.22</w:t>
            </w:r>
          </w:p>
        </w:tc>
        <w:tc>
          <w:tcPr>
            <w:tcW w:w="247"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8FF9E23"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4.37</w:t>
            </w:r>
          </w:p>
        </w:tc>
        <w:tc>
          <w:tcPr>
            <w:tcW w:w="24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1626ED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8423A6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FC7E35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268D9C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B78172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91C841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60523A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E36873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CEDAA3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4A6B44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A5DD9A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D73FD2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5C3124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7A0796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25ED8F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BB7109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90450E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5A0F59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3581374B" w14:textId="77777777" w:rsidTr="00B72633">
        <w:trPr>
          <w:trHeight w:val="144"/>
        </w:trPr>
        <w:tc>
          <w:tcPr>
            <w:tcW w:w="834" w:type="pct"/>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2811C1E8"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$50,000 – $99,999</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C48BBA5"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0.30</w:t>
            </w:r>
          </w:p>
        </w:tc>
        <w:tc>
          <w:tcPr>
            <w:tcW w:w="247"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D538508"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5.84</w:t>
            </w:r>
          </w:p>
        </w:tc>
        <w:tc>
          <w:tcPr>
            <w:tcW w:w="24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823407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B6C4C9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4C46F9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EF9C93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FA87F1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E20A65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59A43BA"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0.18</w:t>
            </w:r>
          </w:p>
        </w:tc>
        <w:tc>
          <w:tcPr>
            <w:tcW w:w="199"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A25149B"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3.09</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B94569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4CA1E3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8F5210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F00101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075E4F8" w14:textId="77777777" w:rsidR="00E15CAE" w:rsidRPr="00C14C41" w:rsidRDefault="00E15CAE" w:rsidP="00154678">
            <w:pPr>
              <w:spacing w:line="190" w:lineRule="exact"/>
              <w:jc w:val="center"/>
              <w:rPr>
                <w:rFonts w:cstheme="minorHAnsi"/>
                <w:sz w:val="20"/>
                <w:szCs w:val="20"/>
              </w:rPr>
            </w:pPr>
            <w:r>
              <w:rPr>
                <w:rFonts w:cstheme="minorHAnsi"/>
                <w:sz w:val="20"/>
                <w:szCs w:val="20"/>
              </w:rPr>
              <w:t>-</w:t>
            </w:r>
            <w:r w:rsidRPr="00C14C41">
              <w:rPr>
                <w:rFonts w:cstheme="minorHAnsi"/>
                <w:sz w:val="20"/>
                <w:szCs w:val="20"/>
              </w:rPr>
              <w:t>0.15</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5DDFB27" w14:textId="77777777" w:rsidR="00E15CAE" w:rsidRPr="00C14C41" w:rsidRDefault="00E15CAE" w:rsidP="00154678">
            <w:pPr>
              <w:spacing w:line="190" w:lineRule="exact"/>
              <w:jc w:val="center"/>
              <w:rPr>
                <w:rFonts w:cstheme="minorHAnsi"/>
                <w:sz w:val="20"/>
                <w:szCs w:val="20"/>
              </w:rPr>
            </w:pPr>
            <w:r>
              <w:rPr>
                <w:rFonts w:cstheme="minorHAnsi"/>
                <w:sz w:val="20"/>
                <w:szCs w:val="20"/>
              </w:rPr>
              <w:t>-</w:t>
            </w:r>
            <w:r w:rsidRPr="00C14C41">
              <w:rPr>
                <w:rFonts w:cstheme="minorHAnsi"/>
                <w:sz w:val="20"/>
                <w:szCs w:val="20"/>
              </w:rPr>
              <w:t>2.03</w:t>
            </w:r>
          </w:p>
        </w:tc>
        <w:tc>
          <w:tcPr>
            <w:tcW w:w="204"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FF8C0B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505F32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04D6A9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4FE293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70E5B393" w14:textId="77777777" w:rsidTr="00B72633">
        <w:trPr>
          <w:trHeight w:val="144"/>
        </w:trPr>
        <w:tc>
          <w:tcPr>
            <w:tcW w:w="834" w:type="pct"/>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3933172E"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$100,000 – $149,999</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80D1EDE"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0.23</w:t>
            </w:r>
          </w:p>
        </w:tc>
        <w:tc>
          <w:tcPr>
            <w:tcW w:w="247"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A661EB7"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3.94</w:t>
            </w:r>
          </w:p>
        </w:tc>
        <w:tc>
          <w:tcPr>
            <w:tcW w:w="24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AB513E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FC9019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D500AE6"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0.09</w:t>
            </w:r>
          </w:p>
        </w:tc>
        <w:tc>
          <w:tcPr>
            <w:tcW w:w="200"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2BF072C"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1.69</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583193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16B6B5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1009A1B"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0.18</w:t>
            </w:r>
          </w:p>
        </w:tc>
        <w:tc>
          <w:tcPr>
            <w:tcW w:w="199"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F24C091"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2.49</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FFC74CF"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0.12</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31A0609"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2.15</w:t>
            </w:r>
          </w:p>
        </w:tc>
        <w:tc>
          <w:tcPr>
            <w:tcW w:w="199"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8666322"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0.10</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AF5DD59"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2.34</w:t>
            </w:r>
          </w:p>
        </w:tc>
        <w:tc>
          <w:tcPr>
            <w:tcW w:w="199"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539A2E8" w14:textId="77777777" w:rsidR="00E15CAE" w:rsidRPr="00C14C41" w:rsidRDefault="00E15CAE" w:rsidP="00154678">
            <w:pPr>
              <w:spacing w:line="190" w:lineRule="exact"/>
              <w:jc w:val="center"/>
              <w:rPr>
                <w:rFonts w:cstheme="minorHAnsi"/>
                <w:sz w:val="20"/>
                <w:szCs w:val="20"/>
              </w:rPr>
            </w:pPr>
            <w:r>
              <w:rPr>
                <w:rFonts w:cstheme="minorHAnsi"/>
                <w:sz w:val="20"/>
                <w:szCs w:val="20"/>
              </w:rPr>
              <w:t>-</w:t>
            </w:r>
            <w:r w:rsidRPr="00C14C41">
              <w:rPr>
                <w:rFonts w:cstheme="minorHAnsi"/>
                <w:sz w:val="20"/>
                <w:szCs w:val="20"/>
              </w:rPr>
              <w:t>0.27</w:t>
            </w:r>
          </w:p>
        </w:tc>
        <w:tc>
          <w:tcPr>
            <w:tcW w:w="201"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F2B769F" w14:textId="77777777" w:rsidR="00E15CAE" w:rsidRPr="00C14C41" w:rsidRDefault="00E15CAE" w:rsidP="00154678">
            <w:pPr>
              <w:spacing w:line="190" w:lineRule="exact"/>
              <w:jc w:val="center"/>
              <w:rPr>
                <w:rFonts w:cstheme="minorHAnsi"/>
                <w:sz w:val="20"/>
                <w:szCs w:val="20"/>
              </w:rPr>
            </w:pPr>
            <w:r>
              <w:rPr>
                <w:rFonts w:cstheme="minorHAnsi"/>
                <w:sz w:val="20"/>
                <w:szCs w:val="20"/>
              </w:rPr>
              <w:t>-</w:t>
            </w:r>
            <w:r w:rsidRPr="00C14C41">
              <w:rPr>
                <w:rFonts w:cstheme="minorHAnsi"/>
                <w:sz w:val="20"/>
                <w:szCs w:val="20"/>
              </w:rPr>
              <w:t>2.87</w:t>
            </w:r>
          </w:p>
        </w:tc>
        <w:tc>
          <w:tcPr>
            <w:tcW w:w="204"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172918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3457A6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B75882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6F505A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6C7C37FE" w14:textId="77777777" w:rsidTr="00B72633">
        <w:trPr>
          <w:trHeight w:val="144"/>
        </w:trPr>
        <w:tc>
          <w:tcPr>
            <w:tcW w:w="834" w:type="pct"/>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3726F02F"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$150,000 or more</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6BD9168F"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0.23</w:t>
            </w:r>
          </w:p>
        </w:tc>
        <w:tc>
          <w:tcPr>
            <w:tcW w:w="247"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024363D7"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3.94</w:t>
            </w:r>
          </w:p>
        </w:tc>
        <w:tc>
          <w:tcPr>
            <w:tcW w:w="24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6E59D43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72E58A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80B20EF"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0.09</w:t>
            </w:r>
          </w:p>
        </w:tc>
        <w:tc>
          <w:tcPr>
            <w:tcW w:w="200"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DFB41BE"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1.69</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2B161CD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A5C757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81218AA"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0.26</w:t>
            </w:r>
          </w:p>
        </w:tc>
        <w:tc>
          <w:tcPr>
            <w:tcW w:w="199"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948F679"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2.90</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F2422B9"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0.12</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3854F7D6"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2.15</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EB4A469"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0.10</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314178D"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2.34</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4D85A09" w14:textId="77777777" w:rsidR="00E15CAE" w:rsidRPr="00C14C41" w:rsidRDefault="00E15CAE" w:rsidP="00154678">
            <w:pPr>
              <w:spacing w:line="190" w:lineRule="exact"/>
              <w:jc w:val="center"/>
              <w:rPr>
                <w:rFonts w:cstheme="minorHAnsi"/>
                <w:sz w:val="20"/>
                <w:szCs w:val="20"/>
              </w:rPr>
            </w:pPr>
            <w:r>
              <w:rPr>
                <w:rFonts w:cstheme="minorHAnsi"/>
                <w:sz w:val="20"/>
                <w:szCs w:val="20"/>
              </w:rPr>
              <w:t>-</w:t>
            </w:r>
            <w:r w:rsidRPr="00C14C41">
              <w:rPr>
                <w:rFonts w:cstheme="minorHAnsi"/>
                <w:sz w:val="20"/>
                <w:szCs w:val="20"/>
              </w:rPr>
              <w:t>0.22</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B02CEA1" w14:textId="77777777" w:rsidR="00E15CAE" w:rsidRPr="00C14C41" w:rsidRDefault="00E15CAE" w:rsidP="00154678">
            <w:pPr>
              <w:spacing w:line="190" w:lineRule="exact"/>
              <w:jc w:val="center"/>
              <w:rPr>
                <w:rFonts w:cstheme="minorHAnsi"/>
                <w:sz w:val="20"/>
                <w:szCs w:val="20"/>
              </w:rPr>
            </w:pPr>
            <w:r>
              <w:rPr>
                <w:rFonts w:cstheme="minorHAnsi"/>
                <w:sz w:val="20"/>
                <w:szCs w:val="20"/>
              </w:rPr>
              <w:t>-</w:t>
            </w:r>
            <w:r w:rsidRPr="00C14C41">
              <w:rPr>
                <w:rFonts w:cstheme="minorHAnsi"/>
                <w:sz w:val="20"/>
                <w:szCs w:val="20"/>
              </w:rPr>
              <w:t>1.92</w:t>
            </w:r>
          </w:p>
        </w:tc>
        <w:tc>
          <w:tcPr>
            <w:tcW w:w="204"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45BDDBA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FA004A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58DF9851"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0.21</w:t>
            </w:r>
          </w:p>
        </w:tc>
        <w:tc>
          <w:tcPr>
            <w:tcW w:w="198"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14E33BDD"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3.17</w:t>
            </w:r>
          </w:p>
        </w:tc>
      </w:tr>
      <w:tr w:rsidR="00E15CAE" w:rsidRPr="00C14C41" w14:paraId="79481667" w14:textId="77777777" w:rsidTr="00B72633">
        <w:trPr>
          <w:trHeight w:val="144"/>
        </w:trPr>
        <w:tc>
          <w:tcPr>
            <w:tcW w:w="834" w:type="pct"/>
            <w:tcBorders>
              <w:top w:val="single" w:sz="8"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747CF9A4" w14:textId="47C03F19" w:rsidR="00E15CAE" w:rsidRPr="00C14C41" w:rsidRDefault="00E15CAE" w:rsidP="00154678">
            <w:pPr>
              <w:spacing w:line="190" w:lineRule="exact"/>
              <w:rPr>
                <w:rFonts w:cstheme="minorHAnsi"/>
                <w:sz w:val="20"/>
                <w:szCs w:val="20"/>
              </w:rPr>
            </w:pPr>
            <w:r>
              <w:rPr>
                <w:rFonts w:cstheme="minorHAnsi"/>
                <w:sz w:val="20"/>
                <w:szCs w:val="20"/>
              </w:rPr>
              <w:t xml:space="preserve">HH size </w:t>
            </w:r>
            <w:r w:rsidR="006641F7">
              <w:rPr>
                <w:rFonts w:cstheme="minorHAnsi"/>
                <w:sz w:val="20"/>
                <w:szCs w:val="20"/>
              </w:rPr>
              <w:t>2 or more</w:t>
            </w:r>
            <w:r>
              <w:rPr>
                <w:rFonts w:cstheme="minorHAnsi"/>
                <w:sz w:val="20"/>
                <w:szCs w:val="20"/>
              </w:rPr>
              <w:t xml:space="preserve"> (</w:t>
            </w:r>
            <w:r w:rsidR="006641F7">
              <w:rPr>
                <w:rFonts w:cstheme="minorHAnsi"/>
                <w:sz w:val="20"/>
                <w:szCs w:val="20"/>
              </w:rPr>
              <w:t>1</w:t>
            </w:r>
            <w:r>
              <w:rPr>
                <w:rFonts w:cstheme="minorHAnsi"/>
                <w:sz w:val="20"/>
                <w:szCs w:val="20"/>
              </w:rPr>
              <w:t>)</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7981F7D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7"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0A0E0FA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587A7E8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E56237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99A8AA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8C70CF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748BB1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C3E420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0B775312"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0.20</w:t>
            </w:r>
          </w:p>
        </w:tc>
        <w:tc>
          <w:tcPr>
            <w:tcW w:w="199"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BBA952E"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3.13</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FF9F60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73604F2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50CA22A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5A0283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C33FE7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11B589C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7C733E67"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0.12</w:t>
            </w:r>
          </w:p>
        </w:tc>
        <w:tc>
          <w:tcPr>
            <w:tcW w:w="20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6C2DEE93"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2.40</w:t>
            </w:r>
          </w:p>
        </w:tc>
        <w:tc>
          <w:tcPr>
            <w:tcW w:w="20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92672A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1309C7F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5B47A139" w14:textId="77777777" w:rsidTr="00B72633">
        <w:trPr>
          <w:trHeight w:val="144"/>
        </w:trPr>
        <w:tc>
          <w:tcPr>
            <w:tcW w:w="834" w:type="pct"/>
            <w:tcBorders>
              <w:top w:val="single" w:sz="8"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5D9073EA" w14:textId="77777777" w:rsidR="00E15CAE" w:rsidRPr="00C14C41" w:rsidRDefault="00E15CAE" w:rsidP="00154678">
            <w:pPr>
              <w:spacing w:line="190" w:lineRule="exact"/>
              <w:rPr>
                <w:rFonts w:cstheme="minorHAnsi"/>
                <w:sz w:val="20"/>
                <w:szCs w:val="20"/>
              </w:rPr>
            </w:pPr>
            <w:r>
              <w:rPr>
                <w:rFonts w:cstheme="minorHAnsi"/>
                <w:sz w:val="20"/>
                <w:szCs w:val="20"/>
              </w:rPr>
              <w:t>Child present (none)</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09BBB3A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7"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00E7A06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4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510152A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ACBC1B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5D30C2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C8708D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36C036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1CBE08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571B83E"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6B5FF8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F18080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57F8BA4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7C0FFA0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BF6F6F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C6E4737"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0.25</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DAED3C2"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3.51</w:t>
            </w:r>
          </w:p>
        </w:tc>
        <w:tc>
          <w:tcPr>
            <w:tcW w:w="204"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46FE9DF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0FE89B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2FF6C0F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2854E0F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4CF8D117" w14:textId="77777777" w:rsidTr="00154678">
        <w:trPr>
          <w:trHeight w:val="144"/>
        </w:trPr>
        <w:tc>
          <w:tcPr>
            <w:tcW w:w="5000" w:type="pct"/>
            <w:gridSpan w:val="21"/>
            <w:tcBorders>
              <w:top w:val="single" w:sz="8" w:space="0" w:color="auto"/>
              <w:left w:val="single" w:sz="18" w:space="0" w:color="auto"/>
              <w:right w:val="single" w:sz="18" w:space="0" w:color="auto"/>
            </w:tcBorders>
            <w:tcMar>
              <w:top w:w="12" w:type="dxa"/>
              <w:left w:w="25" w:type="dxa"/>
              <w:bottom w:w="12" w:type="dxa"/>
              <w:right w:w="25" w:type="dxa"/>
            </w:tcMar>
            <w:vAlign w:val="center"/>
          </w:tcPr>
          <w:p w14:paraId="6600EFB5" w14:textId="77777777" w:rsidR="00E15CAE" w:rsidRPr="00C14C41" w:rsidRDefault="00E15CAE" w:rsidP="00154678">
            <w:pPr>
              <w:spacing w:line="190" w:lineRule="exact"/>
              <w:ind w:left="-47"/>
              <w:rPr>
                <w:rFonts w:cstheme="minorHAnsi"/>
                <w:sz w:val="20"/>
                <w:szCs w:val="20"/>
              </w:rPr>
            </w:pPr>
            <w:r w:rsidRPr="00C14C41">
              <w:rPr>
                <w:rFonts w:cstheme="minorHAnsi"/>
                <w:sz w:val="20"/>
                <w:szCs w:val="20"/>
              </w:rPr>
              <w:t xml:space="preserve"> Housing unit type (other)</w:t>
            </w:r>
          </w:p>
        </w:tc>
      </w:tr>
      <w:tr w:rsidR="00E15CAE" w:rsidRPr="00C14C41" w14:paraId="019EB98F" w14:textId="77777777" w:rsidTr="00B72633">
        <w:trPr>
          <w:trHeight w:val="144"/>
        </w:trPr>
        <w:tc>
          <w:tcPr>
            <w:tcW w:w="834" w:type="pct"/>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007A2D23"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Single-family</w:t>
            </w:r>
            <w:r>
              <w:rPr>
                <w:rFonts w:cstheme="minorHAnsi"/>
                <w:sz w:val="20"/>
                <w:szCs w:val="20"/>
              </w:rPr>
              <w:t xml:space="preserve"> home</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A2239A8"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0.14</w:t>
            </w:r>
          </w:p>
        </w:tc>
        <w:tc>
          <w:tcPr>
            <w:tcW w:w="247"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E0AC6BD"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2.81</w:t>
            </w:r>
          </w:p>
        </w:tc>
        <w:tc>
          <w:tcPr>
            <w:tcW w:w="24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E77046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6F0785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244D5A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5C4547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7E8031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ACB4EE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49E49E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78540C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E1254A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00456B8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23AAEA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04AEE4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5A3BEB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5D887D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EE080B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5B8155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216E766"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0.10</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3B7EA27"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1.94</w:t>
            </w:r>
          </w:p>
        </w:tc>
      </w:tr>
      <w:tr w:rsidR="00E15CAE" w:rsidRPr="00C14C41" w14:paraId="23B5E091" w14:textId="77777777" w:rsidTr="00B72633">
        <w:trPr>
          <w:trHeight w:val="144"/>
        </w:trPr>
        <w:tc>
          <w:tcPr>
            <w:tcW w:w="834" w:type="pct"/>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41414FD5" w14:textId="77777777" w:rsidR="00E15CAE" w:rsidRPr="00C14C41" w:rsidRDefault="00E15CAE" w:rsidP="00154678">
            <w:pPr>
              <w:spacing w:line="190" w:lineRule="exact"/>
              <w:ind w:left="130"/>
              <w:rPr>
                <w:rFonts w:cstheme="minorHAnsi"/>
                <w:sz w:val="20"/>
                <w:szCs w:val="20"/>
              </w:rPr>
            </w:pPr>
            <w:r w:rsidRPr="00C14C41">
              <w:rPr>
                <w:rFonts w:cstheme="minorHAnsi"/>
                <w:sz w:val="20"/>
                <w:szCs w:val="20"/>
              </w:rPr>
              <w:t>Apartment</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01A070A8"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0.08</w:t>
            </w:r>
          </w:p>
        </w:tc>
        <w:tc>
          <w:tcPr>
            <w:tcW w:w="247"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030E868C"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1.67</w:t>
            </w:r>
          </w:p>
        </w:tc>
        <w:tc>
          <w:tcPr>
            <w:tcW w:w="24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5F4C4E1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D5D04F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495185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0"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26D4289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426C27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DFE0D6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265492D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5920FF5"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F7AF94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BB9F960"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38A0B6E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0894E23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52B7BB0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6D8E4A2A"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06C01291"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194E7F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893DDC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7BAFD61C"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2588E000" w14:textId="77777777" w:rsidTr="00B72633">
        <w:trPr>
          <w:trHeight w:val="144"/>
        </w:trPr>
        <w:tc>
          <w:tcPr>
            <w:tcW w:w="834" w:type="pct"/>
            <w:tcBorders>
              <w:top w:val="single" w:sz="8"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1374DFD6" w14:textId="14BC052C" w:rsidR="00E15CAE" w:rsidRPr="00C14C41" w:rsidRDefault="00E15CAE" w:rsidP="00154678">
            <w:pPr>
              <w:spacing w:line="190" w:lineRule="exact"/>
              <w:rPr>
                <w:rFonts w:cstheme="minorHAnsi"/>
                <w:sz w:val="20"/>
                <w:szCs w:val="20"/>
              </w:rPr>
            </w:pPr>
            <w:r w:rsidRPr="00C14C41">
              <w:rPr>
                <w:rFonts w:cstheme="minorHAnsi"/>
                <w:sz w:val="20"/>
                <w:szCs w:val="20"/>
              </w:rPr>
              <w:t>Rent</w:t>
            </w:r>
            <w:r>
              <w:rPr>
                <w:rFonts w:cstheme="minorHAnsi"/>
                <w:sz w:val="20"/>
                <w:szCs w:val="20"/>
              </w:rPr>
              <w:t>er (owner</w:t>
            </w:r>
            <w:r w:rsidR="0028330A">
              <w:rPr>
                <w:rFonts w:cstheme="minorHAnsi"/>
                <w:sz w:val="20"/>
                <w:szCs w:val="20"/>
              </w:rPr>
              <w:t xml:space="preserve"> or other</w:t>
            </w:r>
            <w:r>
              <w:rPr>
                <w:rFonts w:cstheme="minorHAnsi"/>
                <w:sz w:val="20"/>
                <w:szCs w:val="20"/>
              </w:rPr>
              <w:t>)</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05BBE153"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0.09</w:t>
            </w:r>
          </w:p>
        </w:tc>
        <w:tc>
          <w:tcPr>
            <w:tcW w:w="247"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13BFD2B2" w14:textId="77777777" w:rsidR="00E15CAE" w:rsidRPr="00C14C41" w:rsidRDefault="00E15CAE" w:rsidP="00154678">
            <w:pPr>
              <w:spacing w:line="190" w:lineRule="exact"/>
              <w:jc w:val="right"/>
              <w:rPr>
                <w:rFonts w:cstheme="minorHAnsi"/>
                <w:sz w:val="20"/>
                <w:szCs w:val="20"/>
              </w:rPr>
            </w:pPr>
            <w:r w:rsidRPr="00C14C41">
              <w:rPr>
                <w:rFonts w:cstheme="minorHAnsi"/>
                <w:sz w:val="20"/>
                <w:szCs w:val="20"/>
              </w:rPr>
              <w:t>2.31</w:t>
            </w:r>
          </w:p>
        </w:tc>
        <w:tc>
          <w:tcPr>
            <w:tcW w:w="24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4102AA37"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14"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E48D89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BAB2107"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0.11</w:t>
            </w:r>
          </w:p>
        </w:tc>
        <w:tc>
          <w:tcPr>
            <w:tcW w:w="200"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F1EFE82"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2.12</w:t>
            </w:r>
          </w:p>
        </w:tc>
        <w:tc>
          <w:tcPr>
            <w:tcW w:w="22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03168989"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2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2A70B1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7"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2D620FCF"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2605527D"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53A5A88"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1AAFD412"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6667870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2CB35B14"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9"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7B9D1B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1"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2EAEAC26"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204" w:type="pct"/>
            <w:tcBorders>
              <w:top w:val="single" w:sz="8" w:space="0" w:color="auto"/>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7E0F0BD6"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0.18</w:t>
            </w:r>
          </w:p>
        </w:tc>
        <w:tc>
          <w:tcPr>
            <w:tcW w:w="205" w:type="pct"/>
            <w:tcBorders>
              <w:top w:val="single" w:sz="8" w:space="0" w:color="auto"/>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22460F60" w14:textId="77777777" w:rsidR="00E15CAE" w:rsidRPr="00C14C41" w:rsidRDefault="00E15CAE" w:rsidP="00154678">
            <w:pPr>
              <w:spacing w:line="190" w:lineRule="exact"/>
              <w:jc w:val="right"/>
              <w:rPr>
                <w:rFonts w:cstheme="minorHAnsi"/>
                <w:sz w:val="20"/>
                <w:szCs w:val="20"/>
              </w:rPr>
            </w:pPr>
            <w:r>
              <w:rPr>
                <w:rFonts w:cstheme="minorHAnsi"/>
                <w:sz w:val="20"/>
                <w:szCs w:val="20"/>
              </w:rPr>
              <w:t>-</w:t>
            </w:r>
            <w:r w:rsidRPr="00C14C41">
              <w:rPr>
                <w:rFonts w:cstheme="minorHAnsi"/>
                <w:sz w:val="20"/>
                <w:szCs w:val="20"/>
              </w:rPr>
              <w:t>2.97</w:t>
            </w:r>
          </w:p>
        </w:tc>
        <w:tc>
          <w:tcPr>
            <w:tcW w:w="205" w:type="pct"/>
            <w:tcBorders>
              <w:top w:val="single" w:sz="8" w:space="0" w:color="auto"/>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4C88873"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c>
          <w:tcPr>
            <w:tcW w:w="198" w:type="pct"/>
            <w:tcBorders>
              <w:top w:val="single" w:sz="8" w:space="0" w:color="auto"/>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C2794EB" w14:textId="77777777" w:rsidR="00E15CAE" w:rsidRPr="00C14C41" w:rsidRDefault="00E15CAE" w:rsidP="00154678">
            <w:pPr>
              <w:spacing w:line="190" w:lineRule="exact"/>
              <w:jc w:val="center"/>
              <w:rPr>
                <w:rFonts w:cstheme="minorHAnsi"/>
                <w:sz w:val="20"/>
                <w:szCs w:val="20"/>
              </w:rPr>
            </w:pPr>
            <w:r w:rsidRPr="00C14C41">
              <w:rPr>
                <w:rFonts w:cstheme="minorHAnsi"/>
                <w:sz w:val="20"/>
                <w:szCs w:val="20"/>
              </w:rPr>
              <w:t>—</w:t>
            </w:r>
          </w:p>
        </w:tc>
      </w:tr>
      <w:tr w:rsidR="00E15CAE" w:rsidRPr="00C14C41" w14:paraId="4E0FB768" w14:textId="77777777" w:rsidTr="00B72633">
        <w:trPr>
          <w:trHeight w:val="144"/>
        </w:trPr>
        <w:tc>
          <w:tcPr>
            <w:tcW w:w="834" w:type="pct"/>
            <w:tcBorders>
              <w:top w:val="single" w:sz="8" w:space="0" w:color="auto"/>
              <w:left w:val="single" w:sz="18" w:space="0" w:color="auto"/>
              <w:bottom w:val="single" w:sz="18" w:space="0" w:color="auto"/>
              <w:right w:val="single" w:sz="18" w:space="0" w:color="auto"/>
            </w:tcBorders>
            <w:tcMar>
              <w:top w:w="12" w:type="dxa"/>
              <w:left w:w="25" w:type="dxa"/>
              <w:bottom w:w="12" w:type="dxa"/>
              <w:right w:w="25" w:type="dxa"/>
            </w:tcMar>
            <w:vAlign w:val="center"/>
          </w:tcPr>
          <w:p w14:paraId="0F0637AB" w14:textId="77777777" w:rsidR="00E15CAE" w:rsidRPr="00C14C41" w:rsidRDefault="00E15CAE" w:rsidP="00154678">
            <w:pPr>
              <w:spacing w:line="190" w:lineRule="exact"/>
              <w:rPr>
                <w:rFonts w:cstheme="minorHAnsi"/>
                <w:sz w:val="20"/>
                <w:szCs w:val="20"/>
              </w:rPr>
            </w:pPr>
            <w:r>
              <w:rPr>
                <w:sz w:val="20"/>
                <w:szCs w:val="20"/>
              </w:rPr>
              <w:t>Vehicle deficient (Sufficient)</w:t>
            </w:r>
          </w:p>
        </w:tc>
        <w:tc>
          <w:tcPr>
            <w:tcW w:w="199" w:type="pct"/>
            <w:tcBorders>
              <w:top w:val="single" w:sz="8" w:space="0" w:color="auto"/>
              <w:left w:val="single" w:sz="18" w:space="0" w:color="auto"/>
              <w:bottom w:val="single" w:sz="18" w:space="0" w:color="auto"/>
              <w:right w:val="single" w:sz="4" w:space="0" w:color="FFFFFF" w:themeColor="background1"/>
            </w:tcBorders>
            <w:tcMar>
              <w:top w:w="12" w:type="dxa"/>
              <w:left w:w="25" w:type="dxa"/>
              <w:bottom w:w="12" w:type="dxa"/>
              <w:right w:w="25" w:type="dxa"/>
            </w:tcMar>
            <w:vAlign w:val="center"/>
          </w:tcPr>
          <w:p w14:paraId="7C926286" w14:textId="77777777" w:rsidR="00E15CAE" w:rsidRPr="00C14C41" w:rsidRDefault="00E15CAE" w:rsidP="00154678">
            <w:pPr>
              <w:spacing w:line="190" w:lineRule="exact"/>
              <w:jc w:val="right"/>
              <w:rPr>
                <w:rFonts w:cstheme="minorHAnsi"/>
                <w:sz w:val="20"/>
                <w:szCs w:val="20"/>
              </w:rPr>
            </w:pPr>
            <w:r>
              <w:rPr>
                <w:sz w:val="20"/>
                <w:szCs w:val="20"/>
              </w:rPr>
              <w:t>0.58</w:t>
            </w:r>
          </w:p>
        </w:tc>
        <w:tc>
          <w:tcPr>
            <w:tcW w:w="247" w:type="pct"/>
            <w:tcBorders>
              <w:top w:val="single" w:sz="8" w:space="0" w:color="auto"/>
              <w:left w:val="single" w:sz="4" w:space="0" w:color="FFFFFF" w:themeColor="background1"/>
              <w:bottom w:val="single" w:sz="18" w:space="0" w:color="auto"/>
              <w:right w:val="single" w:sz="18" w:space="0" w:color="auto"/>
            </w:tcBorders>
            <w:tcMar>
              <w:top w:w="12" w:type="dxa"/>
              <w:left w:w="25" w:type="dxa"/>
              <w:bottom w:w="12" w:type="dxa"/>
              <w:right w:w="25" w:type="dxa"/>
            </w:tcMar>
            <w:vAlign w:val="center"/>
          </w:tcPr>
          <w:p w14:paraId="16DAB2DB" w14:textId="77777777" w:rsidR="00E15CAE" w:rsidRPr="00C14C41" w:rsidRDefault="00E15CAE" w:rsidP="00154678">
            <w:pPr>
              <w:spacing w:line="190" w:lineRule="exact"/>
              <w:jc w:val="right"/>
              <w:rPr>
                <w:rFonts w:cstheme="minorHAnsi"/>
                <w:sz w:val="20"/>
                <w:szCs w:val="20"/>
              </w:rPr>
            </w:pPr>
            <w:r>
              <w:rPr>
                <w:sz w:val="20"/>
                <w:szCs w:val="20"/>
              </w:rPr>
              <w:t>14.23</w:t>
            </w:r>
          </w:p>
        </w:tc>
        <w:tc>
          <w:tcPr>
            <w:tcW w:w="249" w:type="pct"/>
            <w:tcBorders>
              <w:top w:val="single" w:sz="8" w:space="0" w:color="auto"/>
              <w:left w:val="single" w:sz="18" w:space="0" w:color="auto"/>
              <w:bottom w:val="single" w:sz="18" w:space="0" w:color="auto"/>
              <w:right w:val="single" w:sz="4" w:space="0" w:color="FFFFFF" w:themeColor="background1"/>
            </w:tcBorders>
            <w:tcMar>
              <w:top w:w="12" w:type="dxa"/>
              <w:left w:w="25" w:type="dxa"/>
              <w:bottom w:w="12" w:type="dxa"/>
              <w:right w:w="25" w:type="dxa"/>
            </w:tcMar>
            <w:vAlign w:val="center"/>
          </w:tcPr>
          <w:p w14:paraId="5F0C3EEB"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214" w:type="pct"/>
            <w:tcBorders>
              <w:top w:val="single" w:sz="8" w:space="0" w:color="auto"/>
              <w:left w:val="single" w:sz="4" w:space="0" w:color="FFFFFF" w:themeColor="background1"/>
              <w:bottom w:val="single" w:sz="18" w:space="0" w:color="auto"/>
              <w:right w:val="single" w:sz="6" w:space="0" w:color="000000" w:themeColor="text1"/>
            </w:tcBorders>
            <w:tcMar>
              <w:top w:w="12" w:type="dxa"/>
              <w:left w:w="25" w:type="dxa"/>
              <w:bottom w:w="12" w:type="dxa"/>
              <w:right w:w="25" w:type="dxa"/>
            </w:tcMar>
            <w:vAlign w:val="center"/>
          </w:tcPr>
          <w:p w14:paraId="73D6A285"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199" w:type="pct"/>
            <w:tcBorders>
              <w:top w:val="single" w:sz="8" w:space="0" w:color="auto"/>
              <w:left w:val="single" w:sz="6" w:space="0" w:color="000000" w:themeColor="text1"/>
              <w:bottom w:val="single" w:sz="18" w:space="0" w:color="auto"/>
              <w:right w:val="single" w:sz="4" w:space="0" w:color="FFFFFF" w:themeColor="background1"/>
            </w:tcBorders>
            <w:tcMar>
              <w:top w:w="12" w:type="dxa"/>
              <w:left w:w="25" w:type="dxa"/>
              <w:bottom w:w="12" w:type="dxa"/>
              <w:right w:w="25" w:type="dxa"/>
            </w:tcMar>
            <w:vAlign w:val="center"/>
          </w:tcPr>
          <w:p w14:paraId="0C25D0C4" w14:textId="77777777" w:rsidR="00E15CAE" w:rsidRDefault="00E15CAE" w:rsidP="00154678">
            <w:pPr>
              <w:spacing w:line="190" w:lineRule="exact"/>
              <w:jc w:val="right"/>
              <w:rPr>
                <w:rFonts w:cstheme="minorHAnsi"/>
                <w:sz w:val="20"/>
                <w:szCs w:val="20"/>
              </w:rPr>
            </w:pPr>
            <w:r w:rsidRPr="008E3C9E">
              <w:rPr>
                <w:sz w:val="18"/>
                <w:szCs w:val="18"/>
              </w:rPr>
              <w:t>—</w:t>
            </w:r>
          </w:p>
        </w:tc>
        <w:tc>
          <w:tcPr>
            <w:tcW w:w="200" w:type="pct"/>
            <w:tcBorders>
              <w:top w:val="single" w:sz="8" w:space="0" w:color="auto"/>
              <w:left w:val="single" w:sz="4" w:space="0" w:color="FFFFFF" w:themeColor="background1"/>
              <w:bottom w:val="single" w:sz="18" w:space="0" w:color="auto"/>
              <w:right w:val="single" w:sz="6" w:space="0" w:color="000000" w:themeColor="text1"/>
            </w:tcBorders>
            <w:tcMar>
              <w:top w:w="12" w:type="dxa"/>
              <w:left w:w="25" w:type="dxa"/>
              <w:bottom w:w="12" w:type="dxa"/>
              <w:right w:w="25" w:type="dxa"/>
            </w:tcMar>
            <w:vAlign w:val="center"/>
          </w:tcPr>
          <w:p w14:paraId="21C699D7" w14:textId="77777777" w:rsidR="00E15CAE" w:rsidRDefault="00E15CAE" w:rsidP="00154678">
            <w:pPr>
              <w:spacing w:line="190" w:lineRule="exact"/>
              <w:jc w:val="right"/>
              <w:rPr>
                <w:rFonts w:cstheme="minorHAnsi"/>
                <w:sz w:val="20"/>
                <w:szCs w:val="20"/>
              </w:rPr>
            </w:pPr>
            <w:r w:rsidRPr="008E3C9E">
              <w:rPr>
                <w:sz w:val="18"/>
                <w:szCs w:val="18"/>
              </w:rPr>
              <w:t>—</w:t>
            </w:r>
          </w:p>
        </w:tc>
        <w:tc>
          <w:tcPr>
            <w:tcW w:w="225" w:type="pct"/>
            <w:tcBorders>
              <w:top w:val="single" w:sz="8" w:space="0" w:color="auto"/>
              <w:left w:val="single" w:sz="6" w:space="0" w:color="000000" w:themeColor="text1"/>
              <w:bottom w:val="single" w:sz="18" w:space="0" w:color="auto"/>
              <w:right w:val="single" w:sz="4" w:space="0" w:color="FFFFFF" w:themeColor="background1"/>
            </w:tcBorders>
            <w:tcMar>
              <w:top w:w="12" w:type="dxa"/>
              <w:left w:w="25" w:type="dxa"/>
              <w:bottom w:w="12" w:type="dxa"/>
              <w:right w:w="25" w:type="dxa"/>
            </w:tcMar>
            <w:vAlign w:val="center"/>
          </w:tcPr>
          <w:p w14:paraId="5B088E24"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225" w:type="pct"/>
            <w:tcBorders>
              <w:top w:val="single" w:sz="8" w:space="0" w:color="auto"/>
              <w:left w:val="single" w:sz="4" w:space="0" w:color="FFFFFF" w:themeColor="background1"/>
              <w:bottom w:val="single" w:sz="18" w:space="0" w:color="auto"/>
              <w:right w:val="single" w:sz="6" w:space="0" w:color="000000" w:themeColor="text1"/>
            </w:tcBorders>
            <w:tcMar>
              <w:top w:w="12" w:type="dxa"/>
              <w:left w:w="25" w:type="dxa"/>
              <w:bottom w:w="12" w:type="dxa"/>
              <w:right w:w="25" w:type="dxa"/>
            </w:tcMar>
            <w:vAlign w:val="center"/>
          </w:tcPr>
          <w:p w14:paraId="7241EE64"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197" w:type="pct"/>
            <w:tcBorders>
              <w:top w:val="single" w:sz="8" w:space="0" w:color="auto"/>
              <w:left w:val="single" w:sz="6" w:space="0" w:color="000000" w:themeColor="text1"/>
              <w:bottom w:val="single" w:sz="18" w:space="0" w:color="auto"/>
              <w:right w:val="single" w:sz="4" w:space="0" w:color="FFFFFF" w:themeColor="background1"/>
            </w:tcBorders>
            <w:tcMar>
              <w:top w:w="12" w:type="dxa"/>
              <w:left w:w="25" w:type="dxa"/>
              <w:bottom w:w="12" w:type="dxa"/>
              <w:right w:w="25" w:type="dxa"/>
            </w:tcMar>
            <w:vAlign w:val="center"/>
          </w:tcPr>
          <w:p w14:paraId="66636112" w14:textId="77777777" w:rsidR="00E15CAE" w:rsidRPr="00C14C41" w:rsidRDefault="00E15CAE" w:rsidP="00154678">
            <w:pPr>
              <w:spacing w:line="190" w:lineRule="exact"/>
              <w:jc w:val="center"/>
              <w:rPr>
                <w:rFonts w:cstheme="minorHAnsi"/>
                <w:sz w:val="20"/>
                <w:szCs w:val="20"/>
              </w:rPr>
            </w:pPr>
            <w:r>
              <w:rPr>
                <w:sz w:val="20"/>
                <w:szCs w:val="20"/>
              </w:rPr>
              <w:t>-0.13</w:t>
            </w:r>
          </w:p>
        </w:tc>
        <w:tc>
          <w:tcPr>
            <w:tcW w:w="199" w:type="pct"/>
            <w:tcBorders>
              <w:top w:val="single" w:sz="8" w:space="0" w:color="auto"/>
              <w:left w:val="single" w:sz="4" w:space="0" w:color="FFFFFF" w:themeColor="background1"/>
              <w:bottom w:val="single" w:sz="18" w:space="0" w:color="auto"/>
              <w:right w:val="single" w:sz="6" w:space="0" w:color="000000" w:themeColor="text1"/>
            </w:tcBorders>
            <w:tcMar>
              <w:top w:w="12" w:type="dxa"/>
              <w:left w:w="25" w:type="dxa"/>
              <w:bottom w:w="12" w:type="dxa"/>
              <w:right w:w="25" w:type="dxa"/>
            </w:tcMar>
            <w:vAlign w:val="center"/>
          </w:tcPr>
          <w:p w14:paraId="0D8FDB5D" w14:textId="77777777" w:rsidR="00E15CAE" w:rsidRPr="00C14C41" w:rsidRDefault="00E15CAE" w:rsidP="00154678">
            <w:pPr>
              <w:spacing w:line="190" w:lineRule="exact"/>
              <w:jc w:val="center"/>
              <w:rPr>
                <w:rFonts w:cstheme="minorHAnsi"/>
                <w:sz w:val="20"/>
                <w:szCs w:val="20"/>
              </w:rPr>
            </w:pPr>
            <w:r>
              <w:rPr>
                <w:sz w:val="20"/>
                <w:szCs w:val="20"/>
              </w:rPr>
              <w:t>-1.82</w:t>
            </w:r>
          </w:p>
        </w:tc>
        <w:tc>
          <w:tcPr>
            <w:tcW w:w="199" w:type="pct"/>
            <w:tcBorders>
              <w:top w:val="single" w:sz="8" w:space="0" w:color="auto"/>
              <w:left w:val="single" w:sz="6" w:space="0" w:color="000000" w:themeColor="text1"/>
              <w:bottom w:val="single" w:sz="18" w:space="0" w:color="auto"/>
              <w:right w:val="single" w:sz="4" w:space="0" w:color="FFFFFF" w:themeColor="background1"/>
            </w:tcBorders>
            <w:tcMar>
              <w:top w:w="12" w:type="dxa"/>
              <w:left w:w="25" w:type="dxa"/>
              <w:bottom w:w="12" w:type="dxa"/>
              <w:right w:w="25" w:type="dxa"/>
            </w:tcMar>
            <w:vAlign w:val="center"/>
          </w:tcPr>
          <w:p w14:paraId="62DF40DF"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201" w:type="pct"/>
            <w:tcBorders>
              <w:top w:val="single" w:sz="8" w:space="0" w:color="auto"/>
              <w:left w:val="single" w:sz="4" w:space="0" w:color="FFFFFF" w:themeColor="background1"/>
              <w:bottom w:val="single" w:sz="18" w:space="0" w:color="auto"/>
              <w:right w:val="single" w:sz="18" w:space="0" w:color="auto"/>
            </w:tcBorders>
            <w:tcMar>
              <w:top w:w="12" w:type="dxa"/>
              <w:left w:w="25" w:type="dxa"/>
              <w:bottom w:w="12" w:type="dxa"/>
              <w:right w:w="25" w:type="dxa"/>
            </w:tcMar>
            <w:vAlign w:val="center"/>
          </w:tcPr>
          <w:p w14:paraId="29C88CCB"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199" w:type="pct"/>
            <w:tcBorders>
              <w:top w:val="single" w:sz="8" w:space="0" w:color="auto"/>
              <w:left w:val="single" w:sz="18" w:space="0" w:color="auto"/>
              <w:bottom w:val="single" w:sz="18" w:space="0" w:color="auto"/>
              <w:right w:val="single" w:sz="4" w:space="0" w:color="FFFFFF" w:themeColor="background1"/>
            </w:tcBorders>
            <w:tcMar>
              <w:top w:w="12" w:type="dxa"/>
              <w:left w:w="25" w:type="dxa"/>
              <w:bottom w:w="12" w:type="dxa"/>
              <w:right w:w="25" w:type="dxa"/>
            </w:tcMar>
            <w:vAlign w:val="center"/>
          </w:tcPr>
          <w:p w14:paraId="0DCE2329"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201" w:type="pct"/>
            <w:tcBorders>
              <w:top w:val="single" w:sz="8" w:space="0" w:color="auto"/>
              <w:left w:val="single" w:sz="4" w:space="0" w:color="FFFFFF" w:themeColor="background1"/>
              <w:bottom w:val="single" w:sz="18" w:space="0" w:color="auto"/>
              <w:right w:val="single" w:sz="6" w:space="0" w:color="000000" w:themeColor="text1"/>
            </w:tcBorders>
            <w:tcMar>
              <w:top w:w="12" w:type="dxa"/>
              <w:left w:w="25" w:type="dxa"/>
              <w:bottom w:w="12" w:type="dxa"/>
              <w:right w:w="25" w:type="dxa"/>
            </w:tcMar>
            <w:vAlign w:val="center"/>
          </w:tcPr>
          <w:p w14:paraId="3827A673"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199" w:type="pct"/>
            <w:tcBorders>
              <w:top w:val="single" w:sz="8" w:space="0" w:color="auto"/>
              <w:left w:val="single" w:sz="6" w:space="0" w:color="000000" w:themeColor="text1"/>
              <w:bottom w:val="single" w:sz="18" w:space="0" w:color="auto"/>
              <w:right w:val="single" w:sz="4" w:space="0" w:color="FFFFFF" w:themeColor="background1"/>
            </w:tcBorders>
            <w:tcMar>
              <w:top w:w="12" w:type="dxa"/>
              <w:left w:w="25" w:type="dxa"/>
              <w:bottom w:w="12" w:type="dxa"/>
              <w:right w:w="25" w:type="dxa"/>
            </w:tcMar>
            <w:vAlign w:val="center"/>
          </w:tcPr>
          <w:p w14:paraId="64295959"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201" w:type="pct"/>
            <w:tcBorders>
              <w:top w:val="single" w:sz="8" w:space="0" w:color="auto"/>
              <w:left w:val="single" w:sz="4" w:space="0" w:color="FFFFFF" w:themeColor="background1"/>
              <w:bottom w:val="single" w:sz="18" w:space="0" w:color="auto"/>
              <w:right w:val="single" w:sz="18" w:space="0" w:color="auto"/>
            </w:tcBorders>
            <w:tcMar>
              <w:top w:w="12" w:type="dxa"/>
              <w:left w:w="25" w:type="dxa"/>
              <w:bottom w:w="12" w:type="dxa"/>
              <w:right w:w="25" w:type="dxa"/>
            </w:tcMar>
            <w:vAlign w:val="center"/>
          </w:tcPr>
          <w:p w14:paraId="2155A7CA" w14:textId="77777777" w:rsidR="00E15CAE" w:rsidRPr="00C14C41" w:rsidRDefault="00E15CAE" w:rsidP="00154678">
            <w:pPr>
              <w:spacing w:line="190" w:lineRule="exact"/>
              <w:jc w:val="center"/>
              <w:rPr>
                <w:rFonts w:cstheme="minorHAnsi"/>
                <w:sz w:val="20"/>
                <w:szCs w:val="20"/>
              </w:rPr>
            </w:pPr>
            <w:r w:rsidRPr="008E3C9E">
              <w:rPr>
                <w:sz w:val="18"/>
                <w:szCs w:val="18"/>
              </w:rPr>
              <w:t>—</w:t>
            </w:r>
          </w:p>
        </w:tc>
        <w:tc>
          <w:tcPr>
            <w:tcW w:w="204" w:type="pct"/>
            <w:tcBorders>
              <w:top w:val="single" w:sz="8" w:space="0" w:color="auto"/>
              <w:left w:val="single" w:sz="18" w:space="0" w:color="auto"/>
              <w:bottom w:val="single" w:sz="18" w:space="0" w:color="auto"/>
              <w:right w:val="single" w:sz="4" w:space="0" w:color="FFFFFF" w:themeColor="background1"/>
            </w:tcBorders>
            <w:tcMar>
              <w:top w:w="12" w:type="dxa"/>
              <w:left w:w="25" w:type="dxa"/>
              <w:bottom w:w="12" w:type="dxa"/>
              <w:right w:w="25" w:type="dxa"/>
            </w:tcMar>
            <w:vAlign w:val="center"/>
          </w:tcPr>
          <w:p w14:paraId="6E12BEE8" w14:textId="77777777" w:rsidR="00E15CAE" w:rsidRDefault="00E15CAE" w:rsidP="00154678">
            <w:pPr>
              <w:spacing w:line="190" w:lineRule="exact"/>
              <w:jc w:val="right"/>
              <w:rPr>
                <w:rFonts w:cstheme="minorHAnsi"/>
                <w:sz w:val="20"/>
                <w:szCs w:val="20"/>
              </w:rPr>
            </w:pPr>
            <w:r w:rsidRPr="008E3C9E">
              <w:rPr>
                <w:sz w:val="18"/>
                <w:szCs w:val="18"/>
              </w:rPr>
              <w:t>—</w:t>
            </w:r>
          </w:p>
        </w:tc>
        <w:tc>
          <w:tcPr>
            <w:tcW w:w="205" w:type="pct"/>
            <w:tcBorders>
              <w:top w:val="single" w:sz="8" w:space="0" w:color="auto"/>
              <w:left w:val="single" w:sz="4" w:space="0" w:color="FFFFFF" w:themeColor="background1"/>
              <w:bottom w:val="single" w:sz="18" w:space="0" w:color="auto"/>
              <w:right w:val="single" w:sz="6" w:space="0" w:color="000000" w:themeColor="text1"/>
            </w:tcBorders>
            <w:tcMar>
              <w:top w:w="12" w:type="dxa"/>
              <w:left w:w="25" w:type="dxa"/>
              <w:bottom w:w="12" w:type="dxa"/>
              <w:right w:w="25" w:type="dxa"/>
            </w:tcMar>
            <w:vAlign w:val="center"/>
          </w:tcPr>
          <w:p w14:paraId="6032B1E8" w14:textId="77777777" w:rsidR="00E15CAE" w:rsidRDefault="00E15CAE" w:rsidP="00154678">
            <w:pPr>
              <w:spacing w:line="190" w:lineRule="exact"/>
              <w:jc w:val="right"/>
              <w:rPr>
                <w:rFonts w:cstheme="minorHAnsi"/>
                <w:sz w:val="20"/>
                <w:szCs w:val="20"/>
              </w:rPr>
            </w:pPr>
            <w:r w:rsidRPr="008E3C9E">
              <w:rPr>
                <w:sz w:val="18"/>
                <w:szCs w:val="18"/>
              </w:rPr>
              <w:t>—</w:t>
            </w:r>
          </w:p>
        </w:tc>
        <w:tc>
          <w:tcPr>
            <w:tcW w:w="205" w:type="pct"/>
            <w:tcBorders>
              <w:top w:val="single" w:sz="8" w:space="0" w:color="auto"/>
              <w:left w:val="single" w:sz="6" w:space="0" w:color="000000" w:themeColor="text1"/>
              <w:bottom w:val="single" w:sz="18" w:space="0" w:color="auto"/>
              <w:right w:val="single" w:sz="4" w:space="0" w:color="FFFFFF" w:themeColor="background1"/>
            </w:tcBorders>
            <w:tcMar>
              <w:top w:w="12" w:type="dxa"/>
              <w:left w:w="25" w:type="dxa"/>
              <w:bottom w:w="12" w:type="dxa"/>
              <w:right w:w="25" w:type="dxa"/>
            </w:tcMar>
            <w:vAlign w:val="center"/>
          </w:tcPr>
          <w:p w14:paraId="13DFF337" w14:textId="77777777" w:rsidR="00E15CAE" w:rsidRPr="00C14C41" w:rsidRDefault="00E15CAE" w:rsidP="00154678">
            <w:pPr>
              <w:spacing w:line="190" w:lineRule="exact"/>
              <w:jc w:val="center"/>
              <w:rPr>
                <w:rFonts w:cstheme="minorHAnsi"/>
                <w:sz w:val="20"/>
                <w:szCs w:val="20"/>
              </w:rPr>
            </w:pPr>
            <w:r>
              <w:rPr>
                <w:sz w:val="20"/>
                <w:szCs w:val="20"/>
              </w:rPr>
              <w:t>-0.26</w:t>
            </w:r>
          </w:p>
        </w:tc>
        <w:tc>
          <w:tcPr>
            <w:tcW w:w="198" w:type="pct"/>
            <w:tcBorders>
              <w:top w:val="single" w:sz="8" w:space="0" w:color="auto"/>
              <w:left w:val="single" w:sz="4" w:space="0" w:color="FFFFFF" w:themeColor="background1"/>
              <w:bottom w:val="single" w:sz="18" w:space="0" w:color="auto"/>
              <w:right w:val="single" w:sz="18" w:space="0" w:color="auto"/>
            </w:tcBorders>
            <w:tcMar>
              <w:top w:w="12" w:type="dxa"/>
              <w:left w:w="25" w:type="dxa"/>
              <w:bottom w:w="12" w:type="dxa"/>
              <w:right w:w="25" w:type="dxa"/>
            </w:tcMar>
            <w:vAlign w:val="center"/>
          </w:tcPr>
          <w:p w14:paraId="118247F8" w14:textId="77777777" w:rsidR="00E15CAE" w:rsidRPr="00C14C41" w:rsidRDefault="00E15CAE" w:rsidP="00154678">
            <w:pPr>
              <w:spacing w:line="190" w:lineRule="exact"/>
              <w:jc w:val="center"/>
              <w:rPr>
                <w:rFonts w:cstheme="minorHAnsi"/>
                <w:sz w:val="20"/>
                <w:szCs w:val="20"/>
              </w:rPr>
            </w:pPr>
            <w:r>
              <w:rPr>
                <w:sz w:val="20"/>
                <w:szCs w:val="20"/>
              </w:rPr>
              <w:t>-3.24</w:t>
            </w:r>
          </w:p>
        </w:tc>
      </w:tr>
    </w:tbl>
    <w:p w14:paraId="52B99337" w14:textId="77777777" w:rsidR="00752A00" w:rsidRDefault="00752A00" w:rsidP="005D53A5">
      <w:pPr>
        <w:rPr>
          <w:sz w:val="20"/>
          <w:szCs w:val="20"/>
        </w:rPr>
      </w:pPr>
    </w:p>
    <w:p w14:paraId="07AE7618" w14:textId="77777777" w:rsidR="00780375" w:rsidRDefault="00780375" w:rsidP="005D53A5">
      <w:pPr>
        <w:rPr>
          <w:sz w:val="20"/>
          <w:szCs w:val="20"/>
        </w:rPr>
      </w:pPr>
    </w:p>
    <w:p w14:paraId="2CB1E0A1" w14:textId="6D3BA26F" w:rsidR="007A713B" w:rsidRDefault="007A713B" w:rsidP="007A713B">
      <w:pPr>
        <w:pStyle w:val="FootnoteText"/>
        <w:rPr>
          <w:b/>
          <w:bCs/>
          <w:sz w:val="24"/>
          <w:szCs w:val="24"/>
        </w:rPr>
      </w:pPr>
      <w:r w:rsidRPr="00F670FB">
        <w:rPr>
          <w:b/>
          <w:bCs/>
          <w:sz w:val="24"/>
          <w:szCs w:val="24"/>
        </w:rPr>
        <w:lastRenderedPageBreak/>
        <w:t xml:space="preserve">Table </w:t>
      </w:r>
      <w:r w:rsidR="003E4D67">
        <w:rPr>
          <w:b/>
          <w:bCs/>
          <w:sz w:val="24"/>
          <w:szCs w:val="24"/>
        </w:rPr>
        <w:t>3</w:t>
      </w:r>
      <w:r w:rsidRPr="00F670FB">
        <w:rPr>
          <w:b/>
          <w:bCs/>
          <w:sz w:val="24"/>
          <w:szCs w:val="24"/>
        </w:rPr>
        <w:t>. M</w:t>
      </w:r>
      <w:r w:rsidR="00390142">
        <w:rPr>
          <w:b/>
          <w:bCs/>
          <w:sz w:val="24"/>
          <w:szCs w:val="24"/>
        </w:rPr>
        <w:t>odel</w:t>
      </w:r>
      <w:r w:rsidRPr="00F670FB">
        <w:rPr>
          <w:b/>
          <w:bCs/>
          <w:sz w:val="24"/>
          <w:szCs w:val="24"/>
        </w:rPr>
        <w:t xml:space="preserve"> Estimation Result</w:t>
      </w:r>
      <w:r>
        <w:rPr>
          <w:b/>
          <w:bCs/>
          <w:sz w:val="24"/>
          <w:szCs w:val="24"/>
        </w:rPr>
        <w:t>s</w:t>
      </w:r>
      <w:r w:rsidR="00244621">
        <w:rPr>
          <w:b/>
          <w:bCs/>
          <w:sz w:val="24"/>
          <w:szCs w:val="24"/>
        </w:rPr>
        <w:t xml:space="preserve"> (N=5,885)</w:t>
      </w:r>
      <w:r w:rsidRPr="00140E34">
        <w:rPr>
          <w:b/>
          <w:bCs/>
          <w:sz w:val="24"/>
          <w:szCs w:val="24"/>
        </w:rPr>
        <w:t xml:space="preserve"> (Continued)</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10" w:type="dxa"/>
          <w:right w:w="10" w:type="dxa"/>
        </w:tblCellMar>
        <w:tblLook w:val="0000" w:firstRow="0" w:lastRow="0" w:firstColumn="0" w:lastColumn="0" w:noHBand="0" w:noVBand="0"/>
      </w:tblPr>
      <w:tblGrid>
        <w:gridCol w:w="1076"/>
        <w:gridCol w:w="1077"/>
        <w:gridCol w:w="517"/>
        <w:gridCol w:w="41"/>
        <w:gridCol w:w="566"/>
        <w:gridCol w:w="550"/>
        <w:gridCol w:w="633"/>
        <w:gridCol w:w="501"/>
        <w:gridCol w:w="522"/>
        <w:gridCol w:w="581"/>
        <w:gridCol w:w="581"/>
        <w:gridCol w:w="517"/>
        <w:gridCol w:w="519"/>
        <w:gridCol w:w="522"/>
        <w:gridCol w:w="522"/>
        <w:gridCol w:w="519"/>
        <w:gridCol w:w="522"/>
        <w:gridCol w:w="519"/>
        <w:gridCol w:w="524"/>
        <w:gridCol w:w="532"/>
        <w:gridCol w:w="535"/>
        <w:gridCol w:w="524"/>
        <w:gridCol w:w="10"/>
        <w:gridCol w:w="504"/>
      </w:tblGrid>
      <w:tr w:rsidR="00AD46B2" w14:paraId="085B95F1" w14:textId="77777777" w:rsidTr="00AD46B2">
        <w:trPr>
          <w:tblHeader/>
        </w:trPr>
        <w:tc>
          <w:tcPr>
            <w:tcW w:w="834" w:type="pct"/>
            <w:gridSpan w:val="2"/>
            <w:vMerge w:val="restart"/>
            <w:tcBorders>
              <w:top w:val="single" w:sz="18" w:space="0" w:color="auto"/>
              <w:left w:val="single" w:sz="18" w:space="0" w:color="auto"/>
              <w:right w:val="single" w:sz="18" w:space="0" w:color="auto"/>
            </w:tcBorders>
            <w:tcMar>
              <w:top w:w="15" w:type="dxa"/>
              <w:left w:w="40" w:type="dxa"/>
              <w:bottom w:w="15" w:type="dxa"/>
              <w:right w:w="40" w:type="dxa"/>
            </w:tcMar>
            <w:vAlign w:val="center"/>
          </w:tcPr>
          <w:p w14:paraId="617142DD" w14:textId="04BB7DB9" w:rsidR="00AD46B2" w:rsidRDefault="00AD46B2" w:rsidP="00AD46B2">
            <w:pPr>
              <w:spacing w:line="180" w:lineRule="exact"/>
              <w:rPr>
                <w:b/>
                <w:bCs/>
                <w:sz w:val="20"/>
                <w:szCs w:val="20"/>
              </w:rPr>
            </w:pPr>
            <w:r>
              <w:rPr>
                <w:b/>
                <w:bCs/>
                <w:sz w:val="20"/>
                <w:szCs w:val="20"/>
              </w:rPr>
              <w:t>Explanatory Variables (base category)</w:t>
            </w:r>
          </w:p>
        </w:tc>
        <w:tc>
          <w:tcPr>
            <w:tcW w:w="434" w:type="pct"/>
            <w:gridSpan w:val="3"/>
            <w:vMerge w:val="restart"/>
            <w:tcBorders>
              <w:top w:val="single" w:sz="18" w:space="0" w:color="auto"/>
              <w:left w:val="single" w:sz="18" w:space="0" w:color="auto"/>
              <w:right w:val="single" w:sz="18" w:space="0" w:color="auto"/>
            </w:tcBorders>
            <w:tcMar>
              <w:top w:w="15" w:type="dxa"/>
              <w:left w:w="25" w:type="dxa"/>
              <w:bottom w:w="15" w:type="dxa"/>
              <w:right w:w="25" w:type="dxa"/>
            </w:tcMar>
            <w:vAlign w:val="center"/>
          </w:tcPr>
          <w:p w14:paraId="511EF1D3" w14:textId="6047B2B0" w:rsidR="00AD46B2" w:rsidRDefault="00AD46B2" w:rsidP="00AD46B2">
            <w:pPr>
              <w:spacing w:line="180" w:lineRule="exact"/>
              <w:jc w:val="center"/>
              <w:rPr>
                <w:b/>
                <w:bCs/>
                <w:sz w:val="20"/>
                <w:szCs w:val="20"/>
              </w:rPr>
            </w:pPr>
            <w:r>
              <w:rPr>
                <w:b/>
                <w:bCs/>
                <w:sz w:val="20"/>
                <w:szCs w:val="20"/>
              </w:rPr>
              <w:t xml:space="preserve">Transit Use Frequency </w:t>
            </w:r>
            <w:r w:rsidRPr="0002526D">
              <w:rPr>
                <w:rFonts w:cstheme="minorHAnsi"/>
                <w:i/>
                <w:iCs/>
                <w:sz w:val="20"/>
                <w:szCs w:val="20"/>
              </w:rPr>
              <w:t xml:space="preserve">Ordinal </w:t>
            </w:r>
            <w:r w:rsidRPr="0002526D">
              <w:rPr>
                <w:rFonts w:cstheme="minorHAnsi"/>
                <w:i/>
                <w:iCs/>
                <w:sz w:val="20"/>
                <w:szCs w:val="20"/>
              </w:rPr>
              <w:br/>
              <w:t>(5-level)</w:t>
            </w:r>
          </w:p>
        </w:tc>
        <w:tc>
          <w:tcPr>
            <w:tcW w:w="2107" w:type="pct"/>
            <w:gridSpan w:val="10"/>
            <w:tcBorders>
              <w:top w:val="single" w:sz="18" w:space="0" w:color="auto"/>
              <w:left w:val="single" w:sz="18" w:space="0" w:color="auto"/>
              <w:bottom w:val="single" w:sz="6" w:space="0" w:color="000000" w:themeColor="text1"/>
              <w:right w:val="single" w:sz="18" w:space="0" w:color="auto"/>
            </w:tcBorders>
            <w:tcMar>
              <w:top w:w="15" w:type="dxa"/>
              <w:left w:w="25" w:type="dxa"/>
              <w:bottom w:w="15" w:type="dxa"/>
              <w:right w:w="25" w:type="dxa"/>
            </w:tcMar>
            <w:vAlign w:val="center"/>
          </w:tcPr>
          <w:p w14:paraId="40F89101" w14:textId="324C60E5" w:rsidR="00AD46B2" w:rsidRDefault="00AD46B2" w:rsidP="00AD46B2">
            <w:pPr>
              <w:spacing w:line="180" w:lineRule="exact"/>
              <w:jc w:val="center"/>
              <w:rPr>
                <w:b/>
                <w:bCs/>
                <w:sz w:val="20"/>
                <w:szCs w:val="20"/>
              </w:rPr>
            </w:pPr>
            <w:r>
              <w:rPr>
                <w:b/>
                <w:bCs/>
                <w:sz w:val="20"/>
                <w:szCs w:val="20"/>
              </w:rPr>
              <w:t>Personal Safety Concerns</w:t>
            </w:r>
          </w:p>
        </w:tc>
        <w:tc>
          <w:tcPr>
            <w:tcW w:w="807" w:type="pct"/>
            <w:gridSpan w:val="4"/>
            <w:tcBorders>
              <w:top w:val="single" w:sz="18" w:space="0" w:color="auto"/>
              <w:left w:val="single" w:sz="18" w:space="0" w:color="auto"/>
              <w:bottom w:val="single" w:sz="6" w:space="0" w:color="000000" w:themeColor="text1"/>
              <w:right w:val="single" w:sz="18" w:space="0" w:color="auto"/>
            </w:tcBorders>
            <w:tcMar>
              <w:top w:w="15" w:type="dxa"/>
              <w:left w:w="25" w:type="dxa"/>
              <w:bottom w:w="15" w:type="dxa"/>
              <w:right w:w="25" w:type="dxa"/>
            </w:tcMar>
            <w:vAlign w:val="center"/>
          </w:tcPr>
          <w:p w14:paraId="11F33657" w14:textId="792E28D2" w:rsidR="00AD46B2" w:rsidRDefault="00AD46B2" w:rsidP="00AD46B2">
            <w:pPr>
              <w:spacing w:line="180" w:lineRule="exact"/>
              <w:jc w:val="center"/>
              <w:rPr>
                <w:b/>
                <w:bCs/>
                <w:sz w:val="20"/>
                <w:szCs w:val="20"/>
              </w:rPr>
            </w:pPr>
            <w:r>
              <w:rPr>
                <w:b/>
                <w:bCs/>
                <w:sz w:val="20"/>
                <w:szCs w:val="20"/>
              </w:rPr>
              <w:t xml:space="preserve">Comfort / Conditions </w:t>
            </w:r>
            <w:proofErr w:type="gramStart"/>
            <w:r>
              <w:rPr>
                <w:b/>
                <w:bCs/>
                <w:sz w:val="20"/>
                <w:szCs w:val="20"/>
              </w:rPr>
              <w:t>On-Board</w:t>
            </w:r>
            <w:proofErr w:type="gramEnd"/>
          </w:p>
        </w:tc>
        <w:tc>
          <w:tcPr>
            <w:tcW w:w="817" w:type="pct"/>
            <w:gridSpan w:val="5"/>
            <w:tcBorders>
              <w:top w:val="single" w:sz="18" w:space="0" w:color="auto"/>
              <w:left w:val="single" w:sz="18" w:space="0" w:color="auto"/>
              <w:bottom w:val="single" w:sz="6" w:space="0" w:color="000000" w:themeColor="text1"/>
              <w:right w:val="single" w:sz="18" w:space="0" w:color="auto"/>
            </w:tcBorders>
            <w:tcMar>
              <w:top w:w="15" w:type="dxa"/>
              <w:left w:w="25" w:type="dxa"/>
              <w:bottom w:w="15" w:type="dxa"/>
              <w:right w:w="25" w:type="dxa"/>
            </w:tcMar>
            <w:vAlign w:val="center"/>
          </w:tcPr>
          <w:p w14:paraId="39EE5C66" w14:textId="246F7870" w:rsidR="00AD46B2" w:rsidRPr="00C14C41" w:rsidRDefault="00AD46B2" w:rsidP="00AD46B2">
            <w:pPr>
              <w:spacing w:line="180" w:lineRule="exact"/>
              <w:jc w:val="center"/>
              <w:rPr>
                <w:rFonts w:cstheme="minorHAnsi"/>
                <w:b/>
                <w:bCs/>
                <w:sz w:val="20"/>
                <w:szCs w:val="20"/>
              </w:rPr>
            </w:pPr>
            <w:r>
              <w:rPr>
                <w:b/>
                <w:bCs/>
                <w:sz w:val="20"/>
                <w:szCs w:val="20"/>
              </w:rPr>
              <w:t>Service Availability</w:t>
            </w:r>
          </w:p>
        </w:tc>
      </w:tr>
      <w:tr w:rsidR="005A243D" w14:paraId="3FA897EC" w14:textId="77777777" w:rsidTr="00AD46B2">
        <w:trPr>
          <w:tblHeader/>
        </w:trPr>
        <w:tc>
          <w:tcPr>
            <w:tcW w:w="834" w:type="pct"/>
            <w:gridSpan w:val="2"/>
            <w:vMerge/>
            <w:tcBorders>
              <w:left w:val="single" w:sz="18" w:space="0" w:color="auto"/>
              <w:right w:val="single" w:sz="18" w:space="0" w:color="auto"/>
            </w:tcBorders>
            <w:tcMar>
              <w:top w:w="15" w:type="dxa"/>
              <w:left w:w="40" w:type="dxa"/>
              <w:bottom w:w="15" w:type="dxa"/>
              <w:right w:w="40" w:type="dxa"/>
            </w:tcMar>
            <w:vAlign w:val="center"/>
          </w:tcPr>
          <w:p w14:paraId="46C33C83" w14:textId="7168CD76" w:rsidR="005A243D" w:rsidRDefault="005A243D" w:rsidP="00154678">
            <w:pPr>
              <w:spacing w:line="180" w:lineRule="exact"/>
            </w:pPr>
          </w:p>
        </w:tc>
        <w:tc>
          <w:tcPr>
            <w:tcW w:w="434" w:type="pct"/>
            <w:gridSpan w:val="3"/>
            <w:vMerge/>
            <w:tcBorders>
              <w:left w:val="single" w:sz="18" w:space="0" w:color="auto"/>
              <w:right w:val="single" w:sz="18" w:space="0" w:color="auto"/>
            </w:tcBorders>
            <w:tcMar>
              <w:top w:w="15" w:type="dxa"/>
              <w:left w:w="25" w:type="dxa"/>
              <w:bottom w:w="15" w:type="dxa"/>
              <w:right w:w="25" w:type="dxa"/>
            </w:tcMar>
            <w:vAlign w:val="center"/>
          </w:tcPr>
          <w:p w14:paraId="4AF53AD7" w14:textId="5131D71D" w:rsidR="005A243D" w:rsidRDefault="005A243D" w:rsidP="00154678">
            <w:pPr>
              <w:spacing w:line="180" w:lineRule="exact"/>
              <w:jc w:val="center"/>
            </w:pPr>
          </w:p>
        </w:tc>
        <w:tc>
          <w:tcPr>
            <w:tcW w:w="458" w:type="pct"/>
            <w:gridSpan w:val="2"/>
            <w:tcBorders>
              <w:top w:val="single" w:sz="18" w:space="0" w:color="auto"/>
              <w:left w:val="single" w:sz="18" w:space="0" w:color="auto"/>
              <w:bottom w:val="single" w:sz="8" w:space="0" w:color="auto"/>
              <w:right w:val="single" w:sz="6" w:space="0" w:color="000000" w:themeColor="text1"/>
            </w:tcBorders>
            <w:tcMar>
              <w:top w:w="15" w:type="dxa"/>
              <w:left w:w="25" w:type="dxa"/>
              <w:bottom w:w="15" w:type="dxa"/>
              <w:right w:w="25" w:type="dxa"/>
            </w:tcMar>
            <w:vAlign w:val="center"/>
          </w:tcPr>
          <w:p w14:paraId="3CDF2E5C" w14:textId="77777777" w:rsidR="005A243D" w:rsidRDefault="005A243D" w:rsidP="00154678">
            <w:pPr>
              <w:spacing w:line="180" w:lineRule="exact"/>
              <w:jc w:val="center"/>
            </w:pPr>
            <w:r>
              <w:rPr>
                <w:b/>
                <w:bCs/>
                <w:sz w:val="20"/>
                <w:szCs w:val="20"/>
              </w:rPr>
              <w:t>Threatening Passengers</w:t>
            </w:r>
          </w:p>
        </w:tc>
        <w:tc>
          <w:tcPr>
            <w:tcW w:w="395" w:type="pct"/>
            <w:gridSpan w:val="2"/>
            <w:tcBorders>
              <w:top w:val="single" w:sz="18" w:space="0" w:color="auto"/>
              <w:left w:val="single" w:sz="6" w:space="0" w:color="000000" w:themeColor="text1"/>
              <w:bottom w:val="single" w:sz="8" w:space="0" w:color="auto"/>
              <w:right w:val="single" w:sz="6" w:space="0" w:color="000000" w:themeColor="text1"/>
            </w:tcBorders>
            <w:tcMar>
              <w:top w:w="15" w:type="dxa"/>
              <w:left w:w="25" w:type="dxa"/>
              <w:bottom w:w="15" w:type="dxa"/>
              <w:right w:w="25" w:type="dxa"/>
            </w:tcMar>
            <w:vAlign w:val="center"/>
          </w:tcPr>
          <w:p w14:paraId="59025A9C" w14:textId="77777777" w:rsidR="005A243D" w:rsidRDefault="005A243D" w:rsidP="00154678">
            <w:pPr>
              <w:spacing w:line="180" w:lineRule="exact"/>
              <w:jc w:val="center"/>
            </w:pPr>
            <w:r>
              <w:rPr>
                <w:b/>
                <w:bCs/>
                <w:sz w:val="20"/>
                <w:szCs w:val="20"/>
              </w:rPr>
              <w:t>Theft Risk</w:t>
            </w:r>
          </w:p>
        </w:tc>
        <w:tc>
          <w:tcPr>
            <w:tcW w:w="450" w:type="pct"/>
            <w:gridSpan w:val="2"/>
            <w:tcBorders>
              <w:top w:val="single" w:sz="18" w:space="0" w:color="auto"/>
              <w:left w:val="single" w:sz="6" w:space="0" w:color="000000" w:themeColor="text1"/>
              <w:bottom w:val="single" w:sz="8" w:space="0" w:color="auto"/>
              <w:right w:val="single" w:sz="6" w:space="0" w:color="000000" w:themeColor="text1"/>
            </w:tcBorders>
            <w:tcMar>
              <w:top w:w="15" w:type="dxa"/>
              <w:left w:w="25" w:type="dxa"/>
              <w:bottom w:w="15" w:type="dxa"/>
              <w:right w:w="25" w:type="dxa"/>
            </w:tcMar>
            <w:vAlign w:val="center"/>
          </w:tcPr>
          <w:p w14:paraId="4A5AEEAF" w14:textId="77777777" w:rsidR="005A243D" w:rsidRDefault="005A243D" w:rsidP="00154678">
            <w:pPr>
              <w:spacing w:line="180" w:lineRule="exact"/>
              <w:jc w:val="center"/>
            </w:pPr>
            <w:r>
              <w:rPr>
                <w:b/>
                <w:bCs/>
                <w:sz w:val="20"/>
                <w:szCs w:val="20"/>
              </w:rPr>
              <w:t>Law Enforcement</w:t>
            </w:r>
          </w:p>
        </w:tc>
        <w:tc>
          <w:tcPr>
            <w:tcW w:w="401" w:type="pct"/>
            <w:gridSpan w:val="2"/>
            <w:tcBorders>
              <w:top w:val="single" w:sz="18" w:space="0" w:color="auto"/>
              <w:left w:val="single" w:sz="6" w:space="0" w:color="000000" w:themeColor="text1"/>
              <w:bottom w:val="single" w:sz="8" w:space="0" w:color="auto"/>
              <w:right w:val="single" w:sz="6" w:space="0" w:color="000000" w:themeColor="text1"/>
            </w:tcBorders>
            <w:tcMar>
              <w:top w:w="15" w:type="dxa"/>
              <w:left w:w="25" w:type="dxa"/>
              <w:bottom w:w="15" w:type="dxa"/>
              <w:right w:w="25" w:type="dxa"/>
            </w:tcMar>
            <w:vAlign w:val="center"/>
          </w:tcPr>
          <w:p w14:paraId="1D838B83" w14:textId="77777777" w:rsidR="005A243D" w:rsidRDefault="005A243D" w:rsidP="00154678">
            <w:pPr>
              <w:spacing w:line="180" w:lineRule="exact"/>
              <w:jc w:val="center"/>
            </w:pPr>
            <w:r>
              <w:rPr>
                <w:b/>
                <w:bCs/>
                <w:sz w:val="20"/>
                <w:szCs w:val="20"/>
              </w:rPr>
              <w:t>Unsafe Walking</w:t>
            </w:r>
          </w:p>
        </w:tc>
        <w:tc>
          <w:tcPr>
            <w:tcW w:w="404" w:type="pct"/>
            <w:gridSpan w:val="2"/>
            <w:tcBorders>
              <w:top w:val="single" w:sz="18" w:space="0" w:color="auto"/>
              <w:left w:val="single" w:sz="6" w:space="0" w:color="000000" w:themeColor="text1"/>
              <w:bottom w:val="single" w:sz="8" w:space="0" w:color="auto"/>
              <w:right w:val="single" w:sz="18" w:space="0" w:color="auto"/>
            </w:tcBorders>
            <w:tcMar>
              <w:top w:w="15" w:type="dxa"/>
              <w:left w:w="25" w:type="dxa"/>
              <w:bottom w:w="15" w:type="dxa"/>
              <w:right w:w="25" w:type="dxa"/>
            </w:tcMar>
            <w:vAlign w:val="center"/>
          </w:tcPr>
          <w:p w14:paraId="5A8BF58F" w14:textId="77777777" w:rsidR="005A243D" w:rsidRDefault="005A243D" w:rsidP="00154678">
            <w:pPr>
              <w:spacing w:line="180" w:lineRule="exact"/>
              <w:jc w:val="center"/>
            </w:pPr>
            <w:r>
              <w:rPr>
                <w:b/>
                <w:bCs/>
                <w:sz w:val="20"/>
                <w:szCs w:val="20"/>
              </w:rPr>
              <w:t>Unsafe Waiting</w:t>
            </w:r>
          </w:p>
        </w:tc>
        <w:tc>
          <w:tcPr>
            <w:tcW w:w="403" w:type="pct"/>
            <w:gridSpan w:val="2"/>
            <w:tcBorders>
              <w:top w:val="single" w:sz="18" w:space="0" w:color="auto"/>
              <w:left w:val="single" w:sz="18" w:space="0" w:color="auto"/>
              <w:bottom w:val="single" w:sz="8" w:space="0" w:color="auto"/>
              <w:right w:val="single" w:sz="6" w:space="0" w:color="000000" w:themeColor="text1"/>
            </w:tcBorders>
            <w:tcMar>
              <w:top w:w="15" w:type="dxa"/>
              <w:left w:w="25" w:type="dxa"/>
              <w:bottom w:w="15" w:type="dxa"/>
              <w:right w:w="25" w:type="dxa"/>
            </w:tcMar>
            <w:vAlign w:val="center"/>
          </w:tcPr>
          <w:p w14:paraId="4658480A" w14:textId="77777777" w:rsidR="005A243D" w:rsidRDefault="005A243D" w:rsidP="00154678">
            <w:pPr>
              <w:spacing w:line="180" w:lineRule="exact"/>
              <w:jc w:val="center"/>
            </w:pPr>
            <w:r>
              <w:rPr>
                <w:b/>
                <w:bCs/>
                <w:sz w:val="20"/>
                <w:szCs w:val="20"/>
              </w:rPr>
              <w:t>Unsanitary Conditions</w:t>
            </w:r>
          </w:p>
        </w:tc>
        <w:tc>
          <w:tcPr>
            <w:tcW w:w="403" w:type="pct"/>
            <w:gridSpan w:val="2"/>
            <w:tcBorders>
              <w:top w:val="single" w:sz="18" w:space="0" w:color="auto"/>
              <w:left w:val="single" w:sz="6" w:space="0" w:color="000000" w:themeColor="text1"/>
              <w:bottom w:val="single" w:sz="8" w:space="0" w:color="auto"/>
              <w:right w:val="single" w:sz="18" w:space="0" w:color="auto"/>
            </w:tcBorders>
            <w:tcMar>
              <w:top w:w="15" w:type="dxa"/>
              <w:left w:w="25" w:type="dxa"/>
              <w:bottom w:w="15" w:type="dxa"/>
              <w:right w:w="25" w:type="dxa"/>
            </w:tcMar>
            <w:vAlign w:val="center"/>
          </w:tcPr>
          <w:p w14:paraId="43D08059" w14:textId="77777777" w:rsidR="005A243D" w:rsidRDefault="005A243D" w:rsidP="00154678">
            <w:pPr>
              <w:spacing w:line="180" w:lineRule="exact"/>
              <w:jc w:val="center"/>
            </w:pPr>
            <w:r>
              <w:rPr>
                <w:b/>
                <w:bCs/>
                <w:sz w:val="20"/>
                <w:szCs w:val="20"/>
              </w:rPr>
              <w:t>Fall Risk</w:t>
            </w:r>
          </w:p>
        </w:tc>
        <w:tc>
          <w:tcPr>
            <w:tcW w:w="413" w:type="pct"/>
            <w:gridSpan w:val="2"/>
            <w:tcBorders>
              <w:top w:val="single" w:sz="18" w:space="0" w:color="auto"/>
              <w:left w:val="single" w:sz="18" w:space="0" w:color="auto"/>
              <w:bottom w:val="single" w:sz="8" w:space="0" w:color="auto"/>
              <w:right w:val="single" w:sz="6" w:space="0" w:color="000000" w:themeColor="text1"/>
            </w:tcBorders>
            <w:tcMar>
              <w:top w:w="15" w:type="dxa"/>
              <w:left w:w="25" w:type="dxa"/>
              <w:bottom w:w="15" w:type="dxa"/>
              <w:right w:w="25" w:type="dxa"/>
            </w:tcMar>
            <w:vAlign w:val="center"/>
          </w:tcPr>
          <w:p w14:paraId="30D8B292" w14:textId="23D70A5E" w:rsidR="005A243D" w:rsidRDefault="005A243D" w:rsidP="00154678">
            <w:pPr>
              <w:spacing w:line="180" w:lineRule="exact"/>
              <w:jc w:val="center"/>
            </w:pPr>
            <w:r w:rsidRPr="00C14C41">
              <w:rPr>
                <w:rFonts w:cstheme="minorHAnsi"/>
                <w:b/>
                <w:bCs/>
                <w:sz w:val="20"/>
                <w:szCs w:val="20"/>
              </w:rPr>
              <w:t xml:space="preserve">No Service </w:t>
            </w:r>
            <w:r w:rsidR="00A2578C">
              <w:rPr>
                <w:rFonts w:cstheme="minorHAnsi"/>
                <w:b/>
                <w:bCs/>
                <w:sz w:val="20"/>
                <w:szCs w:val="20"/>
              </w:rPr>
              <w:t>(</w:t>
            </w:r>
            <w:r>
              <w:rPr>
                <w:rFonts w:cstheme="minorHAnsi"/>
                <w:b/>
                <w:bCs/>
                <w:sz w:val="20"/>
                <w:szCs w:val="20"/>
              </w:rPr>
              <w:t>Or</w:t>
            </w:r>
            <w:r w:rsidR="00A2578C">
              <w:rPr>
                <w:rFonts w:cstheme="minorHAnsi"/>
                <w:b/>
                <w:bCs/>
                <w:sz w:val="20"/>
                <w:szCs w:val="20"/>
              </w:rPr>
              <w:t>g</w:t>
            </w:r>
            <w:r w:rsidR="00B72633">
              <w:rPr>
                <w:rFonts w:cstheme="minorHAnsi"/>
                <w:b/>
                <w:bCs/>
                <w:sz w:val="20"/>
                <w:szCs w:val="20"/>
              </w:rPr>
              <w:t>.</w:t>
            </w:r>
            <w:r w:rsidR="00A2578C">
              <w:rPr>
                <w:rFonts w:cstheme="minorHAnsi"/>
                <w:b/>
                <w:bCs/>
                <w:sz w:val="20"/>
                <w:szCs w:val="20"/>
              </w:rPr>
              <w:t>)</w:t>
            </w:r>
          </w:p>
        </w:tc>
        <w:tc>
          <w:tcPr>
            <w:tcW w:w="405" w:type="pct"/>
            <w:gridSpan w:val="3"/>
            <w:tcBorders>
              <w:top w:val="single" w:sz="18" w:space="0" w:color="auto"/>
              <w:left w:val="single" w:sz="6" w:space="0" w:color="000000" w:themeColor="text1"/>
              <w:bottom w:val="single" w:sz="8" w:space="0" w:color="auto"/>
              <w:right w:val="single" w:sz="18" w:space="0" w:color="auto"/>
            </w:tcBorders>
            <w:tcMar>
              <w:top w:w="15" w:type="dxa"/>
              <w:left w:w="25" w:type="dxa"/>
              <w:bottom w:w="15" w:type="dxa"/>
              <w:right w:w="25" w:type="dxa"/>
            </w:tcMar>
            <w:vAlign w:val="center"/>
          </w:tcPr>
          <w:p w14:paraId="04475586" w14:textId="3D302907" w:rsidR="005A243D" w:rsidRDefault="005A243D" w:rsidP="00154678">
            <w:pPr>
              <w:spacing w:line="180" w:lineRule="exact"/>
              <w:jc w:val="center"/>
            </w:pPr>
            <w:r w:rsidRPr="00C14C41">
              <w:rPr>
                <w:rFonts w:cstheme="minorHAnsi"/>
                <w:b/>
                <w:bCs/>
                <w:sz w:val="20"/>
                <w:szCs w:val="20"/>
              </w:rPr>
              <w:t xml:space="preserve">No Service </w:t>
            </w:r>
            <w:r w:rsidR="00B72633">
              <w:rPr>
                <w:rFonts w:cstheme="minorHAnsi"/>
                <w:b/>
                <w:bCs/>
                <w:sz w:val="20"/>
                <w:szCs w:val="20"/>
              </w:rPr>
              <w:t>(</w:t>
            </w:r>
            <w:r>
              <w:rPr>
                <w:rFonts w:cstheme="minorHAnsi"/>
                <w:b/>
                <w:bCs/>
                <w:sz w:val="20"/>
                <w:szCs w:val="20"/>
              </w:rPr>
              <w:t>Dest.</w:t>
            </w:r>
            <w:r w:rsidR="00B72633">
              <w:rPr>
                <w:rFonts w:cstheme="minorHAnsi"/>
                <w:b/>
                <w:bCs/>
                <w:sz w:val="20"/>
                <w:szCs w:val="20"/>
              </w:rPr>
              <w:t>)</w:t>
            </w:r>
          </w:p>
        </w:tc>
      </w:tr>
      <w:tr w:rsidR="00413A1F" w14:paraId="074368D0" w14:textId="77777777" w:rsidTr="00AD46B2">
        <w:trPr>
          <w:tblHeader/>
        </w:trPr>
        <w:tc>
          <w:tcPr>
            <w:tcW w:w="834" w:type="pct"/>
            <w:gridSpan w:val="2"/>
            <w:vMerge/>
            <w:tcBorders>
              <w:left w:val="single" w:sz="18" w:space="0" w:color="auto"/>
              <w:right w:val="single" w:sz="18" w:space="0" w:color="auto"/>
            </w:tcBorders>
            <w:tcMar>
              <w:top w:w="15" w:type="dxa"/>
              <w:left w:w="40" w:type="dxa"/>
              <w:bottom w:w="15" w:type="dxa"/>
              <w:right w:w="40" w:type="dxa"/>
            </w:tcMar>
            <w:vAlign w:val="center"/>
          </w:tcPr>
          <w:p w14:paraId="2FE6EE43" w14:textId="77777777" w:rsidR="00413A1F" w:rsidRDefault="00413A1F" w:rsidP="00413A1F">
            <w:pPr>
              <w:spacing w:line="180" w:lineRule="exact"/>
            </w:pPr>
          </w:p>
        </w:tc>
        <w:tc>
          <w:tcPr>
            <w:tcW w:w="434" w:type="pct"/>
            <w:gridSpan w:val="3"/>
            <w:vMerge/>
            <w:tcBorders>
              <w:left w:val="single" w:sz="18" w:space="0" w:color="auto"/>
              <w:bottom w:val="single" w:sz="18" w:space="0" w:color="auto"/>
              <w:right w:val="single" w:sz="18" w:space="0" w:color="auto"/>
            </w:tcBorders>
            <w:tcMar>
              <w:top w:w="15" w:type="dxa"/>
              <w:left w:w="25" w:type="dxa"/>
              <w:bottom w:w="15" w:type="dxa"/>
              <w:right w:w="25" w:type="dxa"/>
            </w:tcMar>
            <w:vAlign w:val="center"/>
          </w:tcPr>
          <w:p w14:paraId="494F3E4E" w14:textId="77777777" w:rsidR="00413A1F" w:rsidRDefault="00413A1F" w:rsidP="00413A1F">
            <w:pPr>
              <w:spacing w:line="180" w:lineRule="exact"/>
              <w:jc w:val="center"/>
            </w:pPr>
          </w:p>
        </w:tc>
        <w:tc>
          <w:tcPr>
            <w:tcW w:w="3732" w:type="pct"/>
            <w:gridSpan w:val="19"/>
            <w:tcBorders>
              <w:top w:val="single" w:sz="8" w:space="0" w:color="auto"/>
              <w:left w:val="single" w:sz="18" w:space="0" w:color="auto"/>
              <w:bottom w:val="single" w:sz="6" w:space="0" w:color="000000" w:themeColor="text1"/>
              <w:right w:val="single" w:sz="18" w:space="0" w:color="auto"/>
            </w:tcBorders>
            <w:tcMar>
              <w:top w:w="15" w:type="dxa"/>
              <w:left w:w="25" w:type="dxa"/>
              <w:bottom w:w="15" w:type="dxa"/>
              <w:right w:w="25" w:type="dxa"/>
            </w:tcMar>
            <w:vAlign w:val="center"/>
          </w:tcPr>
          <w:p w14:paraId="3F1E44D5" w14:textId="0D338DE7" w:rsidR="00413A1F" w:rsidRPr="00C14C41" w:rsidRDefault="00273078" w:rsidP="00413A1F">
            <w:pPr>
              <w:spacing w:line="180" w:lineRule="exact"/>
              <w:jc w:val="center"/>
              <w:rPr>
                <w:rFonts w:cstheme="minorHAnsi"/>
                <w:b/>
                <w:bCs/>
                <w:sz w:val="20"/>
                <w:szCs w:val="20"/>
              </w:rPr>
            </w:pPr>
            <w:r w:rsidRPr="0002526D">
              <w:rPr>
                <w:rFonts w:cstheme="minorHAnsi"/>
                <w:i/>
                <w:iCs/>
                <w:sz w:val="20"/>
                <w:szCs w:val="20"/>
              </w:rPr>
              <w:t>Binary variables (</w:t>
            </w:r>
            <w:r>
              <w:rPr>
                <w:rFonts w:cstheme="minorHAnsi"/>
                <w:i/>
                <w:iCs/>
                <w:sz w:val="20"/>
                <w:szCs w:val="20"/>
              </w:rPr>
              <w:t>reported</w:t>
            </w:r>
            <w:r w:rsidRPr="0002526D">
              <w:rPr>
                <w:rFonts w:cstheme="minorHAnsi"/>
                <w:i/>
                <w:iCs/>
                <w:sz w:val="20"/>
                <w:szCs w:val="20"/>
              </w:rPr>
              <w:t xml:space="preserve">, </w:t>
            </w:r>
            <w:r>
              <w:rPr>
                <w:rFonts w:cstheme="minorHAnsi"/>
                <w:i/>
                <w:iCs/>
                <w:sz w:val="20"/>
                <w:szCs w:val="20"/>
              </w:rPr>
              <w:t>n</w:t>
            </w:r>
            <w:r w:rsidRPr="0002526D">
              <w:rPr>
                <w:rFonts w:cstheme="minorHAnsi"/>
                <w:i/>
                <w:iCs/>
                <w:sz w:val="20"/>
                <w:szCs w:val="20"/>
              </w:rPr>
              <w:t>o</w:t>
            </w:r>
            <w:r>
              <w:rPr>
                <w:rFonts w:cstheme="minorHAnsi"/>
                <w:i/>
                <w:iCs/>
                <w:sz w:val="20"/>
                <w:szCs w:val="20"/>
              </w:rPr>
              <w:t>t reported</w:t>
            </w:r>
            <w:r w:rsidRPr="0002526D">
              <w:rPr>
                <w:rFonts w:cstheme="minorHAnsi"/>
                <w:i/>
                <w:iCs/>
                <w:sz w:val="20"/>
                <w:szCs w:val="20"/>
              </w:rPr>
              <w:t xml:space="preserve"> [base])</w:t>
            </w:r>
          </w:p>
        </w:tc>
      </w:tr>
      <w:tr w:rsidR="00413A1F" w14:paraId="61799B4A" w14:textId="77777777" w:rsidTr="00AD46B2">
        <w:trPr>
          <w:tblHeader/>
        </w:trPr>
        <w:tc>
          <w:tcPr>
            <w:tcW w:w="834" w:type="pct"/>
            <w:gridSpan w:val="2"/>
            <w:vMerge/>
            <w:tcBorders>
              <w:left w:val="single" w:sz="18" w:space="0" w:color="auto"/>
              <w:bottom w:val="single" w:sz="18" w:space="0" w:color="auto"/>
              <w:right w:val="single" w:sz="18" w:space="0" w:color="auto"/>
            </w:tcBorders>
          </w:tcPr>
          <w:p w14:paraId="41D912F3" w14:textId="77777777" w:rsidR="00413A1F" w:rsidRDefault="00413A1F" w:rsidP="00413A1F">
            <w:pPr>
              <w:spacing w:line="180" w:lineRule="exact"/>
            </w:pPr>
          </w:p>
        </w:tc>
        <w:tc>
          <w:tcPr>
            <w:tcW w:w="200" w:type="pct"/>
            <w:tcBorders>
              <w:top w:val="single" w:sz="18" w:space="0" w:color="auto"/>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3FB8C26E" w14:textId="77777777" w:rsidR="00413A1F" w:rsidRDefault="00413A1F" w:rsidP="00413A1F">
            <w:pPr>
              <w:spacing w:line="180" w:lineRule="exact"/>
              <w:jc w:val="center"/>
            </w:pPr>
            <w:r>
              <w:rPr>
                <w:b/>
                <w:bCs/>
                <w:sz w:val="20"/>
                <w:szCs w:val="20"/>
              </w:rPr>
              <w:t>Coef.</w:t>
            </w:r>
          </w:p>
        </w:tc>
        <w:tc>
          <w:tcPr>
            <w:tcW w:w="235" w:type="pct"/>
            <w:gridSpan w:val="2"/>
            <w:tcBorders>
              <w:top w:val="single" w:sz="18" w:space="0" w:color="auto"/>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2E07BABF" w14:textId="77777777" w:rsidR="00413A1F" w:rsidRDefault="00413A1F" w:rsidP="00413A1F">
            <w:pPr>
              <w:spacing w:line="180" w:lineRule="exact"/>
              <w:jc w:val="center"/>
            </w:pPr>
            <w:r>
              <w:rPr>
                <w:b/>
                <w:bCs/>
                <w:sz w:val="20"/>
                <w:szCs w:val="20"/>
              </w:rPr>
              <w:t>t-stat</w:t>
            </w:r>
          </w:p>
        </w:tc>
        <w:tc>
          <w:tcPr>
            <w:tcW w:w="213" w:type="pct"/>
            <w:tcBorders>
              <w:top w:val="single" w:sz="18" w:space="0" w:color="auto"/>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7994017B" w14:textId="77777777" w:rsidR="00413A1F" w:rsidRDefault="00413A1F" w:rsidP="00413A1F">
            <w:pPr>
              <w:spacing w:line="180" w:lineRule="exact"/>
              <w:jc w:val="center"/>
            </w:pPr>
            <w:r>
              <w:rPr>
                <w:b/>
                <w:bCs/>
                <w:sz w:val="20"/>
                <w:szCs w:val="20"/>
              </w:rPr>
              <w:t>Coef.</w:t>
            </w:r>
          </w:p>
        </w:tc>
        <w:tc>
          <w:tcPr>
            <w:tcW w:w="245" w:type="pct"/>
            <w:tcBorders>
              <w:top w:val="single" w:sz="18" w:space="0" w:color="auto"/>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3E09D28E" w14:textId="77777777" w:rsidR="00413A1F" w:rsidRDefault="00413A1F" w:rsidP="00413A1F">
            <w:pPr>
              <w:spacing w:line="180" w:lineRule="exact"/>
              <w:jc w:val="center"/>
            </w:pPr>
            <w:r>
              <w:rPr>
                <w:b/>
                <w:bCs/>
                <w:sz w:val="20"/>
                <w:szCs w:val="20"/>
              </w:rPr>
              <w:t>t-stat</w:t>
            </w:r>
          </w:p>
        </w:tc>
        <w:tc>
          <w:tcPr>
            <w:tcW w:w="194" w:type="pct"/>
            <w:tcBorders>
              <w:top w:val="single" w:sz="18" w:space="0" w:color="auto"/>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19DF69A1" w14:textId="77777777" w:rsidR="00413A1F" w:rsidRDefault="00413A1F" w:rsidP="00413A1F">
            <w:pPr>
              <w:spacing w:line="180" w:lineRule="exact"/>
              <w:jc w:val="center"/>
            </w:pPr>
            <w:r>
              <w:rPr>
                <w:b/>
                <w:bCs/>
                <w:sz w:val="20"/>
                <w:szCs w:val="20"/>
              </w:rPr>
              <w:t>Coef.</w:t>
            </w:r>
          </w:p>
        </w:tc>
        <w:tc>
          <w:tcPr>
            <w:tcW w:w="202" w:type="pct"/>
            <w:tcBorders>
              <w:top w:val="single" w:sz="18" w:space="0" w:color="auto"/>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2AE40960" w14:textId="77777777" w:rsidR="00413A1F" w:rsidRDefault="00413A1F" w:rsidP="00413A1F">
            <w:pPr>
              <w:spacing w:line="180" w:lineRule="exact"/>
              <w:jc w:val="center"/>
            </w:pPr>
            <w:r>
              <w:rPr>
                <w:b/>
                <w:bCs/>
                <w:sz w:val="20"/>
                <w:szCs w:val="20"/>
              </w:rPr>
              <w:t>t-stat</w:t>
            </w:r>
          </w:p>
        </w:tc>
        <w:tc>
          <w:tcPr>
            <w:tcW w:w="225" w:type="pct"/>
            <w:tcBorders>
              <w:top w:val="single" w:sz="18" w:space="0" w:color="auto"/>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09487115" w14:textId="77777777" w:rsidR="00413A1F" w:rsidRDefault="00413A1F" w:rsidP="00413A1F">
            <w:pPr>
              <w:spacing w:line="180" w:lineRule="exact"/>
              <w:jc w:val="center"/>
            </w:pPr>
            <w:r>
              <w:rPr>
                <w:b/>
                <w:bCs/>
                <w:sz w:val="20"/>
                <w:szCs w:val="20"/>
              </w:rPr>
              <w:t>Coef.</w:t>
            </w:r>
          </w:p>
        </w:tc>
        <w:tc>
          <w:tcPr>
            <w:tcW w:w="225" w:type="pct"/>
            <w:tcBorders>
              <w:top w:val="single" w:sz="18" w:space="0" w:color="auto"/>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3B26F7DD" w14:textId="77777777" w:rsidR="00413A1F" w:rsidRDefault="00413A1F" w:rsidP="00413A1F">
            <w:pPr>
              <w:spacing w:line="180" w:lineRule="exact"/>
              <w:jc w:val="center"/>
            </w:pPr>
            <w:r>
              <w:rPr>
                <w:b/>
                <w:bCs/>
                <w:sz w:val="20"/>
                <w:szCs w:val="20"/>
              </w:rPr>
              <w:t>t-stat</w:t>
            </w:r>
          </w:p>
        </w:tc>
        <w:tc>
          <w:tcPr>
            <w:tcW w:w="200" w:type="pct"/>
            <w:tcBorders>
              <w:top w:val="single" w:sz="18" w:space="0" w:color="auto"/>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60FFACD4" w14:textId="77777777" w:rsidR="00413A1F" w:rsidRDefault="00413A1F" w:rsidP="00413A1F">
            <w:pPr>
              <w:spacing w:line="180" w:lineRule="exact"/>
              <w:jc w:val="center"/>
            </w:pPr>
            <w:r>
              <w:rPr>
                <w:b/>
                <w:bCs/>
                <w:sz w:val="20"/>
                <w:szCs w:val="20"/>
              </w:rPr>
              <w:t>Coef.</w:t>
            </w:r>
          </w:p>
        </w:tc>
        <w:tc>
          <w:tcPr>
            <w:tcW w:w="201" w:type="pct"/>
            <w:tcBorders>
              <w:top w:val="single" w:sz="18" w:space="0" w:color="auto"/>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4B962F29" w14:textId="77777777" w:rsidR="00413A1F" w:rsidRDefault="00413A1F" w:rsidP="00413A1F">
            <w:pPr>
              <w:spacing w:line="180" w:lineRule="exact"/>
              <w:jc w:val="center"/>
            </w:pPr>
            <w:r>
              <w:rPr>
                <w:b/>
                <w:bCs/>
                <w:sz w:val="20"/>
                <w:szCs w:val="20"/>
              </w:rPr>
              <w:t>t-stat</w:t>
            </w:r>
          </w:p>
        </w:tc>
        <w:tc>
          <w:tcPr>
            <w:tcW w:w="202" w:type="pct"/>
            <w:tcBorders>
              <w:top w:val="single" w:sz="18" w:space="0" w:color="auto"/>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5B9C122F" w14:textId="77777777" w:rsidR="00413A1F" w:rsidRDefault="00413A1F" w:rsidP="00413A1F">
            <w:pPr>
              <w:spacing w:line="180" w:lineRule="exact"/>
              <w:jc w:val="center"/>
            </w:pPr>
            <w:r>
              <w:rPr>
                <w:b/>
                <w:bCs/>
                <w:sz w:val="20"/>
                <w:szCs w:val="20"/>
              </w:rPr>
              <w:t>Coef.</w:t>
            </w:r>
          </w:p>
        </w:tc>
        <w:tc>
          <w:tcPr>
            <w:tcW w:w="202" w:type="pct"/>
            <w:tcBorders>
              <w:top w:val="single" w:sz="18" w:space="0" w:color="auto"/>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0D726A32" w14:textId="77777777" w:rsidR="00413A1F" w:rsidRDefault="00413A1F" w:rsidP="00413A1F">
            <w:pPr>
              <w:spacing w:line="180" w:lineRule="exact"/>
            </w:pPr>
            <w:r>
              <w:rPr>
                <w:b/>
                <w:bCs/>
                <w:sz w:val="20"/>
                <w:szCs w:val="20"/>
              </w:rPr>
              <w:t>t-stat</w:t>
            </w:r>
          </w:p>
        </w:tc>
        <w:tc>
          <w:tcPr>
            <w:tcW w:w="201" w:type="pct"/>
            <w:tcBorders>
              <w:top w:val="single" w:sz="18" w:space="0" w:color="auto"/>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7960C0D3" w14:textId="77777777" w:rsidR="00413A1F" w:rsidRDefault="00413A1F" w:rsidP="00413A1F">
            <w:pPr>
              <w:spacing w:line="180" w:lineRule="exact"/>
              <w:jc w:val="center"/>
            </w:pPr>
            <w:r>
              <w:rPr>
                <w:b/>
                <w:bCs/>
                <w:sz w:val="20"/>
                <w:szCs w:val="20"/>
              </w:rPr>
              <w:t>Coef.</w:t>
            </w:r>
          </w:p>
        </w:tc>
        <w:tc>
          <w:tcPr>
            <w:tcW w:w="202" w:type="pct"/>
            <w:tcBorders>
              <w:top w:val="single" w:sz="18" w:space="0" w:color="auto"/>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0FD2557E" w14:textId="77777777" w:rsidR="00413A1F" w:rsidRDefault="00413A1F" w:rsidP="00413A1F">
            <w:pPr>
              <w:spacing w:line="180" w:lineRule="exact"/>
              <w:jc w:val="center"/>
            </w:pPr>
            <w:r>
              <w:rPr>
                <w:b/>
                <w:bCs/>
                <w:sz w:val="20"/>
                <w:szCs w:val="20"/>
              </w:rPr>
              <w:t>t-stat</w:t>
            </w:r>
          </w:p>
        </w:tc>
        <w:tc>
          <w:tcPr>
            <w:tcW w:w="201" w:type="pct"/>
            <w:tcBorders>
              <w:top w:val="single" w:sz="18" w:space="0" w:color="auto"/>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1326798D" w14:textId="77777777" w:rsidR="00413A1F" w:rsidRDefault="00413A1F" w:rsidP="00413A1F">
            <w:pPr>
              <w:spacing w:line="180" w:lineRule="exact"/>
              <w:jc w:val="center"/>
            </w:pPr>
            <w:r>
              <w:rPr>
                <w:b/>
                <w:bCs/>
                <w:sz w:val="20"/>
                <w:szCs w:val="20"/>
              </w:rPr>
              <w:t>Coef.</w:t>
            </w:r>
          </w:p>
        </w:tc>
        <w:tc>
          <w:tcPr>
            <w:tcW w:w="202" w:type="pct"/>
            <w:tcBorders>
              <w:top w:val="single" w:sz="18" w:space="0" w:color="auto"/>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4611C13B" w14:textId="77777777" w:rsidR="00413A1F" w:rsidRDefault="00413A1F" w:rsidP="00413A1F">
            <w:pPr>
              <w:spacing w:line="180" w:lineRule="exact"/>
              <w:jc w:val="center"/>
            </w:pPr>
            <w:r>
              <w:rPr>
                <w:b/>
                <w:bCs/>
                <w:sz w:val="20"/>
                <w:szCs w:val="20"/>
              </w:rPr>
              <w:t>t-stat</w:t>
            </w:r>
          </w:p>
        </w:tc>
        <w:tc>
          <w:tcPr>
            <w:tcW w:w="206" w:type="pct"/>
            <w:tcBorders>
              <w:top w:val="single" w:sz="18" w:space="0" w:color="auto"/>
              <w:left w:val="single" w:sz="18" w:space="0" w:color="auto"/>
              <w:bottom w:val="single" w:sz="18" w:space="0" w:color="auto"/>
              <w:right w:val="single" w:sz="4" w:space="0" w:color="FFFFFF" w:themeColor="background1"/>
            </w:tcBorders>
            <w:tcMar>
              <w:top w:w="15" w:type="dxa"/>
              <w:left w:w="25" w:type="dxa"/>
              <w:bottom w:w="15" w:type="dxa"/>
              <w:right w:w="25" w:type="dxa"/>
            </w:tcMar>
            <w:vAlign w:val="center"/>
          </w:tcPr>
          <w:p w14:paraId="322ED850" w14:textId="77777777" w:rsidR="00413A1F" w:rsidRDefault="00413A1F" w:rsidP="00413A1F">
            <w:pPr>
              <w:spacing w:line="180" w:lineRule="exact"/>
              <w:jc w:val="center"/>
            </w:pPr>
            <w:r>
              <w:rPr>
                <w:b/>
                <w:bCs/>
                <w:sz w:val="20"/>
                <w:szCs w:val="20"/>
              </w:rPr>
              <w:t>Coef.</w:t>
            </w:r>
          </w:p>
        </w:tc>
        <w:tc>
          <w:tcPr>
            <w:tcW w:w="206" w:type="pct"/>
            <w:tcBorders>
              <w:top w:val="single" w:sz="18" w:space="0" w:color="auto"/>
              <w:left w:val="single" w:sz="4" w:space="0" w:color="FFFFFF" w:themeColor="background1"/>
              <w:bottom w:val="single" w:sz="18" w:space="0" w:color="auto"/>
              <w:right w:val="single" w:sz="6" w:space="0" w:color="000000" w:themeColor="text1"/>
            </w:tcBorders>
            <w:tcMar>
              <w:top w:w="15" w:type="dxa"/>
              <w:left w:w="25" w:type="dxa"/>
              <w:bottom w:w="15" w:type="dxa"/>
              <w:right w:w="25" w:type="dxa"/>
            </w:tcMar>
            <w:vAlign w:val="center"/>
          </w:tcPr>
          <w:p w14:paraId="4A2D53C6" w14:textId="77777777" w:rsidR="00413A1F" w:rsidRDefault="00413A1F" w:rsidP="00413A1F">
            <w:pPr>
              <w:spacing w:line="180" w:lineRule="exact"/>
              <w:jc w:val="center"/>
            </w:pPr>
            <w:r>
              <w:rPr>
                <w:b/>
                <w:bCs/>
                <w:sz w:val="20"/>
                <w:szCs w:val="20"/>
              </w:rPr>
              <w:t>t-stat</w:t>
            </w:r>
          </w:p>
        </w:tc>
        <w:tc>
          <w:tcPr>
            <w:tcW w:w="207" w:type="pct"/>
            <w:gridSpan w:val="2"/>
            <w:tcBorders>
              <w:top w:val="single" w:sz="18" w:space="0" w:color="auto"/>
              <w:left w:val="single" w:sz="6" w:space="0" w:color="000000" w:themeColor="text1"/>
              <w:bottom w:val="single" w:sz="18" w:space="0" w:color="auto"/>
              <w:right w:val="single" w:sz="4" w:space="0" w:color="FFFFFF" w:themeColor="background1"/>
            </w:tcBorders>
            <w:tcMar>
              <w:top w:w="15" w:type="dxa"/>
              <w:left w:w="25" w:type="dxa"/>
              <w:bottom w:w="15" w:type="dxa"/>
              <w:right w:w="25" w:type="dxa"/>
            </w:tcMar>
            <w:vAlign w:val="center"/>
          </w:tcPr>
          <w:p w14:paraId="47F39D2F" w14:textId="77777777" w:rsidR="00413A1F" w:rsidRDefault="00413A1F" w:rsidP="00413A1F">
            <w:pPr>
              <w:spacing w:line="180" w:lineRule="exact"/>
              <w:jc w:val="center"/>
            </w:pPr>
            <w:r>
              <w:rPr>
                <w:b/>
                <w:bCs/>
                <w:sz w:val="20"/>
                <w:szCs w:val="20"/>
              </w:rPr>
              <w:t>Coef.</w:t>
            </w:r>
          </w:p>
        </w:tc>
        <w:tc>
          <w:tcPr>
            <w:tcW w:w="198" w:type="pct"/>
            <w:tcBorders>
              <w:top w:val="single" w:sz="18" w:space="0" w:color="auto"/>
              <w:left w:val="single" w:sz="4" w:space="0" w:color="FFFFFF" w:themeColor="background1"/>
              <w:bottom w:val="single" w:sz="18" w:space="0" w:color="auto"/>
              <w:right w:val="single" w:sz="18" w:space="0" w:color="auto"/>
            </w:tcBorders>
            <w:tcMar>
              <w:top w:w="15" w:type="dxa"/>
              <w:left w:w="25" w:type="dxa"/>
              <w:bottom w:w="15" w:type="dxa"/>
              <w:right w:w="25" w:type="dxa"/>
            </w:tcMar>
            <w:vAlign w:val="center"/>
          </w:tcPr>
          <w:p w14:paraId="67E1EE23" w14:textId="77777777" w:rsidR="00413A1F" w:rsidRDefault="00413A1F" w:rsidP="00413A1F">
            <w:pPr>
              <w:spacing w:line="180" w:lineRule="exact"/>
              <w:jc w:val="center"/>
            </w:pPr>
            <w:r>
              <w:rPr>
                <w:b/>
                <w:bCs/>
                <w:sz w:val="20"/>
                <w:szCs w:val="20"/>
              </w:rPr>
              <w:t>t-stat</w:t>
            </w:r>
          </w:p>
        </w:tc>
      </w:tr>
      <w:tr w:rsidR="00413A1F" w14:paraId="7938A1C7" w14:textId="77777777" w:rsidTr="00154678">
        <w:tc>
          <w:tcPr>
            <w:tcW w:w="5000" w:type="pct"/>
            <w:gridSpan w:val="24"/>
            <w:tcBorders>
              <w:top w:val="double" w:sz="4" w:space="0" w:color="auto"/>
              <w:left w:val="single" w:sz="18" w:space="0" w:color="auto"/>
              <w:bottom w:val="single" w:sz="12" w:space="0" w:color="auto"/>
              <w:right w:val="single" w:sz="18" w:space="0" w:color="auto"/>
            </w:tcBorders>
            <w:tcMar>
              <w:top w:w="12" w:type="dxa"/>
              <w:left w:w="25" w:type="dxa"/>
              <w:bottom w:w="12" w:type="dxa"/>
              <w:right w:w="25" w:type="dxa"/>
            </w:tcMar>
            <w:vAlign w:val="center"/>
          </w:tcPr>
          <w:p w14:paraId="11475947" w14:textId="77777777" w:rsidR="00413A1F" w:rsidRPr="00AD4929" w:rsidRDefault="00413A1F" w:rsidP="00413A1F">
            <w:pPr>
              <w:spacing w:line="180" w:lineRule="exact"/>
              <w:rPr>
                <w:b/>
                <w:bCs/>
                <w:i/>
                <w:iCs/>
                <w:sz w:val="20"/>
                <w:szCs w:val="20"/>
              </w:rPr>
            </w:pPr>
            <w:r w:rsidRPr="00AD4929">
              <w:rPr>
                <w:b/>
                <w:bCs/>
                <w:i/>
                <w:iCs/>
                <w:sz w:val="20"/>
                <w:szCs w:val="20"/>
              </w:rPr>
              <w:t xml:space="preserve">Geographic and </w:t>
            </w:r>
            <w:r>
              <w:rPr>
                <w:b/>
                <w:bCs/>
                <w:i/>
                <w:iCs/>
                <w:sz w:val="20"/>
                <w:szCs w:val="20"/>
              </w:rPr>
              <w:t>b</w:t>
            </w:r>
            <w:r w:rsidRPr="00AD4929">
              <w:rPr>
                <w:b/>
                <w:bCs/>
                <w:i/>
                <w:iCs/>
                <w:sz w:val="20"/>
                <w:szCs w:val="20"/>
              </w:rPr>
              <w:t>uilt-</w:t>
            </w:r>
            <w:r>
              <w:rPr>
                <w:b/>
                <w:bCs/>
                <w:i/>
                <w:iCs/>
                <w:sz w:val="20"/>
                <w:szCs w:val="20"/>
              </w:rPr>
              <w:t>e</w:t>
            </w:r>
            <w:r w:rsidRPr="00AD4929">
              <w:rPr>
                <w:b/>
                <w:bCs/>
                <w:i/>
                <w:iCs/>
                <w:sz w:val="20"/>
                <w:szCs w:val="20"/>
              </w:rPr>
              <w:t xml:space="preserve">nvironment </w:t>
            </w:r>
            <w:r w:rsidRPr="00A17A49">
              <w:rPr>
                <w:b/>
                <w:bCs/>
                <w:i/>
                <w:iCs/>
                <w:sz w:val="20"/>
                <w:szCs w:val="20"/>
              </w:rPr>
              <w:t>attributes</w:t>
            </w:r>
          </w:p>
        </w:tc>
      </w:tr>
      <w:tr w:rsidR="00413A1F" w14:paraId="6C7BD781" w14:textId="77777777" w:rsidTr="00154678">
        <w:tc>
          <w:tcPr>
            <w:tcW w:w="5000" w:type="pct"/>
            <w:gridSpan w:val="24"/>
            <w:tcBorders>
              <w:top w:val="single" w:sz="12"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0CA336D9" w14:textId="77777777" w:rsidR="00413A1F" w:rsidRPr="003C7DA6" w:rsidRDefault="00413A1F" w:rsidP="00413A1F">
            <w:pPr>
              <w:spacing w:line="180" w:lineRule="exact"/>
            </w:pPr>
            <w:r w:rsidRPr="003C7DA6">
              <w:rPr>
                <w:sz w:val="20"/>
                <w:szCs w:val="20"/>
              </w:rPr>
              <w:t xml:space="preserve">Census division of </w:t>
            </w:r>
            <w:r>
              <w:rPr>
                <w:sz w:val="20"/>
                <w:szCs w:val="20"/>
              </w:rPr>
              <w:t xml:space="preserve">respondent’s </w:t>
            </w:r>
            <w:r w:rsidRPr="003C7DA6">
              <w:rPr>
                <w:sz w:val="20"/>
                <w:szCs w:val="20"/>
              </w:rPr>
              <w:t>residence (New England)</w:t>
            </w:r>
          </w:p>
        </w:tc>
      </w:tr>
      <w:tr w:rsidR="00413A1F" w14:paraId="3030B144" w14:textId="77777777" w:rsidTr="00AD46B2">
        <w:tc>
          <w:tcPr>
            <w:tcW w:w="834" w:type="pct"/>
            <w:gridSpan w:val="2"/>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6607644D" w14:textId="77777777" w:rsidR="00413A1F" w:rsidRDefault="00413A1F" w:rsidP="00413A1F">
            <w:pPr>
              <w:spacing w:line="180" w:lineRule="exact"/>
              <w:ind w:left="130"/>
            </w:pPr>
            <w:r>
              <w:rPr>
                <w:sz w:val="20"/>
                <w:szCs w:val="20"/>
              </w:rPr>
              <w:t>Middle Atlantic</w:t>
            </w:r>
          </w:p>
        </w:tc>
        <w:tc>
          <w:tcPr>
            <w:tcW w:w="200"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49FC24D" w14:textId="77777777" w:rsidR="00413A1F" w:rsidRDefault="00413A1F" w:rsidP="00413A1F">
            <w:pPr>
              <w:spacing w:line="180" w:lineRule="exact"/>
              <w:jc w:val="center"/>
            </w:pPr>
            <w:r w:rsidRPr="008E3C9E">
              <w:rPr>
                <w:sz w:val="18"/>
                <w:szCs w:val="18"/>
              </w:rPr>
              <w:t>—</w:t>
            </w:r>
          </w:p>
        </w:tc>
        <w:tc>
          <w:tcPr>
            <w:tcW w:w="235" w:type="pct"/>
            <w:gridSpan w:val="2"/>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FEDE621" w14:textId="77777777" w:rsidR="00413A1F" w:rsidRDefault="00413A1F" w:rsidP="00413A1F">
            <w:pPr>
              <w:spacing w:line="180" w:lineRule="exact"/>
              <w:jc w:val="center"/>
            </w:pPr>
            <w:r w:rsidRPr="008E3C9E">
              <w:rPr>
                <w:sz w:val="18"/>
                <w:szCs w:val="18"/>
              </w:rPr>
              <w:t>—</w:t>
            </w:r>
          </w:p>
        </w:tc>
        <w:tc>
          <w:tcPr>
            <w:tcW w:w="213"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4A257E2" w14:textId="77777777" w:rsidR="00413A1F" w:rsidRDefault="00413A1F" w:rsidP="00413A1F">
            <w:pPr>
              <w:spacing w:line="180" w:lineRule="exact"/>
              <w:jc w:val="center"/>
            </w:pPr>
            <w:r w:rsidRPr="008E3C9E">
              <w:rPr>
                <w:sz w:val="18"/>
                <w:szCs w:val="18"/>
              </w:rPr>
              <w:t>—</w:t>
            </w:r>
          </w:p>
        </w:tc>
        <w:tc>
          <w:tcPr>
            <w:tcW w:w="24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3122F0E" w14:textId="77777777" w:rsidR="00413A1F" w:rsidRDefault="00413A1F" w:rsidP="00413A1F">
            <w:pPr>
              <w:spacing w:line="180" w:lineRule="exact"/>
              <w:jc w:val="center"/>
            </w:pPr>
            <w:r w:rsidRPr="008E3C9E">
              <w:rPr>
                <w:sz w:val="18"/>
                <w:szCs w:val="18"/>
              </w:rPr>
              <w:t>—</w:t>
            </w:r>
          </w:p>
        </w:tc>
        <w:tc>
          <w:tcPr>
            <w:tcW w:w="194"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BA3D72B"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782777A"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32E2843"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CCB5AE0" w14:textId="77777777" w:rsidR="00413A1F" w:rsidRDefault="00413A1F" w:rsidP="00413A1F">
            <w:pPr>
              <w:spacing w:line="180" w:lineRule="exact"/>
              <w:jc w:val="center"/>
            </w:pPr>
            <w:r w:rsidRPr="008E3C9E">
              <w:rPr>
                <w:sz w:val="18"/>
                <w:szCs w:val="18"/>
              </w:rPr>
              <w:t>—</w:t>
            </w:r>
          </w:p>
        </w:tc>
        <w:tc>
          <w:tcPr>
            <w:tcW w:w="200"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069F041"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B32E640"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AB7E9CF"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C918BC1"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6AB57FC" w14:textId="77777777" w:rsidR="00413A1F" w:rsidRDefault="00413A1F" w:rsidP="00413A1F">
            <w:pPr>
              <w:spacing w:line="180" w:lineRule="exact"/>
              <w:jc w:val="right"/>
            </w:pPr>
            <w:r>
              <w:rPr>
                <w:sz w:val="20"/>
                <w:szCs w:val="20"/>
              </w:rPr>
              <w:t>0.18</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65B3578" w14:textId="77777777" w:rsidR="00413A1F" w:rsidRDefault="00413A1F" w:rsidP="00413A1F">
            <w:pPr>
              <w:spacing w:line="180" w:lineRule="exact"/>
              <w:jc w:val="right"/>
            </w:pPr>
            <w:r>
              <w:rPr>
                <w:sz w:val="20"/>
                <w:szCs w:val="20"/>
              </w:rPr>
              <w:t>2.68</w:t>
            </w:r>
          </w:p>
        </w:tc>
        <w:tc>
          <w:tcPr>
            <w:tcW w:w="201"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41EE4AD"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037C7DE" w14:textId="77777777" w:rsidR="00413A1F" w:rsidRDefault="00413A1F" w:rsidP="00413A1F">
            <w:pPr>
              <w:spacing w:line="180" w:lineRule="exact"/>
              <w:jc w:val="center"/>
            </w:pPr>
            <w:r w:rsidRPr="008E3C9E">
              <w:rPr>
                <w:sz w:val="18"/>
                <w:szCs w:val="18"/>
              </w:rPr>
              <w:t>—</w:t>
            </w:r>
          </w:p>
        </w:tc>
        <w:tc>
          <w:tcPr>
            <w:tcW w:w="206"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6FB75C6" w14:textId="77777777" w:rsidR="00413A1F" w:rsidRDefault="00413A1F" w:rsidP="00413A1F">
            <w:pPr>
              <w:spacing w:line="180" w:lineRule="exact"/>
              <w:jc w:val="center"/>
            </w:pPr>
            <w:r w:rsidRPr="008E3C9E">
              <w:rPr>
                <w:sz w:val="18"/>
                <w:szCs w:val="18"/>
              </w:rPr>
              <w:t>—</w:t>
            </w:r>
          </w:p>
        </w:tc>
        <w:tc>
          <w:tcPr>
            <w:tcW w:w="206"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7E21CE0" w14:textId="77777777" w:rsidR="00413A1F" w:rsidRDefault="00413A1F" w:rsidP="00413A1F">
            <w:pPr>
              <w:spacing w:line="180" w:lineRule="exact"/>
              <w:jc w:val="center"/>
            </w:pPr>
            <w:r w:rsidRPr="008E3C9E">
              <w:rPr>
                <w:sz w:val="18"/>
                <w:szCs w:val="18"/>
              </w:rPr>
              <w:t>—</w:t>
            </w:r>
          </w:p>
        </w:tc>
        <w:tc>
          <w:tcPr>
            <w:tcW w:w="207" w:type="pct"/>
            <w:gridSpan w:val="2"/>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87A7F17" w14:textId="77777777" w:rsidR="00413A1F" w:rsidRDefault="00413A1F" w:rsidP="00413A1F">
            <w:pPr>
              <w:spacing w:line="180" w:lineRule="exact"/>
              <w:jc w:val="center"/>
            </w:pPr>
            <w:r w:rsidRPr="008E3C9E">
              <w:rPr>
                <w:sz w:val="18"/>
                <w:szCs w:val="18"/>
              </w:rPr>
              <w:t>—</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E6A544B" w14:textId="77777777" w:rsidR="00413A1F" w:rsidRDefault="00413A1F" w:rsidP="00413A1F">
            <w:pPr>
              <w:spacing w:line="180" w:lineRule="exact"/>
              <w:jc w:val="center"/>
            </w:pPr>
            <w:r w:rsidRPr="008E3C9E">
              <w:rPr>
                <w:sz w:val="18"/>
                <w:szCs w:val="18"/>
              </w:rPr>
              <w:t>—</w:t>
            </w:r>
          </w:p>
        </w:tc>
      </w:tr>
      <w:tr w:rsidR="00413A1F" w14:paraId="715688E1" w14:textId="77777777" w:rsidTr="00AD46B2">
        <w:tc>
          <w:tcPr>
            <w:tcW w:w="834" w:type="pct"/>
            <w:gridSpan w:val="2"/>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570D4662" w14:textId="77777777" w:rsidR="00413A1F" w:rsidRDefault="00413A1F" w:rsidP="00413A1F">
            <w:pPr>
              <w:spacing w:line="180" w:lineRule="exact"/>
              <w:ind w:left="130"/>
            </w:pPr>
            <w:r>
              <w:rPr>
                <w:sz w:val="20"/>
                <w:szCs w:val="20"/>
              </w:rPr>
              <w:t>East North Central</w:t>
            </w:r>
          </w:p>
        </w:tc>
        <w:tc>
          <w:tcPr>
            <w:tcW w:w="200"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351FEC9"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BA82F0C"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E21CAE2" w14:textId="77777777" w:rsidR="00413A1F" w:rsidRDefault="00413A1F" w:rsidP="00413A1F">
            <w:pPr>
              <w:spacing w:line="180" w:lineRule="exact"/>
              <w:jc w:val="right"/>
            </w:pPr>
            <w:r>
              <w:rPr>
                <w:sz w:val="20"/>
                <w:szCs w:val="20"/>
              </w:rPr>
              <w:t>0.14</w:t>
            </w:r>
          </w:p>
        </w:tc>
        <w:tc>
          <w:tcPr>
            <w:tcW w:w="24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1710CC0" w14:textId="77777777" w:rsidR="00413A1F" w:rsidRDefault="00413A1F" w:rsidP="00413A1F">
            <w:pPr>
              <w:spacing w:line="180" w:lineRule="exact"/>
              <w:jc w:val="right"/>
            </w:pPr>
            <w:r>
              <w:rPr>
                <w:sz w:val="20"/>
                <w:szCs w:val="20"/>
              </w:rPr>
              <w:t>2.09</w:t>
            </w:r>
          </w:p>
        </w:tc>
        <w:tc>
          <w:tcPr>
            <w:tcW w:w="194"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9031AFC"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72F0B58"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2D2E1A0"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F266282" w14:textId="77777777" w:rsidR="00413A1F" w:rsidRDefault="00413A1F" w:rsidP="00413A1F">
            <w:pPr>
              <w:spacing w:line="180" w:lineRule="exact"/>
              <w:jc w:val="center"/>
            </w:pPr>
            <w:r w:rsidRPr="008E3C9E">
              <w:rPr>
                <w:sz w:val="18"/>
                <w:szCs w:val="18"/>
              </w:rPr>
              <w:t>—</w:t>
            </w:r>
          </w:p>
        </w:tc>
        <w:tc>
          <w:tcPr>
            <w:tcW w:w="200"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E9DF597"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CE35CAC"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96722E1"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4B1D6E6"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58E0221" w14:textId="77777777" w:rsidR="00413A1F" w:rsidRDefault="00413A1F" w:rsidP="00413A1F">
            <w:pPr>
              <w:spacing w:line="180" w:lineRule="exact"/>
              <w:jc w:val="right"/>
            </w:pPr>
            <w:r>
              <w:rPr>
                <w:sz w:val="20"/>
                <w:szCs w:val="20"/>
              </w:rPr>
              <w:t>0.16</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3F49E41" w14:textId="77777777" w:rsidR="00413A1F" w:rsidRDefault="00413A1F" w:rsidP="00413A1F">
            <w:pPr>
              <w:spacing w:line="180" w:lineRule="exact"/>
              <w:jc w:val="right"/>
            </w:pPr>
            <w:r>
              <w:rPr>
                <w:sz w:val="20"/>
                <w:szCs w:val="20"/>
              </w:rPr>
              <w:t>2.40</w:t>
            </w:r>
          </w:p>
        </w:tc>
        <w:tc>
          <w:tcPr>
            <w:tcW w:w="201"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A67FD9A"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278DC8E"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1B204BC" w14:textId="77777777" w:rsidR="00413A1F" w:rsidRDefault="00413A1F" w:rsidP="00413A1F">
            <w:pPr>
              <w:spacing w:line="180" w:lineRule="exact"/>
              <w:jc w:val="right"/>
            </w:pPr>
            <w:r>
              <w:rPr>
                <w:sz w:val="20"/>
                <w:szCs w:val="20"/>
              </w:rPr>
              <w:t>-0.23</w:t>
            </w:r>
          </w:p>
        </w:tc>
        <w:tc>
          <w:tcPr>
            <w:tcW w:w="206"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56C6F46" w14:textId="77777777" w:rsidR="00413A1F" w:rsidRDefault="00413A1F" w:rsidP="00413A1F">
            <w:pPr>
              <w:spacing w:line="180" w:lineRule="exact"/>
              <w:jc w:val="right"/>
            </w:pPr>
            <w:r>
              <w:rPr>
                <w:sz w:val="20"/>
                <w:szCs w:val="20"/>
              </w:rPr>
              <w:t>-3.21</w:t>
            </w:r>
          </w:p>
        </w:tc>
        <w:tc>
          <w:tcPr>
            <w:tcW w:w="207" w:type="pct"/>
            <w:gridSpan w:val="2"/>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BF59523"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7674F36" w14:textId="77777777" w:rsidR="00413A1F" w:rsidRDefault="00413A1F" w:rsidP="00413A1F">
            <w:pPr>
              <w:spacing w:line="180" w:lineRule="exact"/>
              <w:jc w:val="center"/>
            </w:pPr>
            <w:r w:rsidRPr="008E3C9E">
              <w:rPr>
                <w:sz w:val="18"/>
                <w:szCs w:val="18"/>
              </w:rPr>
              <w:t>—</w:t>
            </w:r>
          </w:p>
        </w:tc>
      </w:tr>
      <w:tr w:rsidR="00413A1F" w14:paraId="35374511" w14:textId="77777777" w:rsidTr="00AD46B2">
        <w:tc>
          <w:tcPr>
            <w:tcW w:w="834" w:type="pct"/>
            <w:gridSpan w:val="2"/>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1FCE1DC5" w14:textId="77777777" w:rsidR="00413A1F" w:rsidRDefault="00413A1F" w:rsidP="00413A1F">
            <w:pPr>
              <w:spacing w:line="180" w:lineRule="exact"/>
              <w:ind w:left="130"/>
            </w:pPr>
            <w:r>
              <w:rPr>
                <w:sz w:val="20"/>
                <w:szCs w:val="20"/>
              </w:rPr>
              <w:t>West North Central</w:t>
            </w:r>
          </w:p>
        </w:tc>
        <w:tc>
          <w:tcPr>
            <w:tcW w:w="200"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158D620"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081B4F03"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AB2E136" w14:textId="77777777" w:rsidR="00413A1F" w:rsidRDefault="00413A1F" w:rsidP="00413A1F">
            <w:pPr>
              <w:spacing w:line="180" w:lineRule="exact"/>
              <w:jc w:val="right"/>
            </w:pPr>
            <w:r>
              <w:rPr>
                <w:sz w:val="20"/>
                <w:szCs w:val="20"/>
              </w:rPr>
              <w:t>0.20</w:t>
            </w:r>
          </w:p>
        </w:tc>
        <w:tc>
          <w:tcPr>
            <w:tcW w:w="24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B769428" w14:textId="77777777" w:rsidR="00413A1F" w:rsidRDefault="00413A1F" w:rsidP="00413A1F">
            <w:pPr>
              <w:spacing w:line="180" w:lineRule="exact"/>
              <w:jc w:val="right"/>
            </w:pPr>
            <w:r>
              <w:rPr>
                <w:sz w:val="20"/>
                <w:szCs w:val="20"/>
              </w:rPr>
              <w:t>2.38</w:t>
            </w:r>
          </w:p>
        </w:tc>
        <w:tc>
          <w:tcPr>
            <w:tcW w:w="194"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F1E9D91"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48FB81E"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89714DE"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7084470" w14:textId="77777777" w:rsidR="00413A1F" w:rsidRDefault="00413A1F" w:rsidP="00413A1F">
            <w:pPr>
              <w:spacing w:line="180" w:lineRule="exact"/>
              <w:jc w:val="center"/>
            </w:pPr>
            <w:r w:rsidRPr="008E3C9E">
              <w:rPr>
                <w:sz w:val="18"/>
                <w:szCs w:val="18"/>
              </w:rPr>
              <w:t>—</w:t>
            </w:r>
          </w:p>
        </w:tc>
        <w:tc>
          <w:tcPr>
            <w:tcW w:w="200"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3367AF2"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C174BF0"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4C90E9B" w14:textId="77777777" w:rsidR="00413A1F" w:rsidRDefault="00413A1F" w:rsidP="00413A1F">
            <w:pPr>
              <w:spacing w:line="180" w:lineRule="exact"/>
              <w:jc w:val="right"/>
            </w:pPr>
            <w:r>
              <w:rPr>
                <w:sz w:val="20"/>
                <w:szCs w:val="20"/>
              </w:rPr>
              <w:t>0.16</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004210AD" w14:textId="77777777" w:rsidR="00413A1F" w:rsidRDefault="00413A1F" w:rsidP="00413A1F">
            <w:pPr>
              <w:spacing w:line="180" w:lineRule="exact"/>
              <w:jc w:val="right"/>
            </w:pPr>
            <w:r>
              <w:rPr>
                <w:sz w:val="20"/>
                <w:szCs w:val="20"/>
              </w:rPr>
              <w:t>2.02</w:t>
            </w:r>
          </w:p>
        </w:tc>
        <w:tc>
          <w:tcPr>
            <w:tcW w:w="201"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1867174"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DBB0FE3"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C5D47C7"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19760F5"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76F4B4D"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3A8C0F0" w14:textId="77777777" w:rsidR="00413A1F" w:rsidRDefault="00413A1F" w:rsidP="00413A1F">
            <w:pPr>
              <w:spacing w:line="180" w:lineRule="exact"/>
              <w:jc w:val="center"/>
            </w:pPr>
            <w:r w:rsidRPr="008E3C9E">
              <w:rPr>
                <w:sz w:val="18"/>
                <w:szCs w:val="18"/>
              </w:rPr>
              <w:t>—</w:t>
            </w:r>
          </w:p>
        </w:tc>
        <w:tc>
          <w:tcPr>
            <w:tcW w:w="207" w:type="pct"/>
            <w:gridSpan w:val="2"/>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BFE6351"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9351A1A" w14:textId="77777777" w:rsidR="00413A1F" w:rsidRDefault="00413A1F" w:rsidP="00413A1F">
            <w:pPr>
              <w:spacing w:line="180" w:lineRule="exact"/>
              <w:jc w:val="center"/>
            </w:pPr>
            <w:r w:rsidRPr="008E3C9E">
              <w:rPr>
                <w:sz w:val="18"/>
                <w:szCs w:val="18"/>
              </w:rPr>
              <w:t>—</w:t>
            </w:r>
          </w:p>
        </w:tc>
      </w:tr>
      <w:tr w:rsidR="00413A1F" w14:paraId="7347B6E7" w14:textId="77777777" w:rsidTr="00AD46B2">
        <w:tc>
          <w:tcPr>
            <w:tcW w:w="834" w:type="pct"/>
            <w:gridSpan w:val="2"/>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24616D0D" w14:textId="77777777" w:rsidR="00413A1F" w:rsidRDefault="00413A1F" w:rsidP="00413A1F">
            <w:pPr>
              <w:spacing w:line="180" w:lineRule="exact"/>
              <w:ind w:left="130"/>
            </w:pPr>
            <w:r>
              <w:rPr>
                <w:sz w:val="20"/>
                <w:szCs w:val="20"/>
              </w:rPr>
              <w:t>East South Central</w:t>
            </w:r>
          </w:p>
        </w:tc>
        <w:tc>
          <w:tcPr>
            <w:tcW w:w="200"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8A15753"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709FEF8E"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2B603B6" w14:textId="77777777" w:rsidR="00413A1F" w:rsidRDefault="00413A1F" w:rsidP="00413A1F">
            <w:pPr>
              <w:spacing w:line="180" w:lineRule="exact"/>
              <w:jc w:val="center"/>
            </w:pPr>
            <w:r w:rsidRPr="008E3C9E">
              <w:rPr>
                <w:sz w:val="18"/>
                <w:szCs w:val="18"/>
              </w:rPr>
              <w:t>—</w:t>
            </w:r>
          </w:p>
        </w:tc>
        <w:tc>
          <w:tcPr>
            <w:tcW w:w="24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BB930F6" w14:textId="77777777" w:rsidR="00413A1F" w:rsidRDefault="00413A1F" w:rsidP="00413A1F">
            <w:pPr>
              <w:spacing w:line="180" w:lineRule="exact"/>
              <w:jc w:val="center"/>
            </w:pPr>
            <w:r w:rsidRPr="008E3C9E">
              <w:rPr>
                <w:sz w:val="18"/>
                <w:szCs w:val="18"/>
              </w:rPr>
              <w:t>—</w:t>
            </w:r>
          </w:p>
        </w:tc>
        <w:tc>
          <w:tcPr>
            <w:tcW w:w="194"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A983105"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B9D7CFB"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3D0A62B" w14:textId="77777777" w:rsidR="00413A1F" w:rsidRDefault="00413A1F" w:rsidP="00413A1F">
            <w:pPr>
              <w:spacing w:line="180" w:lineRule="exact"/>
              <w:jc w:val="right"/>
            </w:pPr>
            <w:r>
              <w:rPr>
                <w:sz w:val="20"/>
                <w:szCs w:val="20"/>
              </w:rPr>
              <w:t>0.25</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6837233" w14:textId="77777777" w:rsidR="00413A1F" w:rsidRDefault="00413A1F" w:rsidP="00413A1F">
            <w:pPr>
              <w:spacing w:line="180" w:lineRule="exact"/>
              <w:jc w:val="right"/>
            </w:pPr>
            <w:r>
              <w:rPr>
                <w:sz w:val="20"/>
                <w:szCs w:val="20"/>
              </w:rPr>
              <w:t>1.84</w:t>
            </w:r>
          </w:p>
        </w:tc>
        <w:tc>
          <w:tcPr>
            <w:tcW w:w="200"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BC0D94E"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05D69D0"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AB140A8"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0D0A3CAF"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CC6BC45"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F3193D5"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C013A61"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6297993"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029CA2D"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E3E0F04" w14:textId="77777777" w:rsidR="00413A1F" w:rsidRDefault="00413A1F" w:rsidP="00413A1F">
            <w:pPr>
              <w:spacing w:line="180" w:lineRule="exact"/>
              <w:jc w:val="center"/>
            </w:pPr>
            <w:r w:rsidRPr="008E3C9E">
              <w:rPr>
                <w:sz w:val="18"/>
                <w:szCs w:val="18"/>
              </w:rPr>
              <w:t>—</w:t>
            </w:r>
          </w:p>
        </w:tc>
        <w:tc>
          <w:tcPr>
            <w:tcW w:w="207" w:type="pct"/>
            <w:gridSpan w:val="2"/>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DD2F128"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007A6A2B" w14:textId="77777777" w:rsidR="00413A1F" w:rsidRDefault="00413A1F" w:rsidP="00413A1F">
            <w:pPr>
              <w:spacing w:line="180" w:lineRule="exact"/>
              <w:jc w:val="center"/>
            </w:pPr>
            <w:r w:rsidRPr="008E3C9E">
              <w:rPr>
                <w:sz w:val="18"/>
                <w:szCs w:val="18"/>
              </w:rPr>
              <w:t>—</w:t>
            </w:r>
          </w:p>
        </w:tc>
      </w:tr>
      <w:tr w:rsidR="00413A1F" w14:paraId="3B536FC4" w14:textId="77777777" w:rsidTr="00AD46B2">
        <w:tc>
          <w:tcPr>
            <w:tcW w:w="834" w:type="pct"/>
            <w:gridSpan w:val="2"/>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2140C078" w14:textId="77777777" w:rsidR="00413A1F" w:rsidRDefault="00413A1F" w:rsidP="00413A1F">
            <w:pPr>
              <w:spacing w:line="180" w:lineRule="exact"/>
              <w:ind w:left="130"/>
            </w:pPr>
            <w:r>
              <w:rPr>
                <w:sz w:val="20"/>
                <w:szCs w:val="20"/>
              </w:rPr>
              <w:t>West South Central</w:t>
            </w:r>
          </w:p>
        </w:tc>
        <w:tc>
          <w:tcPr>
            <w:tcW w:w="200"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C24870C"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05DADD4"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4E26906" w14:textId="77777777" w:rsidR="00413A1F" w:rsidRDefault="00413A1F" w:rsidP="00413A1F">
            <w:pPr>
              <w:spacing w:line="180" w:lineRule="exact"/>
              <w:jc w:val="right"/>
            </w:pPr>
            <w:r>
              <w:rPr>
                <w:sz w:val="20"/>
                <w:szCs w:val="20"/>
              </w:rPr>
              <w:t>0.16</w:t>
            </w:r>
          </w:p>
        </w:tc>
        <w:tc>
          <w:tcPr>
            <w:tcW w:w="24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CE3B7D6" w14:textId="77777777" w:rsidR="00413A1F" w:rsidRDefault="00413A1F" w:rsidP="00413A1F">
            <w:pPr>
              <w:spacing w:line="180" w:lineRule="exact"/>
              <w:jc w:val="right"/>
            </w:pPr>
            <w:r>
              <w:rPr>
                <w:sz w:val="20"/>
                <w:szCs w:val="20"/>
              </w:rPr>
              <w:t>2.35</w:t>
            </w:r>
          </w:p>
        </w:tc>
        <w:tc>
          <w:tcPr>
            <w:tcW w:w="194"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7107078"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CB7A2BB"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BEAB26F" w14:textId="77777777" w:rsidR="00413A1F" w:rsidRDefault="00413A1F" w:rsidP="00413A1F">
            <w:pPr>
              <w:spacing w:line="180" w:lineRule="exact"/>
              <w:jc w:val="right"/>
            </w:pPr>
            <w:r>
              <w:rPr>
                <w:sz w:val="20"/>
                <w:szCs w:val="20"/>
              </w:rPr>
              <w:t>0.19</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5CBFF47" w14:textId="77777777" w:rsidR="00413A1F" w:rsidRDefault="00413A1F" w:rsidP="00413A1F">
            <w:pPr>
              <w:spacing w:line="180" w:lineRule="exact"/>
              <w:jc w:val="right"/>
            </w:pPr>
            <w:r>
              <w:rPr>
                <w:sz w:val="20"/>
                <w:szCs w:val="20"/>
              </w:rPr>
              <w:t>1.96</w:t>
            </w:r>
          </w:p>
        </w:tc>
        <w:tc>
          <w:tcPr>
            <w:tcW w:w="200"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E0D0E0D"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5E0D898"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DE2312E" w14:textId="77777777" w:rsidR="00413A1F" w:rsidRDefault="00413A1F" w:rsidP="00413A1F">
            <w:pPr>
              <w:spacing w:line="180" w:lineRule="exact"/>
              <w:jc w:val="right"/>
            </w:pPr>
            <w:r>
              <w:rPr>
                <w:sz w:val="20"/>
                <w:szCs w:val="20"/>
              </w:rPr>
              <w:t>0.15</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985BC7A" w14:textId="77777777" w:rsidR="00413A1F" w:rsidRDefault="00413A1F" w:rsidP="00413A1F">
            <w:pPr>
              <w:spacing w:line="180" w:lineRule="exact"/>
              <w:jc w:val="right"/>
            </w:pPr>
            <w:r>
              <w:rPr>
                <w:sz w:val="20"/>
                <w:szCs w:val="20"/>
              </w:rPr>
              <w:t>2.56</w:t>
            </w:r>
          </w:p>
        </w:tc>
        <w:tc>
          <w:tcPr>
            <w:tcW w:w="201"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A9C7D72" w14:textId="77777777" w:rsidR="00413A1F" w:rsidRDefault="00413A1F" w:rsidP="00413A1F">
            <w:pPr>
              <w:spacing w:line="180" w:lineRule="exact"/>
              <w:jc w:val="right"/>
            </w:pPr>
            <w:r>
              <w:rPr>
                <w:sz w:val="20"/>
                <w:szCs w:val="20"/>
              </w:rPr>
              <w:t>0.19</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085522E" w14:textId="77777777" w:rsidR="00413A1F" w:rsidRDefault="00413A1F" w:rsidP="00413A1F">
            <w:pPr>
              <w:spacing w:line="180" w:lineRule="exact"/>
              <w:jc w:val="right"/>
            </w:pPr>
            <w:r>
              <w:rPr>
                <w:sz w:val="20"/>
                <w:szCs w:val="20"/>
              </w:rPr>
              <w:t>2.86</w:t>
            </w:r>
          </w:p>
        </w:tc>
        <w:tc>
          <w:tcPr>
            <w:tcW w:w="201"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5AEB1C3"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9E653D7"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42B3C50"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9B5C7C4" w14:textId="77777777" w:rsidR="00413A1F" w:rsidRDefault="00413A1F" w:rsidP="00413A1F">
            <w:pPr>
              <w:spacing w:line="180" w:lineRule="exact"/>
              <w:jc w:val="center"/>
            </w:pPr>
            <w:r w:rsidRPr="008E3C9E">
              <w:rPr>
                <w:sz w:val="18"/>
                <w:szCs w:val="18"/>
              </w:rPr>
              <w:t>—</w:t>
            </w:r>
          </w:p>
        </w:tc>
        <w:tc>
          <w:tcPr>
            <w:tcW w:w="207" w:type="pct"/>
            <w:gridSpan w:val="2"/>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DBD8A0A"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B656153" w14:textId="77777777" w:rsidR="00413A1F" w:rsidRDefault="00413A1F" w:rsidP="00413A1F">
            <w:pPr>
              <w:spacing w:line="180" w:lineRule="exact"/>
              <w:jc w:val="center"/>
            </w:pPr>
            <w:r w:rsidRPr="008E3C9E">
              <w:rPr>
                <w:sz w:val="18"/>
                <w:szCs w:val="18"/>
              </w:rPr>
              <w:t>—</w:t>
            </w:r>
          </w:p>
        </w:tc>
      </w:tr>
      <w:tr w:rsidR="00413A1F" w14:paraId="0EE455B7" w14:textId="77777777" w:rsidTr="00AD46B2">
        <w:tc>
          <w:tcPr>
            <w:tcW w:w="834" w:type="pct"/>
            <w:gridSpan w:val="2"/>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0AF3780A" w14:textId="77777777" w:rsidR="00413A1F" w:rsidRDefault="00413A1F" w:rsidP="00413A1F">
            <w:pPr>
              <w:spacing w:line="180" w:lineRule="exact"/>
              <w:ind w:left="130"/>
            </w:pPr>
            <w:r>
              <w:rPr>
                <w:sz w:val="20"/>
                <w:szCs w:val="20"/>
              </w:rPr>
              <w:t>South Atlantic</w:t>
            </w:r>
          </w:p>
        </w:tc>
        <w:tc>
          <w:tcPr>
            <w:tcW w:w="200"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950D633"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D362FB3"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2D0E9AD" w14:textId="77777777" w:rsidR="00413A1F" w:rsidRDefault="00413A1F" w:rsidP="00413A1F">
            <w:pPr>
              <w:spacing w:line="180" w:lineRule="exact"/>
              <w:jc w:val="right"/>
            </w:pPr>
            <w:r>
              <w:rPr>
                <w:sz w:val="20"/>
                <w:szCs w:val="20"/>
              </w:rPr>
              <w:t>0.10</w:t>
            </w:r>
          </w:p>
        </w:tc>
        <w:tc>
          <w:tcPr>
            <w:tcW w:w="24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3A1713C" w14:textId="77777777" w:rsidR="00413A1F" w:rsidRDefault="00413A1F" w:rsidP="00413A1F">
            <w:pPr>
              <w:spacing w:line="180" w:lineRule="exact"/>
              <w:jc w:val="right"/>
            </w:pPr>
            <w:r>
              <w:rPr>
                <w:sz w:val="20"/>
                <w:szCs w:val="20"/>
              </w:rPr>
              <w:t>1.66</w:t>
            </w:r>
          </w:p>
        </w:tc>
        <w:tc>
          <w:tcPr>
            <w:tcW w:w="194"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381C70A"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4BDA5F9"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A95050A"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1EF4AB0" w14:textId="77777777" w:rsidR="00413A1F" w:rsidRDefault="00413A1F" w:rsidP="00413A1F">
            <w:pPr>
              <w:spacing w:line="180" w:lineRule="exact"/>
              <w:jc w:val="center"/>
            </w:pPr>
            <w:r w:rsidRPr="008E3C9E">
              <w:rPr>
                <w:sz w:val="18"/>
                <w:szCs w:val="18"/>
              </w:rPr>
              <w:t>—</w:t>
            </w:r>
          </w:p>
        </w:tc>
        <w:tc>
          <w:tcPr>
            <w:tcW w:w="200"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4113E06"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48517DD"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0F14F28"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4766B26"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DF984CC"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5868407A"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27E7544"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8658F97"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B425E30"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C24121C" w14:textId="77777777" w:rsidR="00413A1F" w:rsidRDefault="00413A1F" w:rsidP="00413A1F">
            <w:pPr>
              <w:spacing w:line="180" w:lineRule="exact"/>
              <w:jc w:val="center"/>
            </w:pPr>
            <w:r w:rsidRPr="008E3C9E">
              <w:rPr>
                <w:sz w:val="18"/>
                <w:szCs w:val="18"/>
              </w:rPr>
              <w:t>—</w:t>
            </w:r>
          </w:p>
        </w:tc>
        <w:tc>
          <w:tcPr>
            <w:tcW w:w="207" w:type="pct"/>
            <w:gridSpan w:val="2"/>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ED77843"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B2D961B" w14:textId="77777777" w:rsidR="00413A1F" w:rsidRDefault="00413A1F" w:rsidP="00413A1F">
            <w:pPr>
              <w:spacing w:line="180" w:lineRule="exact"/>
              <w:jc w:val="center"/>
            </w:pPr>
            <w:r w:rsidRPr="008E3C9E">
              <w:rPr>
                <w:sz w:val="18"/>
                <w:szCs w:val="18"/>
              </w:rPr>
              <w:t>—</w:t>
            </w:r>
          </w:p>
        </w:tc>
      </w:tr>
      <w:tr w:rsidR="00413A1F" w14:paraId="022EC347" w14:textId="77777777" w:rsidTr="00AD46B2">
        <w:tc>
          <w:tcPr>
            <w:tcW w:w="834" w:type="pct"/>
            <w:gridSpan w:val="2"/>
            <w:tcBorders>
              <w:top w:val="single" w:sz="4" w:space="0" w:color="FFFFFF" w:themeColor="background1"/>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68B90107" w14:textId="77777777" w:rsidR="00413A1F" w:rsidRDefault="00413A1F" w:rsidP="00413A1F">
            <w:pPr>
              <w:spacing w:line="180" w:lineRule="exact"/>
              <w:ind w:left="130"/>
            </w:pPr>
            <w:r>
              <w:rPr>
                <w:sz w:val="20"/>
                <w:szCs w:val="20"/>
              </w:rPr>
              <w:t>Mountain</w:t>
            </w:r>
          </w:p>
        </w:tc>
        <w:tc>
          <w:tcPr>
            <w:tcW w:w="200"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C69688D"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2DC9821"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3C4F897" w14:textId="77777777" w:rsidR="00413A1F" w:rsidRDefault="00413A1F" w:rsidP="00413A1F">
            <w:pPr>
              <w:spacing w:line="180" w:lineRule="exact"/>
              <w:jc w:val="right"/>
            </w:pPr>
            <w:r>
              <w:rPr>
                <w:sz w:val="20"/>
                <w:szCs w:val="20"/>
              </w:rPr>
              <w:t>0.33</w:t>
            </w:r>
          </w:p>
        </w:tc>
        <w:tc>
          <w:tcPr>
            <w:tcW w:w="24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6818117" w14:textId="77777777" w:rsidR="00413A1F" w:rsidRDefault="00413A1F" w:rsidP="00413A1F">
            <w:pPr>
              <w:spacing w:line="180" w:lineRule="exact"/>
              <w:jc w:val="right"/>
            </w:pPr>
            <w:r>
              <w:rPr>
                <w:sz w:val="20"/>
                <w:szCs w:val="20"/>
              </w:rPr>
              <w:t>4.06</w:t>
            </w:r>
          </w:p>
        </w:tc>
        <w:tc>
          <w:tcPr>
            <w:tcW w:w="194"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14206BA"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D08F053"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AF8896E"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BBCFC60" w14:textId="77777777" w:rsidR="00413A1F" w:rsidRDefault="00413A1F" w:rsidP="00413A1F">
            <w:pPr>
              <w:spacing w:line="180" w:lineRule="exact"/>
              <w:jc w:val="center"/>
            </w:pPr>
            <w:r w:rsidRPr="008E3C9E">
              <w:rPr>
                <w:sz w:val="18"/>
                <w:szCs w:val="18"/>
              </w:rPr>
              <w:t>—</w:t>
            </w:r>
          </w:p>
        </w:tc>
        <w:tc>
          <w:tcPr>
            <w:tcW w:w="200"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C2AF0A7"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65F0139"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5BEB747" w14:textId="77777777" w:rsidR="00413A1F" w:rsidRDefault="00413A1F" w:rsidP="00413A1F">
            <w:pPr>
              <w:spacing w:line="180" w:lineRule="exact"/>
              <w:jc w:val="right"/>
            </w:pPr>
            <w:r>
              <w:rPr>
                <w:sz w:val="20"/>
                <w:szCs w:val="20"/>
              </w:rPr>
              <w:t>0.21</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08A1B40" w14:textId="77777777" w:rsidR="00413A1F" w:rsidRDefault="00413A1F" w:rsidP="00413A1F">
            <w:pPr>
              <w:spacing w:line="180" w:lineRule="exact"/>
              <w:jc w:val="right"/>
            </w:pPr>
            <w:r>
              <w:rPr>
                <w:sz w:val="20"/>
                <w:szCs w:val="20"/>
              </w:rPr>
              <w:t>2.95</w:t>
            </w:r>
          </w:p>
        </w:tc>
        <w:tc>
          <w:tcPr>
            <w:tcW w:w="201"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D4434DA" w14:textId="77777777" w:rsidR="00413A1F" w:rsidRDefault="00413A1F" w:rsidP="00413A1F">
            <w:pPr>
              <w:spacing w:line="180" w:lineRule="exact"/>
              <w:jc w:val="right"/>
            </w:pPr>
            <w:r>
              <w:rPr>
                <w:sz w:val="20"/>
                <w:szCs w:val="20"/>
              </w:rPr>
              <w:t>0.23</w:t>
            </w:r>
          </w:p>
        </w:tc>
        <w:tc>
          <w:tcPr>
            <w:tcW w:w="202"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CAC576C" w14:textId="77777777" w:rsidR="00413A1F" w:rsidRDefault="00413A1F" w:rsidP="00413A1F">
            <w:pPr>
              <w:spacing w:line="180" w:lineRule="exact"/>
              <w:jc w:val="right"/>
            </w:pPr>
            <w:r>
              <w:rPr>
                <w:sz w:val="20"/>
                <w:szCs w:val="20"/>
              </w:rPr>
              <w:t>2.74</w:t>
            </w:r>
          </w:p>
        </w:tc>
        <w:tc>
          <w:tcPr>
            <w:tcW w:w="201" w:type="pct"/>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AA2CE54"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52D275B5"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EFA9112"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D9C4418" w14:textId="77777777" w:rsidR="00413A1F" w:rsidRDefault="00413A1F" w:rsidP="00413A1F">
            <w:pPr>
              <w:spacing w:line="180" w:lineRule="exact"/>
              <w:jc w:val="center"/>
            </w:pPr>
            <w:r w:rsidRPr="008E3C9E">
              <w:rPr>
                <w:sz w:val="18"/>
                <w:szCs w:val="18"/>
              </w:rPr>
              <w:t>—</w:t>
            </w:r>
          </w:p>
        </w:tc>
        <w:tc>
          <w:tcPr>
            <w:tcW w:w="207" w:type="pct"/>
            <w:gridSpan w:val="2"/>
            <w:tcBorders>
              <w:top w:val="single" w:sz="4" w:space="0" w:color="FFFFFF" w:themeColor="background1"/>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EED1D92"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39941D24" w14:textId="77777777" w:rsidR="00413A1F" w:rsidRDefault="00413A1F" w:rsidP="00413A1F">
            <w:pPr>
              <w:spacing w:line="180" w:lineRule="exact"/>
              <w:jc w:val="center"/>
            </w:pPr>
            <w:r w:rsidRPr="008E3C9E">
              <w:rPr>
                <w:sz w:val="18"/>
                <w:szCs w:val="18"/>
              </w:rPr>
              <w:t>—</w:t>
            </w:r>
          </w:p>
        </w:tc>
      </w:tr>
      <w:tr w:rsidR="00413A1F" w14:paraId="301D06E8" w14:textId="77777777" w:rsidTr="00AD46B2">
        <w:tc>
          <w:tcPr>
            <w:tcW w:w="834" w:type="pct"/>
            <w:gridSpan w:val="2"/>
            <w:tcBorders>
              <w:top w:val="single" w:sz="4" w:space="0" w:color="FFFFFF" w:themeColor="background1"/>
              <w:left w:val="single" w:sz="18" w:space="0" w:color="auto"/>
              <w:bottom w:val="double" w:sz="4" w:space="0" w:color="auto"/>
              <w:right w:val="single" w:sz="18" w:space="0" w:color="auto"/>
            </w:tcBorders>
            <w:tcMar>
              <w:top w:w="12" w:type="dxa"/>
              <w:left w:w="25" w:type="dxa"/>
              <w:bottom w:w="12" w:type="dxa"/>
              <w:right w:w="25" w:type="dxa"/>
            </w:tcMar>
            <w:vAlign w:val="center"/>
          </w:tcPr>
          <w:p w14:paraId="57061C0F" w14:textId="77777777" w:rsidR="00413A1F" w:rsidRDefault="00413A1F" w:rsidP="00413A1F">
            <w:pPr>
              <w:spacing w:line="180" w:lineRule="exact"/>
              <w:ind w:left="130"/>
            </w:pPr>
            <w:r>
              <w:rPr>
                <w:sz w:val="20"/>
                <w:szCs w:val="20"/>
              </w:rPr>
              <w:t>Pacific</w:t>
            </w:r>
          </w:p>
        </w:tc>
        <w:tc>
          <w:tcPr>
            <w:tcW w:w="200"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206F5E2B"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6B7C659E"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1E5361FA" w14:textId="77777777" w:rsidR="00413A1F" w:rsidRDefault="00413A1F" w:rsidP="00413A1F">
            <w:pPr>
              <w:spacing w:line="180" w:lineRule="exact"/>
              <w:jc w:val="right"/>
            </w:pPr>
            <w:r>
              <w:rPr>
                <w:sz w:val="20"/>
                <w:szCs w:val="20"/>
              </w:rPr>
              <w:t>0.22</w:t>
            </w:r>
          </w:p>
        </w:tc>
        <w:tc>
          <w:tcPr>
            <w:tcW w:w="245"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7FE265CB" w14:textId="77777777" w:rsidR="00413A1F" w:rsidRDefault="00413A1F" w:rsidP="00413A1F">
            <w:pPr>
              <w:spacing w:line="180" w:lineRule="exact"/>
              <w:jc w:val="right"/>
            </w:pPr>
            <w:r>
              <w:rPr>
                <w:sz w:val="20"/>
                <w:szCs w:val="20"/>
              </w:rPr>
              <w:t>3.37</w:t>
            </w:r>
          </w:p>
        </w:tc>
        <w:tc>
          <w:tcPr>
            <w:tcW w:w="194"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2B6822DF"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550E7DE2"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28001BC6"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27363826" w14:textId="77777777" w:rsidR="00413A1F" w:rsidRDefault="00413A1F" w:rsidP="00413A1F">
            <w:pPr>
              <w:spacing w:line="180" w:lineRule="exact"/>
              <w:jc w:val="center"/>
            </w:pPr>
            <w:r w:rsidRPr="008E3C9E">
              <w:rPr>
                <w:sz w:val="18"/>
                <w:szCs w:val="18"/>
              </w:rPr>
              <w:t>—</w:t>
            </w:r>
          </w:p>
        </w:tc>
        <w:tc>
          <w:tcPr>
            <w:tcW w:w="200"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6614CCA4"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46FB8A51"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3AF61DFE"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0EE96794"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2B374520" w14:textId="77777777" w:rsidR="00413A1F" w:rsidRDefault="00413A1F" w:rsidP="00413A1F">
            <w:pPr>
              <w:spacing w:line="180" w:lineRule="exact"/>
              <w:jc w:val="right"/>
            </w:pPr>
            <w:r>
              <w:rPr>
                <w:sz w:val="20"/>
                <w:szCs w:val="20"/>
              </w:rPr>
              <w:t>0.19</w:t>
            </w:r>
          </w:p>
        </w:tc>
        <w:tc>
          <w:tcPr>
            <w:tcW w:w="202"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0263A47C" w14:textId="77777777" w:rsidR="00413A1F" w:rsidRDefault="00413A1F" w:rsidP="00413A1F">
            <w:pPr>
              <w:spacing w:line="180" w:lineRule="exact"/>
              <w:jc w:val="right"/>
            </w:pPr>
            <w:r>
              <w:rPr>
                <w:sz w:val="20"/>
                <w:szCs w:val="20"/>
              </w:rPr>
              <w:t>2.93</w:t>
            </w:r>
          </w:p>
        </w:tc>
        <w:tc>
          <w:tcPr>
            <w:tcW w:w="201"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43A9E3F1" w14:textId="77777777" w:rsidR="00413A1F" w:rsidRDefault="00413A1F" w:rsidP="00413A1F">
            <w:pPr>
              <w:spacing w:line="180" w:lineRule="exact"/>
              <w:jc w:val="right"/>
            </w:pPr>
            <w:r>
              <w:rPr>
                <w:sz w:val="20"/>
                <w:szCs w:val="20"/>
              </w:rPr>
              <w:t>0.21</w:t>
            </w:r>
          </w:p>
        </w:tc>
        <w:tc>
          <w:tcPr>
            <w:tcW w:w="202" w:type="pct"/>
            <w:tcBorders>
              <w:top w:val="single" w:sz="4" w:space="0" w:color="FFFFFF" w:themeColor="background1"/>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679A658C" w14:textId="77777777" w:rsidR="00413A1F" w:rsidRDefault="00413A1F" w:rsidP="00413A1F">
            <w:pPr>
              <w:spacing w:line="180" w:lineRule="exact"/>
              <w:jc w:val="right"/>
            </w:pPr>
            <w:r>
              <w:rPr>
                <w:sz w:val="20"/>
                <w:szCs w:val="20"/>
              </w:rPr>
              <w:t>2.66</w:t>
            </w:r>
          </w:p>
        </w:tc>
        <w:tc>
          <w:tcPr>
            <w:tcW w:w="206"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2936AA44" w14:textId="77777777" w:rsidR="00413A1F" w:rsidRDefault="00413A1F" w:rsidP="00413A1F">
            <w:pPr>
              <w:spacing w:line="180" w:lineRule="exact"/>
              <w:jc w:val="right"/>
            </w:pPr>
            <w:r>
              <w:rPr>
                <w:sz w:val="20"/>
                <w:szCs w:val="20"/>
              </w:rPr>
              <w:t>-0.21</w:t>
            </w:r>
          </w:p>
        </w:tc>
        <w:tc>
          <w:tcPr>
            <w:tcW w:w="206"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312EB697" w14:textId="77777777" w:rsidR="00413A1F" w:rsidRDefault="00413A1F" w:rsidP="00413A1F">
            <w:pPr>
              <w:spacing w:line="180" w:lineRule="exact"/>
              <w:jc w:val="right"/>
            </w:pPr>
            <w:r>
              <w:rPr>
                <w:sz w:val="20"/>
                <w:szCs w:val="20"/>
              </w:rPr>
              <w:t>-2.60</w:t>
            </w:r>
          </w:p>
        </w:tc>
        <w:tc>
          <w:tcPr>
            <w:tcW w:w="207" w:type="pct"/>
            <w:gridSpan w:val="2"/>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681F880F"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1CB3930C" w14:textId="77777777" w:rsidR="00413A1F" w:rsidRDefault="00413A1F" w:rsidP="00413A1F">
            <w:pPr>
              <w:spacing w:line="180" w:lineRule="exact"/>
              <w:jc w:val="center"/>
            </w:pPr>
            <w:r w:rsidRPr="008E3C9E">
              <w:rPr>
                <w:sz w:val="18"/>
                <w:szCs w:val="18"/>
              </w:rPr>
              <w:t>—</w:t>
            </w:r>
          </w:p>
        </w:tc>
      </w:tr>
      <w:tr w:rsidR="00413A1F" w14:paraId="3854D21A" w14:textId="77777777" w:rsidTr="00154678">
        <w:tc>
          <w:tcPr>
            <w:tcW w:w="5000" w:type="pct"/>
            <w:gridSpan w:val="24"/>
            <w:tcBorders>
              <w:top w:val="double" w:sz="4" w:space="0" w:color="auto"/>
              <w:left w:val="single" w:sz="18" w:space="0" w:color="auto"/>
              <w:bottom w:val="single" w:sz="8" w:space="0" w:color="auto"/>
              <w:right w:val="single" w:sz="18" w:space="0" w:color="auto"/>
            </w:tcBorders>
            <w:tcMar>
              <w:top w:w="12" w:type="dxa"/>
              <w:left w:w="25" w:type="dxa"/>
              <w:bottom w:w="12" w:type="dxa"/>
              <w:right w:w="25" w:type="dxa"/>
            </w:tcMar>
            <w:vAlign w:val="center"/>
          </w:tcPr>
          <w:p w14:paraId="649EBA10" w14:textId="77777777" w:rsidR="00413A1F" w:rsidRPr="009E2251" w:rsidRDefault="00413A1F" w:rsidP="00413A1F">
            <w:pPr>
              <w:spacing w:line="180" w:lineRule="exact"/>
              <w:rPr>
                <w:sz w:val="20"/>
                <w:szCs w:val="20"/>
              </w:rPr>
            </w:pPr>
            <w:r>
              <w:rPr>
                <w:sz w:val="20"/>
                <w:szCs w:val="20"/>
              </w:rPr>
              <w:t>Vehicle-ownership rates in respondent’s zip code</w:t>
            </w:r>
          </w:p>
        </w:tc>
      </w:tr>
      <w:tr w:rsidR="00413A1F" w14:paraId="016134D1" w14:textId="77777777" w:rsidTr="00AD46B2">
        <w:tc>
          <w:tcPr>
            <w:tcW w:w="834" w:type="pct"/>
            <w:gridSpan w:val="2"/>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290D0491" w14:textId="77777777" w:rsidR="00413A1F" w:rsidRDefault="00413A1F" w:rsidP="00413A1F">
            <w:pPr>
              <w:spacing w:line="180" w:lineRule="exact"/>
            </w:pPr>
            <w:r>
              <w:rPr>
                <w:sz w:val="20"/>
                <w:szCs w:val="20"/>
              </w:rPr>
              <w:t xml:space="preserve">  No-vehicle homes</w:t>
            </w:r>
          </w:p>
        </w:tc>
        <w:tc>
          <w:tcPr>
            <w:tcW w:w="200"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374EF56" w14:textId="77777777" w:rsidR="00413A1F" w:rsidRDefault="00413A1F" w:rsidP="00413A1F">
            <w:pPr>
              <w:spacing w:line="180" w:lineRule="exact"/>
              <w:jc w:val="right"/>
            </w:pPr>
            <w:r>
              <w:rPr>
                <w:sz w:val="20"/>
                <w:szCs w:val="20"/>
              </w:rPr>
              <w:t>1.02</w:t>
            </w:r>
          </w:p>
        </w:tc>
        <w:tc>
          <w:tcPr>
            <w:tcW w:w="235" w:type="pct"/>
            <w:gridSpan w:val="2"/>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80EAD14" w14:textId="77777777" w:rsidR="00413A1F" w:rsidRDefault="00413A1F" w:rsidP="00413A1F">
            <w:pPr>
              <w:spacing w:line="180" w:lineRule="exact"/>
              <w:jc w:val="right"/>
            </w:pPr>
            <w:r>
              <w:rPr>
                <w:sz w:val="20"/>
                <w:szCs w:val="20"/>
              </w:rPr>
              <w:t>8.19</w:t>
            </w:r>
          </w:p>
        </w:tc>
        <w:tc>
          <w:tcPr>
            <w:tcW w:w="213"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612B568" w14:textId="77777777" w:rsidR="00413A1F" w:rsidRDefault="00413A1F" w:rsidP="00413A1F">
            <w:pPr>
              <w:spacing w:line="180" w:lineRule="exact"/>
              <w:jc w:val="center"/>
            </w:pPr>
            <w:r w:rsidRPr="008E3C9E">
              <w:rPr>
                <w:sz w:val="18"/>
                <w:szCs w:val="18"/>
              </w:rPr>
              <w:t>—</w:t>
            </w:r>
          </w:p>
        </w:tc>
        <w:tc>
          <w:tcPr>
            <w:tcW w:w="24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6C601CA" w14:textId="77777777" w:rsidR="00413A1F" w:rsidRDefault="00413A1F" w:rsidP="00413A1F">
            <w:pPr>
              <w:spacing w:line="180" w:lineRule="exact"/>
              <w:jc w:val="center"/>
            </w:pPr>
            <w:r w:rsidRPr="008E3C9E">
              <w:rPr>
                <w:sz w:val="18"/>
                <w:szCs w:val="18"/>
              </w:rPr>
              <w:t>—</w:t>
            </w:r>
          </w:p>
        </w:tc>
        <w:tc>
          <w:tcPr>
            <w:tcW w:w="194"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53F8643"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10E970E"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7C597FA"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2642BE2" w14:textId="77777777" w:rsidR="00413A1F" w:rsidRDefault="00413A1F" w:rsidP="00413A1F">
            <w:pPr>
              <w:spacing w:line="180" w:lineRule="exact"/>
              <w:jc w:val="center"/>
            </w:pPr>
            <w:r w:rsidRPr="008E3C9E">
              <w:rPr>
                <w:sz w:val="18"/>
                <w:szCs w:val="18"/>
              </w:rPr>
              <w:t>—</w:t>
            </w:r>
          </w:p>
        </w:tc>
        <w:tc>
          <w:tcPr>
            <w:tcW w:w="200"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7F46F2E"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75A136D"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5A7FCAA"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894C4D8"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E50906D"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3C16609"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D744934"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412912E0" w14:textId="77777777" w:rsidR="00413A1F" w:rsidRDefault="00413A1F" w:rsidP="00413A1F">
            <w:pPr>
              <w:spacing w:line="180" w:lineRule="exact"/>
              <w:jc w:val="center"/>
            </w:pPr>
            <w:r w:rsidRPr="008E3C9E">
              <w:rPr>
                <w:sz w:val="18"/>
                <w:szCs w:val="18"/>
              </w:rPr>
              <w:t>—</w:t>
            </w:r>
          </w:p>
        </w:tc>
        <w:tc>
          <w:tcPr>
            <w:tcW w:w="206"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5FC6040C" w14:textId="77777777" w:rsidR="00413A1F" w:rsidRDefault="00413A1F" w:rsidP="00413A1F">
            <w:pPr>
              <w:spacing w:line="180" w:lineRule="exact"/>
              <w:jc w:val="center"/>
            </w:pPr>
            <w:r w:rsidRPr="008E3C9E">
              <w:rPr>
                <w:sz w:val="18"/>
                <w:szCs w:val="18"/>
              </w:rPr>
              <w:t>—</w:t>
            </w:r>
          </w:p>
        </w:tc>
        <w:tc>
          <w:tcPr>
            <w:tcW w:w="206"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4A96370C" w14:textId="77777777" w:rsidR="00413A1F" w:rsidRDefault="00413A1F" w:rsidP="00413A1F">
            <w:pPr>
              <w:spacing w:line="180" w:lineRule="exact"/>
              <w:jc w:val="center"/>
            </w:pPr>
            <w:r w:rsidRPr="008E3C9E">
              <w:rPr>
                <w:sz w:val="18"/>
                <w:szCs w:val="18"/>
              </w:rPr>
              <w:t>—</w:t>
            </w:r>
          </w:p>
        </w:tc>
        <w:tc>
          <w:tcPr>
            <w:tcW w:w="207" w:type="pct"/>
            <w:gridSpan w:val="2"/>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7FCA9668" w14:textId="77777777" w:rsidR="00413A1F" w:rsidRDefault="00413A1F" w:rsidP="00413A1F">
            <w:pPr>
              <w:spacing w:line="180" w:lineRule="exact"/>
              <w:jc w:val="center"/>
            </w:pPr>
            <w:r w:rsidRPr="008E3C9E">
              <w:rPr>
                <w:sz w:val="18"/>
                <w:szCs w:val="18"/>
              </w:rPr>
              <w:t>—</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9F905D3" w14:textId="77777777" w:rsidR="00413A1F" w:rsidRDefault="00413A1F" w:rsidP="00413A1F">
            <w:pPr>
              <w:spacing w:line="180" w:lineRule="exact"/>
              <w:jc w:val="center"/>
            </w:pPr>
            <w:r w:rsidRPr="008E3C9E">
              <w:rPr>
                <w:sz w:val="18"/>
                <w:szCs w:val="18"/>
              </w:rPr>
              <w:t>—</w:t>
            </w:r>
          </w:p>
        </w:tc>
      </w:tr>
      <w:tr w:rsidR="00413A1F" w14:paraId="21619C97" w14:textId="77777777" w:rsidTr="00AD46B2">
        <w:tc>
          <w:tcPr>
            <w:tcW w:w="834" w:type="pct"/>
            <w:gridSpan w:val="2"/>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0933DC25" w14:textId="77777777" w:rsidR="00413A1F" w:rsidRDefault="00413A1F" w:rsidP="00413A1F">
            <w:pPr>
              <w:spacing w:line="180" w:lineRule="exact"/>
            </w:pPr>
            <w:r>
              <w:rPr>
                <w:sz w:val="20"/>
                <w:szCs w:val="20"/>
              </w:rPr>
              <w:t xml:space="preserve">  2+ vehicle homes</w:t>
            </w:r>
          </w:p>
        </w:tc>
        <w:tc>
          <w:tcPr>
            <w:tcW w:w="200"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5911CFC" w14:textId="77777777" w:rsidR="00413A1F" w:rsidRDefault="00413A1F" w:rsidP="00413A1F">
            <w:pPr>
              <w:spacing w:line="180" w:lineRule="exact"/>
              <w:jc w:val="center"/>
            </w:pPr>
            <w:r w:rsidRPr="008E3C9E">
              <w:rPr>
                <w:sz w:val="18"/>
                <w:szCs w:val="18"/>
              </w:rPr>
              <w:t>—</w:t>
            </w:r>
          </w:p>
        </w:tc>
        <w:tc>
          <w:tcPr>
            <w:tcW w:w="235" w:type="pct"/>
            <w:gridSpan w:val="2"/>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4B11AE99" w14:textId="77777777" w:rsidR="00413A1F" w:rsidRDefault="00413A1F" w:rsidP="00413A1F">
            <w:pPr>
              <w:spacing w:line="180" w:lineRule="exact"/>
              <w:jc w:val="center"/>
            </w:pPr>
            <w:r w:rsidRPr="008E3C9E">
              <w:rPr>
                <w:sz w:val="18"/>
                <w:szCs w:val="18"/>
              </w:rPr>
              <w:t>—</w:t>
            </w:r>
          </w:p>
        </w:tc>
        <w:tc>
          <w:tcPr>
            <w:tcW w:w="213"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00640AE0" w14:textId="77777777" w:rsidR="00413A1F" w:rsidRDefault="00413A1F" w:rsidP="00413A1F">
            <w:pPr>
              <w:spacing w:line="180" w:lineRule="exact"/>
              <w:jc w:val="center"/>
            </w:pPr>
            <w:r w:rsidRPr="008E3C9E">
              <w:rPr>
                <w:sz w:val="18"/>
                <w:szCs w:val="18"/>
              </w:rPr>
              <w:t>—</w:t>
            </w:r>
          </w:p>
        </w:tc>
        <w:tc>
          <w:tcPr>
            <w:tcW w:w="24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901E2BB" w14:textId="77777777" w:rsidR="00413A1F" w:rsidRDefault="00413A1F" w:rsidP="00413A1F">
            <w:pPr>
              <w:spacing w:line="180" w:lineRule="exact"/>
              <w:jc w:val="center"/>
            </w:pPr>
            <w:r w:rsidRPr="008E3C9E">
              <w:rPr>
                <w:sz w:val="18"/>
                <w:szCs w:val="18"/>
              </w:rPr>
              <w:t>—</w:t>
            </w:r>
          </w:p>
        </w:tc>
        <w:tc>
          <w:tcPr>
            <w:tcW w:w="194"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863F1FA"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2D470E6C"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1A010201"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3B69FC1" w14:textId="77777777" w:rsidR="00413A1F" w:rsidRDefault="00413A1F" w:rsidP="00413A1F">
            <w:pPr>
              <w:spacing w:line="180" w:lineRule="exact"/>
              <w:jc w:val="center"/>
            </w:pPr>
            <w:r w:rsidRPr="008E3C9E">
              <w:rPr>
                <w:sz w:val="18"/>
                <w:szCs w:val="18"/>
              </w:rPr>
              <w:t>—</w:t>
            </w:r>
          </w:p>
        </w:tc>
        <w:tc>
          <w:tcPr>
            <w:tcW w:w="200"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001B7C38"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979204C"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6D8E70A"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7A245447"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5EC22C7D"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5A31AB9F"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E91E866"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7E8D71A2"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134D593A" w14:textId="77777777" w:rsidR="00413A1F" w:rsidRDefault="00413A1F" w:rsidP="00413A1F">
            <w:pPr>
              <w:spacing w:line="180" w:lineRule="exact"/>
              <w:jc w:val="right"/>
            </w:pPr>
            <w:r>
              <w:rPr>
                <w:sz w:val="20"/>
                <w:szCs w:val="20"/>
              </w:rPr>
              <w:t>0.43</w:t>
            </w:r>
          </w:p>
        </w:tc>
        <w:tc>
          <w:tcPr>
            <w:tcW w:w="206"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1964C5D6" w14:textId="77777777" w:rsidR="00413A1F" w:rsidRDefault="00413A1F" w:rsidP="00413A1F">
            <w:pPr>
              <w:spacing w:line="180" w:lineRule="exact"/>
              <w:jc w:val="right"/>
            </w:pPr>
            <w:r>
              <w:rPr>
                <w:sz w:val="20"/>
                <w:szCs w:val="20"/>
              </w:rPr>
              <w:t>2.34</w:t>
            </w:r>
          </w:p>
        </w:tc>
        <w:tc>
          <w:tcPr>
            <w:tcW w:w="207" w:type="pct"/>
            <w:gridSpan w:val="2"/>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A066C52" w14:textId="77777777" w:rsidR="00413A1F" w:rsidRDefault="00413A1F" w:rsidP="00413A1F">
            <w:pPr>
              <w:spacing w:line="180" w:lineRule="exact"/>
              <w:jc w:val="right"/>
            </w:pPr>
            <w:r>
              <w:rPr>
                <w:sz w:val="20"/>
                <w:szCs w:val="20"/>
              </w:rPr>
              <w:t>0.39</w:t>
            </w:r>
          </w:p>
        </w:tc>
        <w:tc>
          <w:tcPr>
            <w:tcW w:w="198" w:type="pct"/>
            <w:tcBorders>
              <w:top w:val="single" w:sz="4" w:space="0" w:color="FFFFFF" w:themeColor="background1"/>
              <w:left w:val="single" w:sz="4" w:space="0" w:color="FFFFFF" w:themeColor="background1"/>
              <w:right w:val="single" w:sz="18" w:space="0" w:color="auto"/>
            </w:tcBorders>
            <w:tcMar>
              <w:top w:w="12" w:type="dxa"/>
              <w:left w:w="25" w:type="dxa"/>
              <w:bottom w:w="12" w:type="dxa"/>
              <w:right w:w="25" w:type="dxa"/>
            </w:tcMar>
            <w:vAlign w:val="center"/>
          </w:tcPr>
          <w:p w14:paraId="73766DDD" w14:textId="77777777" w:rsidR="00413A1F" w:rsidRDefault="00413A1F" w:rsidP="00413A1F">
            <w:pPr>
              <w:spacing w:line="180" w:lineRule="exact"/>
              <w:jc w:val="right"/>
            </w:pPr>
            <w:r>
              <w:rPr>
                <w:sz w:val="20"/>
                <w:szCs w:val="20"/>
              </w:rPr>
              <w:t>2.33</w:t>
            </w:r>
          </w:p>
        </w:tc>
      </w:tr>
      <w:tr w:rsidR="00413A1F" w14:paraId="62896845" w14:textId="77777777" w:rsidTr="00154678">
        <w:tc>
          <w:tcPr>
            <w:tcW w:w="5000" w:type="pct"/>
            <w:gridSpan w:val="24"/>
            <w:tcBorders>
              <w:top w:val="single" w:sz="8" w:space="0" w:color="auto"/>
              <w:left w:val="single" w:sz="18" w:space="0" w:color="auto"/>
              <w:right w:val="single" w:sz="18" w:space="0" w:color="auto"/>
            </w:tcBorders>
            <w:tcMar>
              <w:top w:w="12" w:type="dxa"/>
              <w:left w:w="25" w:type="dxa"/>
              <w:bottom w:w="12" w:type="dxa"/>
              <w:right w:w="25" w:type="dxa"/>
            </w:tcMar>
            <w:vAlign w:val="center"/>
          </w:tcPr>
          <w:p w14:paraId="38C11683" w14:textId="77777777" w:rsidR="00413A1F" w:rsidRPr="001A4848" w:rsidRDefault="00413A1F" w:rsidP="00413A1F">
            <w:pPr>
              <w:spacing w:line="180" w:lineRule="exact"/>
              <w:ind w:left="-47"/>
            </w:pPr>
            <w:r w:rsidRPr="001A4848">
              <w:rPr>
                <w:sz w:val="20"/>
                <w:szCs w:val="20"/>
              </w:rPr>
              <w:t xml:space="preserve"> Population density per acre</w:t>
            </w:r>
            <w:r>
              <w:rPr>
                <w:sz w:val="20"/>
                <w:szCs w:val="20"/>
              </w:rPr>
              <w:t xml:space="preserve"> of respondent’s zip code</w:t>
            </w:r>
            <w:r w:rsidRPr="001A4848">
              <w:rPr>
                <w:sz w:val="20"/>
                <w:szCs w:val="20"/>
              </w:rPr>
              <w:t xml:space="preserve"> (</w:t>
            </w:r>
            <w:r>
              <w:rPr>
                <w:sz w:val="20"/>
                <w:szCs w:val="20"/>
              </w:rPr>
              <w:t>low, &lt;</w:t>
            </w:r>
            <w:r w:rsidRPr="001A4848">
              <w:rPr>
                <w:sz w:val="20"/>
                <w:szCs w:val="20"/>
              </w:rPr>
              <w:t xml:space="preserve"> 5 people)</w:t>
            </w:r>
          </w:p>
        </w:tc>
      </w:tr>
      <w:tr w:rsidR="00413A1F" w14:paraId="2777516B" w14:textId="77777777" w:rsidTr="00AD46B2">
        <w:tc>
          <w:tcPr>
            <w:tcW w:w="834" w:type="pct"/>
            <w:gridSpan w:val="2"/>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4C72003F" w14:textId="77777777" w:rsidR="00413A1F" w:rsidRDefault="00413A1F" w:rsidP="00413A1F">
            <w:pPr>
              <w:spacing w:line="180" w:lineRule="exact"/>
              <w:ind w:left="130"/>
            </w:pPr>
            <w:r>
              <w:rPr>
                <w:sz w:val="20"/>
                <w:szCs w:val="20"/>
              </w:rPr>
              <w:t>Medium (5–10 people)</w:t>
            </w:r>
          </w:p>
        </w:tc>
        <w:tc>
          <w:tcPr>
            <w:tcW w:w="200"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C806147" w14:textId="77777777" w:rsidR="00413A1F" w:rsidRDefault="00413A1F" w:rsidP="00413A1F">
            <w:pPr>
              <w:spacing w:line="180" w:lineRule="exact"/>
              <w:jc w:val="right"/>
            </w:pPr>
            <w:r>
              <w:rPr>
                <w:sz w:val="20"/>
                <w:szCs w:val="20"/>
              </w:rPr>
              <w:t>0.16</w:t>
            </w:r>
          </w:p>
        </w:tc>
        <w:tc>
          <w:tcPr>
            <w:tcW w:w="235" w:type="pct"/>
            <w:gridSpan w:val="2"/>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7420CC50" w14:textId="77777777" w:rsidR="00413A1F" w:rsidRDefault="00413A1F" w:rsidP="00413A1F">
            <w:pPr>
              <w:spacing w:line="180" w:lineRule="exact"/>
              <w:jc w:val="right"/>
            </w:pPr>
            <w:r>
              <w:rPr>
                <w:sz w:val="20"/>
                <w:szCs w:val="20"/>
              </w:rPr>
              <w:t>4.05</w:t>
            </w:r>
          </w:p>
        </w:tc>
        <w:tc>
          <w:tcPr>
            <w:tcW w:w="213"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94B0C01" w14:textId="77777777" w:rsidR="00413A1F" w:rsidRDefault="00413A1F" w:rsidP="00413A1F">
            <w:pPr>
              <w:spacing w:line="180" w:lineRule="exact"/>
              <w:jc w:val="right"/>
            </w:pPr>
            <w:r>
              <w:rPr>
                <w:sz w:val="20"/>
                <w:szCs w:val="20"/>
              </w:rPr>
              <w:t>0.20</w:t>
            </w:r>
          </w:p>
        </w:tc>
        <w:tc>
          <w:tcPr>
            <w:tcW w:w="24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F184E6A" w14:textId="77777777" w:rsidR="00413A1F" w:rsidRDefault="00413A1F" w:rsidP="00413A1F">
            <w:pPr>
              <w:spacing w:line="180" w:lineRule="exact"/>
              <w:jc w:val="right"/>
            </w:pPr>
            <w:r>
              <w:rPr>
                <w:sz w:val="20"/>
                <w:szCs w:val="20"/>
              </w:rPr>
              <w:t>3.96</w:t>
            </w:r>
          </w:p>
        </w:tc>
        <w:tc>
          <w:tcPr>
            <w:tcW w:w="194"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285205C"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83739D1"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9B2034F"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D35B542" w14:textId="77777777" w:rsidR="00413A1F" w:rsidRDefault="00413A1F" w:rsidP="00413A1F">
            <w:pPr>
              <w:spacing w:line="180" w:lineRule="exact"/>
              <w:jc w:val="center"/>
            </w:pPr>
            <w:r w:rsidRPr="008E3C9E">
              <w:rPr>
                <w:sz w:val="18"/>
                <w:szCs w:val="18"/>
              </w:rPr>
              <w:t>—</w:t>
            </w:r>
          </w:p>
        </w:tc>
        <w:tc>
          <w:tcPr>
            <w:tcW w:w="200"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0776A5D" w14:textId="77777777" w:rsidR="00413A1F" w:rsidRDefault="00413A1F" w:rsidP="00413A1F">
            <w:pPr>
              <w:spacing w:line="180" w:lineRule="exact"/>
              <w:jc w:val="right"/>
            </w:pPr>
            <w:r>
              <w:rPr>
                <w:sz w:val="20"/>
                <w:szCs w:val="20"/>
              </w:rPr>
              <w:t>0.26</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0382CE8" w14:textId="77777777" w:rsidR="00413A1F" w:rsidRDefault="00413A1F" w:rsidP="00413A1F">
            <w:pPr>
              <w:spacing w:line="180" w:lineRule="exact"/>
              <w:jc w:val="right"/>
            </w:pPr>
            <w:r>
              <w:rPr>
                <w:sz w:val="20"/>
                <w:szCs w:val="20"/>
              </w:rPr>
              <w:t>4.95</w:t>
            </w:r>
          </w:p>
        </w:tc>
        <w:tc>
          <w:tcPr>
            <w:tcW w:w="202"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61F7FD3" w14:textId="77777777" w:rsidR="00413A1F" w:rsidRDefault="00413A1F" w:rsidP="00413A1F">
            <w:pPr>
              <w:spacing w:line="180" w:lineRule="exact"/>
              <w:jc w:val="right"/>
            </w:pPr>
            <w:r>
              <w:rPr>
                <w:sz w:val="20"/>
                <w:szCs w:val="20"/>
              </w:rPr>
              <w:t>0.26</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017781D5" w14:textId="77777777" w:rsidR="00413A1F" w:rsidRDefault="00413A1F" w:rsidP="00413A1F">
            <w:pPr>
              <w:spacing w:line="180" w:lineRule="exact"/>
              <w:jc w:val="right"/>
            </w:pPr>
            <w:r>
              <w:rPr>
                <w:sz w:val="20"/>
                <w:szCs w:val="20"/>
              </w:rPr>
              <w:t>5.40</w:t>
            </w:r>
          </w:p>
        </w:tc>
        <w:tc>
          <w:tcPr>
            <w:tcW w:w="201"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0BC6A9D" w14:textId="77777777" w:rsidR="00413A1F" w:rsidRDefault="00413A1F" w:rsidP="00413A1F">
            <w:pPr>
              <w:spacing w:line="180" w:lineRule="exact"/>
              <w:jc w:val="right"/>
            </w:pPr>
            <w:r>
              <w:rPr>
                <w:sz w:val="20"/>
                <w:szCs w:val="20"/>
              </w:rPr>
              <w:t>0.14</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75301FC" w14:textId="77777777" w:rsidR="00413A1F" w:rsidRDefault="00413A1F" w:rsidP="00413A1F">
            <w:pPr>
              <w:spacing w:line="180" w:lineRule="exact"/>
              <w:jc w:val="right"/>
            </w:pPr>
            <w:r>
              <w:rPr>
                <w:sz w:val="20"/>
                <w:szCs w:val="20"/>
              </w:rPr>
              <w:t>2.94</w:t>
            </w:r>
          </w:p>
        </w:tc>
        <w:tc>
          <w:tcPr>
            <w:tcW w:w="201"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67FFCDD"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7714555E" w14:textId="77777777" w:rsidR="00413A1F" w:rsidRDefault="00413A1F" w:rsidP="00413A1F">
            <w:pPr>
              <w:spacing w:line="180" w:lineRule="exact"/>
              <w:jc w:val="center"/>
            </w:pPr>
            <w:r w:rsidRPr="008E3C9E">
              <w:rPr>
                <w:sz w:val="18"/>
                <w:szCs w:val="18"/>
              </w:rPr>
              <w:t>—</w:t>
            </w:r>
          </w:p>
        </w:tc>
        <w:tc>
          <w:tcPr>
            <w:tcW w:w="206"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21BE1FF" w14:textId="77777777" w:rsidR="00413A1F" w:rsidRDefault="00413A1F" w:rsidP="00413A1F">
            <w:pPr>
              <w:spacing w:line="180" w:lineRule="exact"/>
              <w:jc w:val="right"/>
            </w:pPr>
            <w:r>
              <w:rPr>
                <w:sz w:val="20"/>
                <w:szCs w:val="20"/>
              </w:rPr>
              <w:t>-0.23</w:t>
            </w:r>
          </w:p>
        </w:tc>
        <w:tc>
          <w:tcPr>
            <w:tcW w:w="206"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62B9CE60" w14:textId="77777777" w:rsidR="00413A1F" w:rsidRDefault="00413A1F" w:rsidP="00413A1F">
            <w:pPr>
              <w:spacing w:line="180" w:lineRule="exact"/>
              <w:jc w:val="right"/>
            </w:pPr>
            <w:r>
              <w:rPr>
                <w:sz w:val="20"/>
                <w:szCs w:val="20"/>
              </w:rPr>
              <w:t>-3.54</w:t>
            </w:r>
          </w:p>
        </w:tc>
        <w:tc>
          <w:tcPr>
            <w:tcW w:w="207" w:type="pct"/>
            <w:gridSpan w:val="2"/>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D2F1172" w14:textId="77777777" w:rsidR="00413A1F" w:rsidRDefault="00413A1F" w:rsidP="00413A1F">
            <w:pPr>
              <w:spacing w:line="180" w:lineRule="exact"/>
              <w:jc w:val="right"/>
            </w:pPr>
            <w:r>
              <w:rPr>
                <w:sz w:val="20"/>
                <w:szCs w:val="20"/>
              </w:rPr>
              <w:t>-0.16</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61BCEA59" w14:textId="77777777" w:rsidR="00413A1F" w:rsidRDefault="00413A1F" w:rsidP="00413A1F">
            <w:pPr>
              <w:spacing w:line="180" w:lineRule="exact"/>
              <w:jc w:val="right"/>
            </w:pPr>
            <w:r>
              <w:rPr>
                <w:sz w:val="20"/>
                <w:szCs w:val="20"/>
              </w:rPr>
              <w:t>-3.13</w:t>
            </w:r>
          </w:p>
        </w:tc>
      </w:tr>
      <w:tr w:rsidR="00413A1F" w14:paraId="2E2BBE8D" w14:textId="77777777" w:rsidTr="00AD46B2">
        <w:tc>
          <w:tcPr>
            <w:tcW w:w="834" w:type="pct"/>
            <w:gridSpan w:val="2"/>
            <w:tcBorders>
              <w:top w:val="single" w:sz="4" w:space="0" w:color="FFFFFF" w:themeColor="background1"/>
              <w:left w:val="single" w:sz="18" w:space="0" w:color="auto"/>
              <w:bottom w:val="single" w:sz="8" w:space="0" w:color="auto"/>
              <w:right w:val="single" w:sz="18" w:space="0" w:color="auto"/>
            </w:tcBorders>
            <w:tcMar>
              <w:top w:w="12" w:type="dxa"/>
              <w:left w:w="25" w:type="dxa"/>
              <w:bottom w:w="12" w:type="dxa"/>
              <w:right w:w="25" w:type="dxa"/>
            </w:tcMar>
            <w:vAlign w:val="center"/>
          </w:tcPr>
          <w:p w14:paraId="277B3DBB" w14:textId="77777777" w:rsidR="00413A1F" w:rsidRDefault="00413A1F" w:rsidP="00413A1F">
            <w:pPr>
              <w:spacing w:line="180" w:lineRule="exact"/>
              <w:ind w:left="130"/>
            </w:pPr>
            <w:r>
              <w:rPr>
                <w:sz w:val="20"/>
                <w:szCs w:val="20"/>
              </w:rPr>
              <w:t>High (&gt;10 people)</w:t>
            </w:r>
          </w:p>
        </w:tc>
        <w:tc>
          <w:tcPr>
            <w:tcW w:w="200"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3DFBE9D4" w14:textId="77777777" w:rsidR="00413A1F" w:rsidRDefault="00413A1F" w:rsidP="00413A1F">
            <w:pPr>
              <w:spacing w:line="180" w:lineRule="exact"/>
              <w:jc w:val="right"/>
            </w:pPr>
            <w:r>
              <w:rPr>
                <w:sz w:val="20"/>
                <w:szCs w:val="20"/>
              </w:rPr>
              <w:t>0.40</w:t>
            </w:r>
          </w:p>
        </w:tc>
        <w:tc>
          <w:tcPr>
            <w:tcW w:w="235" w:type="pct"/>
            <w:gridSpan w:val="2"/>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04463B04" w14:textId="77777777" w:rsidR="00413A1F" w:rsidRDefault="00413A1F" w:rsidP="00413A1F">
            <w:pPr>
              <w:spacing w:line="180" w:lineRule="exact"/>
              <w:jc w:val="right"/>
            </w:pPr>
            <w:r>
              <w:rPr>
                <w:sz w:val="20"/>
                <w:szCs w:val="20"/>
              </w:rPr>
              <w:t>9.10</w:t>
            </w:r>
          </w:p>
        </w:tc>
        <w:tc>
          <w:tcPr>
            <w:tcW w:w="213"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1552C97E" w14:textId="77777777" w:rsidR="00413A1F" w:rsidRDefault="00413A1F" w:rsidP="00413A1F">
            <w:pPr>
              <w:spacing w:line="180" w:lineRule="exact"/>
              <w:jc w:val="right"/>
            </w:pPr>
            <w:r>
              <w:rPr>
                <w:sz w:val="20"/>
                <w:szCs w:val="20"/>
              </w:rPr>
              <w:t>0.32</w:t>
            </w:r>
          </w:p>
        </w:tc>
        <w:tc>
          <w:tcPr>
            <w:tcW w:w="24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2408B3BA" w14:textId="77777777" w:rsidR="00413A1F" w:rsidRDefault="00413A1F" w:rsidP="00413A1F">
            <w:pPr>
              <w:spacing w:line="180" w:lineRule="exact"/>
              <w:jc w:val="right"/>
            </w:pPr>
            <w:r>
              <w:rPr>
                <w:sz w:val="20"/>
                <w:szCs w:val="20"/>
              </w:rPr>
              <w:t>6.04</w:t>
            </w:r>
          </w:p>
        </w:tc>
        <w:tc>
          <w:tcPr>
            <w:tcW w:w="194"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CE3AEF3" w14:textId="77777777" w:rsidR="00413A1F" w:rsidRDefault="00413A1F" w:rsidP="00413A1F">
            <w:pPr>
              <w:spacing w:line="180" w:lineRule="exact"/>
              <w:jc w:val="right"/>
            </w:pPr>
            <w:r>
              <w:rPr>
                <w:sz w:val="20"/>
                <w:szCs w:val="20"/>
              </w:rPr>
              <w:t>0.20</w:t>
            </w:r>
          </w:p>
        </w:tc>
        <w:tc>
          <w:tcPr>
            <w:tcW w:w="202"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5BB8BF3" w14:textId="77777777" w:rsidR="00413A1F" w:rsidRDefault="00413A1F" w:rsidP="00413A1F">
            <w:pPr>
              <w:spacing w:line="180" w:lineRule="exact"/>
              <w:jc w:val="right"/>
            </w:pPr>
            <w:r>
              <w:rPr>
                <w:sz w:val="20"/>
                <w:szCs w:val="20"/>
              </w:rPr>
              <w:t>3.77</w:t>
            </w:r>
          </w:p>
        </w:tc>
        <w:tc>
          <w:tcPr>
            <w:tcW w:w="225"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46F4C3DE" w14:textId="77777777" w:rsidR="00413A1F" w:rsidRDefault="00413A1F" w:rsidP="00413A1F">
            <w:pPr>
              <w:spacing w:line="180" w:lineRule="exact"/>
              <w:jc w:val="right"/>
            </w:pPr>
            <w:r>
              <w:rPr>
                <w:sz w:val="20"/>
                <w:szCs w:val="20"/>
              </w:rPr>
              <w:t>0.21</w:t>
            </w:r>
          </w:p>
        </w:tc>
        <w:tc>
          <w:tcPr>
            <w:tcW w:w="225"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370AE647" w14:textId="77777777" w:rsidR="00413A1F" w:rsidRDefault="00413A1F" w:rsidP="00413A1F">
            <w:pPr>
              <w:spacing w:line="180" w:lineRule="exact"/>
              <w:jc w:val="right"/>
            </w:pPr>
            <w:r>
              <w:rPr>
                <w:sz w:val="20"/>
                <w:szCs w:val="20"/>
              </w:rPr>
              <w:t>2.65</w:t>
            </w:r>
          </w:p>
        </w:tc>
        <w:tc>
          <w:tcPr>
            <w:tcW w:w="200"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38310856" w14:textId="77777777" w:rsidR="00413A1F" w:rsidRDefault="00413A1F" w:rsidP="00413A1F">
            <w:pPr>
              <w:spacing w:line="180" w:lineRule="exact"/>
              <w:jc w:val="right"/>
            </w:pPr>
            <w:r>
              <w:rPr>
                <w:sz w:val="20"/>
                <w:szCs w:val="20"/>
              </w:rPr>
              <w:t>0.26</w:t>
            </w:r>
          </w:p>
        </w:tc>
        <w:tc>
          <w:tcPr>
            <w:tcW w:w="201"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C199D37" w14:textId="77777777" w:rsidR="00413A1F" w:rsidRDefault="00413A1F" w:rsidP="00413A1F">
            <w:pPr>
              <w:spacing w:line="180" w:lineRule="exact"/>
              <w:jc w:val="right"/>
            </w:pPr>
            <w:r>
              <w:rPr>
                <w:sz w:val="20"/>
                <w:szCs w:val="20"/>
              </w:rPr>
              <w:t>4.95</w:t>
            </w:r>
          </w:p>
        </w:tc>
        <w:tc>
          <w:tcPr>
            <w:tcW w:w="202"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0DB115E2" w14:textId="77777777" w:rsidR="00413A1F" w:rsidRDefault="00413A1F" w:rsidP="00413A1F">
            <w:pPr>
              <w:spacing w:line="180" w:lineRule="exact"/>
              <w:jc w:val="right"/>
            </w:pPr>
            <w:r>
              <w:rPr>
                <w:sz w:val="20"/>
                <w:szCs w:val="20"/>
              </w:rPr>
              <w:t>0.26</w:t>
            </w:r>
          </w:p>
        </w:tc>
        <w:tc>
          <w:tcPr>
            <w:tcW w:w="202"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5DA13CD7" w14:textId="77777777" w:rsidR="00413A1F" w:rsidRDefault="00413A1F" w:rsidP="00413A1F">
            <w:pPr>
              <w:spacing w:line="180" w:lineRule="exact"/>
              <w:jc w:val="right"/>
            </w:pPr>
            <w:r>
              <w:rPr>
                <w:sz w:val="20"/>
                <w:szCs w:val="20"/>
              </w:rPr>
              <w:t>5.40</w:t>
            </w:r>
          </w:p>
        </w:tc>
        <w:tc>
          <w:tcPr>
            <w:tcW w:w="201"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0DA7F7B9" w14:textId="77777777" w:rsidR="00413A1F" w:rsidRDefault="00413A1F" w:rsidP="00413A1F">
            <w:pPr>
              <w:spacing w:line="180" w:lineRule="exact"/>
              <w:jc w:val="right"/>
            </w:pPr>
            <w:r>
              <w:rPr>
                <w:sz w:val="20"/>
                <w:szCs w:val="20"/>
              </w:rPr>
              <w:t>0.14</w:t>
            </w:r>
          </w:p>
        </w:tc>
        <w:tc>
          <w:tcPr>
            <w:tcW w:w="202"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7FD73218" w14:textId="77777777" w:rsidR="00413A1F" w:rsidRDefault="00413A1F" w:rsidP="00413A1F">
            <w:pPr>
              <w:spacing w:line="180" w:lineRule="exact"/>
              <w:jc w:val="right"/>
            </w:pPr>
            <w:r>
              <w:rPr>
                <w:sz w:val="20"/>
                <w:szCs w:val="20"/>
              </w:rPr>
              <w:t>2.94</w:t>
            </w:r>
          </w:p>
        </w:tc>
        <w:tc>
          <w:tcPr>
            <w:tcW w:w="201" w:type="pct"/>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7DA9C444"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74DB6726"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single" w:sz="8" w:space="0" w:color="auto"/>
              <w:right w:val="single" w:sz="4" w:space="0" w:color="FFFFFF" w:themeColor="background1"/>
            </w:tcBorders>
            <w:tcMar>
              <w:top w:w="12" w:type="dxa"/>
              <w:left w:w="25" w:type="dxa"/>
              <w:bottom w:w="12" w:type="dxa"/>
              <w:right w:w="25" w:type="dxa"/>
            </w:tcMar>
            <w:vAlign w:val="center"/>
          </w:tcPr>
          <w:p w14:paraId="20112627" w14:textId="77777777" w:rsidR="00413A1F" w:rsidRDefault="00413A1F" w:rsidP="00413A1F">
            <w:pPr>
              <w:spacing w:line="180" w:lineRule="exact"/>
              <w:jc w:val="right"/>
            </w:pPr>
            <w:r>
              <w:rPr>
                <w:sz w:val="20"/>
                <w:szCs w:val="20"/>
              </w:rPr>
              <w:t>-0.23</w:t>
            </w:r>
          </w:p>
        </w:tc>
        <w:tc>
          <w:tcPr>
            <w:tcW w:w="206" w:type="pct"/>
            <w:tcBorders>
              <w:top w:val="single" w:sz="4" w:space="0" w:color="FFFFFF" w:themeColor="background1"/>
              <w:left w:val="single" w:sz="4" w:space="0" w:color="FFFFFF" w:themeColor="background1"/>
              <w:bottom w:val="single" w:sz="8" w:space="0" w:color="auto"/>
              <w:right w:val="single" w:sz="6" w:space="0" w:color="000000" w:themeColor="text1"/>
            </w:tcBorders>
            <w:tcMar>
              <w:top w:w="12" w:type="dxa"/>
              <w:left w:w="25" w:type="dxa"/>
              <w:bottom w:w="12" w:type="dxa"/>
              <w:right w:w="25" w:type="dxa"/>
            </w:tcMar>
            <w:vAlign w:val="center"/>
          </w:tcPr>
          <w:p w14:paraId="4CF157B2" w14:textId="77777777" w:rsidR="00413A1F" w:rsidRDefault="00413A1F" w:rsidP="00413A1F">
            <w:pPr>
              <w:spacing w:line="180" w:lineRule="exact"/>
              <w:jc w:val="right"/>
            </w:pPr>
            <w:r>
              <w:rPr>
                <w:sz w:val="20"/>
                <w:szCs w:val="20"/>
              </w:rPr>
              <w:t>-3.54</w:t>
            </w:r>
          </w:p>
        </w:tc>
        <w:tc>
          <w:tcPr>
            <w:tcW w:w="207" w:type="pct"/>
            <w:gridSpan w:val="2"/>
            <w:tcBorders>
              <w:top w:val="single" w:sz="4" w:space="0" w:color="FFFFFF" w:themeColor="background1"/>
              <w:left w:val="single" w:sz="6" w:space="0" w:color="000000" w:themeColor="text1"/>
              <w:bottom w:val="single" w:sz="8" w:space="0" w:color="auto"/>
              <w:right w:val="single" w:sz="4" w:space="0" w:color="FFFFFF" w:themeColor="background1"/>
            </w:tcBorders>
            <w:tcMar>
              <w:top w:w="12" w:type="dxa"/>
              <w:left w:w="25" w:type="dxa"/>
              <w:bottom w:w="12" w:type="dxa"/>
              <w:right w:w="25" w:type="dxa"/>
            </w:tcMar>
            <w:vAlign w:val="center"/>
          </w:tcPr>
          <w:p w14:paraId="61BE23F9" w14:textId="77777777" w:rsidR="00413A1F" w:rsidRDefault="00413A1F" w:rsidP="00413A1F">
            <w:pPr>
              <w:spacing w:line="180" w:lineRule="exact"/>
              <w:jc w:val="right"/>
            </w:pPr>
            <w:r>
              <w:rPr>
                <w:sz w:val="20"/>
                <w:szCs w:val="20"/>
              </w:rPr>
              <w:t>-0.16</w:t>
            </w:r>
          </w:p>
        </w:tc>
        <w:tc>
          <w:tcPr>
            <w:tcW w:w="198" w:type="pct"/>
            <w:tcBorders>
              <w:top w:val="single" w:sz="4" w:space="0" w:color="FFFFFF" w:themeColor="background1"/>
              <w:left w:val="single" w:sz="4" w:space="0" w:color="FFFFFF" w:themeColor="background1"/>
              <w:bottom w:val="single" w:sz="8" w:space="0" w:color="auto"/>
              <w:right w:val="single" w:sz="18" w:space="0" w:color="auto"/>
            </w:tcBorders>
            <w:tcMar>
              <w:top w:w="12" w:type="dxa"/>
              <w:left w:w="25" w:type="dxa"/>
              <w:bottom w:w="12" w:type="dxa"/>
              <w:right w:w="25" w:type="dxa"/>
            </w:tcMar>
            <w:vAlign w:val="center"/>
          </w:tcPr>
          <w:p w14:paraId="5676FF44" w14:textId="77777777" w:rsidR="00413A1F" w:rsidRDefault="00413A1F" w:rsidP="00413A1F">
            <w:pPr>
              <w:spacing w:line="180" w:lineRule="exact"/>
              <w:jc w:val="right"/>
            </w:pPr>
            <w:r>
              <w:rPr>
                <w:sz w:val="20"/>
                <w:szCs w:val="20"/>
              </w:rPr>
              <w:t>-3.13</w:t>
            </w:r>
          </w:p>
        </w:tc>
      </w:tr>
      <w:tr w:rsidR="00413A1F" w14:paraId="4F645331" w14:textId="77777777" w:rsidTr="00154678">
        <w:tc>
          <w:tcPr>
            <w:tcW w:w="5000" w:type="pct"/>
            <w:gridSpan w:val="24"/>
            <w:tcBorders>
              <w:left w:val="single" w:sz="18" w:space="0" w:color="auto"/>
              <w:bottom w:val="single" w:sz="8" w:space="0" w:color="auto"/>
              <w:right w:val="single" w:sz="18" w:space="0" w:color="auto"/>
            </w:tcBorders>
            <w:tcMar>
              <w:top w:w="12" w:type="dxa"/>
              <w:left w:w="25" w:type="dxa"/>
              <w:bottom w:w="12" w:type="dxa"/>
              <w:right w:w="25" w:type="dxa"/>
            </w:tcMar>
            <w:vAlign w:val="center"/>
          </w:tcPr>
          <w:p w14:paraId="5F3A01CF" w14:textId="77777777" w:rsidR="00413A1F" w:rsidRPr="00AA2F46" w:rsidRDefault="00413A1F" w:rsidP="00413A1F">
            <w:pPr>
              <w:spacing w:line="180" w:lineRule="exact"/>
              <w:ind w:left="-47"/>
            </w:pPr>
            <w:r>
              <w:rPr>
                <w:b/>
                <w:bCs/>
                <w:sz w:val="20"/>
                <w:szCs w:val="20"/>
              </w:rPr>
              <w:t xml:space="preserve"> </w:t>
            </w:r>
            <w:r w:rsidRPr="00AA2F46">
              <w:rPr>
                <w:sz w:val="20"/>
                <w:szCs w:val="20"/>
              </w:rPr>
              <w:t xml:space="preserve">Walkability Index </w:t>
            </w:r>
            <w:r>
              <w:rPr>
                <w:sz w:val="20"/>
                <w:szCs w:val="20"/>
              </w:rPr>
              <w:t xml:space="preserve">in respondent’s zip code </w:t>
            </w:r>
            <w:r w:rsidRPr="00AA2F46">
              <w:rPr>
                <w:sz w:val="20"/>
                <w:szCs w:val="20"/>
              </w:rPr>
              <w:t>(low, ≤ 5.75)</w:t>
            </w:r>
          </w:p>
        </w:tc>
      </w:tr>
      <w:tr w:rsidR="00413A1F" w14:paraId="715FBA5B" w14:textId="77777777" w:rsidTr="00AD46B2">
        <w:tc>
          <w:tcPr>
            <w:tcW w:w="834" w:type="pct"/>
            <w:gridSpan w:val="2"/>
            <w:tcBorders>
              <w:top w:val="single" w:sz="8" w:space="0" w:color="auto"/>
              <w:left w:val="single" w:sz="18" w:space="0" w:color="auto"/>
              <w:bottom w:val="single" w:sz="4" w:space="0" w:color="FFFFFF" w:themeColor="background1"/>
              <w:right w:val="single" w:sz="18" w:space="0" w:color="auto"/>
            </w:tcBorders>
            <w:tcMar>
              <w:top w:w="12" w:type="dxa"/>
              <w:left w:w="25" w:type="dxa"/>
              <w:bottom w:w="12" w:type="dxa"/>
              <w:right w:w="25" w:type="dxa"/>
            </w:tcMar>
            <w:vAlign w:val="center"/>
          </w:tcPr>
          <w:p w14:paraId="56D85558" w14:textId="75054EB0" w:rsidR="00413A1F" w:rsidRDefault="00413A1F" w:rsidP="00413A1F">
            <w:pPr>
              <w:spacing w:line="180" w:lineRule="exact"/>
            </w:pPr>
            <w:r>
              <w:rPr>
                <w:sz w:val="20"/>
                <w:szCs w:val="20"/>
              </w:rPr>
              <w:t xml:space="preserve">  Medium (&gt;5.75</w:t>
            </w:r>
            <w:r w:rsidR="00020439">
              <w:rPr>
                <w:sz w:val="20"/>
                <w:szCs w:val="20"/>
              </w:rPr>
              <w:t>,</w:t>
            </w:r>
            <w:r>
              <w:rPr>
                <w:sz w:val="20"/>
                <w:szCs w:val="20"/>
              </w:rPr>
              <w:t xml:space="preserve"> ≤10.5)</w:t>
            </w:r>
          </w:p>
        </w:tc>
        <w:tc>
          <w:tcPr>
            <w:tcW w:w="200"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44EE2F1" w14:textId="77777777" w:rsidR="00413A1F" w:rsidRDefault="00413A1F" w:rsidP="00413A1F">
            <w:pPr>
              <w:spacing w:line="180" w:lineRule="exact"/>
              <w:jc w:val="right"/>
            </w:pPr>
            <w:r>
              <w:rPr>
                <w:sz w:val="20"/>
                <w:szCs w:val="20"/>
              </w:rPr>
              <w:t>-0.14</w:t>
            </w:r>
          </w:p>
        </w:tc>
        <w:tc>
          <w:tcPr>
            <w:tcW w:w="235" w:type="pct"/>
            <w:gridSpan w:val="2"/>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21650674" w14:textId="77777777" w:rsidR="00413A1F" w:rsidRDefault="00413A1F" w:rsidP="00413A1F">
            <w:pPr>
              <w:spacing w:line="180" w:lineRule="exact"/>
              <w:jc w:val="right"/>
            </w:pPr>
            <w:r>
              <w:rPr>
                <w:sz w:val="20"/>
                <w:szCs w:val="20"/>
              </w:rPr>
              <w:t>-2.40</w:t>
            </w:r>
          </w:p>
        </w:tc>
        <w:tc>
          <w:tcPr>
            <w:tcW w:w="213"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BB54DE2" w14:textId="77777777" w:rsidR="00413A1F" w:rsidRDefault="00413A1F" w:rsidP="00413A1F">
            <w:pPr>
              <w:spacing w:line="180" w:lineRule="exact"/>
              <w:jc w:val="center"/>
            </w:pPr>
            <w:r w:rsidRPr="008E3C9E">
              <w:rPr>
                <w:sz w:val="18"/>
                <w:szCs w:val="18"/>
              </w:rPr>
              <w:t>—</w:t>
            </w:r>
          </w:p>
        </w:tc>
        <w:tc>
          <w:tcPr>
            <w:tcW w:w="24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579A45B" w14:textId="77777777" w:rsidR="00413A1F" w:rsidRDefault="00413A1F" w:rsidP="00413A1F">
            <w:pPr>
              <w:spacing w:line="180" w:lineRule="exact"/>
              <w:jc w:val="center"/>
            </w:pPr>
            <w:r w:rsidRPr="008E3C9E">
              <w:rPr>
                <w:sz w:val="18"/>
                <w:szCs w:val="18"/>
              </w:rPr>
              <w:t>—</w:t>
            </w:r>
          </w:p>
        </w:tc>
        <w:tc>
          <w:tcPr>
            <w:tcW w:w="194"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16A2F4F4"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049BE978"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6C58563D" w14:textId="77777777" w:rsidR="00413A1F" w:rsidRDefault="00413A1F" w:rsidP="00413A1F">
            <w:pPr>
              <w:spacing w:line="180" w:lineRule="exact"/>
              <w:jc w:val="center"/>
            </w:pPr>
            <w:r w:rsidRPr="008E3C9E">
              <w:rPr>
                <w:sz w:val="18"/>
                <w:szCs w:val="18"/>
              </w:rPr>
              <w:t>—</w:t>
            </w:r>
          </w:p>
        </w:tc>
        <w:tc>
          <w:tcPr>
            <w:tcW w:w="225"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13F16477" w14:textId="77777777" w:rsidR="00413A1F" w:rsidRDefault="00413A1F" w:rsidP="00413A1F">
            <w:pPr>
              <w:spacing w:line="180" w:lineRule="exact"/>
              <w:jc w:val="center"/>
            </w:pPr>
            <w:r w:rsidRPr="008E3C9E">
              <w:rPr>
                <w:sz w:val="18"/>
                <w:szCs w:val="18"/>
              </w:rPr>
              <w:t>—</w:t>
            </w:r>
          </w:p>
        </w:tc>
        <w:tc>
          <w:tcPr>
            <w:tcW w:w="200"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2EA7D7EA"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7812E5B3"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802FEFD"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75FCE63B"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021959BA"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2193E474" w14:textId="77777777" w:rsidR="00413A1F" w:rsidRDefault="00413A1F" w:rsidP="00413A1F">
            <w:pPr>
              <w:spacing w:line="180" w:lineRule="exact"/>
              <w:jc w:val="center"/>
            </w:pPr>
            <w:r w:rsidRPr="008E3C9E">
              <w:rPr>
                <w:sz w:val="18"/>
                <w:szCs w:val="18"/>
              </w:rPr>
              <w:t>—</w:t>
            </w:r>
          </w:p>
        </w:tc>
        <w:tc>
          <w:tcPr>
            <w:tcW w:w="201" w:type="pct"/>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1AFEC3E" w14:textId="77777777" w:rsidR="00413A1F" w:rsidRDefault="00413A1F" w:rsidP="00413A1F">
            <w:pPr>
              <w:spacing w:line="180" w:lineRule="exact"/>
              <w:jc w:val="center"/>
            </w:pPr>
            <w:r w:rsidRPr="008E3C9E">
              <w:rPr>
                <w:sz w:val="18"/>
                <w:szCs w:val="18"/>
              </w:rPr>
              <w:t>—</w:t>
            </w:r>
          </w:p>
        </w:tc>
        <w:tc>
          <w:tcPr>
            <w:tcW w:w="202"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506D68D" w14:textId="77777777" w:rsidR="00413A1F" w:rsidRDefault="00413A1F" w:rsidP="00413A1F">
            <w:pPr>
              <w:spacing w:line="180" w:lineRule="exact"/>
              <w:jc w:val="center"/>
            </w:pPr>
            <w:r w:rsidRPr="008E3C9E">
              <w:rPr>
                <w:sz w:val="18"/>
                <w:szCs w:val="18"/>
              </w:rPr>
              <w:t>—</w:t>
            </w:r>
          </w:p>
        </w:tc>
        <w:tc>
          <w:tcPr>
            <w:tcW w:w="206" w:type="pct"/>
            <w:tcBorders>
              <w:top w:val="single" w:sz="8" w:space="0" w:color="auto"/>
              <w:left w:val="single" w:sz="18" w:space="0" w:color="auto"/>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42619266" w14:textId="77777777" w:rsidR="00413A1F" w:rsidRDefault="00413A1F" w:rsidP="00413A1F">
            <w:pPr>
              <w:spacing w:line="180" w:lineRule="exact"/>
              <w:jc w:val="right"/>
            </w:pPr>
            <w:r>
              <w:rPr>
                <w:sz w:val="20"/>
                <w:szCs w:val="20"/>
              </w:rPr>
              <w:t>-0.25</w:t>
            </w:r>
          </w:p>
        </w:tc>
        <w:tc>
          <w:tcPr>
            <w:tcW w:w="206" w:type="pct"/>
            <w:tcBorders>
              <w:top w:val="single" w:sz="8" w:space="0" w:color="auto"/>
              <w:left w:val="single" w:sz="4" w:space="0" w:color="FFFFFF" w:themeColor="background1"/>
              <w:bottom w:val="single" w:sz="4" w:space="0" w:color="FFFFFF" w:themeColor="background1"/>
              <w:right w:val="single" w:sz="6" w:space="0" w:color="000000" w:themeColor="text1"/>
            </w:tcBorders>
            <w:tcMar>
              <w:top w:w="12" w:type="dxa"/>
              <w:left w:w="25" w:type="dxa"/>
              <w:bottom w:w="12" w:type="dxa"/>
              <w:right w:w="25" w:type="dxa"/>
            </w:tcMar>
            <w:vAlign w:val="center"/>
          </w:tcPr>
          <w:p w14:paraId="343A2F38" w14:textId="77777777" w:rsidR="00413A1F" w:rsidRDefault="00413A1F" w:rsidP="00413A1F">
            <w:pPr>
              <w:spacing w:line="180" w:lineRule="exact"/>
              <w:jc w:val="right"/>
            </w:pPr>
            <w:r>
              <w:rPr>
                <w:sz w:val="20"/>
                <w:szCs w:val="20"/>
              </w:rPr>
              <w:t>-3.27</w:t>
            </w:r>
          </w:p>
        </w:tc>
        <w:tc>
          <w:tcPr>
            <w:tcW w:w="207" w:type="pct"/>
            <w:gridSpan w:val="2"/>
            <w:tcBorders>
              <w:top w:val="single" w:sz="8" w:space="0" w:color="auto"/>
              <w:left w:val="single" w:sz="6" w:space="0" w:color="000000" w:themeColor="text1"/>
              <w:bottom w:val="single" w:sz="4" w:space="0" w:color="FFFFFF" w:themeColor="background1"/>
              <w:right w:val="single" w:sz="4" w:space="0" w:color="FFFFFF" w:themeColor="background1"/>
            </w:tcBorders>
            <w:tcMar>
              <w:top w:w="12" w:type="dxa"/>
              <w:left w:w="25" w:type="dxa"/>
              <w:bottom w:w="12" w:type="dxa"/>
              <w:right w:w="25" w:type="dxa"/>
            </w:tcMar>
            <w:vAlign w:val="center"/>
          </w:tcPr>
          <w:p w14:paraId="37323ADB" w14:textId="77777777" w:rsidR="00413A1F" w:rsidRDefault="00413A1F" w:rsidP="00413A1F">
            <w:pPr>
              <w:spacing w:line="180" w:lineRule="exact"/>
              <w:jc w:val="center"/>
            </w:pPr>
            <w:r w:rsidRPr="008E3C9E">
              <w:rPr>
                <w:sz w:val="18"/>
                <w:szCs w:val="18"/>
              </w:rPr>
              <w:t>—</w:t>
            </w:r>
          </w:p>
        </w:tc>
        <w:tc>
          <w:tcPr>
            <w:tcW w:w="198" w:type="pct"/>
            <w:tcBorders>
              <w:top w:val="single" w:sz="8" w:space="0" w:color="auto"/>
              <w:left w:val="single" w:sz="4" w:space="0" w:color="FFFFFF" w:themeColor="background1"/>
              <w:bottom w:val="single" w:sz="4" w:space="0" w:color="FFFFFF" w:themeColor="background1"/>
              <w:right w:val="single" w:sz="18" w:space="0" w:color="auto"/>
            </w:tcBorders>
            <w:tcMar>
              <w:top w:w="12" w:type="dxa"/>
              <w:left w:w="25" w:type="dxa"/>
              <w:bottom w:w="12" w:type="dxa"/>
              <w:right w:w="25" w:type="dxa"/>
            </w:tcMar>
            <w:vAlign w:val="center"/>
          </w:tcPr>
          <w:p w14:paraId="1D08B04A" w14:textId="77777777" w:rsidR="00413A1F" w:rsidRDefault="00413A1F" w:rsidP="00413A1F">
            <w:pPr>
              <w:spacing w:line="180" w:lineRule="exact"/>
              <w:jc w:val="center"/>
            </w:pPr>
            <w:r w:rsidRPr="008E3C9E">
              <w:rPr>
                <w:sz w:val="18"/>
                <w:szCs w:val="18"/>
              </w:rPr>
              <w:t>—</w:t>
            </w:r>
          </w:p>
        </w:tc>
      </w:tr>
      <w:tr w:rsidR="00413A1F" w14:paraId="496329D1" w14:textId="77777777" w:rsidTr="00AD46B2">
        <w:tc>
          <w:tcPr>
            <w:tcW w:w="834" w:type="pct"/>
            <w:gridSpan w:val="2"/>
            <w:tcBorders>
              <w:top w:val="single" w:sz="4" w:space="0" w:color="FFFFFF" w:themeColor="background1"/>
              <w:left w:val="single" w:sz="18" w:space="0" w:color="auto"/>
              <w:bottom w:val="double" w:sz="4" w:space="0" w:color="auto"/>
              <w:right w:val="single" w:sz="18" w:space="0" w:color="auto"/>
            </w:tcBorders>
            <w:tcMar>
              <w:top w:w="12" w:type="dxa"/>
              <w:left w:w="25" w:type="dxa"/>
              <w:bottom w:w="12" w:type="dxa"/>
              <w:right w:w="25" w:type="dxa"/>
            </w:tcMar>
            <w:vAlign w:val="center"/>
          </w:tcPr>
          <w:p w14:paraId="007D2D19" w14:textId="77777777" w:rsidR="00413A1F" w:rsidRDefault="00413A1F" w:rsidP="00413A1F">
            <w:pPr>
              <w:spacing w:line="180" w:lineRule="exact"/>
            </w:pPr>
            <w:r>
              <w:rPr>
                <w:sz w:val="20"/>
                <w:szCs w:val="20"/>
              </w:rPr>
              <w:t xml:space="preserve">  High (&gt; 10.5)</w:t>
            </w:r>
          </w:p>
        </w:tc>
        <w:tc>
          <w:tcPr>
            <w:tcW w:w="200"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5D37CB42" w14:textId="77777777" w:rsidR="00413A1F" w:rsidRDefault="00413A1F" w:rsidP="00413A1F">
            <w:pPr>
              <w:spacing w:line="180" w:lineRule="exact"/>
              <w:jc w:val="right"/>
            </w:pPr>
            <w:r>
              <w:rPr>
                <w:sz w:val="20"/>
                <w:szCs w:val="20"/>
              </w:rPr>
              <w:t>-0.14</w:t>
            </w:r>
          </w:p>
        </w:tc>
        <w:tc>
          <w:tcPr>
            <w:tcW w:w="235" w:type="pct"/>
            <w:gridSpan w:val="2"/>
            <w:tcBorders>
              <w:top w:val="single" w:sz="4" w:space="0" w:color="FFFFFF" w:themeColor="background1"/>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407D7F24" w14:textId="77777777" w:rsidR="00413A1F" w:rsidRDefault="00413A1F" w:rsidP="00413A1F">
            <w:pPr>
              <w:spacing w:line="180" w:lineRule="exact"/>
              <w:jc w:val="right"/>
            </w:pPr>
            <w:r>
              <w:rPr>
                <w:sz w:val="20"/>
                <w:szCs w:val="20"/>
              </w:rPr>
              <w:t>-2.40</w:t>
            </w:r>
          </w:p>
        </w:tc>
        <w:tc>
          <w:tcPr>
            <w:tcW w:w="213"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2983570E" w14:textId="77777777" w:rsidR="00413A1F" w:rsidRDefault="00413A1F" w:rsidP="00413A1F">
            <w:pPr>
              <w:spacing w:line="180" w:lineRule="exact"/>
              <w:jc w:val="center"/>
            </w:pPr>
            <w:r w:rsidRPr="008E3C9E">
              <w:rPr>
                <w:sz w:val="18"/>
                <w:szCs w:val="18"/>
              </w:rPr>
              <w:t>—</w:t>
            </w:r>
          </w:p>
        </w:tc>
        <w:tc>
          <w:tcPr>
            <w:tcW w:w="245"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2EAF78CC" w14:textId="77777777" w:rsidR="00413A1F" w:rsidRDefault="00413A1F" w:rsidP="00413A1F">
            <w:pPr>
              <w:spacing w:line="180" w:lineRule="exact"/>
              <w:jc w:val="center"/>
            </w:pPr>
            <w:r w:rsidRPr="008E3C9E">
              <w:rPr>
                <w:sz w:val="18"/>
                <w:szCs w:val="18"/>
              </w:rPr>
              <w:t>—</w:t>
            </w:r>
          </w:p>
        </w:tc>
        <w:tc>
          <w:tcPr>
            <w:tcW w:w="194"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1CB9F33E"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24B54FCA"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5AC2D00C" w14:textId="77777777" w:rsidR="00413A1F" w:rsidRDefault="00413A1F" w:rsidP="00413A1F">
            <w:pPr>
              <w:spacing w:line="180" w:lineRule="exact"/>
              <w:jc w:val="center"/>
            </w:pPr>
            <w:r w:rsidRPr="008E3C9E">
              <w:rPr>
                <w:sz w:val="18"/>
                <w:szCs w:val="18"/>
              </w:rPr>
              <w:t>—</w:t>
            </w:r>
          </w:p>
        </w:tc>
        <w:tc>
          <w:tcPr>
            <w:tcW w:w="225"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7EB44A20" w14:textId="77777777" w:rsidR="00413A1F" w:rsidRDefault="00413A1F" w:rsidP="00413A1F">
            <w:pPr>
              <w:spacing w:line="180" w:lineRule="exact"/>
              <w:jc w:val="center"/>
            </w:pPr>
            <w:r w:rsidRPr="008E3C9E">
              <w:rPr>
                <w:sz w:val="18"/>
                <w:szCs w:val="18"/>
              </w:rPr>
              <w:t>—</w:t>
            </w:r>
          </w:p>
        </w:tc>
        <w:tc>
          <w:tcPr>
            <w:tcW w:w="200"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658CB1CC"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618DC8D5"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175E7889"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1E42DB7D"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05EB1B56"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27846C50" w14:textId="77777777" w:rsidR="00413A1F" w:rsidRDefault="00413A1F" w:rsidP="00413A1F">
            <w:pPr>
              <w:spacing w:line="180" w:lineRule="exact"/>
              <w:jc w:val="center"/>
            </w:pPr>
            <w:r w:rsidRPr="008E3C9E">
              <w:rPr>
                <w:sz w:val="18"/>
                <w:szCs w:val="18"/>
              </w:rPr>
              <w:t>—</w:t>
            </w:r>
          </w:p>
        </w:tc>
        <w:tc>
          <w:tcPr>
            <w:tcW w:w="201" w:type="pct"/>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1E3C0A23" w14:textId="77777777" w:rsidR="00413A1F" w:rsidRDefault="00413A1F" w:rsidP="00413A1F">
            <w:pPr>
              <w:spacing w:line="180" w:lineRule="exact"/>
              <w:jc w:val="center"/>
            </w:pPr>
            <w:r w:rsidRPr="008E3C9E">
              <w:rPr>
                <w:sz w:val="18"/>
                <w:szCs w:val="18"/>
              </w:rPr>
              <w:t>—</w:t>
            </w:r>
          </w:p>
        </w:tc>
        <w:tc>
          <w:tcPr>
            <w:tcW w:w="202" w:type="pct"/>
            <w:tcBorders>
              <w:top w:val="single" w:sz="4" w:space="0" w:color="FFFFFF" w:themeColor="background1"/>
              <w:left w:val="single" w:sz="4" w:space="0" w:color="FFFFFF" w:themeColor="background1"/>
              <w:bottom w:val="double" w:sz="4" w:space="0" w:color="auto"/>
              <w:right w:val="single" w:sz="18" w:space="0" w:color="auto"/>
            </w:tcBorders>
            <w:tcMar>
              <w:top w:w="12" w:type="dxa"/>
              <w:left w:w="25" w:type="dxa"/>
              <w:bottom w:w="12" w:type="dxa"/>
              <w:right w:w="25" w:type="dxa"/>
            </w:tcMar>
            <w:vAlign w:val="center"/>
          </w:tcPr>
          <w:p w14:paraId="005DA8BA" w14:textId="77777777" w:rsidR="00413A1F" w:rsidRDefault="00413A1F" w:rsidP="00413A1F">
            <w:pPr>
              <w:spacing w:line="180" w:lineRule="exact"/>
              <w:jc w:val="center"/>
            </w:pPr>
            <w:r w:rsidRPr="008E3C9E">
              <w:rPr>
                <w:sz w:val="18"/>
                <w:szCs w:val="18"/>
              </w:rPr>
              <w:t>—</w:t>
            </w:r>
          </w:p>
        </w:tc>
        <w:tc>
          <w:tcPr>
            <w:tcW w:w="206" w:type="pct"/>
            <w:tcBorders>
              <w:top w:val="single" w:sz="4" w:space="0" w:color="FFFFFF" w:themeColor="background1"/>
              <w:left w:val="single" w:sz="18" w:space="0" w:color="auto"/>
              <w:bottom w:val="double" w:sz="4" w:space="0" w:color="auto"/>
              <w:right w:val="single" w:sz="4" w:space="0" w:color="FFFFFF" w:themeColor="background1"/>
            </w:tcBorders>
            <w:tcMar>
              <w:top w:w="12" w:type="dxa"/>
              <w:left w:w="25" w:type="dxa"/>
              <w:bottom w:w="12" w:type="dxa"/>
              <w:right w:w="25" w:type="dxa"/>
            </w:tcMar>
            <w:vAlign w:val="center"/>
          </w:tcPr>
          <w:p w14:paraId="241E8A0A" w14:textId="77777777" w:rsidR="00413A1F" w:rsidRDefault="00413A1F" w:rsidP="00413A1F">
            <w:pPr>
              <w:spacing w:line="180" w:lineRule="exact"/>
              <w:jc w:val="right"/>
            </w:pPr>
            <w:r>
              <w:rPr>
                <w:sz w:val="20"/>
                <w:szCs w:val="20"/>
              </w:rPr>
              <w:t>-0.52</w:t>
            </w:r>
          </w:p>
        </w:tc>
        <w:tc>
          <w:tcPr>
            <w:tcW w:w="206" w:type="pct"/>
            <w:tcBorders>
              <w:top w:val="single" w:sz="4" w:space="0" w:color="FFFFFF" w:themeColor="background1"/>
              <w:left w:val="single" w:sz="4" w:space="0" w:color="FFFFFF" w:themeColor="background1"/>
              <w:bottom w:val="double" w:sz="4" w:space="0" w:color="auto"/>
              <w:right w:val="single" w:sz="6" w:space="0" w:color="000000" w:themeColor="text1"/>
            </w:tcBorders>
            <w:tcMar>
              <w:top w:w="12" w:type="dxa"/>
              <w:left w:w="25" w:type="dxa"/>
              <w:bottom w:w="12" w:type="dxa"/>
              <w:right w:w="25" w:type="dxa"/>
            </w:tcMar>
            <w:vAlign w:val="center"/>
          </w:tcPr>
          <w:p w14:paraId="42A26A64" w14:textId="77777777" w:rsidR="00413A1F" w:rsidRDefault="00413A1F" w:rsidP="00413A1F">
            <w:pPr>
              <w:spacing w:line="180" w:lineRule="exact"/>
              <w:jc w:val="right"/>
            </w:pPr>
            <w:r>
              <w:rPr>
                <w:sz w:val="20"/>
                <w:szCs w:val="20"/>
              </w:rPr>
              <w:t>-5.10</w:t>
            </w:r>
          </w:p>
        </w:tc>
        <w:tc>
          <w:tcPr>
            <w:tcW w:w="207" w:type="pct"/>
            <w:gridSpan w:val="2"/>
            <w:tcBorders>
              <w:top w:val="single" w:sz="4" w:space="0" w:color="FFFFFF" w:themeColor="background1"/>
              <w:left w:val="single" w:sz="6" w:space="0" w:color="000000" w:themeColor="text1"/>
              <w:bottom w:val="double" w:sz="4" w:space="0" w:color="auto"/>
              <w:right w:val="single" w:sz="4" w:space="0" w:color="FFFFFF" w:themeColor="background1"/>
            </w:tcBorders>
            <w:tcMar>
              <w:top w:w="12" w:type="dxa"/>
              <w:left w:w="25" w:type="dxa"/>
              <w:bottom w:w="12" w:type="dxa"/>
              <w:right w:w="25" w:type="dxa"/>
            </w:tcMar>
            <w:vAlign w:val="center"/>
          </w:tcPr>
          <w:p w14:paraId="6BD84E80" w14:textId="77777777" w:rsidR="00413A1F" w:rsidRDefault="00413A1F" w:rsidP="00413A1F">
            <w:pPr>
              <w:spacing w:line="180" w:lineRule="exact"/>
              <w:jc w:val="center"/>
            </w:pPr>
            <w:r w:rsidRPr="008E3C9E">
              <w:rPr>
                <w:sz w:val="18"/>
                <w:szCs w:val="18"/>
              </w:rPr>
              <w:t>—</w:t>
            </w:r>
          </w:p>
        </w:tc>
        <w:tc>
          <w:tcPr>
            <w:tcW w:w="198" w:type="pct"/>
            <w:tcBorders>
              <w:top w:val="single" w:sz="4" w:space="0" w:color="FFFFFF" w:themeColor="background1"/>
              <w:left w:val="single" w:sz="4" w:space="0" w:color="FFFFFF" w:themeColor="background1"/>
              <w:right w:val="single" w:sz="18" w:space="0" w:color="auto"/>
            </w:tcBorders>
            <w:tcMar>
              <w:top w:w="12" w:type="dxa"/>
              <w:left w:w="25" w:type="dxa"/>
              <w:bottom w:w="12" w:type="dxa"/>
              <w:right w:w="25" w:type="dxa"/>
            </w:tcMar>
            <w:vAlign w:val="center"/>
          </w:tcPr>
          <w:p w14:paraId="64486BF9" w14:textId="77777777" w:rsidR="00413A1F" w:rsidRDefault="00413A1F" w:rsidP="00413A1F">
            <w:pPr>
              <w:spacing w:line="180" w:lineRule="exact"/>
              <w:jc w:val="center"/>
            </w:pPr>
            <w:r w:rsidRPr="008E3C9E">
              <w:rPr>
                <w:sz w:val="18"/>
                <w:szCs w:val="18"/>
              </w:rPr>
              <w:t>—</w:t>
            </w:r>
          </w:p>
        </w:tc>
      </w:tr>
      <w:tr w:rsidR="00413A1F" w14:paraId="4CE599E7" w14:textId="77777777" w:rsidTr="00AD46B2">
        <w:tc>
          <w:tcPr>
            <w:tcW w:w="417" w:type="pct"/>
            <w:vMerge w:val="restart"/>
            <w:tcBorders>
              <w:top w:val="single" w:sz="12" w:space="0" w:color="auto"/>
              <w:left w:val="single" w:sz="18" w:space="0" w:color="auto"/>
              <w:right w:val="single" w:sz="18" w:space="0" w:color="auto"/>
            </w:tcBorders>
            <w:tcMar>
              <w:top w:w="12" w:type="dxa"/>
              <w:left w:w="25" w:type="dxa"/>
              <w:bottom w:w="12" w:type="dxa"/>
              <w:right w:w="25" w:type="dxa"/>
            </w:tcMar>
            <w:vAlign w:val="center"/>
          </w:tcPr>
          <w:p w14:paraId="7C480227" w14:textId="77777777" w:rsidR="00413A1F" w:rsidRPr="0058029D" w:rsidRDefault="00413A1F" w:rsidP="00413A1F">
            <w:pPr>
              <w:spacing w:line="180" w:lineRule="exact"/>
              <w:rPr>
                <w:sz w:val="20"/>
                <w:szCs w:val="20"/>
              </w:rPr>
            </w:pPr>
            <w:r>
              <w:rPr>
                <w:b/>
                <w:bCs/>
                <w:i/>
                <w:iCs/>
                <w:sz w:val="20"/>
                <w:szCs w:val="20"/>
              </w:rPr>
              <w:t>Thresholds</w:t>
            </w:r>
          </w:p>
        </w:tc>
        <w:tc>
          <w:tcPr>
            <w:tcW w:w="417" w:type="pct"/>
            <w:tcBorders>
              <w:top w:val="single" w:sz="12" w:space="0" w:color="auto"/>
              <w:left w:val="single" w:sz="18" w:space="0" w:color="auto"/>
              <w:bottom w:val="single" w:sz="2" w:space="0" w:color="FFFFFF" w:themeColor="background1"/>
              <w:right w:val="single" w:sz="18" w:space="0" w:color="auto"/>
            </w:tcBorders>
            <w:vAlign w:val="center"/>
          </w:tcPr>
          <w:p w14:paraId="71877A17" w14:textId="77777777" w:rsidR="00413A1F" w:rsidRPr="0058029D" w:rsidRDefault="00413A1F" w:rsidP="00413A1F">
            <w:pPr>
              <w:spacing w:line="180" w:lineRule="exact"/>
              <w:rPr>
                <w:sz w:val="20"/>
                <w:szCs w:val="20"/>
              </w:rPr>
            </w:pPr>
            <w:r>
              <w:rPr>
                <w:sz w:val="20"/>
                <w:szCs w:val="20"/>
              </w:rPr>
              <w:t xml:space="preserve">  1|2</w:t>
            </w:r>
          </w:p>
        </w:tc>
        <w:tc>
          <w:tcPr>
            <w:tcW w:w="216" w:type="pct"/>
            <w:gridSpan w:val="2"/>
            <w:tcBorders>
              <w:top w:val="single" w:sz="12" w:space="0" w:color="auto"/>
              <w:left w:val="single" w:sz="18" w:space="0" w:color="auto"/>
              <w:bottom w:val="single" w:sz="2" w:space="0" w:color="FFFFFF" w:themeColor="background1"/>
              <w:right w:val="single" w:sz="2" w:space="0" w:color="FFFFFF" w:themeColor="background1"/>
            </w:tcBorders>
            <w:vAlign w:val="bottom"/>
          </w:tcPr>
          <w:p w14:paraId="7563C228"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0.01</w:t>
            </w:r>
          </w:p>
        </w:tc>
        <w:tc>
          <w:tcPr>
            <w:tcW w:w="219" w:type="pct"/>
            <w:tcBorders>
              <w:top w:val="single" w:sz="12" w:space="0" w:color="auto"/>
              <w:left w:val="single" w:sz="2" w:space="0" w:color="FFFFFF" w:themeColor="background1"/>
              <w:bottom w:val="single" w:sz="2" w:space="0" w:color="FFFFFF" w:themeColor="background1"/>
              <w:right w:val="single" w:sz="18" w:space="0" w:color="auto"/>
            </w:tcBorders>
            <w:vAlign w:val="bottom"/>
          </w:tcPr>
          <w:p w14:paraId="0F1C77D6"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0.07</w:t>
            </w:r>
          </w:p>
        </w:tc>
        <w:tc>
          <w:tcPr>
            <w:tcW w:w="213" w:type="pct"/>
            <w:tcBorders>
              <w:top w:val="single" w:sz="12" w:space="0" w:color="auto"/>
              <w:left w:val="single" w:sz="18" w:space="0" w:color="auto"/>
              <w:bottom w:val="single" w:sz="2" w:space="0" w:color="FFFFFF" w:themeColor="background1"/>
              <w:right w:val="single" w:sz="2" w:space="0" w:color="FFFFFF" w:themeColor="background1"/>
            </w:tcBorders>
            <w:vAlign w:val="bottom"/>
          </w:tcPr>
          <w:p w14:paraId="522E1798" w14:textId="77777777" w:rsidR="00413A1F" w:rsidRPr="00377614" w:rsidRDefault="00413A1F" w:rsidP="00413A1F">
            <w:pPr>
              <w:spacing w:line="180" w:lineRule="exact"/>
              <w:jc w:val="right"/>
              <w:rPr>
                <w:sz w:val="20"/>
                <w:szCs w:val="20"/>
              </w:rPr>
            </w:pPr>
            <w:r w:rsidRPr="00377614">
              <w:rPr>
                <w:color w:val="000000"/>
                <w:sz w:val="20"/>
                <w:szCs w:val="20"/>
              </w:rPr>
              <w:t>0.95</w:t>
            </w:r>
          </w:p>
        </w:tc>
        <w:tc>
          <w:tcPr>
            <w:tcW w:w="245"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bottom"/>
          </w:tcPr>
          <w:p w14:paraId="4D4C0DAA" w14:textId="77777777" w:rsidR="00413A1F" w:rsidRPr="00377614" w:rsidRDefault="00413A1F" w:rsidP="00413A1F">
            <w:pPr>
              <w:spacing w:line="180" w:lineRule="exact"/>
              <w:jc w:val="right"/>
              <w:rPr>
                <w:sz w:val="20"/>
                <w:szCs w:val="20"/>
              </w:rPr>
            </w:pPr>
            <w:r w:rsidRPr="00377614">
              <w:rPr>
                <w:color w:val="000000"/>
                <w:sz w:val="20"/>
                <w:szCs w:val="20"/>
              </w:rPr>
              <w:t>15.41</w:t>
            </w:r>
          </w:p>
        </w:tc>
        <w:tc>
          <w:tcPr>
            <w:tcW w:w="194"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bottom"/>
          </w:tcPr>
          <w:p w14:paraId="79B51EBA" w14:textId="77777777" w:rsidR="00413A1F" w:rsidRPr="00377614" w:rsidRDefault="00413A1F" w:rsidP="00413A1F">
            <w:pPr>
              <w:spacing w:line="180" w:lineRule="exact"/>
              <w:jc w:val="right"/>
              <w:rPr>
                <w:sz w:val="20"/>
                <w:szCs w:val="20"/>
              </w:rPr>
            </w:pPr>
            <w:r w:rsidRPr="00377614">
              <w:rPr>
                <w:color w:val="000000"/>
                <w:sz w:val="20"/>
                <w:szCs w:val="20"/>
              </w:rPr>
              <w:t>0.86</w:t>
            </w:r>
          </w:p>
        </w:tc>
        <w:tc>
          <w:tcPr>
            <w:tcW w:w="202"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bottom"/>
          </w:tcPr>
          <w:p w14:paraId="3468BBF5" w14:textId="77777777" w:rsidR="00413A1F" w:rsidRPr="00377614" w:rsidRDefault="00413A1F" w:rsidP="00413A1F">
            <w:pPr>
              <w:spacing w:line="180" w:lineRule="exact"/>
              <w:jc w:val="right"/>
              <w:rPr>
                <w:sz w:val="20"/>
                <w:szCs w:val="20"/>
              </w:rPr>
            </w:pPr>
            <w:r w:rsidRPr="00377614">
              <w:rPr>
                <w:color w:val="000000"/>
                <w:sz w:val="20"/>
                <w:szCs w:val="20"/>
              </w:rPr>
              <w:t>15.34</w:t>
            </w:r>
          </w:p>
        </w:tc>
        <w:tc>
          <w:tcPr>
            <w:tcW w:w="225"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bottom"/>
          </w:tcPr>
          <w:p w14:paraId="30FF7F8B" w14:textId="77777777" w:rsidR="00413A1F" w:rsidRPr="00377614" w:rsidRDefault="00413A1F" w:rsidP="00413A1F">
            <w:pPr>
              <w:spacing w:line="180" w:lineRule="exact"/>
              <w:jc w:val="right"/>
              <w:rPr>
                <w:sz w:val="20"/>
                <w:szCs w:val="20"/>
              </w:rPr>
            </w:pPr>
            <w:r w:rsidRPr="00377614">
              <w:rPr>
                <w:color w:val="000000"/>
                <w:sz w:val="20"/>
                <w:szCs w:val="20"/>
              </w:rPr>
              <w:t>1.90</w:t>
            </w:r>
          </w:p>
        </w:tc>
        <w:tc>
          <w:tcPr>
            <w:tcW w:w="225"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bottom"/>
          </w:tcPr>
          <w:p w14:paraId="54CCD3A8" w14:textId="77777777" w:rsidR="00413A1F" w:rsidRPr="00377614" w:rsidRDefault="00413A1F" w:rsidP="00413A1F">
            <w:pPr>
              <w:spacing w:line="180" w:lineRule="exact"/>
              <w:jc w:val="right"/>
              <w:rPr>
                <w:sz w:val="20"/>
                <w:szCs w:val="20"/>
              </w:rPr>
            </w:pPr>
            <w:r w:rsidRPr="00377614">
              <w:rPr>
                <w:color w:val="000000"/>
                <w:sz w:val="20"/>
                <w:szCs w:val="20"/>
              </w:rPr>
              <w:t>23.29</w:t>
            </w:r>
          </w:p>
        </w:tc>
        <w:tc>
          <w:tcPr>
            <w:tcW w:w="200"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bottom"/>
          </w:tcPr>
          <w:p w14:paraId="50E0BDE7" w14:textId="77777777" w:rsidR="00413A1F" w:rsidRPr="00377614" w:rsidRDefault="00413A1F" w:rsidP="00413A1F">
            <w:pPr>
              <w:spacing w:line="180" w:lineRule="exact"/>
              <w:jc w:val="right"/>
              <w:rPr>
                <w:sz w:val="20"/>
                <w:szCs w:val="20"/>
              </w:rPr>
            </w:pPr>
            <w:r w:rsidRPr="00377614">
              <w:rPr>
                <w:color w:val="000000"/>
                <w:sz w:val="20"/>
                <w:szCs w:val="20"/>
              </w:rPr>
              <w:t>1.21</w:t>
            </w:r>
          </w:p>
        </w:tc>
        <w:tc>
          <w:tcPr>
            <w:tcW w:w="201"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bottom"/>
          </w:tcPr>
          <w:p w14:paraId="58E23A02" w14:textId="77777777" w:rsidR="00413A1F" w:rsidRPr="00377614" w:rsidRDefault="00413A1F" w:rsidP="00413A1F">
            <w:pPr>
              <w:spacing w:line="180" w:lineRule="exact"/>
              <w:jc w:val="right"/>
              <w:rPr>
                <w:sz w:val="20"/>
                <w:szCs w:val="20"/>
              </w:rPr>
            </w:pPr>
            <w:r w:rsidRPr="00377614">
              <w:rPr>
                <w:color w:val="000000"/>
                <w:sz w:val="20"/>
                <w:szCs w:val="20"/>
              </w:rPr>
              <w:t>14.14</w:t>
            </w:r>
          </w:p>
        </w:tc>
        <w:tc>
          <w:tcPr>
            <w:tcW w:w="202"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bottom"/>
          </w:tcPr>
          <w:p w14:paraId="79D83890" w14:textId="77777777" w:rsidR="00413A1F" w:rsidRPr="00377614" w:rsidRDefault="00413A1F" w:rsidP="00413A1F">
            <w:pPr>
              <w:spacing w:line="180" w:lineRule="exact"/>
              <w:jc w:val="right"/>
              <w:rPr>
                <w:sz w:val="20"/>
                <w:szCs w:val="20"/>
              </w:rPr>
            </w:pPr>
            <w:r w:rsidRPr="00377614">
              <w:rPr>
                <w:color w:val="000000"/>
                <w:sz w:val="20"/>
                <w:szCs w:val="20"/>
              </w:rPr>
              <w:t>1.07</w:t>
            </w:r>
          </w:p>
        </w:tc>
        <w:tc>
          <w:tcPr>
            <w:tcW w:w="202" w:type="pct"/>
            <w:tcBorders>
              <w:top w:val="single" w:sz="12" w:space="0" w:color="auto"/>
              <w:left w:val="single" w:sz="2" w:space="0" w:color="FFFFFF" w:themeColor="background1"/>
              <w:bottom w:val="single" w:sz="2" w:space="0" w:color="FFFFFF" w:themeColor="background1"/>
              <w:right w:val="single" w:sz="18" w:space="0" w:color="auto"/>
            </w:tcBorders>
            <w:vAlign w:val="bottom"/>
          </w:tcPr>
          <w:p w14:paraId="76FEE458" w14:textId="77777777" w:rsidR="00413A1F" w:rsidRPr="00377614" w:rsidRDefault="00413A1F" w:rsidP="00413A1F">
            <w:pPr>
              <w:spacing w:line="180" w:lineRule="exact"/>
              <w:jc w:val="right"/>
              <w:rPr>
                <w:sz w:val="20"/>
                <w:szCs w:val="20"/>
              </w:rPr>
            </w:pPr>
            <w:r w:rsidRPr="00377614">
              <w:rPr>
                <w:color w:val="000000"/>
                <w:sz w:val="20"/>
                <w:szCs w:val="20"/>
              </w:rPr>
              <w:t>18.02</w:t>
            </w:r>
          </w:p>
        </w:tc>
        <w:tc>
          <w:tcPr>
            <w:tcW w:w="201" w:type="pct"/>
            <w:tcBorders>
              <w:top w:val="single" w:sz="12" w:space="0" w:color="auto"/>
              <w:left w:val="single" w:sz="18" w:space="0" w:color="auto"/>
              <w:bottom w:val="single" w:sz="2" w:space="0" w:color="FFFFFF" w:themeColor="background1"/>
              <w:right w:val="single" w:sz="2" w:space="0" w:color="FFFFFF" w:themeColor="background1"/>
            </w:tcBorders>
            <w:vAlign w:val="bottom"/>
          </w:tcPr>
          <w:p w14:paraId="2B8B03DF" w14:textId="77777777" w:rsidR="00413A1F" w:rsidRPr="00377614" w:rsidRDefault="00413A1F" w:rsidP="00413A1F">
            <w:pPr>
              <w:spacing w:line="180" w:lineRule="exact"/>
              <w:jc w:val="right"/>
              <w:rPr>
                <w:sz w:val="20"/>
                <w:szCs w:val="20"/>
              </w:rPr>
            </w:pPr>
            <w:r w:rsidRPr="00377614">
              <w:rPr>
                <w:color w:val="000000"/>
                <w:sz w:val="20"/>
                <w:szCs w:val="20"/>
              </w:rPr>
              <w:t>0.81</w:t>
            </w:r>
          </w:p>
        </w:tc>
        <w:tc>
          <w:tcPr>
            <w:tcW w:w="202"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bottom"/>
          </w:tcPr>
          <w:p w14:paraId="0F205E40" w14:textId="77777777" w:rsidR="00413A1F" w:rsidRPr="00377614" w:rsidRDefault="00413A1F" w:rsidP="00413A1F">
            <w:pPr>
              <w:spacing w:line="180" w:lineRule="exact"/>
              <w:jc w:val="right"/>
              <w:rPr>
                <w:sz w:val="20"/>
                <w:szCs w:val="20"/>
              </w:rPr>
            </w:pPr>
            <w:r w:rsidRPr="00377614">
              <w:rPr>
                <w:color w:val="000000"/>
                <w:sz w:val="20"/>
                <w:szCs w:val="20"/>
              </w:rPr>
              <w:t>13.45</w:t>
            </w:r>
          </w:p>
        </w:tc>
        <w:tc>
          <w:tcPr>
            <w:tcW w:w="201"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bottom"/>
          </w:tcPr>
          <w:p w14:paraId="67CC87BA" w14:textId="77777777" w:rsidR="00413A1F" w:rsidRPr="00377614" w:rsidRDefault="00413A1F" w:rsidP="00413A1F">
            <w:pPr>
              <w:spacing w:line="180" w:lineRule="exact"/>
              <w:jc w:val="right"/>
              <w:rPr>
                <w:sz w:val="20"/>
                <w:szCs w:val="20"/>
              </w:rPr>
            </w:pPr>
            <w:r w:rsidRPr="00377614">
              <w:rPr>
                <w:color w:val="000000"/>
                <w:sz w:val="20"/>
                <w:szCs w:val="20"/>
              </w:rPr>
              <w:t>1.49</w:t>
            </w:r>
          </w:p>
        </w:tc>
        <w:tc>
          <w:tcPr>
            <w:tcW w:w="202" w:type="pct"/>
            <w:tcBorders>
              <w:top w:val="single" w:sz="12" w:space="0" w:color="auto"/>
              <w:left w:val="single" w:sz="2" w:space="0" w:color="FFFFFF" w:themeColor="background1"/>
              <w:bottom w:val="single" w:sz="2" w:space="0" w:color="FFFFFF" w:themeColor="background1"/>
              <w:right w:val="single" w:sz="18" w:space="0" w:color="auto"/>
            </w:tcBorders>
            <w:vAlign w:val="bottom"/>
          </w:tcPr>
          <w:p w14:paraId="2C7FD98A" w14:textId="77777777" w:rsidR="00413A1F" w:rsidRPr="00377614" w:rsidRDefault="00413A1F" w:rsidP="00413A1F">
            <w:pPr>
              <w:spacing w:line="180" w:lineRule="exact"/>
              <w:jc w:val="right"/>
              <w:rPr>
                <w:sz w:val="20"/>
                <w:szCs w:val="20"/>
              </w:rPr>
            </w:pPr>
            <w:r w:rsidRPr="00377614">
              <w:rPr>
                <w:color w:val="000000"/>
                <w:sz w:val="20"/>
                <w:szCs w:val="20"/>
              </w:rPr>
              <w:t>19.89</w:t>
            </w:r>
          </w:p>
        </w:tc>
        <w:tc>
          <w:tcPr>
            <w:tcW w:w="206" w:type="pct"/>
            <w:tcBorders>
              <w:top w:val="single" w:sz="12" w:space="0" w:color="auto"/>
              <w:left w:val="single" w:sz="18" w:space="0" w:color="auto"/>
              <w:bottom w:val="single" w:sz="2" w:space="0" w:color="FFFFFF" w:themeColor="background1"/>
              <w:right w:val="single" w:sz="2" w:space="0" w:color="FFFFFF" w:themeColor="background1"/>
            </w:tcBorders>
            <w:vAlign w:val="bottom"/>
          </w:tcPr>
          <w:p w14:paraId="3FC95D59" w14:textId="77777777" w:rsidR="00413A1F" w:rsidRPr="00377614" w:rsidRDefault="00413A1F" w:rsidP="00413A1F">
            <w:pPr>
              <w:spacing w:line="180" w:lineRule="exact"/>
              <w:jc w:val="right"/>
              <w:rPr>
                <w:sz w:val="20"/>
                <w:szCs w:val="20"/>
              </w:rPr>
            </w:pPr>
            <w:r w:rsidRPr="00377614">
              <w:rPr>
                <w:color w:val="000000"/>
                <w:sz w:val="20"/>
                <w:szCs w:val="20"/>
              </w:rPr>
              <w:t>0.77</w:t>
            </w:r>
          </w:p>
        </w:tc>
        <w:tc>
          <w:tcPr>
            <w:tcW w:w="206"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bottom"/>
          </w:tcPr>
          <w:p w14:paraId="2B0EED7C" w14:textId="77777777" w:rsidR="00413A1F" w:rsidRPr="00377614" w:rsidRDefault="00413A1F" w:rsidP="00413A1F">
            <w:pPr>
              <w:spacing w:line="180" w:lineRule="exact"/>
              <w:jc w:val="right"/>
              <w:rPr>
                <w:sz w:val="20"/>
                <w:szCs w:val="20"/>
              </w:rPr>
            </w:pPr>
            <w:r w:rsidRPr="00377614">
              <w:rPr>
                <w:color w:val="000000"/>
                <w:sz w:val="20"/>
                <w:szCs w:val="20"/>
              </w:rPr>
              <w:t>5.06</w:t>
            </w:r>
          </w:p>
        </w:tc>
        <w:tc>
          <w:tcPr>
            <w:tcW w:w="203"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bottom"/>
          </w:tcPr>
          <w:p w14:paraId="76B972D4" w14:textId="77777777" w:rsidR="00413A1F" w:rsidRPr="00377614" w:rsidRDefault="00413A1F" w:rsidP="00413A1F">
            <w:pPr>
              <w:spacing w:line="180" w:lineRule="exact"/>
              <w:jc w:val="right"/>
              <w:rPr>
                <w:sz w:val="20"/>
                <w:szCs w:val="20"/>
              </w:rPr>
            </w:pPr>
            <w:r w:rsidRPr="00377614">
              <w:rPr>
                <w:color w:val="000000"/>
                <w:sz w:val="20"/>
                <w:szCs w:val="20"/>
              </w:rPr>
              <w:t>0.99</w:t>
            </w:r>
          </w:p>
        </w:tc>
        <w:tc>
          <w:tcPr>
            <w:tcW w:w="201" w:type="pct"/>
            <w:gridSpan w:val="2"/>
            <w:tcBorders>
              <w:top w:val="single" w:sz="12" w:space="0" w:color="auto"/>
              <w:left w:val="single" w:sz="2" w:space="0" w:color="FFFFFF" w:themeColor="background1"/>
              <w:bottom w:val="single" w:sz="2" w:space="0" w:color="FFFFFF" w:themeColor="background1"/>
              <w:right w:val="single" w:sz="18" w:space="0" w:color="auto"/>
            </w:tcBorders>
            <w:vAlign w:val="bottom"/>
          </w:tcPr>
          <w:p w14:paraId="4377257A" w14:textId="77777777" w:rsidR="00413A1F" w:rsidRPr="00377614" w:rsidRDefault="00413A1F" w:rsidP="00413A1F">
            <w:pPr>
              <w:spacing w:line="180" w:lineRule="exact"/>
              <w:jc w:val="right"/>
              <w:rPr>
                <w:sz w:val="20"/>
                <w:szCs w:val="20"/>
              </w:rPr>
            </w:pPr>
            <w:r w:rsidRPr="00377614">
              <w:rPr>
                <w:color w:val="000000"/>
                <w:sz w:val="20"/>
                <w:szCs w:val="20"/>
              </w:rPr>
              <w:t>7.57</w:t>
            </w:r>
          </w:p>
        </w:tc>
      </w:tr>
      <w:tr w:rsidR="00413A1F" w14:paraId="26A31C3C" w14:textId="77777777" w:rsidTr="00AD46B2">
        <w:tc>
          <w:tcPr>
            <w:tcW w:w="417" w:type="pct"/>
            <w:vMerge/>
            <w:tcBorders>
              <w:left w:val="single" w:sz="18" w:space="0" w:color="auto"/>
              <w:right w:val="single" w:sz="18" w:space="0" w:color="auto"/>
            </w:tcBorders>
            <w:tcMar>
              <w:top w:w="12" w:type="dxa"/>
              <w:left w:w="25" w:type="dxa"/>
              <w:bottom w:w="12" w:type="dxa"/>
              <w:right w:w="25" w:type="dxa"/>
            </w:tcMar>
            <w:vAlign w:val="center"/>
          </w:tcPr>
          <w:p w14:paraId="1F4E11EE" w14:textId="77777777" w:rsidR="00413A1F" w:rsidRDefault="00413A1F" w:rsidP="00413A1F">
            <w:pPr>
              <w:spacing w:line="180" w:lineRule="exact"/>
              <w:rPr>
                <w:sz w:val="20"/>
                <w:szCs w:val="20"/>
              </w:rPr>
            </w:pPr>
          </w:p>
        </w:tc>
        <w:tc>
          <w:tcPr>
            <w:tcW w:w="417" w:type="pct"/>
            <w:tcBorders>
              <w:top w:val="single" w:sz="2" w:space="0" w:color="FFFFFF" w:themeColor="background1"/>
              <w:left w:val="single" w:sz="18" w:space="0" w:color="auto"/>
              <w:bottom w:val="single" w:sz="2" w:space="0" w:color="FFFFFF" w:themeColor="background1"/>
              <w:right w:val="single" w:sz="18" w:space="0" w:color="auto"/>
            </w:tcBorders>
            <w:vAlign w:val="center"/>
          </w:tcPr>
          <w:p w14:paraId="1112973A" w14:textId="77777777" w:rsidR="00413A1F" w:rsidRDefault="00413A1F" w:rsidP="00413A1F">
            <w:pPr>
              <w:spacing w:line="180" w:lineRule="exact"/>
              <w:rPr>
                <w:sz w:val="20"/>
                <w:szCs w:val="20"/>
              </w:rPr>
            </w:pPr>
            <w:r>
              <w:rPr>
                <w:sz w:val="20"/>
                <w:szCs w:val="20"/>
              </w:rPr>
              <w:t xml:space="preserve">  2|3</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bottom"/>
          </w:tcPr>
          <w:p w14:paraId="114055A7"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0.59</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bottom"/>
          </w:tcPr>
          <w:p w14:paraId="6C22A961"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7.10</w:t>
            </w: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08C8D38C" w14:textId="77777777" w:rsidR="00413A1F" w:rsidRPr="0058029D" w:rsidRDefault="00413A1F" w:rsidP="00413A1F">
            <w:pPr>
              <w:spacing w:line="180" w:lineRule="exact"/>
              <w:jc w:val="center"/>
              <w:rPr>
                <w:sz w:val="20"/>
                <w:szCs w:val="20"/>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B684527" w14:textId="77777777" w:rsidR="00413A1F" w:rsidRPr="0058029D" w:rsidRDefault="00413A1F" w:rsidP="00413A1F">
            <w:pPr>
              <w:spacing w:line="180" w:lineRule="exact"/>
              <w:jc w:val="center"/>
              <w:rPr>
                <w:sz w:val="20"/>
                <w:szCs w:val="20"/>
              </w:rPr>
            </w:pPr>
            <w:r w:rsidRPr="008E3C9E">
              <w:rPr>
                <w:sz w:val="18"/>
                <w:szCs w:val="18"/>
              </w:rPr>
              <w:t>—</w:t>
            </w: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A31B1DA"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F80B304" w14:textId="77777777" w:rsidR="00413A1F" w:rsidRPr="0058029D" w:rsidRDefault="00413A1F" w:rsidP="00413A1F">
            <w:pPr>
              <w:spacing w:line="180" w:lineRule="exact"/>
              <w:jc w:val="center"/>
              <w:rPr>
                <w:sz w:val="20"/>
                <w:szCs w:val="20"/>
              </w:rPr>
            </w:pPr>
            <w:r w:rsidRPr="008E3C9E">
              <w:rPr>
                <w:sz w:val="18"/>
                <w:szCs w:val="18"/>
              </w:rPr>
              <w:t>—</w:t>
            </w: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77606A7B" w14:textId="77777777" w:rsidR="00413A1F" w:rsidRPr="0058029D" w:rsidRDefault="00413A1F" w:rsidP="00413A1F">
            <w:pPr>
              <w:spacing w:line="180" w:lineRule="exact"/>
              <w:jc w:val="center"/>
              <w:rPr>
                <w:sz w:val="20"/>
                <w:szCs w:val="20"/>
              </w:rPr>
            </w:pPr>
            <w:r w:rsidRPr="008E3C9E">
              <w:rPr>
                <w:sz w:val="18"/>
                <w:szCs w:val="18"/>
              </w:rPr>
              <w:t>—</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8E1DC35" w14:textId="77777777" w:rsidR="00413A1F" w:rsidRPr="0058029D" w:rsidRDefault="00413A1F" w:rsidP="00413A1F">
            <w:pPr>
              <w:spacing w:line="180" w:lineRule="exact"/>
              <w:jc w:val="center"/>
              <w:rPr>
                <w:sz w:val="20"/>
                <w:szCs w:val="20"/>
              </w:rPr>
            </w:pPr>
            <w:r w:rsidRPr="008E3C9E">
              <w:rPr>
                <w:sz w:val="18"/>
                <w:szCs w:val="18"/>
              </w:rPr>
              <w:t>—</w:t>
            </w: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1BC9A9E8"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287FC27"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55E139F6"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3C796B62"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1919605A"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D9216B0"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687D4E67"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2A35B7FC" w14:textId="77777777" w:rsidR="00413A1F" w:rsidRPr="0058029D" w:rsidRDefault="00413A1F" w:rsidP="00413A1F">
            <w:pPr>
              <w:spacing w:line="180" w:lineRule="exact"/>
              <w:jc w:val="center"/>
              <w:rPr>
                <w:sz w:val="20"/>
                <w:szCs w:val="20"/>
              </w:rPr>
            </w:pPr>
            <w:r w:rsidRPr="008E3C9E">
              <w:rPr>
                <w:sz w:val="18"/>
                <w:szCs w:val="18"/>
              </w:rPr>
              <w:t>—</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69E00DF8" w14:textId="77777777" w:rsidR="00413A1F" w:rsidRPr="0058029D" w:rsidRDefault="00413A1F" w:rsidP="00413A1F">
            <w:pPr>
              <w:spacing w:line="180" w:lineRule="exact"/>
              <w:jc w:val="center"/>
              <w:rPr>
                <w:sz w:val="20"/>
                <w:szCs w:val="20"/>
              </w:rPr>
            </w:pPr>
            <w:r w:rsidRPr="008E3C9E">
              <w:rPr>
                <w:sz w:val="18"/>
                <w:szCs w:val="18"/>
              </w:rPr>
              <w:t>—</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384D19D" w14:textId="77777777" w:rsidR="00413A1F" w:rsidRPr="0058029D" w:rsidRDefault="00413A1F" w:rsidP="00413A1F">
            <w:pPr>
              <w:spacing w:line="180" w:lineRule="exact"/>
              <w:jc w:val="center"/>
              <w:rPr>
                <w:sz w:val="20"/>
                <w:szCs w:val="20"/>
              </w:rPr>
            </w:pPr>
            <w:r w:rsidRPr="008E3C9E">
              <w:rPr>
                <w:sz w:val="18"/>
                <w:szCs w:val="18"/>
              </w:rPr>
              <w:t>—</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96A4ACE"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6DC48159" w14:textId="77777777" w:rsidR="00413A1F" w:rsidRPr="0058029D" w:rsidRDefault="00413A1F" w:rsidP="00413A1F">
            <w:pPr>
              <w:spacing w:line="180" w:lineRule="exact"/>
              <w:jc w:val="center"/>
              <w:rPr>
                <w:sz w:val="20"/>
                <w:szCs w:val="20"/>
              </w:rPr>
            </w:pPr>
            <w:r w:rsidRPr="008E3C9E">
              <w:rPr>
                <w:sz w:val="18"/>
                <w:szCs w:val="18"/>
              </w:rPr>
              <w:t>—</w:t>
            </w:r>
          </w:p>
        </w:tc>
      </w:tr>
      <w:tr w:rsidR="00413A1F" w14:paraId="5DF83920" w14:textId="77777777" w:rsidTr="00AD46B2">
        <w:tc>
          <w:tcPr>
            <w:tcW w:w="417" w:type="pct"/>
            <w:vMerge/>
            <w:tcBorders>
              <w:left w:val="single" w:sz="18" w:space="0" w:color="auto"/>
              <w:right w:val="single" w:sz="18" w:space="0" w:color="auto"/>
            </w:tcBorders>
            <w:tcMar>
              <w:top w:w="12" w:type="dxa"/>
              <w:left w:w="25" w:type="dxa"/>
              <w:bottom w:w="12" w:type="dxa"/>
              <w:right w:w="25" w:type="dxa"/>
            </w:tcMar>
            <w:vAlign w:val="center"/>
          </w:tcPr>
          <w:p w14:paraId="5A7EE8A9" w14:textId="77777777" w:rsidR="00413A1F" w:rsidRDefault="00413A1F" w:rsidP="00413A1F">
            <w:pPr>
              <w:spacing w:line="180" w:lineRule="exact"/>
              <w:rPr>
                <w:sz w:val="20"/>
                <w:szCs w:val="20"/>
              </w:rPr>
            </w:pPr>
          </w:p>
        </w:tc>
        <w:tc>
          <w:tcPr>
            <w:tcW w:w="417" w:type="pct"/>
            <w:tcBorders>
              <w:top w:val="single" w:sz="2" w:space="0" w:color="FFFFFF" w:themeColor="background1"/>
              <w:left w:val="single" w:sz="18" w:space="0" w:color="auto"/>
              <w:bottom w:val="single" w:sz="2" w:space="0" w:color="FFFFFF" w:themeColor="background1"/>
              <w:right w:val="single" w:sz="18" w:space="0" w:color="auto"/>
            </w:tcBorders>
            <w:vAlign w:val="center"/>
          </w:tcPr>
          <w:p w14:paraId="51B08471" w14:textId="77777777" w:rsidR="00413A1F" w:rsidRDefault="00413A1F" w:rsidP="00413A1F">
            <w:pPr>
              <w:spacing w:line="180" w:lineRule="exact"/>
              <w:rPr>
                <w:sz w:val="20"/>
                <w:szCs w:val="20"/>
              </w:rPr>
            </w:pPr>
            <w:r>
              <w:rPr>
                <w:sz w:val="20"/>
                <w:szCs w:val="20"/>
              </w:rPr>
              <w:t xml:space="preserve">  3|4</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bottom"/>
          </w:tcPr>
          <w:p w14:paraId="7BD5D636"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1.15</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bottom"/>
          </w:tcPr>
          <w:p w14:paraId="5587DCC9"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13.76</w:t>
            </w: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582DFEEF" w14:textId="77777777" w:rsidR="00413A1F" w:rsidRPr="0058029D" w:rsidRDefault="00413A1F" w:rsidP="00413A1F">
            <w:pPr>
              <w:spacing w:line="180" w:lineRule="exact"/>
              <w:jc w:val="center"/>
              <w:rPr>
                <w:sz w:val="20"/>
                <w:szCs w:val="20"/>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799F096" w14:textId="77777777" w:rsidR="00413A1F" w:rsidRPr="0058029D" w:rsidRDefault="00413A1F" w:rsidP="00413A1F">
            <w:pPr>
              <w:spacing w:line="180" w:lineRule="exact"/>
              <w:jc w:val="center"/>
              <w:rPr>
                <w:sz w:val="20"/>
                <w:szCs w:val="20"/>
              </w:rPr>
            </w:pPr>
            <w:r w:rsidRPr="008E3C9E">
              <w:rPr>
                <w:sz w:val="18"/>
                <w:szCs w:val="18"/>
              </w:rPr>
              <w:t>—</w:t>
            </w: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67AF9B8F"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6EF9A89" w14:textId="77777777" w:rsidR="00413A1F" w:rsidRPr="0058029D" w:rsidRDefault="00413A1F" w:rsidP="00413A1F">
            <w:pPr>
              <w:spacing w:line="180" w:lineRule="exact"/>
              <w:jc w:val="center"/>
              <w:rPr>
                <w:sz w:val="20"/>
                <w:szCs w:val="20"/>
              </w:rPr>
            </w:pPr>
            <w:r w:rsidRPr="008E3C9E">
              <w:rPr>
                <w:sz w:val="18"/>
                <w:szCs w:val="18"/>
              </w:rPr>
              <w:t>—</w:t>
            </w: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1084E97" w14:textId="77777777" w:rsidR="00413A1F" w:rsidRPr="0058029D" w:rsidRDefault="00413A1F" w:rsidP="00413A1F">
            <w:pPr>
              <w:spacing w:line="180" w:lineRule="exact"/>
              <w:jc w:val="center"/>
              <w:rPr>
                <w:sz w:val="20"/>
                <w:szCs w:val="20"/>
              </w:rPr>
            </w:pPr>
            <w:r w:rsidRPr="008E3C9E">
              <w:rPr>
                <w:sz w:val="18"/>
                <w:szCs w:val="18"/>
              </w:rPr>
              <w:t>—</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6BBC201" w14:textId="77777777" w:rsidR="00413A1F" w:rsidRPr="0058029D" w:rsidRDefault="00413A1F" w:rsidP="00413A1F">
            <w:pPr>
              <w:spacing w:line="180" w:lineRule="exact"/>
              <w:jc w:val="center"/>
              <w:rPr>
                <w:sz w:val="20"/>
                <w:szCs w:val="20"/>
              </w:rPr>
            </w:pPr>
            <w:r w:rsidRPr="008E3C9E">
              <w:rPr>
                <w:sz w:val="18"/>
                <w:szCs w:val="18"/>
              </w:rPr>
              <w:t>—</w:t>
            </w: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1C0EA7B0"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943C035"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731B714"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09493DA1"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59CE0847"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0206DE0"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723FB4D"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0A6C730C" w14:textId="77777777" w:rsidR="00413A1F" w:rsidRPr="0058029D" w:rsidRDefault="00413A1F" w:rsidP="00413A1F">
            <w:pPr>
              <w:spacing w:line="180" w:lineRule="exact"/>
              <w:jc w:val="center"/>
              <w:rPr>
                <w:sz w:val="20"/>
                <w:szCs w:val="20"/>
              </w:rPr>
            </w:pPr>
            <w:r w:rsidRPr="008E3C9E">
              <w:rPr>
                <w:sz w:val="18"/>
                <w:szCs w:val="18"/>
              </w:rPr>
              <w:t>—</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7D863E11" w14:textId="77777777" w:rsidR="00413A1F" w:rsidRPr="0058029D" w:rsidRDefault="00413A1F" w:rsidP="00413A1F">
            <w:pPr>
              <w:spacing w:line="180" w:lineRule="exact"/>
              <w:jc w:val="center"/>
              <w:rPr>
                <w:sz w:val="20"/>
                <w:szCs w:val="20"/>
              </w:rPr>
            </w:pPr>
            <w:r w:rsidRPr="008E3C9E">
              <w:rPr>
                <w:sz w:val="18"/>
                <w:szCs w:val="18"/>
              </w:rPr>
              <w:t>—</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208008C" w14:textId="77777777" w:rsidR="00413A1F" w:rsidRPr="0058029D" w:rsidRDefault="00413A1F" w:rsidP="00413A1F">
            <w:pPr>
              <w:spacing w:line="180" w:lineRule="exact"/>
              <w:jc w:val="center"/>
              <w:rPr>
                <w:sz w:val="20"/>
                <w:szCs w:val="20"/>
              </w:rPr>
            </w:pPr>
            <w:r w:rsidRPr="008E3C9E">
              <w:rPr>
                <w:sz w:val="18"/>
                <w:szCs w:val="18"/>
              </w:rPr>
              <w:t>—</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809C3C4"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19A805EE" w14:textId="77777777" w:rsidR="00413A1F" w:rsidRPr="0058029D" w:rsidRDefault="00413A1F" w:rsidP="00413A1F">
            <w:pPr>
              <w:spacing w:line="180" w:lineRule="exact"/>
              <w:jc w:val="center"/>
              <w:rPr>
                <w:sz w:val="20"/>
                <w:szCs w:val="20"/>
              </w:rPr>
            </w:pPr>
            <w:r w:rsidRPr="008E3C9E">
              <w:rPr>
                <w:sz w:val="18"/>
                <w:szCs w:val="18"/>
              </w:rPr>
              <w:t>—</w:t>
            </w:r>
          </w:p>
        </w:tc>
      </w:tr>
      <w:tr w:rsidR="00413A1F" w14:paraId="0B718547" w14:textId="77777777" w:rsidTr="00AD46B2">
        <w:tc>
          <w:tcPr>
            <w:tcW w:w="417" w:type="pct"/>
            <w:vMerge/>
            <w:tcBorders>
              <w:left w:val="single" w:sz="18" w:space="0" w:color="auto"/>
              <w:bottom w:val="double" w:sz="4" w:space="0" w:color="auto"/>
              <w:right w:val="single" w:sz="18" w:space="0" w:color="auto"/>
            </w:tcBorders>
            <w:tcMar>
              <w:top w:w="12" w:type="dxa"/>
              <w:left w:w="25" w:type="dxa"/>
              <w:bottom w:w="12" w:type="dxa"/>
              <w:right w:w="25" w:type="dxa"/>
            </w:tcMar>
            <w:vAlign w:val="center"/>
          </w:tcPr>
          <w:p w14:paraId="16B46D46" w14:textId="77777777" w:rsidR="00413A1F" w:rsidRDefault="00413A1F" w:rsidP="00413A1F">
            <w:pPr>
              <w:spacing w:line="180" w:lineRule="exact"/>
              <w:rPr>
                <w:sz w:val="20"/>
                <w:szCs w:val="20"/>
              </w:rPr>
            </w:pPr>
          </w:p>
        </w:tc>
        <w:tc>
          <w:tcPr>
            <w:tcW w:w="417" w:type="pct"/>
            <w:tcBorders>
              <w:top w:val="single" w:sz="2" w:space="0" w:color="FFFFFF" w:themeColor="background1"/>
              <w:left w:val="single" w:sz="18" w:space="0" w:color="auto"/>
              <w:bottom w:val="double" w:sz="4" w:space="0" w:color="auto"/>
              <w:right w:val="single" w:sz="18" w:space="0" w:color="auto"/>
            </w:tcBorders>
            <w:vAlign w:val="center"/>
          </w:tcPr>
          <w:p w14:paraId="22D0D872" w14:textId="77777777" w:rsidR="00413A1F" w:rsidRDefault="00413A1F" w:rsidP="00413A1F">
            <w:pPr>
              <w:spacing w:line="180" w:lineRule="exact"/>
              <w:rPr>
                <w:sz w:val="20"/>
                <w:szCs w:val="20"/>
              </w:rPr>
            </w:pPr>
            <w:r>
              <w:rPr>
                <w:sz w:val="20"/>
                <w:szCs w:val="20"/>
              </w:rPr>
              <w:t xml:space="preserve">  4|5</w:t>
            </w:r>
          </w:p>
        </w:tc>
        <w:tc>
          <w:tcPr>
            <w:tcW w:w="216" w:type="pct"/>
            <w:gridSpan w:val="2"/>
            <w:tcBorders>
              <w:top w:val="single" w:sz="2" w:space="0" w:color="FFFFFF" w:themeColor="background1"/>
              <w:left w:val="single" w:sz="18" w:space="0" w:color="auto"/>
              <w:bottom w:val="double" w:sz="4" w:space="0" w:color="auto"/>
              <w:right w:val="single" w:sz="2" w:space="0" w:color="FFFFFF" w:themeColor="background1"/>
            </w:tcBorders>
            <w:vAlign w:val="bottom"/>
          </w:tcPr>
          <w:p w14:paraId="410C41DD"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1.70</w:t>
            </w:r>
          </w:p>
        </w:tc>
        <w:tc>
          <w:tcPr>
            <w:tcW w:w="219" w:type="pct"/>
            <w:tcBorders>
              <w:top w:val="single" w:sz="2" w:space="0" w:color="FFFFFF" w:themeColor="background1"/>
              <w:left w:val="single" w:sz="2" w:space="0" w:color="FFFFFF" w:themeColor="background1"/>
              <w:bottom w:val="double" w:sz="4" w:space="0" w:color="auto"/>
              <w:right w:val="single" w:sz="18" w:space="0" w:color="auto"/>
            </w:tcBorders>
            <w:vAlign w:val="bottom"/>
          </w:tcPr>
          <w:p w14:paraId="0E479AD2" w14:textId="77777777" w:rsidR="00413A1F" w:rsidRPr="0058029D" w:rsidRDefault="00413A1F" w:rsidP="00413A1F">
            <w:pPr>
              <w:spacing w:line="180" w:lineRule="exact"/>
              <w:jc w:val="center"/>
              <w:rPr>
                <w:sz w:val="20"/>
                <w:szCs w:val="20"/>
              </w:rPr>
            </w:pPr>
            <w:r>
              <w:rPr>
                <w:sz w:val="20"/>
                <w:szCs w:val="20"/>
              </w:rPr>
              <w:t xml:space="preserve"> </w:t>
            </w:r>
            <w:r w:rsidRPr="00377614">
              <w:rPr>
                <w:sz w:val="20"/>
                <w:szCs w:val="20"/>
              </w:rPr>
              <w:t>20.15</w:t>
            </w:r>
          </w:p>
        </w:tc>
        <w:tc>
          <w:tcPr>
            <w:tcW w:w="213" w:type="pct"/>
            <w:tcBorders>
              <w:top w:val="single" w:sz="2" w:space="0" w:color="FFFFFF" w:themeColor="background1"/>
              <w:left w:val="single" w:sz="18" w:space="0" w:color="auto"/>
              <w:bottom w:val="double" w:sz="4" w:space="0" w:color="auto"/>
              <w:right w:val="single" w:sz="2" w:space="0" w:color="FFFFFF" w:themeColor="background1"/>
            </w:tcBorders>
            <w:vAlign w:val="center"/>
          </w:tcPr>
          <w:p w14:paraId="6C0B3477" w14:textId="77777777" w:rsidR="00413A1F" w:rsidRPr="0058029D" w:rsidRDefault="00413A1F" w:rsidP="00413A1F">
            <w:pPr>
              <w:spacing w:line="180" w:lineRule="exact"/>
              <w:jc w:val="center"/>
              <w:rPr>
                <w:sz w:val="20"/>
                <w:szCs w:val="20"/>
              </w:rPr>
            </w:pPr>
            <w:r w:rsidRPr="008E3C9E">
              <w:rPr>
                <w:sz w:val="18"/>
                <w:szCs w:val="18"/>
              </w:rPr>
              <w:t>—</w:t>
            </w:r>
          </w:p>
        </w:tc>
        <w:tc>
          <w:tcPr>
            <w:tcW w:w="245" w:type="pct"/>
            <w:tcBorders>
              <w:top w:val="single" w:sz="2" w:space="0" w:color="FFFFFF" w:themeColor="background1"/>
              <w:left w:val="single" w:sz="2" w:space="0" w:color="FFFFFF" w:themeColor="background1"/>
              <w:bottom w:val="double" w:sz="4" w:space="0" w:color="auto"/>
              <w:right w:val="single" w:sz="6" w:space="0" w:color="000000" w:themeColor="text1"/>
            </w:tcBorders>
            <w:vAlign w:val="center"/>
          </w:tcPr>
          <w:p w14:paraId="04E8B2B1" w14:textId="77777777" w:rsidR="00413A1F" w:rsidRPr="0058029D" w:rsidRDefault="00413A1F" w:rsidP="00413A1F">
            <w:pPr>
              <w:spacing w:line="180" w:lineRule="exact"/>
              <w:jc w:val="center"/>
              <w:rPr>
                <w:sz w:val="20"/>
                <w:szCs w:val="20"/>
              </w:rPr>
            </w:pPr>
            <w:r w:rsidRPr="008E3C9E">
              <w:rPr>
                <w:sz w:val="18"/>
                <w:szCs w:val="18"/>
              </w:rPr>
              <w:t>—</w:t>
            </w:r>
          </w:p>
        </w:tc>
        <w:tc>
          <w:tcPr>
            <w:tcW w:w="194" w:type="pct"/>
            <w:tcBorders>
              <w:top w:val="single" w:sz="2" w:space="0" w:color="FFFFFF" w:themeColor="background1"/>
              <w:left w:val="single" w:sz="6" w:space="0" w:color="000000" w:themeColor="text1"/>
              <w:bottom w:val="double" w:sz="4" w:space="0" w:color="auto"/>
              <w:right w:val="single" w:sz="2" w:space="0" w:color="FFFFFF" w:themeColor="background1"/>
            </w:tcBorders>
            <w:vAlign w:val="center"/>
          </w:tcPr>
          <w:p w14:paraId="6E1BF4B5"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double" w:sz="4" w:space="0" w:color="auto"/>
              <w:right w:val="single" w:sz="6" w:space="0" w:color="000000" w:themeColor="text1"/>
            </w:tcBorders>
            <w:vAlign w:val="center"/>
          </w:tcPr>
          <w:p w14:paraId="4187BDBD" w14:textId="77777777" w:rsidR="00413A1F" w:rsidRPr="0058029D" w:rsidRDefault="00413A1F" w:rsidP="00413A1F">
            <w:pPr>
              <w:spacing w:line="180" w:lineRule="exact"/>
              <w:jc w:val="center"/>
              <w:rPr>
                <w:sz w:val="20"/>
                <w:szCs w:val="20"/>
              </w:rPr>
            </w:pPr>
            <w:r w:rsidRPr="008E3C9E">
              <w:rPr>
                <w:sz w:val="18"/>
                <w:szCs w:val="18"/>
              </w:rPr>
              <w:t>—</w:t>
            </w:r>
          </w:p>
        </w:tc>
        <w:tc>
          <w:tcPr>
            <w:tcW w:w="225" w:type="pct"/>
            <w:tcBorders>
              <w:top w:val="single" w:sz="2" w:space="0" w:color="FFFFFF" w:themeColor="background1"/>
              <w:left w:val="single" w:sz="6" w:space="0" w:color="000000" w:themeColor="text1"/>
              <w:bottom w:val="double" w:sz="4" w:space="0" w:color="auto"/>
              <w:right w:val="single" w:sz="2" w:space="0" w:color="FFFFFF" w:themeColor="background1"/>
            </w:tcBorders>
            <w:vAlign w:val="center"/>
          </w:tcPr>
          <w:p w14:paraId="0F86CA6A" w14:textId="77777777" w:rsidR="00413A1F" w:rsidRPr="0058029D" w:rsidRDefault="00413A1F" w:rsidP="00413A1F">
            <w:pPr>
              <w:spacing w:line="180" w:lineRule="exact"/>
              <w:jc w:val="center"/>
              <w:rPr>
                <w:sz w:val="20"/>
                <w:szCs w:val="20"/>
              </w:rPr>
            </w:pPr>
            <w:r w:rsidRPr="008E3C9E">
              <w:rPr>
                <w:sz w:val="18"/>
                <w:szCs w:val="18"/>
              </w:rPr>
              <w:t>—</w:t>
            </w:r>
          </w:p>
        </w:tc>
        <w:tc>
          <w:tcPr>
            <w:tcW w:w="225" w:type="pct"/>
            <w:tcBorders>
              <w:top w:val="single" w:sz="2" w:space="0" w:color="FFFFFF" w:themeColor="background1"/>
              <w:left w:val="single" w:sz="2" w:space="0" w:color="FFFFFF" w:themeColor="background1"/>
              <w:bottom w:val="double" w:sz="4" w:space="0" w:color="auto"/>
              <w:right w:val="single" w:sz="6" w:space="0" w:color="000000" w:themeColor="text1"/>
            </w:tcBorders>
            <w:vAlign w:val="center"/>
          </w:tcPr>
          <w:p w14:paraId="410FF450" w14:textId="77777777" w:rsidR="00413A1F" w:rsidRPr="0058029D" w:rsidRDefault="00413A1F" w:rsidP="00413A1F">
            <w:pPr>
              <w:spacing w:line="180" w:lineRule="exact"/>
              <w:jc w:val="center"/>
              <w:rPr>
                <w:sz w:val="20"/>
                <w:szCs w:val="20"/>
              </w:rPr>
            </w:pPr>
            <w:r w:rsidRPr="008E3C9E">
              <w:rPr>
                <w:sz w:val="18"/>
                <w:szCs w:val="18"/>
              </w:rPr>
              <w:t>—</w:t>
            </w:r>
          </w:p>
        </w:tc>
        <w:tc>
          <w:tcPr>
            <w:tcW w:w="200" w:type="pct"/>
            <w:tcBorders>
              <w:top w:val="single" w:sz="2" w:space="0" w:color="FFFFFF" w:themeColor="background1"/>
              <w:left w:val="single" w:sz="6" w:space="0" w:color="000000" w:themeColor="text1"/>
              <w:bottom w:val="double" w:sz="4" w:space="0" w:color="auto"/>
              <w:right w:val="single" w:sz="2" w:space="0" w:color="FFFFFF" w:themeColor="background1"/>
            </w:tcBorders>
            <w:vAlign w:val="center"/>
          </w:tcPr>
          <w:p w14:paraId="1C1C768F"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2" w:space="0" w:color="FFFFFF" w:themeColor="background1"/>
              <w:bottom w:val="double" w:sz="4" w:space="0" w:color="auto"/>
              <w:right w:val="single" w:sz="6" w:space="0" w:color="000000" w:themeColor="text1"/>
            </w:tcBorders>
            <w:vAlign w:val="center"/>
          </w:tcPr>
          <w:p w14:paraId="0AFD0918"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6" w:space="0" w:color="000000" w:themeColor="text1"/>
              <w:bottom w:val="double" w:sz="4" w:space="0" w:color="auto"/>
              <w:right w:val="single" w:sz="2" w:space="0" w:color="FFFFFF" w:themeColor="background1"/>
            </w:tcBorders>
            <w:vAlign w:val="center"/>
          </w:tcPr>
          <w:p w14:paraId="28529997"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double" w:sz="4" w:space="0" w:color="auto"/>
              <w:right w:val="single" w:sz="18" w:space="0" w:color="auto"/>
            </w:tcBorders>
            <w:vAlign w:val="center"/>
          </w:tcPr>
          <w:p w14:paraId="03DAEE5B"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18" w:space="0" w:color="auto"/>
              <w:bottom w:val="double" w:sz="4" w:space="0" w:color="auto"/>
              <w:right w:val="single" w:sz="2" w:space="0" w:color="FFFFFF" w:themeColor="background1"/>
            </w:tcBorders>
            <w:vAlign w:val="center"/>
          </w:tcPr>
          <w:p w14:paraId="00F6CAE4"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double" w:sz="4" w:space="0" w:color="auto"/>
              <w:right w:val="single" w:sz="6" w:space="0" w:color="000000" w:themeColor="text1"/>
            </w:tcBorders>
            <w:vAlign w:val="center"/>
          </w:tcPr>
          <w:p w14:paraId="16D2384A"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tcBorders>
              <w:top w:val="single" w:sz="2" w:space="0" w:color="FFFFFF" w:themeColor="background1"/>
              <w:left w:val="single" w:sz="6" w:space="0" w:color="000000" w:themeColor="text1"/>
              <w:bottom w:val="double" w:sz="4" w:space="0" w:color="auto"/>
              <w:right w:val="single" w:sz="2" w:space="0" w:color="FFFFFF" w:themeColor="background1"/>
            </w:tcBorders>
            <w:vAlign w:val="center"/>
          </w:tcPr>
          <w:p w14:paraId="19C62FD9" w14:textId="77777777" w:rsidR="00413A1F" w:rsidRPr="0058029D" w:rsidRDefault="00413A1F" w:rsidP="00413A1F">
            <w:pPr>
              <w:spacing w:line="180" w:lineRule="exact"/>
              <w:jc w:val="center"/>
              <w:rPr>
                <w:sz w:val="20"/>
                <w:szCs w:val="20"/>
              </w:rPr>
            </w:pPr>
            <w:r w:rsidRPr="008E3C9E">
              <w:rPr>
                <w:sz w:val="18"/>
                <w:szCs w:val="18"/>
              </w:rPr>
              <w:t>—</w:t>
            </w:r>
          </w:p>
        </w:tc>
        <w:tc>
          <w:tcPr>
            <w:tcW w:w="202" w:type="pct"/>
            <w:tcBorders>
              <w:top w:val="single" w:sz="2" w:space="0" w:color="FFFFFF" w:themeColor="background1"/>
              <w:left w:val="single" w:sz="2" w:space="0" w:color="FFFFFF" w:themeColor="background1"/>
              <w:bottom w:val="double" w:sz="4" w:space="0" w:color="auto"/>
              <w:right w:val="single" w:sz="18" w:space="0" w:color="auto"/>
            </w:tcBorders>
            <w:vAlign w:val="center"/>
          </w:tcPr>
          <w:p w14:paraId="63266951" w14:textId="77777777" w:rsidR="00413A1F" w:rsidRPr="0058029D" w:rsidRDefault="00413A1F" w:rsidP="00413A1F">
            <w:pPr>
              <w:spacing w:line="180" w:lineRule="exact"/>
              <w:jc w:val="center"/>
              <w:rPr>
                <w:sz w:val="20"/>
                <w:szCs w:val="20"/>
              </w:rPr>
            </w:pPr>
            <w:r w:rsidRPr="008E3C9E">
              <w:rPr>
                <w:sz w:val="18"/>
                <w:szCs w:val="18"/>
              </w:rPr>
              <w:t>—</w:t>
            </w:r>
          </w:p>
        </w:tc>
        <w:tc>
          <w:tcPr>
            <w:tcW w:w="206" w:type="pct"/>
            <w:tcBorders>
              <w:top w:val="single" w:sz="2" w:space="0" w:color="FFFFFF" w:themeColor="background1"/>
              <w:left w:val="single" w:sz="18" w:space="0" w:color="auto"/>
              <w:bottom w:val="double" w:sz="4" w:space="0" w:color="auto"/>
              <w:right w:val="single" w:sz="2" w:space="0" w:color="FFFFFF" w:themeColor="background1"/>
            </w:tcBorders>
            <w:vAlign w:val="center"/>
          </w:tcPr>
          <w:p w14:paraId="53A32393" w14:textId="77777777" w:rsidR="00413A1F" w:rsidRPr="0058029D" w:rsidRDefault="00413A1F" w:rsidP="00413A1F">
            <w:pPr>
              <w:spacing w:line="180" w:lineRule="exact"/>
              <w:jc w:val="center"/>
              <w:rPr>
                <w:sz w:val="20"/>
                <w:szCs w:val="20"/>
              </w:rPr>
            </w:pPr>
            <w:r w:rsidRPr="008E3C9E">
              <w:rPr>
                <w:sz w:val="18"/>
                <w:szCs w:val="18"/>
              </w:rPr>
              <w:t>—</w:t>
            </w:r>
          </w:p>
        </w:tc>
        <w:tc>
          <w:tcPr>
            <w:tcW w:w="206" w:type="pct"/>
            <w:tcBorders>
              <w:top w:val="single" w:sz="2" w:space="0" w:color="FFFFFF" w:themeColor="background1"/>
              <w:left w:val="single" w:sz="2" w:space="0" w:color="FFFFFF" w:themeColor="background1"/>
              <w:bottom w:val="double" w:sz="4" w:space="0" w:color="auto"/>
              <w:right w:val="single" w:sz="6" w:space="0" w:color="000000" w:themeColor="text1"/>
            </w:tcBorders>
            <w:vAlign w:val="center"/>
          </w:tcPr>
          <w:p w14:paraId="3498AA26" w14:textId="77777777" w:rsidR="00413A1F" w:rsidRPr="0058029D" w:rsidRDefault="00413A1F" w:rsidP="00413A1F">
            <w:pPr>
              <w:spacing w:line="180" w:lineRule="exact"/>
              <w:jc w:val="center"/>
              <w:rPr>
                <w:sz w:val="20"/>
                <w:szCs w:val="20"/>
              </w:rPr>
            </w:pPr>
            <w:r w:rsidRPr="008E3C9E">
              <w:rPr>
                <w:sz w:val="18"/>
                <w:szCs w:val="18"/>
              </w:rPr>
              <w:t>—</w:t>
            </w:r>
          </w:p>
        </w:tc>
        <w:tc>
          <w:tcPr>
            <w:tcW w:w="203" w:type="pct"/>
            <w:tcBorders>
              <w:top w:val="single" w:sz="2" w:space="0" w:color="FFFFFF" w:themeColor="background1"/>
              <w:left w:val="single" w:sz="6" w:space="0" w:color="000000" w:themeColor="text1"/>
              <w:bottom w:val="double" w:sz="4" w:space="0" w:color="auto"/>
              <w:right w:val="single" w:sz="2" w:space="0" w:color="FFFFFF" w:themeColor="background1"/>
            </w:tcBorders>
            <w:vAlign w:val="center"/>
          </w:tcPr>
          <w:p w14:paraId="5FC45549" w14:textId="77777777" w:rsidR="00413A1F" w:rsidRPr="0058029D" w:rsidRDefault="00413A1F" w:rsidP="00413A1F">
            <w:pPr>
              <w:spacing w:line="180" w:lineRule="exact"/>
              <w:jc w:val="center"/>
              <w:rPr>
                <w:sz w:val="20"/>
                <w:szCs w:val="20"/>
              </w:rPr>
            </w:pPr>
            <w:r w:rsidRPr="008E3C9E">
              <w:rPr>
                <w:sz w:val="18"/>
                <w:szCs w:val="18"/>
              </w:rPr>
              <w:t>—</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0A08B76D" w14:textId="77777777" w:rsidR="00413A1F" w:rsidRPr="0058029D" w:rsidRDefault="00413A1F" w:rsidP="00413A1F">
            <w:pPr>
              <w:spacing w:line="180" w:lineRule="exact"/>
              <w:jc w:val="center"/>
              <w:rPr>
                <w:sz w:val="20"/>
                <w:szCs w:val="20"/>
              </w:rPr>
            </w:pPr>
            <w:r w:rsidRPr="008E3C9E">
              <w:rPr>
                <w:sz w:val="18"/>
                <w:szCs w:val="18"/>
              </w:rPr>
              <w:t>—</w:t>
            </w:r>
          </w:p>
        </w:tc>
      </w:tr>
      <w:tr w:rsidR="00413A1F" w14:paraId="6E0AE50A" w14:textId="77777777" w:rsidTr="00154678">
        <w:tc>
          <w:tcPr>
            <w:tcW w:w="5000" w:type="pct"/>
            <w:gridSpan w:val="24"/>
            <w:tcBorders>
              <w:top w:val="double" w:sz="4" w:space="0" w:color="auto"/>
              <w:left w:val="single" w:sz="18" w:space="0" w:color="auto"/>
              <w:bottom w:val="single" w:sz="12" w:space="0" w:color="auto"/>
              <w:right w:val="single" w:sz="18" w:space="0" w:color="auto"/>
            </w:tcBorders>
            <w:tcMar>
              <w:top w:w="12" w:type="dxa"/>
              <w:left w:w="25" w:type="dxa"/>
              <w:bottom w:w="12" w:type="dxa"/>
              <w:right w:w="25" w:type="dxa"/>
            </w:tcMar>
            <w:vAlign w:val="center"/>
          </w:tcPr>
          <w:p w14:paraId="1D129C82" w14:textId="77777777" w:rsidR="00413A1F" w:rsidRPr="008E3C9E" w:rsidRDefault="00413A1F" w:rsidP="00413A1F">
            <w:pPr>
              <w:spacing w:line="180" w:lineRule="exact"/>
              <w:rPr>
                <w:sz w:val="18"/>
                <w:szCs w:val="18"/>
              </w:rPr>
            </w:pPr>
            <w:r>
              <w:rPr>
                <w:b/>
                <w:bCs/>
                <w:i/>
                <w:iCs/>
                <w:sz w:val="20"/>
                <w:szCs w:val="20"/>
              </w:rPr>
              <w:t>Correlations (only top diagonal shown)</w:t>
            </w:r>
          </w:p>
        </w:tc>
      </w:tr>
      <w:tr w:rsidR="00413A1F" w14:paraId="40CDA776" w14:textId="77777777" w:rsidTr="00AD46B2">
        <w:tc>
          <w:tcPr>
            <w:tcW w:w="834" w:type="pct"/>
            <w:gridSpan w:val="2"/>
            <w:tcBorders>
              <w:top w:val="single" w:sz="12" w:space="0" w:color="auto"/>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3301AB37" w14:textId="77777777" w:rsidR="00413A1F" w:rsidRDefault="00413A1F" w:rsidP="00413A1F">
            <w:pPr>
              <w:spacing w:line="180" w:lineRule="exact"/>
              <w:rPr>
                <w:sz w:val="20"/>
                <w:szCs w:val="20"/>
              </w:rPr>
            </w:pPr>
            <w:r>
              <w:rPr>
                <w:sz w:val="20"/>
                <w:szCs w:val="20"/>
              </w:rPr>
              <w:t xml:space="preserve">Usage </w:t>
            </w:r>
          </w:p>
        </w:tc>
        <w:tc>
          <w:tcPr>
            <w:tcW w:w="216" w:type="pct"/>
            <w:gridSpan w:val="2"/>
            <w:tcBorders>
              <w:top w:val="single" w:sz="12" w:space="0" w:color="auto"/>
              <w:left w:val="single" w:sz="18" w:space="0" w:color="auto"/>
              <w:bottom w:val="single" w:sz="2" w:space="0" w:color="FFFFFF" w:themeColor="background1"/>
              <w:right w:val="single" w:sz="2" w:space="0" w:color="FFFFFF" w:themeColor="background1"/>
            </w:tcBorders>
            <w:vAlign w:val="center"/>
          </w:tcPr>
          <w:p w14:paraId="62123D1D" w14:textId="77777777" w:rsidR="00413A1F" w:rsidRPr="00377614" w:rsidRDefault="00413A1F" w:rsidP="00413A1F">
            <w:pPr>
              <w:spacing w:line="180" w:lineRule="exact"/>
              <w:jc w:val="right"/>
              <w:rPr>
                <w:sz w:val="20"/>
                <w:szCs w:val="20"/>
              </w:rPr>
            </w:pPr>
            <w:r>
              <w:rPr>
                <w:sz w:val="20"/>
                <w:szCs w:val="20"/>
              </w:rPr>
              <w:t>1.00</w:t>
            </w:r>
          </w:p>
        </w:tc>
        <w:tc>
          <w:tcPr>
            <w:tcW w:w="219" w:type="pct"/>
            <w:tcBorders>
              <w:top w:val="single" w:sz="12" w:space="0" w:color="auto"/>
              <w:left w:val="single" w:sz="2" w:space="0" w:color="FFFFFF" w:themeColor="background1"/>
              <w:bottom w:val="single" w:sz="2" w:space="0" w:color="FFFFFF" w:themeColor="background1"/>
              <w:right w:val="single" w:sz="18" w:space="0" w:color="auto"/>
            </w:tcBorders>
            <w:vAlign w:val="center"/>
          </w:tcPr>
          <w:p w14:paraId="70BF5D18" w14:textId="77777777" w:rsidR="00413A1F" w:rsidRPr="00377614" w:rsidRDefault="00413A1F" w:rsidP="00413A1F">
            <w:pPr>
              <w:spacing w:line="180" w:lineRule="exact"/>
              <w:jc w:val="right"/>
              <w:rPr>
                <w:sz w:val="20"/>
                <w:szCs w:val="20"/>
              </w:rPr>
            </w:pPr>
          </w:p>
        </w:tc>
        <w:tc>
          <w:tcPr>
            <w:tcW w:w="213" w:type="pct"/>
            <w:tcBorders>
              <w:top w:val="single" w:sz="12" w:space="0" w:color="auto"/>
              <w:left w:val="single" w:sz="18" w:space="0" w:color="auto"/>
              <w:bottom w:val="single" w:sz="2" w:space="0" w:color="FFFFFF" w:themeColor="background1"/>
              <w:right w:val="single" w:sz="2" w:space="0" w:color="FFFFFF" w:themeColor="background1"/>
            </w:tcBorders>
            <w:vAlign w:val="center"/>
          </w:tcPr>
          <w:p w14:paraId="78636092"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center"/>
          </w:tcPr>
          <w:p w14:paraId="177CAED0" w14:textId="77777777" w:rsidR="00413A1F" w:rsidRPr="008E3C9E" w:rsidRDefault="00413A1F" w:rsidP="00413A1F">
            <w:pPr>
              <w:spacing w:line="180" w:lineRule="exact"/>
              <w:jc w:val="center"/>
              <w:rPr>
                <w:sz w:val="18"/>
                <w:szCs w:val="18"/>
              </w:rPr>
            </w:pPr>
            <w:r w:rsidRPr="008E3C9E">
              <w:rPr>
                <w:sz w:val="18"/>
                <w:szCs w:val="18"/>
              </w:rPr>
              <w:t>—</w:t>
            </w:r>
          </w:p>
        </w:tc>
        <w:tc>
          <w:tcPr>
            <w:tcW w:w="194"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center"/>
          </w:tcPr>
          <w:p w14:paraId="254B1916"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center"/>
          </w:tcPr>
          <w:p w14:paraId="4D0E2B52"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center"/>
          </w:tcPr>
          <w:p w14:paraId="33A0C9D3"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center"/>
          </w:tcPr>
          <w:p w14:paraId="3A6B5FBF" w14:textId="77777777" w:rsidR="00413A1F" w:rsidRPr="008E3C9E" w:rsidRDefault="00413A1F" w:rsidP="00413A1F">
            <w:pPr>
              <w:spacing w:line="180" w:lineRule="exact"/>
              <w:jc w:val="center"/>
              <w:rPr>
                <w:sz w:val="18"/>
                <w:szCs w:val="18"/>
              </w:rPr>
            </w:pPr>
            <w:r w:rsidRPr="008E3C9E">
              <w:rPr>
                <w:sz w:val="18"/>
                <w:szCs w:val="18"/>
              </w:rPr>
              <w:t>—</w:t>
            </w:r>
          </w:p>
        </w:tc>
        <w:tc>
          <w:tcPr>
            <w:tcW w:w="200"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center"/>
          </w:tcPr>
          <w:p w14:paraId="4444EFCA"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center"/>
          </w:tcPr>
          <w:p w14:paraId="23AFE436"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center"/>
          </w:tcPr>
          <w:p w14:paraId="2DD2BE90"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12" w:space="0" w:color="auto"/>
              <w:left w:val="single" w:sz="2" w:space="0" w:color="FFFFFF" w:themeColor="background1"/>
              <w:bottom w:val="single" w:sz="2" w:space="0" w:color="FFFFFF" w:themeColor="background1"/>
              <w:right w:val="single" w:sz="18" w:space="0" w:color="auto"/>
            </w:tcBorders>
            <w:vAlign w:val="center"/>
          </w:tcPr>
          <w:p w14:paraId="08E57714"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12" w:space="0" w:color="auto"/>
              <w:left w:val="single" w:sz="18" w:space="0" w:color="auto"/>
              <w:bottom w:val="single" w:sz="2" w:space="0" w:color="FFFFFF" w:themeColor="background1"/>
              <w:right w:val="single" w:sz="2" w:space="0" w:color="FFFFFF" w:themeColor="background1"/>
            </w:tcBorders>
            <w:vAlign w:val="center"/>
          </w:tcPr>
          <w:p w14:paraId="6615E8CB"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center"/>
          </w:tcPr>
          <w:p w14:paraId="7190AC3A"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center"/>
          </w:tcPr>
          <w:p w14:paraId="562C3045"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12" w:space="0" w:color="auto"/>
              <w:left w:val="single" w:sz="2" w:space="0" w:color="FFFFFF" w:themeColor="background1"/>
              <w:bottom w:val="single" w:sz="2" w:space="0" w:color="FFFFFF" w:themeColor="background1"/>
              <w:right w:val="single" w:sz="18" w:space="0" w:color="auto"/>
            </w:tcBorders>
            <w:vAlign w:val="center"/>
          </w:tcPr>
          <w:p w14:paraId="7844A300" w14:textId="77777777" w:rsidR="00413A1F" w:rsidRPr="008E3C9E" w:rsidRDefault="00413A1F" w:rsidP="00413A1F">
            <w:pPr>
              <w:spacing w:line="180" w:lineRule="exact"/>
              <w:jc w:val="center"/>
              <w:rPr>
                <w:sz w:val="18"/>
                <w:szCs w:val="18"/>
              </w:rPr>
            </w:pPr>
            <w:r w:rsidRPr="008E3C9E">
              <w:rPr>
                <w:sz w:val="18"/>
                <w:szCs w:val="18"/>
              </w:rPr>
              <w:t>—</w:t>
            </w:r>
          </w:p>
        </w:tc>
        <w:tc>
          <w:tcPr>
            <w:tcW w:w="206" w:type="pct"/>
            <w:tcBorders>
              <w:top w:val="single" w:sz="12" w:space="0" w:color="auto"/>
              <w:left w:val="single" w:sz="18" w:space="0" w:color="auto"/>
              <w:bottom w:val="single" w:sz="2" w:space="0" w:color="FFFFFF" w:themeColor="background1"/>
              <w:right w:val="single" w:sz="2" w:space="0" w:color="FFFFFF" w:themeColor="background1"/>
            </w:tcBorders>
            <w:vAlign w:val="center"/>
          </w:tcPr>
          <w:p w14:paraId="7C2E3254" w14:textId="77777777" w:rsidR="00413A1F" w:rsidRPr="008E3C9E" w:rsidRDefault="00413A1F" w:rsidP="00413A1F">
            <w:pPr>
              <w:spacing w:line="180" w:lineRule="exact"/>
              <w:jc w:val="center"/>
              <w:rPr>
                <w:sz w:val="18"/>
                <w:szCs w:val="18"/>
              </w:rPr>
            </w:pPr>
            <w:r w:rsidRPr="008E3C9E">
              <w:rPr>
                <w:sz w:val="18"/>
                <w:szCs w:val="18"/>
              </w:rPr>
              <w:t>—</w:t>
            </w:r>
          </w:p>
        </w:tc>
        <w:tc>
          <w:tcPr>
            <w:tcW w:w="206" w:type="pct"/>
            <w:tcBorders>
              <w:top w:val="single" w:sz="12" w:space="0" w:color="auto"/>
              <w:left w:val="single" w:sz="2" w:space="0" w:color="FFFFFF" w:themeColor="background1"/>
              <w:bottom w:val="single" w:sz="2" w:space="0" w:color="FFFFFF" w:themeColor="background1"/>
              <w:right w:val="single" w:sz="6" w:space="0" w:color="000000" w:themeColor="text1"/>
            </w:tcBorders>
            <w:vAlign w:val="center"/>
          </w:tcPr>
          <w:p w14:paraId="134DC01F" w14:textId="77777777" w:rsidR="00413A1F" w:rsidRPr="008E3C9E" w:rsidRDefault="00413A1F" w:rsidP="00413A1F">
            <w:pPr>
              <w:spacing w:line="180" w:lineRule="exact"/>
              <w:jc w:val="center"/>
              <w:rPr>
                <w:sz w:val="18"/>
                <w:szCs w:val="18"/>
              </w:rPr>
            </w:pPr>
            <w:r w:rsidRPr="008E3C9E">
              <w:rPr>
                <w:sz w:val="18"/>
                <w:szCs w:val="18"/>
              </w:rPr>
              <w:t>—</w:t>
            </w:r>
          </w:p>
        </w:tc>
        <w:tc>
          <w:tcPr>
            <w:tcW w:w="203" w:type="pct"/>
            <w:tcBorders>
              <w:top w:val="single" w:sz="12" w:space="0" w:color="auto"/>
              <w:left w:val="single" w:sz="6" w:space="0" w:color="000000" w:themeColor="text1"/>
              <w:bottom w:val="single" w:sz="2" w:space="0" w:color="FFFFFF" w:themeColor="background1"/>
              <w:right w:val="single" w:sz="2" w:space="0" w:color="FFFFFF" w:themeColor="background1"/>
            </w:tcBorders>
            <w:vAlign w:val="center"/>
          </w:tcPr>
          <w:p w14:paraId="28D025A0"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gridSpan w:val="2"/>
            <w:tcBorders>
              <w:top w:val="single" w:sz="12" w:space="0" w:color="auto"/>
              <w:left w:val="single" w:sz="2" w:space="0" w:color="FFFFFF" w:themeColor="background1"/>
              <w:bottom w:val="single" w:sz="2" w:space="0" w:color="FFFFFF" w:themeColor="background1"/>
              <w:right w:val="single" w:sz="18" w:space="0" w:color="auto"/>
            </w:tcBorders>
            <w:vAlign w:val="center"/>
          </w:tcPr>
          <w:p w14:paraId="54404616" w14:textId="77777777" w:rsidR="00413A1F" w:rsidRPr="008E3C9E" w:rsidRDefault="00413A1F" w:rsidP="00413A1F">
            <w:pPr>
              <w:spacing w:line="180" w:lineRule="exact"/>
              <w:jc w:val="center"/>
              <w:rPr>
                <w:sz w:val="18"/>
                <w:szCs w:val="18"/>
              </w:rPr>
            </w:pPr>
            <w:r w:rsidRPr="008E3C9E">
              <w:rPr>
                <w:sz w:val="18"/>
                <w:szCs w:val="18"/>
              </w:rPr>
              <w:t>—</w:t>
            </w:r>
          </w:p>
        </w:tc>
      </w:tr>
      <w:tr w:rsidR="00413A1F" w14:paraId="2E862873"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2C9E422B" w14:textId="77777777" w:rsidR="00413A1F" w:rsidRDefault="00413A1F" w:rsidP="00413A1F">
            <w:pPr>
              <w:spacing w:line="180" w:lineRule="exact"/>
              <w:rPr>
                <w:sz w:val="20"/>
                <w:szCs w:val="20"/>
              </w:rPr>
            </w:pPr>
            <w:r>
              <w:rPr>
                <w:sz w:val="20"/>
                <w:szCs w:val="20"/>
              </w:rPr>
              <w:t>Threatening Passengers</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E5D3F77"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6A589BE2"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64611D44" w14:textId="77777777" w:rsidR="00413A1F" w:rsidRPr="008E3C9E" w:rsidRDefault="00413A1F" w:rsidP="00413A1F">
            <w:pPr>
              <w:spacing w:line="180" w:lineRule="exact"/>
              <w:jc w:val="center"/>
              <w:rPr>
                <w:sz w:val="18"/>
                <w:szCs w:val="18"/>
              </w:rPr>
            </w:pPr>
            <w:r>
              <w:rPr>
                <w:sz w:val="20"/>
                <w:szCs w:val="20"/>
              </w:rPr>
              <w:t>1.00</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CACB6AE"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8E93085" w14:textId="77777777" w:rsidR="00413A1F" w:rsidRPr="008E3C9E" w:rsidRDefault="00413A1F" w:rsidP="00413A1F">
            <w:pPr>
              <w:spacing w:line="180" w:lineRule="exact"/>
              <w:jc w:val="center"/>
              <w:rPr>
                <w:sz w:val="18"/>
                <w:szCs w:val="18"/>
              </w:rPr>
            </w:pPr>
            <w:r>
              <w:rPr>
                <w:sz w:val="20"/>
                <w:szCs w:val="20"/>
              </w:rPr>
              <w:t>0.66</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4F702CE" w14:textId="77777777" w:rsidR="00413A1F" w:rsidRPr="008E3C9E" w:rsidRDefault="00413A1F" w:rsidP="00413A1F">
            <w:pPr>
              <w:spacing w:line="180" w:lineRule="exact"/>
              <w:jc w:val="center"/>
              <w:rPr>
                <w:sz w:val="18"/>
                <w:szCs w:val="18"/>
              </w:rPr>
            </w:pPr>
            <w:r>
              <w:rPr>
                <w:sz w:val="20"/>
                <w:szCs w:val="20"/>
              </w:rPr>
              <w:t>26.77</w:t>
            </w: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3338449" w14:textId="77777777" w:rsidR="00413A1F" w:rsidRPr="008E3C9E" w:rsidRDefault="00413A1F" w:rsidP="00413A1F">
            <w:pPr>
              <w:spacing w:line="180" w:lineRule="exact"/>
              <w:jc w:val="center"/>
              <w:rPr>
                <w:sz w:val="18"/>
                <w:szCs w:val="18"/>
              </w:rPr>
            </w:pPr>
            <w:r>
              <w:rPr>
                <w:sz w:val="20"/>
                <w:szCs w:val="20"/>
              </w:rPr>
              <w:t>0.33</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A66AA48" w14:textId="77777777" w:rsidR="00413A1F" w:rsidRPr="008E3C9E" w:rsidRDefault="00413A1F" w:rsidP="00413A1F">
            <w:pPr>
              <w:spacing w:line="180" w:lineRule="exact"/>
              <w:jc w:val="center"/>
              <w:rPr>
                <w:sz w:val="18"/>
                <w:szCs w:val="18"/>
              </w:rPr>
            </w:pPr>
            <w:r>
              <w:rPr>
                <w:sz w:val="20"/>
                <w:szCs w:val="20"/>
              </w:rPr>
              <w:t>6.70</w:t>
            </w: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F9F43C1" w14:textId="77777777" w:rsidR="00413A1F" w:rsidRPr="008E3C9E" w:rsidRDefault="00413A1F" w:rsidP="00413A1F">
            <w:pPr>
              <w:spacing w:line="180" w:lineRule="exact"/>
              <w:jc w:val="center"/>
              <w:rPr>
                <w:sz w:val="18"/>
                <w:szCs w:val="18"/>
              </w:rPr>
            </w:pPr>
            <w:r>
              <w:rPr>
                <w:sz w:val="20"/>
                <w:szCs w:val="20"/>
              </w:rPr>
              <w:t>0.56</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BF71469" w14:textId="77777777" w:rsidR="00413A1F" w:rsidRPr="008E3C9E" w:rsidRDefault="00413A1F" w:rsidP="00413A1F">
            <w:pPr>
              <w:spacing w:line="180" w:lineRule="exact"/>
              <w:jc w:val="center"/>
              <w:rPr>
                <w:sz w:val="18"/>
                <w:szCs w:val="18"/>
              </w:rPr>
            </w:pPr>
            <w:r>
              <w:rPr>
                <w:sz w:val="20"/>
                <w:szCs w:val="20"/>
              </w:rPr>
              <w:t>21.47</w:t>
            </w: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0D6DD0F" w14:textId="77777777" w:rsidR="00413A1F" w:rsidRPr="008E3C9E" w:rsidRDefault="00413A1F" w:rsidP="00413A1F">
            <w:pPr>
              <w:spacing w:line="180" w:lineRule="exact"/>
              <w:jc w:val="center"/>
              <w:rPr>
                <w:sz w:val="18"/>
                <w:szCs w:val="18"/>
              </w:rPr>
            </w:pPr>
            <w:r>
              <w:rPr>
                <w:sz w:val="20"/>
                <w:szCs w:val="20"/>
              </w:rPr>
              <w:t>0.68</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3DEB44EB" w14:textId="77777777" w:rsidR="00413A1F" w:rsidRPr="008E3C9E" w:rsidRDefault="00413A1F" w:rsidP="00413A1F">
            <w:pPr>
              <w:spacing w:line="180" w:lineRule="exact"/>
              <w:jc w:val="center"/>
              <w:rPr>
                <w:sz w:val="18"/>
                <w:szCs w:val="18"/>
              </w:rPr>
            </w:pPr>
            <w:r>
              <w:rPr>
                <w:sz w:val="20"/>
                <w:szCs w:val="20"/>
              </w:rPr>
              <w:t>31.31</w:t>
            </w: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05BFB541" w14:textId="77777777" w:rsidR="00413A1F" w:rsidRPr="008E3C9E" w:rsidRDefault="00413A1F" w:rsidP="00413A1F">
            <w:pPr>
              <w:spacing w:line="180" w:lineRule="exact"/>
              <w:jc w:val="center"/>
              <w:rPr>
                <w:sz w:val="18"/>
                <w:szCs w:val="18"/>
              </w:rPr>
            </w:pPr>
            <w:r>
              <w:rPr>
                <w:sz w:val="20"/>
                <w:szCs w:val="20"/>
              </w:rPr>
              <w:t>0.71</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69935D6" w14:textId="77777777" w:rsidR="00413A1F" w:rsidRPr="008E3C9E" w:rsidRDefault="00413A1F" w:rsidP="00413A1F">
            <w:pPr>
              <w:spacing w:line="180" w:lineRule="exact"/>
              <w:jc w:val="center"/>
              <w:rPr>
                <w:sz w:val="18"/>
                <w:szCs w:val="18"/>
              </w:rPr>
            </w:pPr>
            <w:r>
              <w:rPr>
                <w:sz w:val="20"/>
                <w:szCs w:val="20"/>
              </w:rPr>
              <w:t>35.48</w:t>
            </w: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5EB3278F" w14:textId="77777777" w:rsidR="00413A1F" w:rsidRPr="008E3C9E" w:rsidRDefault="00413A1F" w:rsidP="00413A1F">
            <w:pPr>
              <w:spacing w:line="180" w:lineRule="exact"/>
              <w:jc w:val="center"/>
              <w:rPr>
                <w:sz w:val="18"/>
                <w:szCs w:val="18"/>
              </w:rPr>
            </w:pPr>
            <w:r>
              <w:rPr>
                <w:sz w:val="20"/>
                <w:szCs w:val="20"/>
              </w:rPr>
              <w:t>0.41</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1A018A78" w14:textId="77777777" w:rsidR="00413A1F" w:rsidRPr="008E3C9E" w:rsidRDefault="00413A1F" w:rsidP="00413A1F">
            <w:pPr>
              <w:spacing w:line="180" w:lineRule="exact"/>
              <w:jc w:val="center"/>
              <w:rPr>
                <w:sz w:val="18"/>
                <w:szCs w:val="18"/>
              </w:rPr>
            </w:pPr>
            <w:r>
              <w:rPr>
                <w:sz w:val="20"/>
                <w:szCs w:val="20"/>
              </w:rPr>
              <w:t>11.68</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829D830" w14:textId="77777777" w:rsidR="00413A1F" w:rsidRPr="008E3C9E" w:rsidRDefault="00413A1F" w:rsidP="00413A1F">
            <w:pPr>
              <w:spacing w:line="180" w:lineRule="exact"/>
              <w:jc w:val="center"/>
              <w:rPr>
                <w:sz w:val="18"/>
                <w:szCs w:val="18"/>
              </w:rPr>
            </w:pPr>
            <w:r>
              <w:rPr>
                <w:sz w:val="20"/>
                <w:szCs w:val="20"/>
              </w:rPr>
              <w:t>-0.06</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085784EE" w14:textId="77777777" w:rsidR="00413A1F" w:rsidRPr="008E3C9E" w:rsidRDefault="00413A1F" w:rsidP="00413A1F">
            <w:pPr>
              <w:spacing w:line="180" w:lineRule="exact"/>
              <w:jc w:val="center"/>
              <w:rPr>
                <w:sz w:val="18"/>
                <w:szCs w:val="18"/>
              </w:rPr>
            </w:pPr>
            <w:r>
              <w:rPr>
                <w:sz w:val="20"/>
                <w:szCs w:val="20"/>
              </w:rPr>
              <w:t>-2.08</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093499F" w14:textId="77777777" w:rsidR="00413A1F" w:rsidRPr="008E3C9E" w:rsidRDefault="00413A1F" w:rsidP="00413A1F">
            <w:pPr>
              <w:spacing w:line="180" w:lineRule="exact"/>
              <w:jc w:val="center"/>
              <w:rPr>
                <w:sz w:val="18"/>
                <w:szCs w:val="18"/>
              </w:rPr>
            </w:pPr>
            <w:r>
              <w:rPr>
                <w:sz w:val="20"/>
                <w:szCs w:val="20"/>
              </w:rPr>
              <w:t>-0.05</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4D7C2437" w14:textId="77777777" w:rsidR="00413A1F" w:rsidRPr="008E3C9E" w:rsidRDefault="00413A1F" w:rsidP="00413A1F">
            <w:pPr>
              <w:spacing w:line="180" w:lineRule="exact"/>
              <w:jc w:val="center"/>
              <w:rPr>
                <w:sz w:val="18"/>
                <w:szCs w:val="18"/>
              </w:rPr>
            </w:pPr>
            <w:r>
              <w:rPr>
                <w:sz w:val="20"/>
                <w:szCs w:val="20"/>
              </w:rPr>
              <w:t>-1.82</w:t>
            </w:r>
          </w:p>
        </w:tc>
      </w:tr>
      <w:tr w:rsidR="00413A1F" w14:paraId="14B8F74F"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6BCA8EC7" w14:textId="77777777" w:rsidR="00413A1F" w:rsidRDefault="00413A1F" w:rsidP="00413A1F">
            <w:pPr>
              <w:spacing w:line="180" w:lineRule="exact"/>
              <w:rPr>
                <w:sz w:val="20"/>
                <w:szCs w:val="20"/>
              </w:rPr>
            </w:pPr>
            <w:r>
              <w:rPr>
                <w:sz w:val="20"/>
                <w:szCs w:val="20"/>
              </w:rPr>
              <w:t>Theft Risk</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54D461AD"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72B40D93"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0079B78B"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882FBC7"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401E88C" w14:textId="77777777" w:rsidR="00413A1F" w:rsidRPr="008E3C9E" w:rsidRDefault="00413A1F" w:rsidP="00413A1F">
            <w:pPr>
              <w:spacing w:line="180" w:lineRule="exact"/>
              <w:jc w:val="center"/>
              <w:rPr>
                <w:sz w:val="18"/>
                <w:szCs w:val="18"/>
              </w:rPr>
            </w:pPr>
            <w:r>
              <w:rPr>
                <w:sz w:val="20"/>
                <w:szCs w:val="20"/>
              </w:rPr>
              <w:t xml:space="preserve"> 1.00</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8430D57"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F638B36" w14:textId="77777777" w:rsidR="00413A1F" w:rsidRPr="008E3C9E" w:rsidRDefault="00413A1F" w:rsidP="00413A1F">
            <w:pPr>
              <w:spacing w:line="180" w:lineRule="exact"/>
              <w:jc w:val="center"/>
              <w:rPr>
                <w:sz w:val="18"/>
                <w:szCs w:val="18"/>
              </w:rPr>
            </w:pPr>
            <w:r>
              <w:rPr>
                <w:sz w:val="20"/>
                <w:szCs w:val="20"/>
              </w:rPr>
              <w:t>0.40</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38E070D5" w14:textId="77777777" w:rsidR="00413A1F" w:rsidRPr="008E3C9E" w:rsidRDefault="00413A1F" w:rsidP="00413A1F">
            <w:pPr>
              <w:spacing w:line="180" w:lineRule="exact"/>
              <w:jc w:val="center"/>
              <w:rPr>
                <w:sz w:val="18"/>
                <w:szCs w:val="18"/>
              </w:rPr>
            </w:pPr>
            <w:r>
              <w:rPr>
                <w:sz w:val="20"/>
                <w:szCs w:val="20"/>
              </w:rPr>
              <w:t>8.27</w:t>
            </w: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15556988" w14:textId="77777777" w:rsidR="00413A1F" w:rsidRPr="008E3C9E" w:rsidRDefault="00413A1F" w:rsidP="00413A1F">
            <w:pPr>
              <w:spacing w:line="180" w:lineRule="exact"/>
              <w:jc w:val="center"/>
              <w:rPr>
                <w:sz w:val="18"/>
                <w:szCs w:val="18"/>
              </w:rPr>
            </w:pPr>
            <w:r>
              <w:rPr>
                <w:sz w:val="20"/>
                <w:szCs w:val="20"/>
              </w:rPr>
              <w:t>0.53</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08BE4B32" w14:textId="77777777" w:rsidR="00413A1F" w:rsidRPr="008E3C9E" w:rsidRDefault="00413A1F" w:rsidP="00413A1F">
            <w:pPr>
              <w:spacing w:line="180" w:lineRule="exact"/>
              <w:jc w:val="center"/>
              <w:rPr>
                <w:sz w:val="18"/>
                <w:szCs w:val="18"/>
              </w:rPr>
            </w:pPr>
            <w:r>
              <w:rPr>
                <w:sz w:val="20"/>
                <w:szCs w:val="20"/>
              </w:rPr>
              <w:t>17.62</w:t>
            </w: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75766E7" w14:textId="77777777" w:rsidR="00413A1F" w:rsidRPr="008E3C9E" w:rsidRDefault="00413A1F" w:rsidP="00413A1F">
            <w:pPr>
              <w:spacing w:line="180" w:lineRule="exact"/>
              <w:jc w:val="center"/>
              <w:rPr>
                <w:sz w:val="18"/>
                <w:szCs w:val="18"/>
              </w:rPr>
            </w:pPr>
            <w:r>
              <w:rPr>
                <w:sz w:val="20"/>
                <w:szCs w:val="20"/>
              </w:rPr>
              <w:t>0.59</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3F136610" w14:textId="77777777" w:rsidR="00413A1F" w:rsidRPr="008E3C9E" w:rsidRDefault="00413A1F" w:rsidP="00413A1F">
            <w:pPr>
              <w:spacing w:line="180" w:lineRule="exact"/>
              <w:jc w:val="center"/>
              <w:rPr>
                <w:sz w:val="18"/>
                <w:szCs w:val="18"/>
              </w:rPr>
            </w:pPr>
            <w:r>
              <w:rPr>
                <w:sz w:val="20"/>
                <w:szCs w:val="20"/>
              </w:rPr>
              <w:t>21.77</w:t>
            </w: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663F4BDA" w14:textId="77777777" w:rsidR="00413A1F" w:rsidRPr="008E3C9E" w:rsidRDefault="00413A1F" w:rsidP="00413A1F">
            <w:pPr>
              <w:spacing w:line="180" w:lineRule="exact"/>
              <w:jc w:val="center"/>
              <w:rPr>
                <w:sz w:val="18"/>
                <w:szCs w:val="18"/>
              </w:rPr>
            </w:pPr>
            <w:r>
              <w:rPr>
                <w:sz w:val="20"/>
                <w:szCs w:val="20"/>
              </w:rPr>
              <w:t>0.56</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54DD472" w14:textId="77777777" w:rsidR="00413A1F" w:rsidRPr="008E3C9E" w:rsidRDefault="00413A1F" w:rsidP="00413A1F">
            <w:pPr>
              <w:spacing w:line="180" w:lineRule="exact"/>
              <w:jc w:val="center"/>
              <w:rPr>
                <w:sz w:val="18"/>
                <w:szCs w:val="18"/>
              </w:rPr>
            </w:pPr>
            <w:r>
              <w:rPr>
                <w:sz w:val="20"/>
                <w:szCs w:val="20"/>
              </w:rPr>
              <w:t>20.29</w:t>
            </w: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5DBE29F" w14:textId="77777777" w:rsidR="00413A1F" w:rsidRPr="008E3C9E" w:rsidRDefault="00413A1F" w:rsidP="00413A1F">
            <w:pPr>
              <w:spacing w:line="180" w:lineRule="exact"/>
              <w:jc w:val="center"/>
              <w:rPr>
                <w:sz w:val="18"/>
                <w:szCs w:val="18"/>
              </w:rPr>
            </w:pPr>
            <w:r>
              <w:rPr>
                <w:sz w:val="20"/>
                <w:szCs w:val="20"/>
              </w:rPr>
              <w:t>0.43</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4F91B2FF" w14:textId="77777777" w:rsidR="00413A1F" w:rsidRPr="008E3C9E" w:rsidRDefault="00413A1F" w:rsidP="00413A1F">
            <w:pPr>
              <w:spacing w:line="180" w:lineRule="exact"/>
              <w:jc w:val="center"/>
              <w:rPr>
                <w:sz w:val="18"/>
                <w:szCs w:val="18"/>
              </w:rPr>
            </w:pPr>
            <w:r>
              <w:rPr>
                <w:sz w:val="20"/>
                <w:szCs w:val="20"/>
              </w:rPr>
              <w:t>11.46</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238CB42F" w14:textId="77777777" w:rsidR="00413A1F" w:rsidRPr="008E3C9E" w:rsidRDefault="00413A1F" w:rsidP="00413A1F">
            <w:pPr>
              <w:spacing w:line="180" w:lineRule="exact"/>
              <w:jc w:val="center"/>
              <w:rPr>
                <w:sz w:val="18"/>
                <w:szCs w:val="18"/>
              </w:rPr>
            </w:pPr>
            <w:r>
              <w:rPr>
                <w:sz w:val="20"/>
                <w:szCs w:val="20"/>
              </w:rPr>
              <w:t>-0.09</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67E936DA" w14:textId="77777777" w:rsidR="00413A1F" w:rsidRPr="008E3C9E" w:rsidRDefault="00413A1F" w:rsidP="00413A1F">
            <w:pPr>
              <w:spacing w:line="180" w:lineRule="exact"/>
              <w:jc w:val="center"/>
              <w:rPr>
                <w:sz w:val="18"/>
                <w:szCs w:val="18"/>
              </w:rPr>
            </w:pPr>
            <w:r>
              <w:rPr>
                <w:sz w:val="20"/>
                <w:szCs w:val="20"/>
              </w:rPr>
              <w:t>-2.35</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78EA49D8" w14:textId="77777777" w:rsidR="00413A1F" w:rsidRPr="008E3C9E" w:rsidRDefault="00413A1F" w:rsidP="00413A1F">
            <w:pPr>
              <w:spacing w:line="180" w:lineRule="exact"/>
              <w:jc w:val="center"/>
              <w:rPr>
                <w:sz w:val="18"/>
                <w:szCs w:val="18"/>
              </w:rPr>
            </w:pPr>
            <w:r>
              <w:rPr>
                <w:sz w:val="20"/>
                <w:szCs w:val="20"/>
              </w:rPr>
              <w:t>-0.09</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4F1FDEF3" w14:textId="77777777" w:rsidR="00413A1F" w:rsidRPr="008E3C9E" w:rsidRDefault="00413A1F" w:rsidP="00413A1F">
            <w:pPr>
              <w:spacing w:line="180" w:lineRule="exact"/>
              <w:jc w:val="center"/>
              <w:rPr>
                <w:sz w:val="18"/>
                <w:szCs w:val="18"/>
              </w:rPr>
            </w:pPr>
            <w:r>
              <w:rPr>
                <w:sz w:val="20"/>
                <w:szCs w:val="20"/>
              </w:rPr>
              <w:t>-2.34</w:t>
            </w:r>
          </w:p>
        </w:tc>
      </w:tr>
      <w:tr w:rsidR="00413A1F" w14:paraId="22008388"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16F43BD0" w14:textId="77777777" w:rsidR="00413A1F" w:rsidRDefault="00413A1F" w:rsidP="00413A1F">
            <w:pPr>
              <w:spacing w:line="180" w:lineRule="exact"/>
              <w:rPr>
                <w:sz w:val="20"/>
                <w:szCs w:val="20"/>
              </w:rPr>
            </w:pPr>
            <w:r>
              <w:rPr>
                <w:sz w:val="20"/>
                <w:szCs w:val="20"/>
              </w:rPr>
              <w:t>Law Enforcement</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32A75130"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57E261DF"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22D19423"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D2CBA4F"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17F4605D"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5218656"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22B4DB6" w14:textId="77777777" w:rsidR="00413A1F" w:rsidRPr="008E3C9E" w:rsidRDefault="00413A1F" w:rsidP="00413A1F">
            <w:pPr>
              <w:spacing w:line="180" w:lineRule="exact"/>
              <w:jc w:val="center"/>
              <w:rPr>
                <w:sz w:val="18"/>
                <w:szCs w:val="18"/>
              </w:rPr>
            </w:pPr>
            <w:r>
              <w:rPr>
                <w:sz w:val="20"/>
                <w:szCs w:val="20"/>
              </w:rPr>
              <w:t>1.00</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2510900" w14:textId="77777777" w:rsidR="00413A1F" w:rsidRPr="008E3C9E" w:rsidRDefault="00413A1F" w:rsidP="00413A1F">
            <w:pPr>
              <w:spacing w:line="180" w:lineRule="exact"/>
              <w:jc w:val="center"/>
              <w:rPr>
                <w:sz w:val="18"/>
                <w:szCs w:val="18"/>
              </w:rPr>
            </w:pP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9D2FC39" w14:textId="77777777" w:rsidR="00413A1F" w:rsidRPr="008E3C9E" w:rsidRDefault="00413A1F" w:rsidP="00413A1F">
            <w:pPr>
              <w:spacing w:line="180" w:lineRule="exact"/>
              <w:jc w:val="center"/>
              <w:rPr>
                <w:sz w:val="18"/>
                <w:szCs w:val="18"/>
              </w:rPr>
            </w:pPr>
            <w:r>
              <w:rPr>
                <w:sz w:val="20"/>
                <w:szCs w:val="20"/>
              </w:rPr>
              <w:t>0.25</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3E22EB87" w14:textId="77777777" w:rsidR="00413A1F" w:rsidRPr="008E3C9E" w:rsidRDefault="00413A1F" w:rsidP="00413A1F">
            <w:pPr>
              <w:spacing w:line="180" w:lineRule="exact"/>
              <w:jc w:val="center"/>
              <w:rPr>
                <w:sz w:val="18"/>
                <w:szCs w:val="18"/>
              </w:rPr>
            </w:pPr>
            <w:r>
              <w:rPr>
                <w:sz w:val="20"/>
                <w:szCs w:val="20"/>
              </w:rPr>
              <w:t>4.93</w:t>
            </w: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5CB26532" w14:textId="77777777" w:rsidR="00413A1F" w:rsidRPr="008E3C9E" w:rsidRDefault="00413A1F" w:rsidP="00413A1F">
            <w:pPr>
              <w:spacing w:line="180" w:lineRule="exact"/>
              <w:jc w:val="center"/>
              <w:rPr>
                <w:sz w:val="18"/>
                <w:szCs w:val="18"/>
              </w:rPr>
            </w:pPr>
            <w:r>
              <w:rPr>
                <w:sz w:val="20"/>
                <w:szCs w:val="20"/>
              </w:rPr>
              <w:t>0.41</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42E1101F" w14:textId="77777777" w:rsidR="00413A1F" w:rsidRPr="008E3C9E" w:rsidRDefault="00413A1F" w:rsidP="00413A1F">
            <w:pPr>
              <w:spacing w:line="180" w:lineRule="exact"/>
              <w:jc w:val="center"/>
              <w:rPr>
                <w:sz w:val="18"/>
                <w:szCs w:val="18"/>
              </w:rPr>
            </w:pPr>
            <w:r>
              <w:rPr>
                <w:sz w:val="20"/>
                <w:szCs w:val="20"/>
              </w:rPr>
              <w:t>9.10</w:t>
            </w: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F3450C0" w14:textId="77777777" w:rsidR="00413A1F" w:rsidRPr="008E3C9E" w:rsidRDefault="00413A1F" w:rsidP="00413A1F">
            <w:pPr>
              <w:spacing w:line="180" w:lineRule="exact"/>
              <w:jc w:val="center"/>
              <w:rPr>
                <w:sz w:val="18"/>
                <w:szCs w:val="18"/>
              </w:rPr>
            </w:pPr>
            <w:r>
              <w:rPr>
                <w:sz w:val="20"/>
                <w:szCs w:val="20"/>
              </w:rPr>
              <w:t>0.33</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50AA746" w14:textId="77777777" w:rsidR="00413A1F" w:rsidRPr="008E3C9E" w:rsidRDefault="00413A1F" w:rsidP="00413A1F">
            <w:pPr>
              <w:spacing w:line="180" w:lineRule="exact"/>
              <w:jc w:val="center"/>
              <w:rPr>
                <w:sz w:val="18"/>
                <w:szCs w:val="18"/>
              </w:rPr>
            </w:pPr>
            <w:r>
              <w:rPr>
                <w:sz w:val="20"/>
                <w:szCs w:val="20"/>
              </w:rPr>
              <w:t>6.74</w:t>
            </w: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4BFF3E2" w14:textId="77777777" w:rsidR="00413A1F" w:rsidRPr="008E3C9E" w:rsidRDefault="00413A1F" w:rsidP="00413A1F">
            <w:pPr>
              <w:spacing w:line="180" w:lineRule="exact"/>
              <w:jc w:val="center"/>
              <w:rPr>
                <w:sz w:val="18"/>
                <w:szCs w:val="18"/>
              </w:rPr>
            </w:pPr>
            <w:r>
              <w:rPr>
                <w:sz w:val="20"/>
                <w:szCs w:val="20"/>
              </w:rPr>
              <w:t>0.41</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72FBFB91" w14:textId="77777777" w:rsidR="00413A1F" w:rsidRPr="008E3C9E" w:rsidRDefault="00413A1F" w:rsidP="00413A1F">
            <w:pPr>
              <w:spacing w:line="180" w:lineRule="exact"/>
              <w:jc w:val="center"/>
              <w:rPr>
                <w:sz w:val="18"/>
                <w:szCs w:val="18"/>
              </w:rPr>
            </w:pPr>
            <w:r>
              <w:rPr>
                <w:sz w:val="20"/>
                <w:szCs w:val="20"/>
              </w:rPr>
              <w:t>8.24</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7EEDB0B" w14:textId="77777777" w:rsidR="00413A1F" w:rsidRPr="008E3C9E" w:rsidRDefault="00413A1F" w:rsidP="00413A1F">
            <w:pPr>
              <w:spacing w:line="180" w:lineRule="exact"/>
              <w:jc w:val="center"/>
              <w:rPr>
                <w:sz w:val="18"/>
                <w:szCs w:val="18"/>
              </w:rPr>
            </w:pPr>
            <w:r>
              <w:rPr>
                <w:sz w:val="20"/>
                <w:szCs w:val="20"/>
              </w:rPr>
              <w:t>0.16</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31560818" w14:textId="77777777" w:rsidR="00413A1F" w:rsidRPr="008E3C9E" w:rsidRDefault="00413A1F" w:rsidP="00413A1F">
            <w:pPr>
              <w:spacing w:line="180" w:lineRule="exact"/>
              <w:jc w:val="center"/>
              <w:rPr>
                <w:sz w:val="18"/>
                <w:szCs w:val="18"/>
              </w:rPr>
            </w:pPr>
            <w:r>
              <w:rPr>
                <w:sz w:val="20"/>
                <w:szCs w:val="20"/>
              </w:rPr>
              <w:t>3.30</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C81450E" w14:textId="77777777" w:rsidR="00413A1F" w:rsidRPr="008E3C9E" w:rsidRDefault="00413A1F" w:rsidP="00413A1F">
            <w:pPr>
              <w:spacing w:line="180" w:lineRule="exact"/>
              <w:jc w:val="center"/>
              <w:rPr>
                <w:sz w:val="18"/>
                <w:szCs w:val="18"/>
              </w:rPr>
            </w:pPr>
            <w:r>
              <w:rPr>
                <w:sz w:val="20"/>
                <w:szCs w:val="20"/>
              </w:rPr>
              <w:t>-0.11</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1642F6BE" w14:textId="77777777" w:rsidR="00413A1F" w:rsidRPr="008E3C9E" w:rsidRDefault="00413A1F" w:rsidP="00413A1F">
            <w:pPr>
              <w:spacing w:line="180" w:lineRule="exact"/>
              <w:jc w:val="center"/>
              <w:rPr>
                <w:sz w:val="18"/>
                <w:szCs w:val="18"/>
              </w:rPr>
            </w:pPr>
            <w:r>
              <w:rPr>
                <w:sz w:val="20"/>
                <w:szCs w:val="20"/>
              </w:rPr>
              <w:t>-2.12</w:t>
            </w:r>
          </w:p>
        </w:tc>
      </w:tr>
      <w:tr w:rsidR="00413A1F" w14:paraId="45190978"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08C2CE34" w14:textId="77777777" w:rsidR="00413A1F" w:rsidRDefault="00413A1F" w:rsidP="00413A1F">
            <w:pPr>
              <w:spacing w:line="180" w:lineRule="exact"/>
              <w:rPr>
                <w:sz w:val="20"/>
                <w:szCs w:val="20"/>
              </w:rPr>
            </w:pPr>
            <w:r>
              <w:rPr>
                <w:sz w:val="20"/>
                <w:szCs w:val="20"/>
              </w:rPr>
              <w:t>Unsafe Walking</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346D538B"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612ACD3E"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210A3E2"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36BDF35"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C5EC062"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A07380F"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11FE63BB"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6744ACF6" w14:textId="77777777" w:rsidR="00413A1F" w:rsidRPr="008E3C9E" w:rsidRDefault="00413A1F" w:rsidP="00413A1F">
            <w:pPr>
              <w:spacing w:line="180" w:lineRule="exact"/>
              <w:jc w:val="center"/>
              <w:rPr>
                <w:sz w:val="18"/>
                <w:szCs w:val="18"/>
              </w:rPr>
            </w:pP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50AC43C4" w14:textId="77777777" w:rsidR="00413A1F" w:rsidRPr="008E3C9E" w:rsidRDefault="00413A1F" w:rsidP="00413A1F">
            <w:pPr>
              <w:spacing w:line="180" w:lineRule="exact"/>
              <w:jc w:val="center"/>
              <w:rPr>
                <w:sz w:val="18"/>
                <w:szCs w:val="18"/>
              </w:rPr>
            </w:pPr>
            <w:r>
              <w:rPr>
                <w:sz w:val="20"/>
                <w:szCs w:val="20"/>
              </w:rPr>
              <w:t>1.00</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BB08D57" w14:textId="77777777" w:rsidR="00413A1F" w:rsidRPr="008E3C9E" w:rsidRDefault="00413A1F" w:rsidP="00413A1F">
            <w:pPr>
              <w:spacing w:line="180" w:lineRule="exact"/>
              <w:jc w:val="center"/>
              <w:rPr>
                <w:sz w:val="18"/>
                <w:szCs w:val="18"/>
              </w:rPr>
            </w:pP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F2B4C53" w14:textId="77777777" w:rsidR="00413A1F" w:rsidRPr="008E3C9E" w:rsidRDefault="00413A1F" w:rsidP="00413A1F">
            <w:pPr>
              <w:spacing w:line="180" w:lineRule="exact"/>
              <w:jc w:val="center"/>
              <w:rPr>
                <w:sz w:val="18"/>
                <w:szCs w:val="18"/>
              </w:rPr>
            </w:pPr>
            <w:r>
              <w:rPr>
                <w:sz w:val="20"/>
                <w:szCs w:val="20"/>
              </w:rPr>
              <w:t>0.77</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7B1BE098" w14:textId="77777777" w:rsidR="00413A1F" w:rsidRPr="008E3C9E" w:rsidRDefault="00413A1F" w:rsidP="00413A1F">
            <w:pPr>
              <w:spacing w:line="180" w:lineRule="exact"/>
              <w:jc w:val="center"/>
              <w:rPr>
                <w:sz w:val="18"/>
                <w:szCs w:val="18"/>
              </w:rPr>
            </w:pPr>
            <w:r>
              <w:rPr>
                <w:sz w:val="20"/>
                <w:szCs w:val="20"/>
              </w:rPr>
              <w:t>39.24</w:t>
            </w: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77841C41" w14:textId="77777777" w:rsidR="00413A1F" w:rsidRPr="008E3C9E" w:rsidRDefault="00413A1F" w:rsidP="00413A1F">
            <w:pPr>
              <w:spacing w:line="180" w:lineRule="exact"/>
              <w:jc w:val="center"/>
              <w:rPr>
                <w:sz w:val="18"/>
                <w:szCs w:val="18"/>
              </w:rPr>
            </w:pPr>
            <w:r>
              <w:rPr>
                <w:sz w:val="20"/>
                <w:szCs w:val="20"/>
              </w:rPr>
              <w:t>0.50</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23CDF54" w14:textId="77777777" w:rsidR="00413A1F" w:rsidRPr="008E3C9E" w:rsidRDefault="00413A1F" w:rsidP="00413A1F">
            <w:pPr>
              <w:spacing w:line="180" w:lineRule="exact"/>
              <w:jc w:val="center"/>
              <w:rPr>
                <w:sz w:val="18"/>
                <w:szCs w:val="18"/>
              </w:rPr>
            </w:pPr>
            <w:r>
              <w:rPr>
                <w:sz w:val="20"/>
                <w:szCs w:val="20"/>
              </w:rPr>
              <w:t>17.82</w:t>
            </w: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14505AC8" w14:textId="77777777" w:rsidR="00413A1F" w:rsidRPr="008E3C9E" w:rsidRDefault="00413A1F" w:rsidP="00413A1F">
            <w:pPr>
              <w:spacing w:line="180" w:lineRule="exact"/>
              <w:jc w:val="center"/>
              <w:rPr>
                <w:sz w:val="18"/>
                <w:szCs w:val="18"/>
              </w:rPr>
            </w:pPr>
            <w:r>
              <w:rPr>
                <w:sz w:val="20"/>
                <w:szCs w:val="20"/>
              </w:rPr>
              <w:t>0.46</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69B76626" w14:textId="77777777" w:rsidR="00413A1F" w:rsidRPr="008E3C9E" w:rsidRDefault="00413A1F" w:rsidP="00413A1F">
            <w:pPr>
              <w:spacing w:line="180" w:lineRule="exact"/>
              <w:jc w:val="center"/>
              <w:rPr>
                <w:sz w:val="18"/>
                <w:szCs w:val="18"/>
              </w:rPr>
            </w:pPr>
            <w:r>
              <w:rPr>
                <w:sz w:val="20"/>
                <w:szCs w:val="20"/>
              </w:rPr>
              <w:t>12.14</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3BD6A230" w14:textId="77777777" w:rsidR="00413A1F" w:rsidRPr="008E3C9E" w:rsidRDefault="00413A1F" w:rsidP="00413A1F">
            <w:pPr>
              <w:spacing w:line="180" w:lineRule="exact"/>
              <w:jc w:val="center"/>
              <w:rPr>
                <w:sz w:val="18"/>
                <w:szCs w:val="18"/>
              </w:rPr>
            </w:pPr>
            <w:r w:rsidRPr="008E3C9E">
              <w:rPr>
                <w:sz w:val="18"/>
                <w:szCs w:val="18"/>
              </w:rPr>
              <w:t>—</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3418D1DF" w14:textId="77777777" w:rsidR="00413A1F" w:rsidRPr="008E3C9E" w:rsidRDefault="00413A1F" w:rsidP="00413A1F">
            <w:pPr>
              <w:spacing w:line="180" w:lineRule="exact"/>
              <w:jc w:val="center"/>
              <w:rPr>
                <w:sz w:val="18"/>
                <w:szCs w:val="18"/>
              </w:rPr>
            </w:pPr>
            <w:r w:rsidRPr="008E3C9E">
              <w:rPr>
                <w:sz w:val="18"/>
                <w:szCs w:val="18"/>
              </w:rPr>
              <w:t>—</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73827F6"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0061DAF1" w14:textId="77777777" w:rsidR="00413A1F" w:rsidRPr="008E3C9E" w:rsidRDefault="00413A1F" w:rsidP="00413A1F">
            <w:pPr>
              <w:spacing w:line="180" w:lineRule="exact"/>
              <w:jc w:val="center"/>
              <w:rPr>
                <w:sz w:val="18"/>
                <w:szCs w:val="18"/>
              </w:rPr>
            </w:pPr>
            <w:r w:rsidRPr="008E3C9E">
              <w:rPr>
                <w:sz w:val="18"/>
                <w:szCs w:val="18"/>
              </w:rPr>
              <w:t>—</w:t>
            </w:r>
          </w:p>
        </w:tc>
      </w:tr>
      <w:tr w:rsidR="00413A1F" w14:paraId="21218506"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6C8D2A18" w14:textId="77777777" w:rsidR="00413A1F" w:rsidRDefault="00413A1F" w:rsidP="00413A1F">
            <w:pPr>
              <w:spacing w:line="180" w:lineRule="exact"/>
              <w:rPr>
                <w:sz w:val="20"/>
                <w:szCs w:val="20"/>
              </w:rPr>
            </w:pPr>
            <w:r>
              <w:rPr>
                <w:sz w:val="20"/>
                <w:szCs w:val="20"/>
              </w:rPr>
              <w:t>Unsafe Waiting</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7E94B95A"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2A979B6C"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15323D1A"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35ED122"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789D228"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6D5002F9"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18EFE5F"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5C15C5A" w14:textId="77777777" w:rsidR="00413A1F" w:rsidRPr="008E3C9E" w:rsidRDefault="00413A1F" w:rsidP="00413A1F">
            <w:pPr>
              <w:spacing w:line="180" w:lineRule="exact"/>
              <w:jc w:val="center"/>
              <w:rPr>
                <w:sz w:val="18"/>
                <w:szCs w:val="18"/>
              </w:rPr>
            </w:pP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7600BA5D"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4FA818A" w14:textId="77777777" w:rsidR="00413A1F" w:rsidRPr="008E3C9E" w:rsidRDefault="00413A1F" w:rsidP="00413A1F">
            <w:pPr>
              <w:spacing w:line="180" w:lineRule="exact"/>
              <w:jc w:val="center"/>
              <w:rPr>
                <w:sz w:val="18"/>
                <w:szCs w:val="18"/>
              </w:rPr>
            </w:pP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6948596E" w14:textId="77777777" w:rsidR="00413A1F" w:rsidRPr="008E3C9E" w:rsidRDefault="00413A1F" w:rsidP="00413A1F">
            <w:pPr>
              <w:spacing w:line="180" w:lineRule="exact"/>
              <w:jc w:val="center"/>
              <w:rPr>
                <w:sz w:val="18"/>
                <w:szCs w:val="18"/>
              </w:rPr>
            </w:pPr>
            <w:r>
              <w:rPr>
                <w:sz w:val="20"/>
                <w:szCs w:val="20"/>
              </w:rPr>
              <w:t>1.00</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179BCA0C"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EA2F637" w14:textId="77777777" w:rsidR="00413A1F" w:rsidRPr="008E3C9E" w:rsidRDefault="00413A1F" w:rsidP="00413A1F">
            <w:pPr>
              <w:spacing w:line="180" w:lineRule="exact"/>
              <w:jc w:val="center"/>
              <w:rPr>
                <w:sz w:val="18"/>
                <w:szCs w:val="18"/>
              </w:rPr>
            </w:pPr>
            <w:r>
              <w:rPr>
                <w:sz w:val="20"/>
                <w:szCs w:val="20"/>
              </w:rPr>
              <w:t>0.61</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CCC7D3C" w14:textId="77777777" w:rsidR="00413A1F" w:rsidRPr="008E3C9E" w:rsidRDefault="00413A1F" w:rsidP="00413A1F">
            <w:pPr>
              <w:spacing w:line="180" w:lineRule="exact"/>
              <w:jc w:val="center"/>
              <w:rPr>
                <w:sz w:val="18"/>
                <w:szCs w:val="18"/>
              </w:rPr>
            </w:pPr>
            <w:r>
              <w:rPr>
                <w:sz w:val="20"/>
                <w:szCs w:val="20"/>
              </w:rPr>
              <w:t>25.26</w:t>
            </w: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BED5E29" w14:textId="77777777" w:rsidR="00413A1F" w:rsidRPr="008E3C9E" w:rsidRDefault="00413A1F" w:rsidP="00413A1F">
            <w:pPr>
              <w:spacing w:line="180" w:lineRule="exact"/>
              <w:jc w:val="center"/>
              <w:rPr>
                <w:sz w:val="18"/>
                <w:szCs w:val="18"/>
              </w:rPr>
            </w:pPr>
            <w:r>
              <w:rPr>
                <w:sz w:val="20"/>
                <w:szCs w:val="20"/>
              </w:rPr>
              <w:t>0.43</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4C420BEF" w14:textId="77777777" w:rsidR="00413A1F" w:rsidRPr="008E3C9E" w:rsidRDefault="00413A1F" w:rsidP="00413A1F">
            <w:pPr>
              <w:spacing w:line="180" w:lineRule="exact"/>
              <w:jc w:val="center"/>
              <w:rPr>
                <w:sz w:val="18"/>
                <w:szCs w:val="18"/>
              </w:rPr>
            </w:pPr>
            <w:r>
              <w:rPr>
                <w:sz w:val="20"/>
                <w:szCs w:val="20"/>
              </w:rPr>
              <w:t>11.69</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1CD09CC7" w14:textId="77777777" w:rsidR="00413A1F" w:rsidRPr="008E3C9E" w:rsidRDefault="00413A1F" w:rsidP="00413A1F">
            <w:pPr>
              <w:spacing w:line="180" w:lineRule="exact"/>
              <w:jc w:val="center"/>
              <w:rPr>
                <w:sz w:val="18"/>
                <w:szCs w:val="18"/>
              </w:rPr>
            </w:pPr>
            <w:r w:rsidRPr="008E3C9E">
              <w:rPr>
                <w:sz w:val="18"/>
                <w:szCs w:val="18"/>
              </w:rPr>
              <w:t>—</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0A1B46AD" w14:textId="77777777" w:rsidR="00413A1F" w:rsidRPr="008E3C9E" w:rsidRDefault="00413A1F" w:rsidP="00413A1F">
            <w:pPr>
              <w:spacing w:line="180" w:lineRule="exact"/>
              <w:jc w:val="center"/>
              <w:rPr>
                <w:sz w:val="18"/>
                <w:szCs w:val="18"/>
              </w:rPr>
            </w:pPr>
            <w:r w:rsidRPr="008E3C9E">
              <w:rPr>
                <w:sz w:val="18"/>
                <w:szCs w:val="18"/>
              </w:rPr>
              <w:t>—</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53732028"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02A5790C" w14:textId="77777777" w:rsidR="00413A1F" w:rsidRPr="008E3C9E" w:rsidRDefault="00413A1F" w:rsidP="00413A1F">
            <w:pPr>
              <w:spacing w:line="180" w:lineRule="exact"/>
              <w:jc w:val="center"/>
              <w:rPr>
                <w:sz w:val="18"/>
                <w:szCs w:val="18"/>
              </w:rPr>
            </w:pPr>
            <w:r w:rsidRPr="008E3C9E">
              <w:rPr>
                <w:sz w:val="18"/>
                <w:szCs w:val="18"/>
              </w:rPr>
              <w:t>—</w:t>
            </w:r>
          </w:p>
        </w:tc>
      </w:tr>
      <w:tr w:rsidR="00413A1F" w14:paraId="0039EE79"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1DF8EB7C" w14:textId="77777777" w:rsidR="00413A1F" w:rsidRDefault="00413A1F" w:rsidP="00413A1F">
            <w:pPr>
              <w:spacing w:line="180" w:lineRule="exact"/>
              <w:rPr>
                <w:sz w:val="20"/>
                <w:szCs w:val="20"/>
              </w:rPr>
            </w:pPr>
            <w:r>
              <w:rPr>
                <w:sz w:val="20"/>
                <w:szCs w:val="20"/>
              </w:rPr>
              <w:t>Unsanitary Conditions</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716EB648"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3F53D7E0"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0E8D7FA0"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6565C908"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CDE22AF"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0E540D5"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5F4FA21"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22C9A29" w14:textId="77777777" w:rsidR="00413A1F" w:rsidRPr="008E3C9E" w:rsidRDefault="00413A1F" w:rsidP="00413A1F">
            <w:pPr>
              <w:spacing w:line="180" w:lineRule="exact"/>
              <w:jc w:val="center"/>
              <w:rPr>
                <w:sz w:val="18"/>
                <w:szCs w:val="18"/>
              </w:rPr>
            </w:pP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5422C606"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513B7AF" w14:textId="77777777" w:rsidR="00413A1F" w:rsidRPr="008E3C9E" w:rsidRDefault="00413A1F" w:rsidP="00413A1F">
            <w:pPr>
              <w:spacing w:line="180" w:lineRule="exact"/>
              <w:jc w:val="center"/>
              <w:rPr>
                <w:sz w:val="18"/>
                <w:szCs w:val="18"/>
              </w:rPr>
            </w:pP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707A96CD"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29F83BB2"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3316F401" w14:textId="77777777" w:rsidR="00413A1F" w:rsidRPr="008E3C9E" w:rsidRDefault="00413A1F" w:rsidP="00413A1F">
            <w:pPr>
              <w:spacing w:line="180" w:lineRule="exact"/>
              <w:jc w:val="center"/>
              <w:rPr>
                <w:sz w:val="18"/>
                <w:szCs w:val="18"/>
              </w:rPr>
            </w:pPr>
            <w:r>
              <w:rPr>
                <w:sz w:val="20"/>
                <w:szCs w:val="20"/>
              </w:rPr>
              <w:t>1.00</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29BAA20"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78DA4658" w14:textId="77777777" w:rsidR="00413A1F" w:rsidRPr="008E3C9E" w:rsidRDefault="00413A1F" w:rsidP="00413A1F">
            <w:pPr>
              <w:spacing w:line="180" w:lineRule="exact"/>
              <w:jc w:val="center"/>
              <w:rPr>
                <w:sz w:val="18"/>
                <w:szCs w:val="18"/>
              </w:rPr>
            </w:pPr>
            <w:r>
              <w:rPr>
                <w:sz w:val="20"/>
                <w:szCs w:val="20"/>
              </w:rPr>
              <w:t>0.38</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68C98B10" w14:textId="77777777" w:rsidR="00413A1F" w:rsidRPr="008E3C9E" w:rsidRDefault="00413A1F" w:rsidP="00413A1F">
            <w:pPr>
              <w:spacing w:line="180" w:lineRule="exact"/>
              <w:jc w:val="center"/>
              <w:rPr>
                <w:sz w:val="18"/>
                <w:szCs w:val="18"/>
              </w:rPr>
            </w:pPr>
            <w:r>
              <w:rPr>
                <w:sz w:val="20"/>
                <w:szCs w:val="20"/>
              </w:rPr>
              <w:t>10.06</w:t>
            </w: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16E8D0A3" w14:textId="77777777" w:rsidR="00413A1F" w:rsidRPr="008E3C9E" w:rsidRDefault="00413A1F" w:rsidP="00413A1F">
            <w:pPr>
              <w:spacing w:line="180" w:lineRule="exact"/>
              <w:jc w:val="center"/>
              <w:rPr>
                <w:sz w:val="18"/>
                <w:szCs w:val="18"/>
              </w:rPr>
            </w:pPr>
            <w:r w:rsidRPr="008E3C9E">
              <w:rPr>
                <w:sz w:val="18"/>
                <w:szCs w:val="18"/>
              </w:rPr>
              <w:t>—</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C98BF4C" w14:textId="77777777" w:rsidR="00413A1F" w:rsidRPr="008E3C9E" w:rsidRDefault="00413A1F" w:rsidP="00413A1F">
            <w:pPr>
              <w:spacing w:line="180" w:lineRule="exact"/>
              <w:jc w:val="center"/>
              <w:rPr>
                <w:sz w:val="18"/>
                <w:szCs w:val="18"/>
              </w:rPr>
            </w:pPr>
            <w:r w:rsidRPr="008E3C9E">
              <w:rPr>
                <w:sz w:val="18"/>
                <w:szCs w:val="18"/>
              </w:rPr>
              <w:t>—</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AEFCEC2"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2CDB9D9A" w14:textId="77777777" w:rsidR="00413A1F" w:rsidRPr="008E3C9E" w:rsidRDefault="00413A1F" w:rsidP="00413A1F">
            <w:pPr>
              <w:spacing w:line="180" w:lineRule="exact"/>
              <w:jc w:val="center"/>
              <w:rPr>
                <w:sz w:val="18"/>
                <w:szCs w:val="18"/>
              </w:rPr>
            </w:pPr>
            <w:r w:rsidRPr="008E3C9E">
              <w:rPr>
                <w:sz w:val="18"/>
                <w:szCs w:val="18"/>
              </w:rPr>
              <w:t>—</w:t>
            </w:r>
          </w:p>
        </w:tc>
      </w:tr>
      <w:tr w:rsidR="00413A1F" w14:paraId="0690EE0A"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497E3D0C" w14:textId="77777777" w:rsidR="00413A1F" w:rsidRDefault="00413A1F" w:rsidP="00413A1F">
            <w:pPr>
              <w:spacing w:line="180" w:lineRule="exact"/>
              <w:rPr>
                <w:sz w:val="20"/>
                <w:szCs w:val="20"/>
              </w:rPr>
            </w:pPr>
            <w:r>
              <w:rPr>
                <w:sz w:val="20"/>
                <w:szCs w:val="20"/>
              </w:rPr>
              <w:t>Fall Risk</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0AF8CBD5"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05B05D69"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59FC2D01"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3A57717B"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7A947A9"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42EFF47"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5A041B50"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6A98A1B4" w14:textId="77777777" w:rsidR="00413A1F" w:rsidRPr="008E3C9E" w:rsidRDefault="00413A1F" w:rsidP="00413A1F">
            <w:pPr>
              <w:spacing w:line="180" w:lineRule="exact"/>
              <w:jc w:val="center"/>
              <w:rPr>
                <w:sz w:val="18"/>
                <w:szCs w:val="18"/>
              </w:rPr>
            </w:pP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7C8067D4"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651C305E" w14:textId="77777777" w:rsidR="00413A1F" w:rsidRPr="008E3C9E" w:rsidRDefault="00413A1F" w:rsidP="00413A1F">
            <w:pPr>
              <w:spacing w:line="180" w:lineRule="exact"/>
              <w:jc w:val="center"/>
              <w:rPr>
                <w:sz w:val="18"/>
                <w:szCs w:val="18"/>
              </w:rPr>
            </w:pP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57865D6"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76E7747E"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286CF6FE"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774C336E"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415DF5E7" w14:textId="77777777" w:rsidR="00413A1F" w:rsidRPr="008E3C9E" w:rsidRDefault="00413A1F" w:rsidP="00413A1F">
            <w:pPr>
              <w:spacing w:line="180" w:lineRule="exact"/>
              <w:jc w:val="center"/>
              <w:rPr>
                <w:sz w:val="18"/>
                <w:szCs w:val="18"/>
              </w:rPr>
            </w:pPr>
            <w:r>
              <w:rPr>
                <w:sz w:val="20"/>
                <w:szCs w:val="20"/>
              </w:rPr>
              <w:t xml:space="preserve">  1.00</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4CAF6AF8" w14:textId="77777777" w:rsidR="00413A1F" w:rsidRPr="008E3C9E" w:rsidRDefault="00413A1F" w:rsidP="00413A1F">
            <w:pPr>
              <w:spacing w:line="180" w:lineRule="exact"/>
              <w:jc w:val="center"/>
              <w:rPr>
                <w:sz w:val="18"/>
                <w:szCs w:val="18"/>
              </w:rPr>
            </w:pP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00A793F3" w14:textId="77777777" w:rsidR="00413A1F" w:rsidRPr="008E3C9E" w:rsidRDefault="00413A1F" w:rsidP="00413A1F">
            <w:pPr>
              <w:spacing w:line="180" w:lineRule="exact"/>
              <w:jc w:val="center"/>
              <w:rPr>
                <w:sz w:val="18"/>
                <w:szCs w:val="18"/>
              </w:rPr>
            </w:pPr>
            <w:r w:rsidRPr="008E3C9E">
              <w:rPr>
                <w:sz w:val="18"/>
                <w:szCs w:val="18"/>
              </w:rPr>
              <w:t>—</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37E37B50" w14:textId="77777777" w:rsidR="00413A1F" w:rsidRPr="008E3C9E" w:rsidRDefault="00413A1F" w:rsidP="00413A1F">
            <w:pPr>
              <w:spacing w:line="180" w:lineRule="exact"/>
              <w:jc w:val="center"/>
              <w:rPr>
                <w:sz w:val="18"/>
                <w:szCs w:val="18"/>
              </w:rPr>
            </w:pPr>
            <w:r w:rsidRPr="008E3C9E">
              <w:rPr>
                <w:sz w:val="18"/>
                <w:szCs w:val="18"/>
              </w:rPr>
              <w:t>—</w:t>
            </w: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CFE8215"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3AD132A6" w14:textId="77777777" w:rsidR="00413A1F" w:rsidRPr="008E3C9E" w:rsidRDefault="00413A1F" w:rsidP="00413A1F">
            <w:pPr>
              <w:spacing w:line="180" w:lineRule="exact"/>
              <w:jc w:val="center"/>
              <w:rPr>
                <w:sz w:val="18"/>
                <w:szCs w:val="18"/>
              </w:rPr>
            </w:pPr>
            <w:r w:rsidRPr="008E3C9E">
              <w:rPr>
                <w:sz w:val="18"/>
                <w:szCs w:val="18"/>
              </w:rPr>
              <w:t>—</w:t>
            </w:r>
          </w:p>
        </w:tc>
      </w:tr>
      <w:tr w:rsidR="00413A1F" w14:paraId="1C1F0E5E" w14:textId="77777777" w:rsidTr="00AD46B2">
        <w:tc>
          <w:tcPr>
            <w:tcW w:w="834" w:type="pct"/>
            <w:gridSpan w:val="2"/>
            <w:tcBorders>
              <w:top w:val="single" w:sz="2" w:space="0" w:color="FFFFFF" w:themeColor="background1"/>
              <w:left w:val="single" w:sz="18" w:space="0" w:color="auto"/>
              <w:bottom w:val="single" w:sz="2" w:space="0" w:color="FFFFFF" w:themeColor="background1"/>
              <w:right w:val="single" w:sz="18" w:space="0" w:color="auto"/>
            </w:tcBorders>
            <w:tcMar>
              <w:top w:w="12" w:type="dxa"/>
              <w:left w:w="25" w:type="dxa"/>
              <w:bottom w:w="12" w:type="dxa"/>
              <w:right w:w="25" w:type="dxa"/>
            </w:tcMar>
            <w:vAlign w:val="center"/>
          </w:tcPr>
          <w:p w14:paraId="0108A00C" w14:textId="77777777" w:rsidR="00413A1F" w:rsidRDefault="00413A1F" w:rsidP="00413A1F">
            <w:pPr>
              <w:spacing w:line="180" w:lineRule="exact"/>
              <w:rPr>
                <w:sz w:val="20"/>
                <w:szCs w:val="20"/>
              </w:rPr>
            </w:pPr>
            <w:r>
              <w:rPr>
                <w:sz w:val="20"/>
                <w:szCs w:val="20"/>
              </w:rPr>
              <w:t>No Service at Origin</w:t>
            </w:r>
          </w:p>
        </w:tc>
        <w:tc>
          <w:tcPr>
            <w:tcW w:w="216" w:type="pct"/>
            <w:gridSpan w:val="2"/>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2F0987E"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2316F317"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42788C14"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25A2A320"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6B58BD84"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66B6850"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18DAC8A"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5320FE0D" w14:textId="77777777" w:rsidR="00413A1F" w:rsidRPr="008E3C9E" w:rsidRDefault="00413A1F" w:rsidP="00413A1F">
            <w:pPr>
              <w:spacing w:line="180" w:lineRule="exact"/>
              <w:jc w:val="center"/>
              <w:rPr>
                <w:sz w:val="18"/>
                <w:szCs w:val="18"/>
              </w:rPr>
            </w:pPr>
          </w:p>
        </w:tc>
        <w:tc>
          <w:tcPr>
            <w:tcW w:w="200"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3BF2359"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46BBD304" w14:textId="77777777" w:rsidR="00413A1F" w:rsidRPr="008E3C9E" w:rsidRDefault="00413A1F" w:rsidP="00413A1F">
            <w:pPr>
              <w:spacing w:line="180" w:lineRule="exact"/>
              <w:jc w:val="center"/>
              <w:rPr>
                <w:sz w:val="18"/>
                <w:szCs w:val="18"/>
              </w:rPr>
            </w:pPr>
          </w:p>
        </w:tc>
        <w:tc>
          <w:tcPr>
            <w:tcW w:w="202"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2E9B1772"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0EDF45D6"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2686D8EB"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1E3C6F5D"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0F88FAE9"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150E71FF" w14:textId="77777777" w:rsidR="00413A1F" w:rsidRPr="008E3C9E" w:rsidRDefault="00413A1F" w:rsidP="00413A1F">
            <w:pPr>
              <w:spacing w:line="180" w:lineRule="exact"/>
              <w:jc w:val="center"/>
              <w:rPr>
                <w:sz w:val="18"/>
                <w:szCs w:val="18"/>
              </w:rPr>
            </w:pPr>
          </w:p>
        </w:tc>
        <w:tc>
          <w:tcPr>
            <w:tcW w:w="206" w:type="pct"/>
            <w:tcBorders>
              <w:top w:val="single" w:sz="2" w:space="0" w:color="FFFFFF" w:themeColor="background1"/>
              <w:left w:val="single" w:sz="18" w:space="0" w:color="auto"/>
              <w:bottom w:val="single" w:sz="2" w:space="0" w:color="FFFFFF" w:themeColor="background1"/>
              <w:right w:val="single" w:sz="2" w:space="0" w:color="FFFFFF" w:themeColor="background1"/>
            </w:tcBorders>
            <w:vAlign w:val="center"/>
          </w:tcPr>
          <w:p w14:paraId="663803B3" w14:textId="77777777" w:rsidR="00413A1F" w:rsidRPr="008E3C9E" w:rsidRDefault="00413A1F" w:rsidP="00413A1F">
            <w:pPr>
              <w:spacing w:line="180" w:lineRule="exact"/>
              <w:jc w:val="center"/>
              <w:rPr>
                <w:sz w:val="18"/>
                <w:szCs w:val="18"/>
              </w:rPr>
            </w:pPr>
            <w:r>
              <w:rPr>
                <w:sz w:val="20"/>
                <w:szCs w:val="20"/>
              </w:rPr>
              <w:t>1.00</w:t>
            </w:r>
          </w:p>
        </w:tc>
        <w:tc>
          <w:tcPr>
            <w:tcW w:w="206" w:type="pct"/>
            <w:tcBorders>
              <w:top w:val="single" w:sz="2" w:space="0" w:color="FFFFFF" w:themeColor="background1"/>
              <w:left w:val="single" w:sz="2" w:space="0" w:color="FFFFFF" w:themeColor="background1"/>
              <w:bottom w:val="single" w:sz="2" w:space="0" w:color="FFFFFF" w:themeColor="background1"/>
              <w:right w:val="single" w:sz="6" w:space="0" w:color="000000" w:themeColor="text1"/>
            </w:tcBorders>
            <w:vAlign w:val="center"/>
          </w:tcPr>
          <w:p w14:paraId="0DF2CF7C" w14:textId="77777777" w:rsidR="00413A1F" w:rsidRPr="008E3C9E" w:rsidRDefault="00413A1F" w:rsidP="00413A1F">
            <w:pPr>
              <w:spacing w:line="180" w:lineRule="exact"/>
              <w:jc w:val="center"/>
              <w:rPr>
                <w:sz w:val="18"/>
                <w:szCs w:val="18"/>
              </w:rPr>
            </w:pPr>
          </w:p>
        </w:tc>
        <w:tc>
          <w:tcPr>
            <w:tcW w:w="203" w:type="pct"/>
            <w:tcBorders>
              <w:top w:val="single" w:sz="2" w:space="0" w:color="FFFFFF" w:themeColor="background1"/>
              <w:left w:val="single" w:sz="6" w:space="0" w:color="000000" w:themeColor="text1"/>
              <w:bottom w:val="single" w:sz="2" w:space="0" w:color="FFFFFF" w:themeColor="background1"/>
              <w:right w:val="single" w:sz="2" w:space="0" w:color="FFFFFF" w:themeColor="background1"/>
            </w:tcBorders>
            <w:vAlign w:val="center"/>
          </w:tcPr>
          <w:p w14:paraId="370E7947" w14:textId="77777777" w:rsidR="00413A1F" w:rsidRPr="008E3C9E" w:rsidRDefault="00413A1F" w:rsidP="00413A1F">
            <w:pPr>
              <w:spacing w:line="180" w:lineRule="exact"/>
              <w:jc w:val="center"/>
              <w:rPr>
                <w:sz w:val="18"/>
                <w:szCs w:val="18"/>
              </w:rPr>
            </w:pPr>
            <w:r>
              <w:rPr>
                <w:sz w:val="20"/>
                <w:szCs w:val="20"/>
              </w:rPr>
              <w:t>0.41</w:t>
            </w:r>
          </w:p>
        </w:tc>
        <w:tc>
          <w:tcPr>
            <w:tcW w:w="201" w:type="pct"/>
            <w:gridSpan w:val="2"/>
            <w:tcBorders>
              <w:top w:val="single" w:sz="2" w:space="0" w:color="FFFFFF" w:themeColor="background1"/>
              <w:left w:val="single" w:sz="2" w:space="0" w:color="FFFFFF" w:themeColor="background1"/>
              <w:bottom w:val="single" w:sz="2" w:space="0" w:color="FFFFFF" w:themeColor="background1"/>
              <w:right w:val="single" w:sz="18" w:space="0" w:color="auto"/>
            </w:tcBorders>
            <w:vAlign w:val="center"/>
          </w:tcPr>
          <w:p w14:paraId="414F593B" w14:textId="77777777" w:rsidR="00413A1F" w:rsidRPr="008E3C9E" w:rsidRDefault="00413A1F" w:rsidP="00413A1F">
            <w:pPr>
              <w:spacing w:line="180" w:lineRule="exact"/>
              <w:jc w:val="center"/>
              <w:rPr>
                <w:sz w:val="18"/>
                <w:szCs w:val="18"/>
              </w:rPr>
            </w:pPr>
            <w:r>
              <w:rPr>
                <w:sz w:val="20"/>
                <w:szCs w:val="20"/>
              </w:rPr>
              <w:t>14.53</w:t>
            </w:r>
          </w:p>
        </w:tc>
      </w:tr>
      <w:tr w:rsidR="00413A1F" w14:paraId="68FF8477" w14:textId="77777777" w:rsidTr="00AD46B2">
        <w:tc>
          <w:tcPr>
            <w:tcW w:w="834" w:type="pct"/>
            <w:gridSpan w:val="2"/>
            <w:tcBorders>
              <w:top w:val="single" w:sz="2" w:space="0" w:color="FFFFFF" w:themeColor="background1"/>
              <w:left w:val="single" w:sz="18" w:space="0" w:color="auto"/>
              <w:bottom w:val="single" w:sz="18" w:space="0" w:color="auto"/>
              <w:right w:val="single" w:sz="18" w:space="0" w:color="auto"/>
            </w:tcBorders>
            <w:tcMar>
              <w:top w:w="12" w:type="dxa"/>
              <w:left w:w="25" w:type="dxa"/>
              <w:bottom w:w="12" w:type="dxa"/>
              <w:right w:w="25" w:type="dxa"/>
            </w:tcMar>
            <w:vAlign w:val="center"/>
          </w:tcPr>
          <w:p w14:paraId="6E76EF22" w14:textId="77777777" w:rsidR="00413A1F" w:rsidRDefault="00413A1F" w:rsidP="00413A1F">
            <w:pPr>
              <w:spacing w:line="180" w:lineRule="exact"/>
              <w:rPr>
                <w:sz w:val="20"/>
                <w:szCs w:val="20"/>
              </w:rPr>
            </w:pPr>
            <w:r>
              <w:rPr>
                <w:sz w:val="20"/>
                <w:szCs w:val="20"/>
              </w:rPr>
              <w:t>No Service at Destination</w:t>
            </w:r>
          </w:p>
        </w:tc>
        <w:tc>
          <w:tcPr>
            <w:tcW w:w="216" w:type="pct"/>
            <w:gridSpan w:val="2"/>
            <w:tcBorders>
              <w:top w:val="single" w:sz="2" w:space="0" w:color="FFFFFF" w:themeColor="background1"/>
              <w:left w:val="single" w:sz="18" w:space="0" w:color="auto"/>
              <w:bottom w:val="single" w:sz="18" w:space="0" w:color="auto"/>
              <w:right w:val="single" w:sz="2" w:space="0" w:color="FFFFFF" w:themeColor="background1"/>
            </w:tcBorders>
            <w:vAlign w:val="center"/>
          </w:tcPr>
          <w:p w14:paraId="63C0D406" w14:textId="77777777" w:rsidR="00413A1F" w:rsidRPr="00377614" w:rsidRDefault="00413A1F" w:rsidP="00413A1F">
            <w:pPr>
              <w:spacing w:line="180" w:lineRule="exact"/>
              <w:jc w:val="right"/>
              <w:rPr>
                <w:sz w:val="20"/>
                <w:szCs w:val="20"/>
              </w:rPr>
            </w:pPr>
            <w:r w:rsidRPr="008E3C9E">
              <w:rPr>
                <w:sz w:val="18"/>
                <w:szCs w:val="18"/>
              </w:rPr>
              <w:t>—</w:t>
            </w:r>
          </w:p>
        </w:tc>
        <w:tc>
          <w:tcPr>
            <w:tcW w:w="219" w:type="pct"/>
            <w:tcBorders>
              <w:top w:val="single" w:sz="2" w:space="0" w:color="FFFFFF" w:themeColor="background1"/>
              <w:left w:val="single" w:sz="2" w:space="0" w:color="FFFFFF" w:themeColor="background1"/>
              <w:bottom w:val="single" w:sz="18" w:space="0" w:color="auto"/>
              <w:right w:val="single" w:sz="18" w:space="0" w:color="auto"/>
            </w:tcBorders>
            <w:vAlign w:val="center"/>
          </w:tcPr>
          <w:p w14:paraId="7792E0F0" w14:textId="77777777" w:rsidR="00413A1F" w:rsidRPr="00377614" w:rsidRDefault="00413A1F" w:rsidP="00413A1F">
            <w:pPr>
              <w:spacing w:line="180" w:lineRule="exact"/>
              <w:jc w:val="right"/>
              <w:rPr>
                <w:sz w:val="20"/>
                <w:szCs w:val="20"/>
              </w:rPr>
            </w:pPr>
          </w:p>
        </w:tc>
        <w:tc>
          <w:tcPr>
            <w:tcW w:w="213" w:type="pct"/>
            <w:tcBorders>
              <w:top w:val="single" w:sz="2" w:space="0" w:color="FFFFFF" w:themeColor="background1"/>
              <w:left w:val="single" w:sz="18" w:space="0" w:color="auto"/>
              <w:bottom w:val="single" w:sz="18" w:space="0" w:color="auto"/>
              <w:right w:val="single" w:sz="2" w:space="0" w:color="FFFFFF" w:themeColor="background1"/>
            </w:tcBorders>
            <w:vAlign w:val="center"/>
          </w:tcPr>
          <w:p w14:paraId="58CC5391" w14:textId="77777777" w:rsidR="00413A1F" w:rsidRPr="008E3C9E" w:rsidRDefault="00413A1F" w:rsidP="00413A1F">
            <w:pPr>
              <w:spacing w:line="180" w:lineRule="exact"/>
              <w:jc w:val="center"/>
              <w:rPr>
                <w:sz w:val="18"/>
                <w:szCs w:val="18"/>
              </w:rPr>
            </w:pPr>
            <w:r w:rsidRPr="008E3C9E">
              <w:rPr>
                <w:sz w:val="18"/>
                <w:szCs w:val="18"/>
              </w:rPr>
              <w:t>—</w:t>
            </w:r>
          </w:p>
        </w:tc>
        <w:tc>
          <w:tcPr>
            <w:tcW w:w="245" w:type="pct"/>
            <w:tcBorders>
              <w:top w:val="single" w:sz="2" w:space="0" w:color="FFFFFF" w:themeColor="background1"/>
              <w:left w:val="single" w:sz="2" w:space="0" w:color="FFFFFF" w:themeColor="background1"/>
              <w:bottom w:val="single" w:sz="18" w:space="0" w:color="auto"/>
              <w:right w:val="single" w:sz="6" w:space="0" w:color="000000" w:themeColor="text1"/>
            </w:tcBorders>
            <w:vAlign w:val="center"/>
          </w:tcPr>
          <w:p w14:paraId="31AECF99" w14:textId="77777777" w:rsidR="00413A1F" w:rsidRPr="008E3C9E" w:rsidRDefault="00413A1F" w:rsidP="00413A1F">
            <w:pPr>
              <w:spacing w:line="180" w:lineRule="exact"/>
              <w:jc w:val="center"/>
              <w:rPr>
                <w:sz w:val="18"/>
                <w:szCs w:val="18"/>
              </w:rPr>
            </w:pPr>
          </w:p>
        </w:tc>
        <w:tc>
          <w:tcPr>
            <w:tcW w:w="194" w:type="pct"/>
            <w:tcBorders>
              <w:top w:val="single" w:sz="2" w:space="0" w:color="FFFFFF" w:themeColor="background1"/>
              <w:left w:val="single" w:sz="6" w:space="0" w:color="000000" w:themeColor="text1"/>
              <w:bottom w:val="single" w:sz="18" w:space="0" w:color="auto"/>
              <w:right w:val="single" w:sz="2" w:space="0" w:color="FFFFFF" w:themeColor="background1"/>
            </w:tcBorders>
            <w:vAlign w:val="center"/>
          </w:tcPr>
          <w:p w14:paraId="1A5EE5F8"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18" w:space="0" w:color="auto"/>
              <w:right w:val="single" w:sz="6" w:space="0" w:color="000000" w:themeColor="text1"/>
            </w:tcBorders>
            <w:vAlign w:val="center"/>
          </w:tcPr>
          <w:p w14:paraId="45A91636" w14:textId="77777777" w:rsidR="00413A1F" w:rsidRPr="008E3C9E" w:rsidRDefault="00413A1F" w:rsidP="00413A1F">
            <w:pPr>
              <w:spacing w:line="180" w:lineRule="exact"/>
              <w:jc w:val="center"/>
              <w:rPr>
                <w:sz w:val="18"/>
                <w:szCs w:val="18"/>
              </w:rPr>
            </w:pPr>
          </w:p>
        </w:tc>
        <w:tc>
          <w:tcPr>
            <w:tcW w:w="225" w:type="pct"/>
            <w:tcBorders>
              <w:top w:val="single" w:sz="2" w:space="0" w:color="FFFFFF" w:themeColor="background1"/>
              <w:left w:val="single" w:sz="6" w:space="0" w:color="000000" w:themeColor="text1"/>
              <w:bottom w:val="single" w:sz="18" w:space="0" w:color="auto"/>
              <w:right w:val="single" w:sz="2" w:space="0" w:color="FFFFFF" w:themeColor="background1"/>
            </w:tcBorders>
            <w:vAlign w:val="center"/>
          </w:tcPr>
          <w:p w14:paraId="02C5FB86" w14:textId="77777777" w:rsidR="00413A1F" w:rsidRPr="008E3C9E" w:rsidRDefault="00413A1F" w:rsidP="00413A1F">
            <w:pPr>
              <w:spacing w:line="180" w:lineRule="exact"/>
              <w:jc w:val="center"/>
              <w:rPr>
                <w:sz w:val="18"/>
                <w:szCs w:val="18"/>
              </w:rPr>
            </w:pPr>
            <w:r w:rsidRPr="008E3C9E">
              <w:rPr>
                <w:sz w:val="18"/>
                <w:szCs w:val="18"/>
              </w:rPr>
              <w:t>—</w:t>
            </w:r>
          </w:p>
        </w:tc>
        <w:tc>
          <w:tcPr>
            <w:tcW w:w="225" w:type="pct"/>
            <w:tcBorders>
              <w:top w:val="single" w:sz="2" w:space="0" w:color="FFFFFF" w:themeColor="background1"/>
              <w:left w:val="single" w:sz="2" w:space="0" w:color="FFFFFF" w:themeColor="background1"/>
              <w:bottom w:val="single" w:sz="18" w:space="0" w:color="auto"/>
              <w:right w:val="single" w:sz="6" w:space="0" w:color="000000" w:themeColor="text1"/>
            </w:tcBorders>
            <w:vAlign w:val="center"/>
          </w:tcPr>
          <w:p w14:paraId="004EF85C" w14:textId="77777777" w:rsidR="00413A1F" w:rsidRPr="008E3C9E" w:rsidRDefault="00413A1F" w:rsidP="00413A1F">
            <w:pPr>
              <w:spacing w:line="180" w:lineRule="exact"/>
              <w:jc w:val="center"/>
              <w:rPr>
                <w:sz w:val="18"/>
                <w:szCs w:val="18"/>
              </w:rPr>
            </w:pPr>
          </w:p>
        </w:tc>
        <w:tc>
          <w:tcPr>
            <w:tcW w:w="200" w:type="pct"/>
            <w:tcBorders>
              <w:top w:val="single" w:sz="2" w:space="0" w:color="FFFFFF" w:themeColor="background1"/>
              <w:left w:val="single" w:sz="6" w:space="0" w:color="000000" w:themeColor="text1"/>
              <w:bottom w:val="single" w:sz="18" w:space="0" w:color="auto"/>
              <w:right w:val="single" w:sz="2" w:space="0" w:color="FFFFFF" w:themeColor="background1"/>
            </w:tcBorders>
            <w:vAlign w:val="center"/>
          </w:tcPr>
          <w:p w14:paraId="709A8922" w14:textId="77777777" w:rsidR="00413A1F" w:rsidRPr="008E3C9E" w:rsidRDefault="00413A1F" w:rsidP="00413A1F">
            <w:pPr>
              <w:spacing w:line="180" w:lineRule="exact"/>
              <w:jc w:val="center"/>
              <w:rPr>
                <w:sz w:val="18"/>
                <w:szCs w:val="18"/>
              </w:rPr>
            </w:pPr>
            <w:r w:rsidRPr="008E3C9E">
              <w:rPr>
                <w:sz w:val="18"/>
                <w:szCs w:val="18"/>
              </w:rPr>
              <w:t>—</w:t>
            </w:r>
          </w:p>
        </w:tc>
        <w:tc>
          <w:tcPr>
            <w:tcW w:w="201" w:type="pct"/>
            <w:tcBorders>
              <w:top w:val="single" w:sz="2" w:space="0" w:color="FFFFFF" w:themeColor="background1"/>
              <w:left w:val="single" w:sz="2" w:space="0" w:color="FFFFFF" w:themeColor="background1"/>
              <w:bottom w:val="single" w:sz="18" w:space="0" w:color="auto"/>
              <w:right w:val="single" w:sz="6" w:space="0" w:color="000000" w:themeColor="text1"/>
            </w:tcBorders>
            <w:vAlign w:val="center"/>
          </w:tcPr>
          <w:p w14:paraId="738BD886" w14:textId="77777777" w:rsidR="00413A1F" w:rsidRPr="008E3C9E" w:rsidRDefault="00413A1F" w:rsidP="00413A1F">
            <w:pPr>
              <w:spacing w:line="180" w:lineRule="exact"/>
              <w:jc w:val="center"/>
              <w:rPr>
                <w:sz w:val="18"/>
                <w:szCs w:val="18"/>
              </w:rPr>
            </w:pPr>
          </w:p>
        </w:tc>
        <w:tc>
          <w:tcPr>
            <w:tcW w:w="202" w:type="pct"/>
            <w:tcBorders>
              <w:top w:val="single" w:sz="2" w:space="0" w:color="FFFFFF" w:themeColor="background1"/>
              <w:left w:val="single" w:sz="6" w:space="0" w:color="000000" w:themeColor="text1"/>
              <w:bottom w:val="single" w:sz="18" w:space="0" w:color="auto"/>
              <w:right w:val="single" w:sz="2" w:space="0" w:color="FFFFFF" w:themeColor="background1"/>
            </w:tcBorders>
            <w:vAlign w:val="center"/>
          </w:tcPr>
          <w:p w14:paraId="56FE9460"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18" w:space="0" w:color="auto"/>
              <w:right w:val="single" w:sz="18" w:space="0" w:color="auto"/>
            </w:tcBorders>
            <w:vAlign w:val="center"/>
          </w:tcPr>
          <w:p w14:paraId="7F8EFEEA"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18" w:space="0" w:color="auto"/>
              <w:bottom w:val="single" w:sz="18" w:space="0" w:color="auto"/>
              <w:right w:val="single" w:sz="2" w:space="0" w:color="FFFFFF" w:themeColor="background1"/>
            </w:tcBorders>
            <w:vAlign w:val="center"/>
          </w:tcPr>
          <w:p w14:paraId="2BD64142"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18" w:space="0" w:color="auto"/>
              <w:right w:val="single" w:sz="6" w:space="0" w:color="000000" w:themeColor="text1"/>
            </w:tcBorders>
            <w:vAlign w:val="center"/>
          </w:tcPr>
          <w:p w14:paraId="55924A55" w14:textId="77777777" w:rsidR="00413A1F" w:rsidRPr="008E3C9E" w:rsidRDefault="00413A1F" w:rsidP="00413A1F">
            <w:pPr>
              <w:spacing w:line="180" w:lineRule="exact"/>
              <w:jc w:val="center"/>
              <w:rPr>
                <w:sz w:val="18"/>
                <w:szCs w:val="18"/>
              </w:rPr>
            </w:pPr>
          </w:p>
        </w:tc>
        <w:tc>
          <w:tcPr>
            <w:tcW w:w="201" w:type="pct"/>
            <w:tcBorders>
              <w:top w:val="single" w:sz="2" w:space="0" w:color="FFFFFF" w:themeColor="background1"/>
              <w:left w:val="single" w:sz="6" w:space="0" w:color="000000" w:themeColor="text1"/>
              <w:bottom w:val="single" w:sz="18" w:space="0" w:color="auto"/>
              <w:right w:val="single" w:sz="2" w:space="0" w:color="FFFFFF" w:themeColor="background1"/>
            </w:tcBorders>
            <w:vAlign w:val="center"/>
          </w:tcPr>
          <w:p w14:paraId="683A720C" w14:textId="77777777" w:rsidR="00413A1F" w:rsidRPr="008E3C9E" w:rsidRDefault="00413A1F" w:rsidP="00413A1F">
            <w:pPr>
              <w:spacing w:line="180" w:lineRule="exact"/>
              <w:jc w:val="center"/>
              <w:rPr>
                <w:sz w:val="18"/>
                <w:szCs w:val="18"/>
              </w:rPr>
            </w:pPr>
            <w:r w:rsidRPr="008E3C9E">
              <w:rPr>
                <w:sz w:val="18"/>
                <w:szCs w:val="18"/>
              </w:rPr>
              <w:t>—</w:t>
            </w:r>
          </w:p>
        </w:tc>
        <w:tc>
          <w:tcPr>
            <w:tcW w:w="202" w:type="pct"/>
            <w:tcBorders>
              <w:top w:val="single" w:sz="2" w:space="0" w:color="FFFFFF" w:themeColor="background1"/>
              <w:left w:val="single" w:sz="2" w:space="0" w:color="FFFFFF" w:themeColor="background1"/>
              <w:bottom w:val="single" w:sz="18" w:space="0" w:color="auto"/>
              <w:right w:val="single" w:sz="18" w:space="0" w:color="auto"/>
            </w:tcBorders>
            <w:vAlign w:val="center"/>
          </w:tcPr>
          <w:p w14:paraId="25362807" w14:textId="77777777" w:rsidR="00413A1F" w:rsidRPr="008E3C9E" w:rsidRDefault="00413A1F" w:rsidP="00413A1F">
            <w:pPr>
              <w:spacing w:line="180" w:lineRule="exact"/>
              <w:jc w:val="center"/>
              <w:rPr>
                <w:sz w:val="18"/>
                <w:szCs w:val="18"/>
              </w:rPr>
            </w:pPr>
          </w:p>
        </w:tc>
        <w:tc>
          <w:tcPr>
            <w:tcW w:w="206" w:type="pct"/>
            <w:tcBorders>
              <w:top w:val="single" w:sz="2" w:space="0" w:color="FFFFFF" w:themeColor="background1"/>
              <w:left w:val="single" w:sz="18" w:space="0" w:color="auto"/>
              <w:bottom w:val="single" w:sz="18" w:space="0" w:color="auto"/>
              <w:right w:val="single" w:sz="2" w:space="0" w:color="FFFFFF" w:themeColor="background1"/>
            </w:tcBorders>
            <w:vAlign w:val="center"/>
          </w:tcPr>
          <w:p w14:paraId="29AA5D13" w14:textId="77777777" w:rsidR="00413A1F" w:rsidRPr="008E3C9E" w:rsidRDefault="00413A1F" w:rsidP="00413A1F">
            <w:pPr>
              <w:spacing w:line="180" w:lineRule="exact"/>
              <w:jc w:val="center"/>
              <w:rPr>
                <w:sz w:val="18"/>
                <w:szCs w:val="18"/>
              </w:rPr>
            </w:pPr>
            <w:r w:rsidRPr="008E3C9E">
              <w:rPr>
                <w:sz w:val="18"/>
                <w:szCs w:val="18"/>
              </w:rPr>
              <w:t>—</w:t>
            </w:r>
          </w:p>
        </w:tc>
        <w:tc>
          <w:tcPr>
            <w:tcW w:w="206" w:type="pct"/>
            <w:tcBorders>
              <w:top w:val="single" w:sz="2" w:space="0" w:color="FFFFFF" w:themeColor="background1"/>
              <w:left w:val="single" w:sz="2" w:space="0" w:color="FFFFFF" w:themeColor="background1"/>
              <w:bottom w:val="single" w:sz="18" w:space="0" w:color="auto"/>
              <w:right w:val="single" w:sz="6" w:space="0" w:color="000000" w:themeColor="text1"/>
            </w:tcBorders>
            <w:vAlign w:val="center"/>
          </w:tcPr>
          <w:p w14:paraId="07C17527" w14:textId="77777777" w:rsidR="00413A1F" w:rsidRPr="008E3C9E" w:rsidRDefault="00413A1F" w:rsidP="00413A1F">
            <w:pPr>
              <w:spacing w:line="180" w:lineRule="exact"/>
              <w:jc w:val="center"/>
              <w:rPr>
                <w:sz w:val="18"/>
                <w:szCs w:val="18"/>
              </w:rPr>
            </w:pPr>
          </w:p>
        </w:tc>
        <w:tc>
          <w:tcPr>
            <w:tcW w:w="203" w:type="pct"/>
            <w:tcBorders>
              <w:top w:val="single" w:sz="2" w:space="0" w:color="FFFFFF" w:themeColor="background1"/>
              <w:left w:val="single" w:sz="6" w:space="0" w:color="000000" w:themeColor="text1"/>
              <w:bottom w:val="single" w:sz="18" w:space="0" w:color="auto"/>
              <w:right w:val="single" w:sz="2" w:space="0" w:color="FFFFFF" w:themeColor="background1"/>
            </w:tcBorders>
            <w:vAlign w:val="center"/>
          </w:tcPr>
          <w:p w14:paraId="23B80514" w14:textId="77777777" w:rsidR="00413A1F" w:rsidRPr="008E3C9E" w:rsidRDefault="00413A1F" w:rsidP="00413A1F">
            <w:pPr>
              <w:spacing w:line="180" w:lineRule="exact"/>
              <w:jc w:val="center"/>
              <w:rPr>
                <w:sz w:val="18"/>
                <w:szCs w:val="18"/>
              </w:rPr>
            </w:pPr>
            <w:r>
              <w:rPr>
                <w:sz w:val="20"/>
                <w:szCs w:val="20"/>
              </w:rPr>
              <w:t>1.00</w:t>
            </w:r>
          </w:p>
        </w:tc>
        <w:tc>
          <w:tcPr>
            <w:tcW w:w="201" w:type="pct"/>
            <w:gridSpan w:val="2"/>
            <w:tcBorders>
              <w:top w:val="single" w:sz="2" w:space="0" w:color="FFFFFF" w:themeColor="background1"/>
              <w:left w:val="single" w:sz="2" w:space="0" w:color="FFFFFF" w:themeColor="background1"/>
              <w:bottom w:val="single" w:sz="18" w:space="0" w:color="auto"/>
              <w:right w:val="single" w:sz="18" w:space="0" w:color="auto"/>
            </w:tcBorders>
            <w:vAlign w:val="center"/>
          </w:tcPr>
          <w:p w14:paraId="65A794AC" w14:textId="77777777" w:rsidR="00413A1F" w:rsidRPr="008E3C9E" w:rsidRDefault="00413A1F" w:rsidP="00413A1F">
            <w:pPr>
              <w:spacing w:line="180" w:lineRule="exact"/>
              <w:jc w:val="center"/>
              <w:rPr>
                <w:sz w:val="18"/>
                <w:szCs w:val="18"/>
              </w:rPr>
            </w:pPr>
          </w:p>
        </w:tc>
      </w:tr>
    </w:tbl>
    <w:p w14:paraId="50011785" w14:textId="5ABC7550" w:rsidR="001227FF" w:rsidRPr="00894263" w:rsidRDefault="000E2FEE" w:rsidP="005D53A5">
      <w:pPr>
        <w:rPr>
          <w:i/>
          <w:iCs/>
          <w:sz w:val="20"/>
          <w:szCs w:val="20"/>
        </w:rPr>
        <w:sectPr w:rsidR="001227FF" w:rsidRPr="00894263" w:rsidSect="00AD7C50">
          <w:pgSz w:w="15840" w:h="12240" w:orient="landscape" w:code="1"/>
          <w:pgMar w:top="1440" w:right="1440" w:bottom="1440" w:left="1440" w:header="720" w:footer="720" w:gutter="0"/>
          <w:cols w:space="720"/>
          <w:docGrid w:linePitch="360"/>
        </w:sectPr>
      </w:pPr>
      <w:r w:rsidRPr="006F4AD8">
        <w:rPr>
          <w:i/>
          <w:iCs/>
          <w:sz w:val="20"/>
          <w:szCs w:val="20"/>
          <w:lang w:val="fr-FR"/>
        </w:rPr>
        <w:t>Note</w:t>
      </w:r>
      <w:r w:rsidR="00277033" w:rsidRPr="006F4AD8">
        <w:rPr>
          <w:i/>
          <w:iCs/>
          <w:sz w:val="20"/>
          <w:szCs w:val="20"/>
          <w:lang w:val="fr-FR"/>
        </w:rPr>
        <w:t xml:space="preserve">. Coef. = </w:t>
      </w:r>
      <w:proofErr w:type="gramStart"/>
      <w:r w:rsidR="00277033" w:rsidRPr="006F4AD8">
        <w:rPr>
          <w:i/>
          <w:iCs/>
          <w:sz w:val="20"/>
          <w:szCs w:val="20"/>
          <w:lang w:val="fr-FR"/>
        </w:rPr>
        <w:t>coefficient;</w:t>
      </w:r>
      <w:proofErr w:type="gramEnd"/>
      <w:r w:rsidR="00277033" w:rsidRPr="006F4AD8">
        <w:rPr>
          <w:i/>
          <w:iCs/>
          <w:sz w:val="20"/>
          <w:szCs w:val="20"/>
          <w:lang w:val="fr-FR"/>
        </w:rPr>
        <w:t xml:space="preserve"> t-stat = t-</w:t>
      </w:r>
      <w:proofErr w:type="spellStart"/>
      <w:r w:rsidR="00277033" w:rsidRPr="006F4AD8">
        <w:rPr>
          <w:i/>
          <w:iCs/>
          <w:sz w:val="20"/>
          <w:szCs w:val="20"/>
          <w:lang w:val="fr-FR"/>
        </w:rPr>
        <w:t>statistic</w:t>
      </w:r>
      <w:proofErr w:type="spellEnd"/>
      <w:r w:rsidR="00277033" w:rsidRPr="006F4AD8">
        <w:rPr>
          <w:i/>
          <w:iCs/>
          <w:sz w:val="20"/>
          <w:szCs w:val="20"/>
          <w:lang w:val="fr-FR"/>
        </w:rPr>
        <w:t xml:space="preserve">. </w:t>
      </w:r>
      <w:proofErr w:type="gramStart"/>
      <w:r w:rsidR="00277033" w:rsidRPr="00277033">
        <w:rPr>
          <w:i/>
          <w:iCs/>
          <w:sz w:val="20"/>
          <w:szCs w:val="20"/>
        </w:rPr>
        <w:t>A "—"</w:t>
      </w:r>
      <w:proofErr w:type="gramEnd"/>
      <w:r w:rsidR="00277033" w:rsidRPr="00277033">
        <w:rPr>
          <w:i/>
          <w:iCs/>
          <w:sz w:val="20"/>
          <w:szCs w:val="20"/>
        </w:rPr>
        <w:t xml:space="preserve"> indicates that the variable was not statistically significant at the 90% confidence level</w:t>
      </w:r>
      <w:r w:rsidR="00277033">
        <w:rPr>
          <w:i/>
          <w:iCs/>
          <w:sz w:val="20"/>
          <w:szCs w:val="20"/>
        </w:rPr>
        <w:t xml:space="preserve"> and wa</w:t>
      </w:r>
      <w:r w:rsidR="0019712F">
        <w:rPr>
          <w:i/>
          <w:iCs/>
          <w:sz w:val="20"/>
          <w:szCs w:val="20"/>
        </w:rPr>
        <w:t>s not retained.</w:t>
      </w:r>
    </w:p>
    <w:p w14:paraId="4C020C5E" w14:textId="77777777" w:rsidR="0072019F" w:rsidRDefault="0072019F" w:rsidP="0072019F">
      <w:pPr>
        <w:jc w:val="both"/>
        <w:rPr>
          <w:b/>
          <w:bCs/>
          <w:noProof/>
          <w:sz w:val="24"/>
          <w:szCs w:val="24"/>
        </w:rPr>
      </w:pPr>
      <w:r w:rsidRPr="00D915BB">
        <w:rPr>
          <w:b/>
          <w:bCs/>
          <w:noProof/>
          <w:sz w:val="24"/>
          <w:szCs w:val="24"/>
        </w:rPr>
        <w:lastRenderedPageBreak/>
        <w:t>5.1 Effects of Individual-level Demographic Characteristics</w:t>
      </w:r>
    </w:p>
    <w:p w14:paraId="06497B0B" w14:textId="78C3B2DA" w:rsidR="0072019F" w:rsidRDefault="0072019F" w:rsidP="0072019F">
      <w:pPr>
        <w:jc w:val="both"/>
        <w:rPr>
          <w:sz w:val="24"/>
          <w:szCs w:val="24"/>
        </w:rPr>
      </w:pPr>
      <w:r w:rsidRPr="00FF0980">
        <w:rPr>
          <w:sz w:val="24"/>
          <w:szCs w:val="24"/>
        </w:rPr>
        <w:t>Women show a lower underlying propensity for frequent transit use than men, and this lower usage comes together with a distinctly higher propensity to report most of the on-system barriers. Women are more likely than men to cite the threatening behavior of other passengers, feeling unsafe walking to or from stops, feeling unsafe while waiting at stops, unsanitary conditions, and fear of falling. Two barriers stand out as exceptions with risk of theft and concerns about law enforcement showing no significant gender difference. This pattern suggests that it is the fear of harassment and the exposure of walk-access routes and waiting areas, rather than property crime or encounters with enforcement, that most distinctly discourages women from using transit. This is consistent with prior evidence that personal safety concerns weigh more heavily than pro-environmental attitudes in shaping women's transit use, marking safety as a central factor behind lower ridership among women (Hsu et al.</w:t>
      </w:r>
      <w:r>
        <w:rPr>
          <w:sz w:val="24"/>
          <w:szCs w:val="24"/>
        </w:rPr>
        <w:t>,</w:t>
      </w:r>
      <w:r w:rsidRPr="00FF0980">
        <w:rPr>
          <w:sz w:val="24"/>
          <w:szCs w:val="24"/>
        </w:rPr>
        <w:t xml:space="preserve"> 2019). At the same time, women are less likely than men to report that transit fails to reach their destinations, which suggests that the gender gap in transit use has more to do with the safety and quality of the travel experience than with where transit service operates.</w:t>
      </w:r>
    </w:p>
    <w:p w14:paraId="333A4F73" w14:textId="4E75B7A3" w:rsidR="009E1C43" w:rsidRDefault="009E1C43" w:rsidP="009E1C43">
      <w:pPr>
        <w:ind w:firstLine="720"/>
        <w:jc w:val="both"/>
        <w:rPr>
          <w:sz w:val="24"/>
          <w:szCs w:val="24"/>
        </w:rPr>
      </w:pPr>
      <w:r w:rsidRPr="00333088">
        <w:rPr>
          <w:sz w:val="24"/>
          <w:szCs w:val="24"/>
        </w:rPr>
        <w:t>The underlying propensity of transit use generally declines with age, with propensity of usage dropping significantly for the 45-to-64 and 65-or-older age groups. What is notable is that these older age groups are also less likely to report nearly every barrier, including personal safety concerns and unsanitary conditions. Interestingly, those 65 and older exhibit a lower propensity for fear of falling, a hazard to which older travelers are generally more vulnerable (Silvano and Ohlin</w:t>
      </w:r>
      <w:r w:rsidR="002F4298">
        <w:rPr>
          <w:sz w:val="24"/>
          <w:szCs w:val="24"/>
        </w:rPr>
        <w:t>,</w:t>
      </w:r>
      <w:r w:rsidRPr="00333088">
        <w:rPr>
          <w:sz w:val="24"/>
          <w:szCs w:val="24"/>
        </w:rPr>
        <w:t xml:space="preserve"> 2019). Rather than suggesting that older travelers face fewer real obstacles, this pattern more likely reflects a lifestyle that has moved away from transit altogether</w:t>
      </w:r>
      <w:r>
        <w:rPr>
          <w:sz w:val="24"/>
          <w:szCs w:val="24"/>
        </w:rPr>
        <w:t xml:space="preserve"> </w:t>
      </w:r>
      <w:r w:rsidRPr="004C7B35">
        <w:t>(Yang</w:t>
      </w:r>
      <w:r>
        <w:t>,</w:t>
      </w:r>
      <w:r w:rsidRPr="004C7B35">
        <w:t xml:space="preserve"> 2025)</w:t>
      </w:r>
      <w:r w:rsidRPr="00333088">
        <w:rPr>
          <w:sz w:val="24"/>
          <w:szCs w:val="24"/>
        </w:rPr>
        <w:t xml:space="preserve">. Older individuals have long since built their daily travel around </w:t>
      </w:r>
      <w:proofErr w:type="gramStart"/>
      <w:r w:rsidRPr="00333088">
        <w:rPr>
          <w:sz w:val="24"/>
          <w:szCs w:val="24"/>
        </w:rPr>
        <w:t>the private vehicle</w:t>
      </w:r>
      <w:proofErr w:type="gramEnd"/>
      <w:r w:rsidRPr="00333088">
        <w:rPr>
          <w:sz w:val="24"/>
          <w:szCs w:val="24"/>
        </w:rPr>
        <w:t xml:space="preserve"> and may not view transit conditions as barriers relevant to their own lives. On the other hand, younger adults, who use transit the most, are also the ones most exposed to its downsides and therefore more likely to identify barriers to usage. The 25-to-44 age group stands out in a different way. This group shows no broad pattern </w:t>
      </w:r>
      <w:r w:rsidRPr="0016555C">
        <w:rPr>
          <w:sz w:val="24"/>
          <w:szCs w:val="24"/>
        </w:rPr>
        <w:t>across the safety and comfort barriers, but it is less likely to report that transit is unavailable near home or unavailable to reach their destinations. This reflects the more transit-served locations where early- and mid-career adults tend to live (Shin and Tilahun</w:t>
      </w:r>
      <w:r w:rsidR="004A3A2D">
        <w:rPr>
          <w:sz w:val="24"/>
          <w:szCs w:val="24"/>
        </w:rPr>
        <w:t>,</w:t>
      </w:r>
      <w:r w:rsidRPr="0016555C">
        <w:rPr>
          <w:sz w:val="24"/>
          <w:szCs w:val="24"/>
        </w:rPr>
        <w:t xml:space="preserve"> 2022).</w:t>
      </w:r>
    </w:p>
    <w:p w14:paraId="5F06B968" w14:textId="1512BB3D" w:rsidR="009E1C43" w:rsidRDefault="009E1C43" w:rsidP="009E1C43">
      <w:pPr>
        <w:ind w:firstLine="720"/>
        <w:jc w:val="both"/>
        <w:rPr>
          <w:sz w:val="24"/>
          <w:szCs w:val="24"/>
        </w:rPr>
      </w:pPr>
      <w:r w:rsidRPr="00CD103A">
        <w:rPr>
          <w:sz w:val="24"/>
          <w:szCs w:val="24"/>
        </w:rPr>
        <w:t>Both full-time and part-time workers exhibit a higher propensity for transit use than those who are retired or not employed, in keeping with the regular, fixed-destination travel that characterizes commuting. At the same time, both groups are more likely to report that transit does not reach their destinations, which suggests that even among those most inclined to use transit regularly, a mismatch between transit networks and job locations remains a key concern (Maharjan et al.</w:t>
      </w:r>
      <w:r w:rsidR="004A3A2D">
        <w:rPr>
          <w:sz w:val="24"/>
          <w:szCs w:val="24"/>
        </w:rPr>
        <w:t>,</w:t>
      </w:r>
      <w:r w:rsidRPr="00CD103A">
        <w:rPr>
          <w:sz w:val="24"/>
          <w:szCs w:val="24"/>
        </w:rPr>
        <w:t xml:space="preserve"> 2024). Full-time workers additionally show a higher propensity to cite concerns about interactions with law enforcement or security officers, which may reflect greater exposure to enforcement presence during peak commuting periods, though this interpretation should be treated with some caution given the demographic heterogeneity of the full-time workforce.</w:t>
      </w:r>
    </w:p>
    <w:p w14:paraId="2003A153" w14:textId="0AA5D088" w:rsidR="009E1C43" w:rsidRDefault="009E1C43" w:rsidP="009E1C43">
      <w:pPr>
        <w:ind w:firstLine="720"/>
        <w:jc w:val="both"/>
        <w:rPr>
          <w:sz w:val="24"/>
          <w:szCs w:val="24"/>
        </w:rPr>
      </w:pPr>
      <w:r w:rsidRPr="00826AD1">
        <w:rPr>
          <w:sz w:val="24"/>
          <w:szCs w:val="24"/>
        </w:rPr>
        <w:t xml:space="preserve">The underlying propensity to use transit rises with educational attainment. Compared with those with a high school education or less, propensity for transit use is not significantly different for respondents with some college, but it is higher for those with a bachelor's degree and still higher for those with a graduate degree. Higher education also comes with a greater propensity to report barriers. The propensity to report two service availability barriers, no service near home and no service to destinations, </w:t>
      </w:r>
      <w:r w:rsidR="00F02BCF" w:rsidRPr="00F02BCF">
        <w:rPr>
          <w:sz w:val="24"/>
          <w:szCs w:val="24"/>
        </w:rPr>
        <w:t xml:space="preserve">is elevated at every education level relative to high school or less, which may reflect </w:t>
      </w:r>
      <w:r w:rsidRPr="00826AD1">
        <w:rPr>
          <w:sz w:val="24"/>
          <w:szCs w:val="24"/>
        </w:rPr>
        <w:t xml:space="preserve">both the more suburban locations where highly educated professionals often live and a greater underlying interest in transit that makes its absence register as a real barrier rather than simply a non-issue. Graduate degree holders, specifically, are also more prone to report higher </w:t>
      </w:r>
      <w:r w:rsidRPr="00826AD1">
        <w:rPr>
          <w:sz w:val="24"/>
          <w:szCs w:val="24"/>
        </w:rPr>
        <w:lastRenderedPageBreak/>
        <w:t>concern about law enforcement interactions, unsafe walking and waiting environments, and fear of falling, concerns that do not show up for other education levels. Rather than pointing to objectively worse transit conditions for this group, this more likely reflects higher expectations and a more critical eye toward the transit experience among riders who have more resources and more high-end modal alternatives at their disposal</w:t>
      </w:r>
      <w:r>
        <w:rPr>
          <w:sz w:val="24"/>
          <w:szCs w:val="24"/>
        </w:rPr>
        <w:t xml:space="preserve"> </w:t>
      </w:r>
      <w:r w:rsidRPr="00D93146">
        <w:rPr>
          <w:sz w:val="24"/>
          <w:szCs w:val="24"/>
        </w:rPr>
        <w:t>(</w:t>
      </w:r>
      <w:proofErr w:type="spellStart"/>
      <w:r w:rsidRPr="00D93146">
        <w:rPr>
          <w:sz w:val="24"/>
          <w:szCs w:val="24"/>
        </w:rPr>
        <w:t>Asgharpour</w:t>
      </w:r>
      <w:proofErr w:type="spellEnd"/>
      <w:r w:rsidRPr="00D93146">
        <w:rPr>
          <w:sz w:val="24"/>
          <w:szCs w:val="24"/>
        </w:rPr>
        <w:t xml:space="preserve"> et al.</w:t>
      </w:r>
      <w:r w:rsidR="004A3A2D">
        <w:rPr>
          <w:sz w:val="24"/>
          <w:szCs w:val="24"/>
        </w:rPr>
        <w:t>,</w:t>
      </w:r>
      <w:r w:rsidRPr="00D93146">
        <w:rPr>
          <w:sz w:val="24"/>
          <w:szCs w:val="24"/>
        </w:rPr>
        <w:t xml:space="preserve"> 2025).</w:t>
      </w:r>
    </w:p>
    <w:p w14:paraId="4650BF20" w14:textId="77777777" w:rsidR="009E1C43" w:rsidRPr="00A05E06" w:rsidRDefault="009E1C43" w:rsidP="009E1C43">
      <w:pPr>
        <w:ind w:firstLine="720"/>
        <w:jc w:val="both"/>
        <w:rPr>
          <w:sz w:val="24"/>
          <w:szCs w:val="24"/>
        </w:rPr>
      </w:pPr>
      <w:r w:rsidRPr="00A05E06">
        <w:rPr>
          <w:sz w:val="24"/>
          <w:szCs w:val="24"/>
        </w:rPr>
        <w:t xml:space="preserve">Race and ethnicity show a more targeted set of effects. Black respondents exhibit a greater propensity to use transit more often than White respondents and are less likely to report that transit is unavailable, whether near home or to reach their destinations – a pattern consistent with Black populations being more concentrated in the urban areas where transit service tends to exist. Notably, after accounting for other demographic and built environment factors, no significant racial differences show up on any of the personal safety or comfort barriers. This suggests that racial differences in perceived barriers that often appear in simple descriptive comparisons likely reflect differences in income, residential location, and exposure to transit rather than race itself. Hispanic respondents likewise depict a propensity to use transit more often than non-Hispanic </w:t>
      </w:r>
      <w:proofErr w:type="gramStart"/>
      <w:r w:rsidRPr="00A05E06">
        <w:rPr>
          <w:sz w:val="24"/>
          <w:szCs w:val="24"/>
        </w:rPr>
        <w:t>respondents, but</w:t>
      </w:r>
      <w:proofErr w:type="gramEnd"/>
      <w:r w:rsidRPr="00A05E06">
        <w:rPr>
          <w:sz w:val="24"/>
          <w:szCs w:val="24"/>
        </w:rPr>
        <w:t xml:space="preserve"> stand out in one specific respect – a higher propensity to cite risk of theft as a barrier, a pattern that does not extend to any of the other barriers to transit use.</w:t>
      </w:r>
    </w:p>
    <w:p w14:paraId="22C0FD87" w14:textId="77777777" w:rsidR="009E1C43" w:rsidRDefault="009E1C43" w:rsidP="009E1C43">
      <w:pPr>
        <w:jc w:val="both"/>
        <w:rPr>
          <w:sz w:val="28"/>
          <w:szCs w:val="28"/>
        </w:rPr>
      </w:pPr>
    </w:p>
    <w:p w14:paraId="60CAE1C8" w14:textId="77777777" w:rsidR="009E1C43" w:rsidRPr="00693FB5" w:rsidRDefault="009E1C43" w:rsidP="009E1C43">
      <w:pPr>
        <w:jc w:val="both"/>
        <w:rPr>
          <w:b/>
          <w:bCs/>
          <w:sz w:val="24"/>
          <w:szCs w:val="24"/>
        </w:rPr>
      </w:pPr>
      <w:r>
        <w:rPr>
          <w:b/>
          <w:bCs/>
          <w:sz w:val="24"/>
          <w:szCs w:val="24"/>
        </w:rPr>
        <w:t>5</w:t>
      </w:r>
      <w:r w:rsidRPr="00693FB5">
        <w:rPr>
          <w:b/>
          <w:bCs/>
          <w:sz w:val="24"/>
          <w:szCs w:val="24"/>
        </w:rPr>
        <w:t>.2 Effects of Household-level Attributes</w:t>
      </w:r>
    </w:p>
    <w:p w14:paraId="6244A945" w14:textId="118A4924" w:rsidR="009E1C43" w:rsidRDefault="009E1C43" w:rsidP="009E1C43">
      <w:pPr>
        <w:jc w:val="both"/>
        <w:rPr>
          <w:bCs/>
          <w:color w:val="000000" w:themeColor="text1"/>
          <w:sz w:val="24"/>
          <w:szCs w:val="24"/>
        </w:rPr>
      </w:pPr>
      <w:r w:rsidRPr="00D646AB">
        <w:rPr>
          <w:bCs/>
          <w:color w:val="000000" w:themeColor="text1"/>
          <w:sz w:val="24"/>
          <w:szCs w:val="24"/>
        </w:rPr>
        <w:t xml:space="preserve">Household income shows a rather uniform influence on propensity for transit use. Each successively higher income bracket is associated with about the same level of lower propensity to use transit relative to the lowest income group earning less than $25,000 a year. The two highest income brackets, $100,000-149,999 and $150,000 or more, show a very similar pattern of effects across several of the barrier outcomes – suggesting that once household income climbs above the $100,000 threshold, further increases in income do not meaningfully change how these barriers are perceived. Where the two highest income brackets </w:t>
      </w:r>
      <w:r w:rsidR="00C8699F" w:rsidRPr="00C8699F">
        <w:rPr>
          <w:bCs/>
          <w:color w:val="000000" w:themeColor="text1"/>
          <w:sz w:val="24"/>
          <w:szCs w:val="24"/>
        </w:rPr>
        <w:t xml:space="preserve">do differ is on the destination-side </w:t>
      </w:r>
      <w:proofErr w:type="gramStart"/>
      <w:r w:rsidR="00C8699F" w:rsidRPr="00C8699F">
        <w:rPr>
          <w:bCs/>
          <w:color w:val="000000" w:themeColor="text1"/>
          <w:sz w:val="24"/>
          <w:szCs w:val="24"/>
        </w:rPr>
        <w:t>service availability</w:t>
      </w:r>
      <w:proofErr w:type="gramEnd"/>
      <w:r w:rsidR="00C8699F" w:rsidRPr="00C8699F">
        <w:rPr>
          <w:bCs/>
          <w:color w:val="000000" w:themeColor="text1"/>
          <w:sz w:val="24"/>
          <w:szCs w:val="24"/>
        </w:rPr>
        <w:t xml:space="preserve"> barrier</w:t>
      </w:r>
      <w:r w:rsidRPr="00D646AB">
        <w:rPr>
          <w:bCs/>
          <w:color w:val="000000" w:themeColor="text1"/>
          <w:sz w:val="24"/>
          <w:szCs w:val="24"/>
        </w:rPr>
        <w:t xml:space="preserve">. Only the very highest income households earning $150,000 or more show a distinct, elevated propensity to report that transit does not reach their destinations. </w:t>
      </w:r>
      <w:r w:rsidR="00A565B2" w:rsidRPr="00A565B2">
        <w:rPr>
          <w:bCs/>
          <w:color w:val="000000" w:themeColor="text1"/>
          <w:sz w:val="24"/>
          <w:szCs w:val="24"/>
        </w:rPr>
        <w:t>Higher income households are also somewhat less likely to cite risk of theft, feeling unsafe walking to or from stops, feeling unsafe while waiting at stops, and fear of falling, a pattern that likely reflects the premium quality and nature of transit modes serving locales inhabited by high income residents. The exception is unsanitary conditions, which the two highest income brackets are somewhat more likely to report, consistent with heightened expectations for cleanliness among higher income traveler</w:t>
      </w:r>
      <w:r w:rsidR="00A565B2">
        <w:rPr>
          <w:bCs/>
          <w:color w:val="000000" w:themeColor="text1"/>
          <w:sz w:val="24"/>
          <w:szCs w:val="24"/>
        </w:rPr>
        <w:t>s</w:t>
      </w:r>
      <w:r w:rsidRPr="00D646AB">
        <w:rPr>
          <w:bCs/>
          <w:color w:val="000000" w:themeColor="text1"/>
          <w:sz w:val="24"/>
          <w:szCs w:val="24"/>
        </w:rPr>
        <w:t>.</w:t>
      </w:r>
    </w:p>
    <w:p w14:paraId="7F1EA051" w14:textId="77777777" w:rsidR="009E1C43" w:rsidRPr="00F305FC" w:rsidRDefault="009E1C43" w:rsidP="009E1C43">
      <w:pPr>
        <w:ind w:firstLine="720"/>
        <w:jc w:val="both"/>
        <w:rPr>
          <w:bCs/>
          <w:color w:val="000000" w:themeColor="text1"/>
          <w:sz w:val="24"/>
          <w:szCs w:val="24"/>
        </w:rPr>
      </w:pPr>
      <w:r w:rsidRPr="00F305FC">
        <w:rPr>
          <w:bCs/>
          <w:color w:val="000000" w:themeColor="text1"/>
          <w:sz w:val="24"/>
          <w:szCs w:val="24"/>
        </w:rPr>
        <w:t>Household size and the presence of children have a rather modest impact on propensity to report transit use barriers. Individuals in households of two or more people show a higher propensity to report both feeling unsafe walking to or from transit stops and transit not being available near their homes. Both effects are consistent with the presence of other household members shaping how the trip is evaluated: walk access is judged not only for oneself but also for companions who travel together or are escorted to and from stops, and a single nearby stop is less likely to serve several people with different destinations and schedules. Households with children present, meanwhile, show a distinctly higher propensity to cite fear of falling as a barrier, a pattern that likely reflects heightened caution when traveling with children on transit vehicles (rather than any greater personal risk to the respondent per se).</w:t>
      </w:r>
    </w:p>
    <w:p w14:paraId="54F944FA" w14:textId="77777777" w:rsidR="009E1C43" w:rsidRPr="004E4397" w:rsidRDefault="009E1C43" w:rsidP="009E1C43">
      <w:pPr>
        <w:ind w:firstLine="720"/>
        <w:jc w:val="both"/>
        <w:rPr>
          <w:bCs/>
          <w:color w:val="000000" w:themeColor="text1"/>
          <w:sz w:val="24"/>
          <w:szCs w:val="24"/>
        </w:rPr>
      </w:pPr>
      <w:r w:rsidRPr="004E4397">
        <w:rPr>
          <w:bCs/>
          <w:color w:val="000000" w:themeColor="text1"/>
          <w:sz w:val="24"/>
          <w:szCs w:val="24"/>
        </w:rPr>
        <w:t xml:space="preserve">Housing type and homeownership status point to differences in suburban versus urban contexts. Respondents living in single-family homes show a lower propensity for frequent transit use and a lower propensity to report that transit fails to reach their destinations, relative to those in </w:t>
      </w:r>
      <w:r w:rsidRPr="004E4397">
        <w:rPr>
          <w:bCs/>
          <w:color w:val="000000" w:themeColor="text1"/>
          <w:sz w:val="24"/>
          <w:szCs w:val="24"/>
        </w:rPr>
        <w:lastRenderedPageBreak/>
        <w:t xml:space="preserve">other housing types. In contrast, apartment residents show a higher propensity for frequent transit use, consistent with apartments being more common in denser, better-served locations. Renters are likely to use transit somewhat more frequently than </w:t>
      </w:r>
      <w:proofErr w:type="gramStart"/>
      <w:r w:rsidRPr="004E4397">
        <w:rPr>
          <w:bCs/>
          <w:color w:val="000000" w:themeColor="text1"/>
          <w:sz w:val="24"/>
          <w:szCs w:val="24"/>
        </w:rPr>
        <w:t>homeowners, and</w:t>
      </w:r>
      <w:proofErr w:type="gramEnd"/>
      <w:r w:rsidRPr="004E4397">
        <w:rPr>
          <w:bCs/>
          <w:color w:val="000000" w:themeColor="text1"/>
          <w:sz w:val="24"/>
          <w:szCs w:val="24"/>
        </w:rPr>
        <w:t xml:space="preserve"> are less likely to report risk of theft or the absence of transit service near their homes as barriers – findings that are generally consistent with the notion that renters tend to be located in denser locations better served by transit.</w:t>
      </w:r>
    </w:p>
    <w:p w14:paraId="79D806E7" w14:textId="163D9BD2" w:rsidR="009E1C43" w:rsidRDefault="009E1C43" w:rsidP="009E1C43">
      <w:pPr>
        <w:ind w:firstLine="720"/>
        <w:jc w:val="both"/>
        <w:rPr>
          <w:bCs/>
          <w:color w:val="000000" w:themeColor="text1"/>
          <w:sz w:val="24"/>
          <w:szCs w:val="24"/>
        </w:rPr>
      </w:pPr>
      <w:r w:rsidRPr="004E4397">
        <w:rPr>
          <w:bCs/>
          <w:color w:val="000000" w:themeColor="text1"/>
          <w:sz w:val="24"/>
          <w:szCs w:val="24"/>
        </w:rPr>
        <w:t>A very significant effect within the household-level attributes is depicted by vehicle deficiency, defined as households with no vehicle or with fewer vehicles than drivers</w:t>
      </w:r>
      <w:r>
        <w:rPr>
          <w:bCs/>
          <w:color w:val="000000" w:themeColor="text1"/>
          <w:sz w:val="24"/>
          <w:szCs w:val="24"/>
        </w:rPr>
        <w:t xml:space="preserve">; </w:t>
      </w:r>
      <w:r w:rsidRPr="00C03CB6">
        <w:rPr>
          <w:bCs/>
          <w:color w:val="000000" w:themeColor="text1"/>
          <w:sz w:val="24"/>
          <w:szCs w:val="24"/>
        </w:rPr>
        <w:t>all remaining households, with at least as many vehicles as drivers, are considered vehicle-sufficient and serve as the base category</w:t>
      </w:r>
      <w:r w:rsidRPr="004E4397">
        <w:rPr>
          <w:bCs/>
          <w:color w:val="000000" w:themeColor="text1"/>
          <w:sz w:val="24"/>
          <w:szCs w:val="24"/>
        </w:rPr>
        <w:t xml:space="preserve">. Vehicle-deficient households show a substantially higher propensity to use transit frequently, underscoring that the lack of access to an automobile may be among the strongest drivers of transit use. These same households are somewhat less likely to cite feeling unsafe walking to or from transit stops and less likely to report that transit fails to reach their destinations, a pattern consistent with vehicle-deficient households more often being located in, or having sorted themselves into, areas where transit is a viable and reasonably well-connected option </w:t>
      </w:r>
      <w:r w:rsidRPr="00F305FC">
        <w:rPr>
          <w:bCs/>
          <w:color w:val="000000" w:themeColor="text1"/>
          <w:sz w:val="24"/>
          <w:szCs w:val="24"/>
        </w:rPr>
        <w:t>(Toy et al.</w:t>
      </w:r>
      <w:r w:rsidR="004A3A2D">
        <w:rPr>
          <w:bCs/>
          <w:color w:val="000000" w:themeColor="text1"/>
          <w:sz w:val="24"/>
          <w:szCs w:val="24"/>
        </w:rPr>
        <w:t>,</w:t>
      </w:r>
      <w:r w:rsidRPr="00F305FC">
        <w:rPr>
          <w:bCs/>
          <w:color w:val="000000" w:themeColor="text1"/>
          <w:sz w:val="24"/>
          <w:szCs w:val="24"/>
        </w:rPr>
        <w:t xml:space="preserve"> 2025).</w:t>
      </w:r>
    </w:p>
    <w:p w14:paraId="6535A6DA" w14:textId="77777777" w:rsidR="009E1C43" w:rsidRPr="004E4397" w:rsidRDefault="009E1C43" w:rsidP="00233F0E">
      <w:pPr>
        <w:jc w:val="both"/>
        <w:rPr>
          <w:bCs/>
          <w:color w:val="000000" w:themeColor="text1"/>
          <w:sz w:val="24"/>
          <w:szCs w:val="24"/>
        </w:rPr>
      </w:pPr>
    </w:p>
    <w:p w14:paraId="2F386349" w14:textId="77777777" w:rsidR="009E1C43" w:rsidRDefault="009E1C43" w:rsidP="009E1C43">
      <w:pPr>
        <w:jc w:val="both"/>
        <w:rPr>
          <w:b/>
          <w:color w:val="000000" w:themeColor="text1"/>
          <w:sz w:val="24"/>
          <w:szCs w:val="24"/>
        </w:rPr>
      </w:pPr>
      <w:r>
        <w:rPr>
          <w:b/>
          <w:color w:val="000000" w:themeColor="text1"/>
          <w:sz w:val="24"/>
          <w:szCs w:val="24"/>
        </w:rPr>
        <w:t>5</w:t>
      </w:r>
      <w:r w:rsidRPr="005C25C2">
        <w:rPr>
          <w:b/>
          <w:color w:val="000000" w:themeColor="text1"/>
          <w:sz w:val="24"/>
          <w:szCs w:val="24"/>
        </w:rPr>
        <w:t>.3 Effects of Geographic Context and Built Environment</w:t>
      </w:r>
    </w:p>
    <w:p w14:paraId="2145C110" w14:textId="77777777" w:rsidR="009E1C43" w:rsidRPr="008103E6" w:rsidRDefault="009E1C43" w:rsidP="009E1C43">
      <w:pPr>
        <w:jc w:val="both"/>
        <w:rPr>
          <w:bCs/>
          <w:color w:val="000000" w:themeColor="text1"/>
          <w:sz w:val="24"/>
          <w:szCs w:val="24"/>
        </w:rPr>
      </w:pPr>
      <w:r w:rsidRPr="008103E6">
        <w:rPr>
          <w:bCs/>
          <w:color w:val="000000" w:themeColor="text1"/>
          <w:sz w:val="24"/>
          <w:szCs w:val="24"/>
        </w:rPr>
        <w:t>Model estimation results show that census division has no significant influence on the propensity to use transit. There are, however, significant differences among census divisions in the propensity to report barriers to transit use. This indicates that macro-level regional differences shape how transit is experienced much more than they shape the underlying inclination to use transit.</w:t>
      </w:r>
    </w:p>
    <w:p w14:paraId="0C0C389D" w14:textId="77777777" w:rsidR="009E1C43" w:rsidRDefault="009E1C43" w:rsidP="009E1C43">
      <w:pPr>
        <w:ind w:firstLine="720"/>
        <w:jc w:val="both"/>
        <w:rPr>
          <w:bCs/>
          <w:color w:val="000000" w:themeColor="text1"/>
          <w:sz w:val="24"/>
          <w:szCs w:val="24"/>
        </w:rPr>
      </w:pPr>
      <w:r w:rsidRPr="008103E6">
        <w:rPr>
          <w:bCs/>
          <w:color w:val="000000" w:themeColor="text1"/>
          <w:sz w:val="24"/>
          <w:szCs w:val="24"/>
        </w:rPr>
        <w:t xml:space="preserve">Regional differences are concentrated mainly </w:t>
      </w:r>
      <w:proofErr w:type="gramStart"/>
      <w:r w:rsidRPr="008103E6">
        <w:rPr>
          <w:bCs/>
          <w:color w:val="000000" w:themeColor="text1"/>
          <w:sz w:val="24"/>
          <w:szCs w:val="24"/>
        </w:rPr>
        <w:t>in</w:t>
      </w:r>
      <w:proofErr w:type="gramEnd"/>
      <w:r w:rsidRPr="008103E6">
        <w:rPr>
          <w:bCs/>
          <w:color w:val="000000" w:themeColor="text1"/>
          <w:sz w:val="24"/>
          <w:szCs w:val="24"/>
        </w:rPr>
        <w:t xml:space="preserve"> the personal safety and comfort barriers. Compared to New England, respondents in most other census divisions show a higher propensity to report threatening behavior from other passengers (as a barrier), with the </w:t>
      </w:r>
      <w:proofErr w:type="gramStart"/>
      <w:r w:rsidRPr="008103E6">
        <w:rPr>
          <w:bCs/>
          <w:color w:val="000000" w:themeColor="text1"/>
          <w:sz w:val="24"/>
          <w:szCs w:val="24"/>
        </w:rPr>
        <w:t>effect strongest</w:t>
      </w:r>
      <w:proofErr w:type="gramEnd"/>
      <w:r w:rsidRPr="008103E6">
        <w:rPr>
          <w:bCs/>
          <w:color w:val="000000" w:themeColor="text1"/>
          <w:sz w:val="24"/>
          <w:szCs w:val="24"/>
        </w:rPr>
        <w:t xml:space="preserve"> in the Mountain division. The</w:t>
      </w:r>
      <w:r>
        <w:rPr>
          <w:bCs/>
          <w:color w:val="000000" w:themeColor="text1"/>
          <w:sz w:val="24"/>
          <w:szCs w:val="24"/>
        </w:rPr>
        <w:t xml:space="preserve"> </w:t>
      </w:r>
      <w:r w:rsidRPr="00A95589">
        <w:rPr>
          <w:bCs/>
          <w:color w:val="000000" w:themeColor="text1"/>
          <w:sz w:val="24"/>
          <w:szCs w:val="24"/>
        </w:rPr>
        <w:t>Middle Atlantic</w:t>
      </w:r>
      <w:r>
        <w:rPr>
          <w:bCs/>
          <w:color w:val="000000" w:themeColor="text1"/>
          <w:sz w:val="24"/>
          <w:szCs w:val="24"/>
        </w:rPr>
        <w:t>,</w:t>
      </w:r>
      <w:r w:rsidRPr="008103E6">
        <w:rPr>
          <w:bCs/>
          <w:color w:val="000000" w:themeColor="text1"/>
          <w:sz w:val="24"/>
          <w:szCs w:val="24"/>
        </w:rPr>
        <w:t xml:space="preserve"> East North Central, West North Central, West South Central, Mountain, and Pacific divisions all show a higher propensity to report unsafe waiting conditions or unsanitary conditions. Concerns about law enforcement interactions are significant only in the East South Central and West </w:t>
      </w:r>
      <w:proofErr w:type="gramStart"/>
      <w:r w:rsidRPr="008103E6">
        <w:rPr>
          <w:bCs/>
          <w:color w:val="000000" w:themeColor="text1"/>
          <w:sz w:val="24"/>
          <w:szCs w:val="24"/>
        </w:rPr>
        <w:t>South Central</w:t>
      </w:r>
      <w:proofErr w:type="gramEnd"/>
      <w:r w:rsidRPr="008103E6">
        <w:rPr>
          <w:bCs/>
          <w:color w:val="000000" w:themeColor="text1"/>
          <w:sz w:val="24"/>
          <w:szCs w:val="24"/>
        </w:rPr>
        <w:t xml:space="preserve"> divisions, and fear of falling is significant only in the Pacific division. It is likely that New England’s older and more established transit systems may set a relatively favorable reference point for the quality and safety of the transit experience – one that other regions do not fully match. The East North Central and Pacific divisions also show a lower propensity to report that transit is unavailable near home, a result consistent with the extensive and long-standing transit networks these regions have built over time.</w:t>
      </w:r>
    </w:p>
    <w:p w14:paraId="4BE4A28C" w14:textId="3111A28C" w:rsidR="009E1C43" w:rsidRDefault="009E1C43" w:rsidP="009E1C43">
      <w:pPr>
        <w:ind w:firstLine="720"/>
        <w:jc w:val="both"/>
        <w:rPr>
          <w:bCs/>
          <w:color w:val="000000" w:themeColor="text1"/>
          <w:sz w:val="24"/>
          <w:szCs w:val="24"/>
        </w:rPr>
      </w:pPr>
      <w:r w:rsidRPr="006109BA">
        <w:rPr>
          <w:bCs/>
          <w:color w:val="000000" w:themeColor="text1"/>
          <w:sz w:val="24"/>
          <w:szCs w:val="24"/>
        </w:rPr>
        <w:t xml:space="preserve">The share of </w:t>
      </w:r>
      <w:proofErr w:type="gramStart"/>
      <w:r w:rsidR="00A36E8B">
        <w:rPr>
          <w:bCs/>
          <w:color w:val="000000" w:themeColor="text1"/>
          <w:sz w:val="24"/>
          <w:szCs w:val="24"/>
        </w:rPr>
        <w:t>no</w:t>
      </w:r>
      <w:proofErr w:type="gramEnd"/>
      <w:r w:rsidR="00A36E8B">
        <w:rPr>
          <w:bCs/>
          <w:color w:val="000000" w:themeColor="text1"/>
          <w:sz w:val="24"/>
          <w:szCs w:val="24"/>
        </w:rPr>
        <w:t>-vehicle homes</w:t>
      </w:r>
      <w:r w:rsidRPr="006109BA">
        <w:rPr>
          <w:bCs/>
          <w:color w:val="000000" w:themeColor="text1"/>
          <w:sz w:val="24"/>
          <w:szCs w:val="24"/>
        </w:rPr>
        <w:t xml:space="preserve"> in a respondent’s zip code proves to be a strong indicator of transit use </w:t>
      </w:r>
      <w:proofErr w:type="gramStart"/>
      <w:r w:rsidRPr="006109BA">
        <w:rPr>
          <w:bCs/>
          <w:color w:val="000000" w:themeColor="text1"/>
          <w:sz w:val="24"/>
          <w:szCs w:val="24"/>
        </w:rPr>
        <w:t>frequency, but</w:t>
      </w:r>
      <w:proofErr w:type="gramEnd"/>
      <w:r w:rsidRPr="006109BA">
        <w:rPr>
          <w:bCs/>
          <w:color w:val="000000" w:themeColor="text1"/>
          <w:sz w:val="24"/>
          <w:szCs w:val="24"/>
        </w:rPr>
        <w:t xml:space="preserve"> shows no significant influence on the propensity to report barriers to transit use. This variable may be reflecting the nature of transit-oriented places, where daily travel is organized around transit as much as it is around the private automobile. Zip codes with a high share of two-or-more-vehicle households show the opposite pattern, with residents of these areas showing a higher propensity to report that transit is unavailable both near home and near their destinations, a result consistent with these being more car-oriented areas with relatively low transit service.</w:t>
      </w:r>
    </w:p>
    <w:p w14:paraId="1D3CA197" w14:textId="49C004F1" w:rsidR="009E1C43" w:rsidRDefault="009E1C43" w:rsidP="009E1C43">
      <w:pPr>
        <w:ind w:firstLine="720"/>
        <w:jc w:val="both"/>
        <w:rPr>
          <w:bCs/>
          <w:color w:val="000000" w:themeColor="text1"/>
          <w:sz w:val="24"/>
          <w:szCs w:val="24"/>
        </w:rPr>
      </w:pPr>
      <w:r w:rsidRPr="00AA4AD5">
        <w:rPr>
          <w:bCs/>
          <w:color w:val="000000" w:themeColor="text1"/>
          <w:sz w:val="24"/>
          <w:szCs w:val="24"/>
        </w:rPr>
        <w:t xml:space="preserve">Population density </w:t>
      </w:r>
      <w:r>
        <w:rPr>
          <w:bCs/>
          <w:color w:val="000000" w:themeColor="text1"/>
          <w:sz w:val="24"/>
          <w:szCs w:val="24"/>
        </w:rPr>
        <w:t xml:space="preserve">(number of people per acre) </w:t>
      </w:r>
      <w:r w:rsidRPr="00AA4AD5">
        <w:rPr>
          <w:bCs/>
          <w:color w:val="000000" w:themeColor="text1"/>
          <w:sz w:val="24"/>
          <w:szCs w:val="24"/>
        </w:rPr>
        <w:t>of the res</w:t>
      </w:r>
      <w:r w:rsidR="00FC447D">
        <w:rPr>
          <w:bCs/>
          <w:color w:val="000000" w:themeColor="text1"/>
          <w:sz w:val="24"/>
          <w:szCs w:val="24"/>
        </w:rPr>
        <w:t>pondent</w:t>
      </w:r>
      <w:r w:rsidRPr="00AA4AD5">
        <w:rPr>
          <w:bCs/>
          <w:color w:val="000000" w:themeColor="text1"/>
          <w:sz w:val="24"/>
          <w:szCs w:val="24"/>
        </w:rPr>
        <w:t>s</w:t>
      </w:r>
      <w:r w:rsidR="0021284F">
        <w:rPr>
          <w:bCs/>
          <w:color w:val="000000" w:themeColor="text1"/>
          <w:sz w:val="24"/>
          <w:szCs w:val="24"/>
        </w:rPr>
        <w:t>’</w:t>
      </w:r>
      <w:r w:rsidRPr="00AA4AD5">
        <w:rPr>
          <w:bCs/>
          <w:color w:val="000000" w:themeColor="text1"/>
          <w:sz w:val="24"/>
          <w:szCs w:val="24"/>
        </w:rPr>
        <w:t xml:space="preserve"> zip code shows a dual effect on transit use and barriers. Propensity for frequent transit use rises with density, and the propensity to report the two service availability barriers declines, confirming that denser areas are better served by transit. At the same time, most of the personal safety and comfort barriers also exhibit a higher propensity of being reported with increasing density. Threatening passenger </w:t>
      </w:r>
      <w:r w:rsidRPr="00AA4AD5">
        <w:rPr>
          <w:bCs/>
          <w:color w:val="000000" w:themeColor="text1"/>
          <w:sz w:val="24"/>
          <w:szCs w:val="24"/>
        </w:rPr>
        <w:lastRenderedPageBreak/>
        <w:t>behavior, unsafe walking, unsafe waiting, and unsanitary conditions all show a higher propensity in denser areas, while theft and law enforcement concerns are significant at the highest density level. This pattern suggests that density improves transit availability while simultaneously increasing exposure to crowding, disorder, poor cleanliness, and enforcement presence that tend to accompany higher ridership.</w:t>
      </w:r>
    </w:p>
    <w:p w14:paraId="3A0FD155" w14:textId="6439168A" w:rsidR="009E1C43" w:rsidRDefault="009E1C43" w:rsidP="009E1C43">
      <w:pPr>
        <w:ind w:firstLine="720"/>
        <w:jc w:val="both"/>
        <w:rPr>
          <w:bCs/>
          <w:color w:val="000000" w:themeColor="text1"/>
          <w:sz w:val="24"/>
          <w:szCs w:val="24"/>
        </w:rPr>
      </w:pPr>
      <w:r w:rsidRPr="00C34B03">
        <w:rPr>
          <w:bCs/>
          <w:color w:val="000000" w:themeColor="text1"/>
          <w:sz w:val="24"/>
          <w:szCs w:val="24"/>
        </w:rPr>
        <w:t>The walkability index is computed in the</w:t>
      </w:r>
      <w:r>
        <w:rPr>
          <w:bCs/>
          <w:color w:val="000000" w:themeColor="text1"/>
          <w:sz w:val="24"/>
          <w:szCs w:val="24"/>
        </w:rPr>
        <w:t xml:space="preserve"> </w:t>
      </w:r>
      <w:r w:rsidRPr="00C34B03">
        <w:rPr>
          <w:bCs/>
          <w:color w:val="000000" w:themeColor="text1"/>
          <w:sz w:val="24"/>
          <w:szCs w:val="24"/>
        </w:rPr>
        <w:t>EPA Smart Location Database as a composite score summarizing the extent to which the built environment supports walking, formed as a weighted sum of the ranked values of employment mix, land-use mix, intersection density, and proximity to the nearest transit stop. It ranges in value from 1 (least walkable) to 20 (most walkable), which the EPA groups into four tiers, namely least walkable (1.0–5.75), below average (5.76–10.50), above average (10.51–15.25), and most walkable (15.26–20.0) (Chapman et al.</w:t>
      </w:r>
      <w:r w:rsidR="002F4298">
        <w:rPr>
          <w:bCs/>
          <w:color w:val="000000" w:themeColor="text1"/>
          <w:sz w:val="24"/>
          <w:szCs w:val="24"/>
        </w:rPr>
        <w:t>,</w:t>
      </w:r>
      <w:r w:rsidRPr="00C34B03">
        <w:rPr>
          <w:bCs/>
          <w:color w:val="000000" w:themeColor="text1"/>
          <w:sz w:val="24"/>
          <w:szCs w:val="24"/>
        </w:rPr>
        <w:t xml:space="preserve"> 2021)</w:t>
      </w:r>
      <w:r w:rsidR="00236744">
        <w:rPr>
          <w:bCs/>
          <w:color w:val="000000" w:themeColor="text1"/>
          <w:sz w:val="24"/>
          <w:szCs w:val="24"/>
        </w:rPr>
        <w:t>, with the top two tiers combined into the High category here</w:t>
      </w:r>
      <w:r w:rsidRPr="00C34B03">
        <w:rPr>
          <w:bCs/>
          <w:color w:val="000000" w:themeColor="text1"/>
          <w:sz w:val="24"/>
          <w:szCs w:val="24"/>
        </w:rPr>
        <w:t xml:space="preserve">. The results from Table </w:t>
      </w:r>
      <w:r w:rsidR="003E4D67">
        <w:rPr>
          <w:bCs/>
          <w:color w:val="000000" w:themeColor="text1"/>
          <w:sz w:val="24"/>
          <w:szCs w:val="24"/>
        </w:rPr>
        <w:t>3</w:t>
      </w:r>
      <w:r w:rsidRPr="00C34B03">
        <w:rPr>
          <w:bCs/>
          <w:color w:val="000000" w:themeColor="text1"/>
          <w:sz w:val="24"/>
          <w:szCs w:val="24"/>
        </w:rPr>
        <w:t xml:space="preserve"> run counter to the expectations of prior research, which has generally found that walkable environments support transit use (Cervero</w:t>
      </w:r>
      <w:r>
        <w:rPr>
          <w:bCs/>
          <w:color w:val="000000" w:themeColor="text1"/>
          <w:sz w:val="24"/>
          <w:szCs w:val="24"/>
        </w:rPr>
        <w:t>,</w:t>
      </w:r>
      <w:r w:rsidRPr="00C34B03">
        <w:rPr>
          <w:bCs/>
          <w:color w:val="000000" w:themeColor="text1"/>
          <w:sz w:val="24"/>
          <w:szCs w:val="24"/>
        </w:rPr>
        <w:t xml:space="preserve"> 2001; Ryan and Frank</w:t>
      </w:r>
      <w:r>
        <w:rPr>
          <w:bCs/>
          <w:color w:val="000000" w:themeColor="text1"/>
          <w:sz w:val="24"/>
          <w:szCs w:val="24"/>
        </w:rPr>
        <w:t>,</w:t>
      </w:r>
      <w:r w:rsidRPr="00C34B03">
        <w:rPr>
          <w:bCs/>
          <w:color w:val="000000" w:themeColor="text1"/>
          <w:sz w:val="24"/>
          <w:szCs w:val="24"/>
        </w:rPr>
        <w:t xml:space="preserve"> 2009; Ewing and Cervero</w:t>
      </w:r>
      <w:r>
        <w:rPr>
          <w:bCs/>
          <w:color w:val="000000" w:themeColor="text1"/>
          <w:sz w:val="24"/>
          <w:szCs w:val="24"/>
        </w:rPr>
        <w:t>,</w:t>
      </w:r>
      <w:r w:rsidRPr="00C34B03">
        <w:rPr>
          <w:bCs/>
          <w:color w:val="000000" w:themeColor="text1"/>
          <w:sz w:val="24"/>
          <w:szCs w:val="24"/>
        </w:rPr>
        <w:t xml:space="preserve"> 2010). After </w:t>
      </w:r>
      <w:proofErr w:type="gramStart"/>
      <w:r w:rsidRPr="00C34B03">
        <w:rPr>
          <w:bCs/>
          <w:color w:val="000000" w:themeColor="text1"/>
          <w:sz w:val="24"/>
          <w:szCs w:val="24"/>
        </w:rPr>
        <w:t>controlling for</w:t>
      </w:r>
      <w:proofErr w:type="gramEnd"/>
      <w:r w:rsidRPr="00C34B03">
        <w:rPr>
          <w:bCs/>
          <w:color w:val="000000" w:themeColor="text1"/>
          <w:sz w:val="24"/>
          <w:szCs w:val="24"/>
        </w:rPr>
        <w:t xml:space="preserve"> density and other covariates, residents of more walkable zip codes show a lower propensity to use transit than residents of the least walkable areas, even though they also show a lower propensity to report that transit is unavailable near home. This combination points toward mode substitution as the likely explanation, since short trips that might otherwise be made by transit can instead be made on foot or emerging micromobility modes in these walkable settings</w:t>
      </w:r>
      <w:r>
        <w:rPr>
          <w:bCs/>
          <w:color w:val="000000" w:themeColor="text1"/>
          <w:sz w:val="24"/>
          <w:szCs w:val="24"/>
        </w:rPr>
        <w:t>.</w:t>
      </w:r>
    </w:p>
    <w:p w14:paraId="0BDE7B8E" w14:textId="77777777" w:rsidR="009E1C43" w:rsidRDefault="009E1C43" w:rsidP="009E1C43">
      <w:pPr>
        <w:jc w:val="both"/>
        <w:rPr>
          <w:bCs/>
          <w:color w:val="000000" w:themeColor="text1"/>
          <w:sz w:val="24"/>
          <w:szCs w:val="24"/>
        </w:rPr>
      </w:pPr>
    </w:p>
    <w:p w14:paraId="7136A99C" w14:textId="77777777" w:rsidR="009E1C43" w:rsidRDefault="009E1C43" w:rsidP="009E1C43">
      <w:pPr>
        <w:jc w:val="both"/>
        <w:rPr>
          <w:b/>
          <w:color w:val="000000" w:themeColor="text1"/>
          <w:sz w:val="24"/>
          <w:szCs w:val="24"/>
        </w:rPr>
      </w:pPr>
      <w:r w:rsidRPr="007B38E6">
        <w:rPr>
          <w:b/>
          <w:color w:val="000000" w:themeColor="text1"/>
          <w:sz w:val="24"/>
          <w:szCs w:val="24"/>
        </w:rPr>
        <w:t>5.4 Correlations Among Endogenous Outcomes</w:t>
      </w:r>
    </w:p>
    <w:p w14:paraId="5915BA42" w14:textId="7CCE7A3F" w:rsidR="009E1C43" w:rsidRPr="00ED5EDB" w:rsidRDefault="009E1C43" w:rsidP="009E1C43">
      <w:pPr>
        <w:jc w:val="both"/>
        <w:rPr>
          <w:sz w:val="24"/>
          <w:szCs w:val="24"/>
        </w:rPr>
      </w:pPr>
      <w:r w:rsidRPr="00ED5EDB">
        <w:rPr>
          <w:sz w:val="24"/>
          <w:szCs w:val="24"/>
        </w:rPr>
        <w:t xml:space="preserve">The correlation parameters among the unobserved components of the ten outcomes are reported in the final section of Table </w:t>
      </w:r>
      <w:r w:rsidR="003E4D67">
        <w:rPr>
          <w:sz w:val="24"/>
          <w:szCs w:val="24"/>
        </w:rPr>
        <w:t>3</w:t>
      </w:r>
      <w:r w:rsidRPr="00ED5EDB">
        <w:rPr>
          <w:sz w:val="24"/>
          <w:szCs w:val="24"/>
        </w:rPr>
        <w:t>. Many of these correlations are statistically significant and retained in the model. The correlation matrix is quite informative as it reveals how the barriers group together and how they relate to usage after accounting for observed characteristics.</w:t>
      </w:r>
    </w:p>
    <w:p w14:paraId="31976818" w14:textId="70C089E9" w:rsidR="009E1C43" w:rsidRPr="00ED5EDB" w:rsidRDefault="009E1C43" w:rsidP="009E1C43">
      <w:pPr>
        <w:ind w:firstLine="720"/>
        <w:jc w:val="both"/>
        <w:rPr>
          <w:sz w:val="24"/>
          <w:szCs w:val="24"/>
        </w:rPr>
      </w:pPr>
      <w:r w:rsidRPr="00ED5EDB">
        <w:rPr>
          <w:sz w:val="24"/>
          <w:szCs w:val="24"/>
        </w:rPr>
        <w:t>The correlation between usage frequency and every one of the nine barriers is statistically insignificant. This is a notable result. It indicates that the relationship between frequency of transit use and perceived</w:t>
      </w:r>
      <w:r w:rsidR="008D3050">
        <w:rPr>
          <w:sz w:val="24"/>
          <w:szCs w:val="24"/>
        </w:rPr>
        <w:t xml:space="preserve"> barriers</w:t>
      </w:r>
      <w:r w:rsidRPr="00ED5EDB">
        <w:rPr>
          <w:sz w:val="24"/>
          <w:szCs w:val="24"/>
        </w:rPr>
        <w:t xml:space="preserve"> largely operates through the observed sociodemographic and built environment characteristics already included in the model, rather than through any additional shared unobserved factors. Usage and barriers are linked largely based on who people are and where they live, and not through some common underlying disposition that the model has not captured.</w:t>
      </w:r>
    </w:p>
    <w:p w14:paraId="18812CB3" w14:textId="77777777" w:rsidR="009E1C43" w:rsidRPr="00ED5EDB" w:rsidRDefault="009E1C43" w:rsidP="009E1C43">
      <w:pPr>
        <w:ind w:firstLine="720"/>
        <w:jc w:val="both"/>
        <w:rPr>
          <w:sz w:val="24"/>
          <w:szCs w:val="24"/>
        </w:rPr>
      </w:pPr>
      <w:r w:rsidRPr="00ED5EDB">
        <w:rPr>
          <w:sz w:val="24"/>
          <w:szCs w:val="24"/>
        </w:rPr>
        <w:t xml:space="preserve">The nine barriers </w:t>
      </w:r>
      <w:proofErr w:type="gramStart"/>
      <w:r w:rsidRPr="00ED5EDB">
        <w:rPr>
          <w:sz w:val="24"/>
          <w:szCs w:val="24"/>
        </w:rPr>
        <w:t>separate</w:t>
      </w:r>
      <w:proofErr w:type="gramEnd"/>
      <w:r w:rsidRPr="00ED5EDB">
        <w:rPr>
          <w:sz w:val="24"/>
          <w:szCs w:val="24"/>
        </w:rPr>
        <w:t xml:space="preserve"> into two largely distinct groups. The five Personal Safety items and the two Comfort and Conditions items are strongly and positively correlated with one another, pointing to a general underlying sensitivity in which a respondent who perceives one on-system barrier tends to perceive the others as well. The two Service Availability items are also strongly correlated </w:t>
      </w:r>
      <w:proofErr w:type="gramStart"/>
      <w:r w:rsidRPr="00ED5EDB">
        <w:rPr>
          <w:sz w:val="24"/>
          <w:szCs w:val="24"/>
        </w:rPr>
        <w:t>with each other at</w:t>
      </w:r>
      <w:proofErr w:type="gramEnd"/>
      <w:r w:rsidRPr="00ED5EDB">
        <w:rPr>
          <w:sz w:val="24"/>
          <w:szCs w:val="24"/>
        </w:rPr>
        <w:t xml:space="preserve"> 0.41 (t = 14.53), but they show only weak, and mostly negative, correlations with the experiential barriers described above. Service availability, in other words, appears to represent a separate dimension of concern from the safety and comfort barriers. This separation makes intuitive sense. Perceiving that transit is physically unavailable is a fundamentally different concern than perceiving the on-system experience as unsafe or unpleasant. A respondent without transit service nearby has little basis for forming opinions about crowding, theft, or conditions on a system they do not see or use, which is consistent with the mildly negative correlations observed between these two barrier groups.</w:t>
      </w:r>
    </w:p>
    <w:p w14:paraId="2E9C898C" w14:textId="77777777" w:rsidR="009E1C43" w:rsidRPr="00ED5EDB" w:rsidRDefault="009E1C43" w:rsidP="009E1C43">
      <w:pPr>
        <w:ind w:firstLine="720"/>
        <w:jc w:val="both"/>
        <w:rPr>
          <w:sz w:val="24"/>
          <w:szCs w:val="24"/>
        </w:rPr>
      </w:pPr>
      <w:r w:rsidRPr="00ED5EDB">
        <w:rPr>
          <w:sz w:val="24"/>
          <w:szCs w:val="24"/>
        </w:rPr>
        <w:lastRenderedPageBreak/>
        <w:t xml:space="preserve">Within the experience-related barriers, the Personal Safety items form the tightest cluster. Feeling unsafe walking to a stop and feeling unsafe waiting at a stop </w:t>
      </w:r>
      <w:proofErr w:type="gramStart"/>
      <w:r w:rsidRPr="00ED5EDB">
        <w:rPr>
          <w:sz w:val="24"/>
          <w:szCs w:val="24"/>
        </w:rPr>
        <w:t>show</w:t>
      </w:r>
      <w:proofErr w:type="gramEnd"/>
      <w:r w:rsidRPr="00ED5EDB">
        <w:rPr>
          <w:sz w:val="24"/>
          <w:szCs w:val="24"/>
        </w:rPr>
        <w:t xml:space="preserve"> the strongest correlation of any pair in the table at 0.77 (t = 39.24). This is followed closely by strong correlations among threatening passenger behavior, unsafe waiting, and unsanitary conditions. The Comfort and Conditions items connect naturally to this cluster in addition to forming a separate group of their own, suggesting that riders perceive safety concerns and discomfort as part of a unified broader negative experience rather than as distinct problems.</w:t>
      </w:r>
    </w:p>
    <w:p w14:paraId="678E016C" w14:textId="774742C3" w:rsidR="009E1C43" w:rsidRDefault="009E1C43" w:rsidP="008C3186">
      <w:pPr>
        <w:ind w:firstLine="720"/>
        <w:jc w:val="both"/>
        <w:rPr>
          <w:sz w:val="24"/>
          <w:szCs w:val="24"/>
        </w:rPr>
      </w:pPr>
      <w:r w:rsidRPr="00ED5EDB">
        <w:rPr>
          <w:sz w:val="24"/>
          <w:szCs w:val="24"/>
        </w:rPr>
        <w:t xml:space="preserve">Two additional patterns are worth noting in the correlation matrix. Concerns about law enforcement interactions </w:t>
      </w:r>
      <w:r w:rsidR="00B00887" w:rsidRPr="00ED5EDB">
        <w:rPr>
          <w:sz w:val="24"/>
          <w:szCs w:val="24"/>
        </w:rPr>
        <w:t>are</w:t>
      </w:r>
      <w:r w:rsidRPr="00ED5EDB">
        <w:rPr>
          <w:sz w:val="24"/>
          <w:szCs w:val="24"/>
        </w:rPr>
        <w:t xml:space="preserve"> positively correlated with the other safety and comfort items, but more moderately than the correlations among those items themselves. This suggests that </w:t>
      </w:r>
      <w:r w:rsidR="008D3050">
        <w:rPr>
          <w:sz w:val="24"/>
          <w:szCs w:val="24"/>
        </w:rPr>
        <w:t>concern about law enforcement interactions</w:t>
      </w:r>
      <w:r w:rsidRPr="00ED5EDB">
        <w:rPr>
          <w:sz w:val="24"/>
          <w:szCs w:val="24"/>
        </w:rPr>
        <w:t xml:space="preserve"> represents a somewhat distinct dimension of the transit experience rather than a core part of the general safety and comfort-</w:t>
      </w:r>
      <w:proofErr w:type="gramStart"/>
      <w:r w:rsidRPr="00ED5EDB">
        <w:rPr>
          <w:sz w:val="24"/>
          <w:szCs w:val="24"/>
        </w:rPr>
        <w:t>conditions</w:t>
      </w:r>
      <w:proofErr w:type="gramEnd"/>
      <w:r w:rsidRPr="00ED5EDB">
        <w:rPr>
          <w:sz w:val="24"/>
          <w:szCs w:val="24"/>
        </w:rPr>
        <w:t xml:space="preserve"> clusters. Law enforcement concern is also the only barrier that correlates positively with reporting no service near home.</w:t>
      </w:r>
    </w:p>
    <w:p w14:paraId="2E5A7391" w14:textId="77777777" w:rsidR="009E1C43" w:rsidRPr="009E1C43" w:rsidRDefault="009E1C43" w:rsidP="009E1C43">
      <w:pPr>
        <w:jc w:val="both"/>
        <w:rPr>
          <w:sz w:val="24"/>
          <w:szCs w:val="24"/>
        </w:rPr>
      </w:pPr>
    </w:p>
    <w:p w14:paraId="774CD353" w14:textId="11491E92" w:rsidR="009E1C43" w:rsidRDefault="0060538D" w:rsidP="0001479B">
      <w:pPr>
        <w:jc w:val="both"/>
        <w:rPr>
          <w:b/>
          <w:bCs/>
          <w:color w:val="000000"/>
          <w:sz w:val="24"/>
          <w:szCs w:val="24"/>
        </w:rPr>
      </w:pPr>
      <w:r w:rsidRPr="0060538D">
        <w:rPr>
          <w:b/>
          <w:bCs/>
          <w:color w:val="000000"/>
          <w:sz w:val="24"/>
          <w:szCs w:val="24"/>
        </w:rPr>
        <w:t>5.</w:t>
      </w:r>
      <w:r w:rsidR="00F67835">
        <w:rPr>
          <w:b/>
          <w:bCs/>
          <w:color w:val="000000"/>
          <w:sz w:val="24"/>
          <w:szCs w:val="24"/>
        </w:rPr>
        <w:t>5</w:t>
      </w:r>
      <w:r w:rsidRPr="0060538D">
        <w:rPr>
          <w:b/>
          <w:bCs/>
          <w:color w:val="000000"/>
          <w:sz w:val="24"/>
          <w:szCs w:val="24"/>
        </w:rPr>
        <w:t xml:space="preserve"> Model Fit</w:t>
      </w:r>
    </w:p>
    <w:p w14:paraId="5F9098F4" w14:textId="0C3213D1" w:rsidR="009E1C43" w:rsidRPr="009E1C43" w:rsidRDefault="009E1C43" w:rsidP="009E1C43">
      <w:pPr>
        <w:jc w:val="both"/>
        <w:rPr>
          <w:sz w:val="24"/>
          <w:szCs w:val="24"/>
        </w:rPr>
      </w:pPr>
      <w:r>
        <w:rPr>
          <w:color w:val="000000"/>
          <w:sz w:val="24"/>
          <w:szCs w:val="24"/>
        </w:rPr>
        <w:t xml:space="preserve">The </w:t>
      </w:r>
      <w:r w:rsidRPr="0001479B">
        <w:rPr>
          <w:sz w:val="24"/>
          <w:szCs w:val="24"/>
        </w:rPr>
        <w:t>proposed joint model, which allows the ten outcomes to be correlated with one another, is</w:t>
      </w:r>
      <w:r w:rsidR="00B45A8D">
        <w:rPr>
          <w:sz w:val="24"/>
          <w:szCs w:val="24"/>
        </w:rPr>
        <w:t xml:space="preserve"> </w:t>
      </w:r>
      <w:r w:rsidRPr="0001479B">
        <w:rPr>
          <w:sz w:val="24"/>
          <w:szCs w:val="24"/>
        </w:rPr>
        <w:t>compared against an independent model that estimates the same ten outcomes separately, without</w:t>
      </w:r>
    </w:p>
    <w:p w14:paraId="3FC71F2E" w14:textId="591199F5" w:rsidR="0001479B" w:rsidRPr="009E1C43" w:rsidRDefault="0001479B" w:rsidP="0001479B">
      <w:pPr>
        <w:jc w:val="both"/>
        <w:rPr>
          <w:b/>
          <w:bCs/>
          <w:color w:val="000000"/>
          <w:sz w:val="24"/>
          <w:szCs w:val="24"/>
        </w:rPr>
      </w:pPr>
      <w:r w:rsidRPr="0001479B">
        <w:rPr>
          <w:sz w:val="24"/>
          <w:szCs w:val="24"/>
        </w:rPr>
        <w:t>accounting for the correlation terms discussed above.</w:t>
      </w:r>
    </w:p>
    <w:p w14:paraId="550406CB" w14:textId="77777777" w:rsidR="0001479B" w:rsidRPr="0001479B" w:rsidRDefault="0001479B" w:rsidP="0001479B">
      <w:pPr>
        <w:ind w:firstLine="720"/>
        <w:jc w:val="both"/>
        <w:rPr>
          <w:sz w:val="24"/>
          <w:szCs w:val="24"/>
        </w:rPr>
      </w:pPr>
      <w:r w:rsidRPr="0001479B">
        <w:rPr>
          <w:sz w:val="24"/>
          <w:szCs w:val="24"/>
        </w:rPr>
        <w:t xml:space="preserve">The proposed model achieves a log-likelihood of -19,998.88 at convergence, compared to -21,656.33 for the independent model, a clear improvement in fit. This advantage holds up against both a </w:t>
      </w:r>
      <w:proofErr w:type="gramStart"/>
      <w:r w:rsidRPr="0001479B">
        <w:rPr>
          <w:sz w:val="24"/>
          <w:szCs w:val="24"/>
        </w:rPr>
        <w:t>constants</w:t>
      </w:r>
      <w:proofErr w:type="gramEnd"/>
      <w:r w:rsidRPr="0001479B">
        <w:rPr>
          <w:sz w:val="24"/>
          <w:szCs w:val="24"/>
        </w:rPr>
        <w:t>-only benchmark and an equal-probability benchmark. The adjusted likelihood ratio index relative to the constants-only model is 0.136 for the proposed model, compared to 0.066 for the independent model, and the adjusted likelihood ratio index relative to the equal-probability model is 0.403 for the proposed model, compared to 0.355 for the independent model. Both comparisons favor the proposed joint model.</w:t>
      </w:r>
    </w:p>
    <w:p w14:paraId="168586D8" w14:textId="77777777" w:rsidR="0001479B" w:rsidRPr="0001479B" w:rsidRDefault="0001479B" w:rsidP="0001479B">
      <w:pPr>
        <w:ind w:firstLine="720"/>
        <w:jc w:val="both"/>
        <w:rPr>
          <w:sz w:val="24"/>
          <w:szCs w:val="24"/>
        </w:rPr>
      </w:pPr>
      <w:r w:rsidRPr="0001479B">
        <w:rPr>
          <w:sz w:val="24"/>
          <w:szCs w:val="24"/>
        </w:rPr>
        <w:t xml:space="preserve">The proposed model also achieves a lower Bayesian Information Criterion, at 41,299.78, compared to 44,371.64 for the independent model. This result is notable because the Bayesian Information Criterion penalizes models for additional parameters, and the proposed model includes 150 parameters compared to 122 parameters for the independent model. Even after accounting for this larger number of parameters, the proposed model is found to offer a superior statistical fit. </w:t>
      </w:r>
    </w:p>
    <w:p w14:paraId="41D41D92" w14:textId="33E3C60B" w:rsidR="007E3C29" w:rsidRDefault="0001479B" w:rsidP="008C3186">
      <w:pPr>
        <w:ind w:firstLine="720"/>
        <w:jc w:val="both"/>
        <w:rPr>
          <w:sz w:val="24"/>
          <w:szCs w:val="24"/>
        </w:rPr>
      </w:pPr>
      <w:r w:rsidRPr="0001479B">
        <w:rPr>
          <w:sz w:val="24"/>
          <w:szCs w:val="24"/>
        </w:rPr>
        <w:t>A formal likelihood ratio test comparing the two models yields a test statistic of 3,314.9, evaluated against a chi-square distribution with 28 degrees of freedom, corresponding to the difference in the number of parameters between the two models. This test statistic is significant at any conventional confidence level, confirming that modeling the ten outcomes jointly, with their underlying correlations, fits the data significantly better than treating them as independent uncorrelated outcomes. Taken together, these fit statistics consistently favor the proposed joint model over the independent specification, and they support the use of the multivariate framework adopted in this study</w:t>
      </w:r>
      <w:r>
        <w:rPr>
          <w:sz w:val="24"/>
          <w:szCs w:val="24"/>
        </w:rPr>
        <w:t>.</w:t>
      </w:r>
    </w:p>
    <w:p w14:paraId="5C235482" w14:textId="77777777" w:rsidR="00B3546E" w:rsidRDefault="00B3546E" w:rsidP="00B3546E">
      <w:pPr>
        <w:jc w:val="both"/>
        <w:rPr>
          <w:sz w:val="24"/>
          <w:szCs w:val="24"/>
        </w:rPr>
      </w:pPr>
    </w:p>
    <w:p w14:paraId="07FFC703" w14:textId="77777777" w:rsidR="00B3546E" w:rsidRPr="00005EE2" w:rsidRDefault="00B3546E" w:rsidP="00B3546E">
      <w:pPr>
        <w:rPr>
          <w:b/>
          <w:bCs/>
          <w:sz w:val="24"/>
          <w:szCs w:val="24"/>
        </w:rPr>
      </w:pPr>
      <w:r w:rsidRPr="00005EE2">
        <w:rPr>
          <w:b/>
          <w:bCs/>
          <w:sz w:val="24"/>
          <w:szCs w:val="24"/>
        </w:rPr>
        <w:t>6. AVERAGE TREATMENT EFFECTS</w:t>
      </w:r>
    </w:p>
    <w:p w14:paraId="7A82681F" w14:textId="77777777" w:rsidR="00B3546E" w:rsidRDefault="00B3546E" w:rsidP="00B3546E">
      <w:pPr>
        <w:jc w:val="both"/>
        <w:rPr>
          <w:rFonts w:eastAsia="Calibri"/>
          <w:sz w:val="24"/>
          <w:szCs w:val="24"/>
        </w:rPr>
      </w:pPr>
      <w:r w:rsidRPr="00130A76">
        <w:rPr>
          <w:rFonts w:eastAsia="Calibri"/>
          <w:sz w:val="24"/>
          <w:szCs w:val="24"/>
        </w:rPr>
        <w:t xml:space="preserve">Table </w:t>
      </w:r>
      <w:r>
        <w:rPr>
          <w:rFonts w:eastAsia="Calibri"/>
          <w:sz w:val="24"/>
          <w:szCs w:val="24"/>
        </w:rPr>
        <w:t>4</w:t>
      </w:r>
      <w:r w:rsidRPr="00130A76">
        <w:rPr>
          <w:rFonts w:eastAsia="Calibri"/>
          <w:sz w:val="24"/>
          <w:szCs w:val="24"/>
        </w:rPr>
        <w:t xml:space="preserve"> reports average treatment effects (ATEs), expressed as the percentage change in the probability of</w:t>
      </w:r>
      <w:r>
        <w:rPr>
          <w:rFonts w:eastAsia="Calibri"/>
          <w:sz w:val="24"/>
          <w:szCs w:val="24"/>
        </w:rPr>
        <w:t xml:space="preserve"> </w:t>
      </w:r>
      <w:r w:rsidRPr="00130A76">
        <w:rPr>
          <w:rFonts w:eastAsia="Calibri"/>
          <w:sz w:val="24"/>
          <w:szCs w:val="24"/>
        </w:rPr>
        <w:t xml:space="preserve">each outcome when an explanatory variable shifts from its base category to the indicated level, across the 5,885-respondent analysis sample. For a detailed explanation of average treatment effects and how they are computed, please see Hwang et al. (2025). Because the ten </w:t>
      </w:r>
      <w:r w:rsidRPr="00130A76">
        <w:rPr>
          <w:rFonts w:eastAsia="Calibri"/>
          <w:sz w:val="24"/>
          <w:szCs w:val="24"/>
        </w:rPr>
        <w:lastRenderedPageBreak/>
        <w:t xml:space="preserve">outcomes are estimated jointly, these effects capture the total impact of each shift, including effects transmitted indirectly through the correlated outcomes, which is something the coefficients alone cannot capture. For variables with more than two categories, the effect of each category is reported relative to its base category. A positive value means more individuals </w:t>
      </w:r>
      <w:r>
        <w:rPr>
          <w:rFonts w:eastAsia="Calibri"/>
          <w:sz w:val="24"/>
          <w:szCs w:val="24"/>
        </w:rPr>
        <w:t xml:space="preserve">report </w:t>
      </w:r>
      <w:r w:rsidRPr="00130A76">
        <w:rPr>
          <w:rFonts w:eastAsia="Calibri"/>
          <w:sz w:val="24"/>
          <w:szCs w:val="24"/>
        </w:rPr>
        <w:t>the outcome, and a negative value means fewer do. The effects across different outcomes are not mutually exclusive, and they do not add up in any straightforward way.</w:t>
      </w:r>
    </w:p>
    <w:p w14:paraId="77E169A4" w14:textId="77777777" w:rsidR="00B3546E" w:rsidRDefault="00B3546E" w:rsidP="00B3546E">
      <w:pPr>
        <w:ind w:firstLine="720"/>
        <w:jc w:val="both"/>
        <w:rPr>
          <w:rFonts w:eastAsia="Calibri"/>
          <w:sz w:val="24"/>
          <w:szCs w:val="24"/>
        </w:rPr>
      </w:pPr>
      <w:r w:rsidRPr="0034183B">
        <w:rPr>
          <w:rFonts w:eastAsia="Calibri"/>
          <w:sz w:val="24"/>
          <w:szCs w:val="24"/>
        </w:rPr>
        <w:t>Most of the treatment effects are rather modest in size, though a few stand out as quite large. Taken together, they place the coefficient results discussed earlier on a scale that is easier to interpret. The largest positive effects on usage frequency come from vehicle deficiency, high residential density, graduate education, and full-time employment. The largest negative effect on usage comes from advanced age.</w:t>
      </w:r>
    </w:p>
    <w:p w14:paraId="1D9EA680" w14:textId="77777777" w:rsidR="00B3546E" w:rsidRPr="0034183B" w:rsidRDefault="00B3546E" w:rsidP="00B3546E">
      <w:pPr>
        <w:ind w:firstLine="720"/>
        <w:jc w:val="both"/>
        <w:rPr>
          <w:rFonts w:eastAsia="Calibri"/>
          <w:sz w:val="24"/>
          <w:szCs w:val="24"/>
        </w:rPr>
      </w:pPr>
      <w:r w:rsidRPr="0034183B">
        <w:rPr>
          <w:rFonts w:eastAsia="Calibri"/>
          <w:sz w:val="24"/>
          <w:szCs w:val="24"/>
        </w:rPr>
        <w:t>Age produces the broadest set of effects on barrier perceptions in the entire table. Shifting from the youngest age group to the oldest reduces the incidence of nearly every barrier by a substantial margin, with the largest reductions occurring for concerns about law enforcement, theft, and unsafe walking, alongside the largest reduction in usage found anywhere in the table. This result quantifies and further elucidates the transit disengagement pattern discussed earlier. Older individuals report far fewer barriers not because transit conditions are better for them, but because many have largely stopped using transit altogether (and hence do not perceive barriers as strongly as groups who experience transit firsthand).</w:t>
      </w:r>
    </w:p>
    <w:p w14:paraId="6A6641F5" w14:textId="77777777" w:rsidR="00B3546E" w:rsidRPr="0034183B" w:rsidRDefault="00B3546E" w:rsidP="00B3546E">
      <w:pPr>
        <w:ind w:firstLine="720"/>
        <w:jc w:val="both"/>
        <w:rPr>
          <w:rFonts w:eastAsia="Calibri"/>
          <w:sz w:val="24"/>
          <w:szCs w:val="24"/>
        </w:rPr>
      </w:pPr>
      <w:r w:rsidRPr="0034183B">
        <w:rPr>
          <w:rFonts w:eastAsia="Calibri"/>
          <w:sz w:val="24"/>
          <w:szCs w:val="24"/>
        </w:rPr>
        <w:t xml:space="preserve">Shifting from male to female raises the incidence of the on-system safety and comfort barriers, most strongly for feeling unsafe while waiting and feeling unsafe while walking. This same shift lowers both transit usage and the likelihood of reporting that transit fails to reach one's destination. The effect of gender is concentrated </w:t>
      </w:r>
      <w:proofErr w:type="gramStart"/>
      <w:r w:rsidRPr="0034183B">
        <w:rPr>
          <w:rFonts w:eastAsia="Calibri"/>
          <w:sz w:val="24"/>
          <w:szCs w:val="24"/>
        </w:rPr>
        <w:t>in</w:t>
      </w:r>
      <w:proofErr w:type="gramEnd"/>
      <w:r w:rsidRPr="0034183B">
        <w:rPr>
          <w:rFonts w:eastAsia="Calibri"/>
          <w:sz w:val="24"/>
          <w:szCs w:val="24"/>
        </w:rPr>
        <w:t xml:space="preserve"> the quality and safety of the transit experience rather than whether service exists at all.</w:t>
      </w:r>
    </w:p>
    <w:p w14:paraId="6FFD3C74" w14:textId="77777777" w:rsidR="00B3546E" w:rsidRPr="0034183B" w:rsidRDefault="00B3546E" w:rsidP="00B3546E">
      <w:pPr>
        <w:ind w:firstLine="720"/>
        <w:jc w:val="both"/>
        <w:rPr>
          <w:rFonts w:eastAsia="Calibri"/>
          <w:sz w:val="24"/>
          <w:szCs w:val="24"/>
        </w:rPr>
      </w:pPr>
      <w:r w:rsidRPr="0034183B">
        <w:rPr>
          <w:rFonts w:eastAsia="Calibri"/>
          <w:sz w:val="24"/>
          <w:szCs w:val="24"/>
        </w:rPr>
        <w:t xml:space="preserve">Rising household income produces a </w:t>
      </w:r>
      <w:proofErr w:type="gramStart"/>
      <w:r w:rsidRPr="0034183B">
        <w:rPr>
          <w:rFonts w:eastAsia="Calibri"/>
          <w:sz w:val="24"/>
          <w:szCs w:val="24"/>
        </w:rPr>
        <w:t>fairly steady</w:t>
      </w:r>
      <w:proofErr w:type="gramEnd"/>
      <w:r w:rsidRPr="0034183B">
        <w:rPr>
          <w:rFonts w:eastAsia="Calibri"/>
          <w:sz w:val="24"/>
          <w:szCs w:val="24"/>
        </w:rPr>
        <w:t xml:space="preserve"> pattern of reductions, lowering usage as well as the incidence of theft, unsafe walking, unsafe waiting, and fear of falling. This pattern reverses at the top of the income distribution. The two highest income groups show a rise in the incidence of reporting unsanitary conditions, giving the heightened-expectations explanation offered earlier greater credence. The highest income group additionally shows a rise in the incidence of reporting that transit fails to reach destinations, consistent with high-income households living in areas that are only nominally served by transit.</w:t>
      </w:r>
    </w:p>
    <w:p w14:paraId="61050FEC" w14:textId="77777777" w:rsidR="00B3546E" w:rsidRDefault="00B3546E" w:rsidP="00B3546E">
      <w:pPr>
        <w:ind w:firstLine="720"/>
        <w:jc w:val="both"/>
        <w:rPr>
          <w:rFonts w:eastAsia="Calibri"/>
          <w:sz w:val="24"/>
          <w:szCs w:val="24"/>
        </w:rPr>
      </w:pPr>
      <w:r w:rsidRPr="0034183B">
        <w:rPr>
          <w:rFonts w:eastAsia="Calibri"/>
          <w:sz w:val="24"/>
          <w:szCs w:val="24"/>
        </w:rPr>
        <w:t>Educational attainment produces some of the largest barrier increases in the table, although the two service availability barriers peak at different education levels. Graduate degree holders show the largest increase in reporting no service near home, while bachelor’s degree holders show the largest increase in reporting that transit fails to reach their destinations – with graduate degree holders also elevated on this second barrier. Combined with a strong propensity for increased usage and moderate increases across several of the experiential barriers, this pattern describes a group that is more inclined to use transit and, for that reason, presumably more attuned to where transit falls short.</w:t>
      </w:r>
    </w:p>
    <w:p w14:paraId="559283D8" w14:textId="564346D6" w:rsidR="00A97650" w:rsidRPr="00A97650" w:rsidRDefault="00A97650" w:rsidP="00A97650">
      <w:pPr>
        <w:ind w:firstLine="720"/>
        <w:jc w:val="both"/>
        <w:rPr>
          <w:sz w:val="24"/>
          <w:szCs w:val="24"/>
        </w:rPr>
      </w:pPr>
      <w:r w:rsidRPr="0034183B">
        <w:rPr>
          <w:rFonts w:eastAsia="Calibri"/>
          <w:sz w:val="24"/>
          <w:szCs w:val="24"/>
        </w:rPr>
        <w:t xml:space="preserve">Among other attributes, vehicle deficiency produces the largest single effect on usage found anywhere in the table. High population density raises the incidence of every </w:t>
      </w:r>
      <w:proofErr w:type="gramStart"/>
      <w:r w:rsidRPr="0034183B">
        <w:rPr>
          <w:rFonts w:eastAsia="Calibri"/>
          <w:sz w:val="24"/>
          <w:szCs w:val="24"/>
        </w:rPr>
        <w:t>on</w:t>
      </w:r>
      <w:proofErr w:type="gramEnd"/>
      <w:r w:rsidRPr="0034183B">
        <w:rPr>
          <w:rFonts w:eastAsia="Calibri"/>
          <w:sz w:val="24"/>
          <w:szCs w:val="24"/>
        </w:rPr>
        <w:t xml:space="preserve">-system barrier except fear of falling. At the same time, it lowers both service availability concerns. This exemplifies the density tradeoff. Density comes with improved transit </w:t>
      </w:r>
      <w:proofErr w:type="gramStart"/>
      <w:r w:rsidRPr="0034183B">
        <w:rPr>
          <w:rFonts w:eastAsia="Calibri"/>
          <w:sz w:val="24"/>
          <w:szCs w:val="24"/>
        </w:rPr>
        <w:t>availability, but</w:t>
      </w:r>
      <w:proofErr w:type="gramEnd"/>
      <w:r w:rsidRPr="0034183B">
        <w:rPr>
          <w:rFonts w:eastAsia="Calibri"/>
          <w:sz w:val="24"/>
          <w:szCs w:val="24"/>
        </w:rPr>
        <w:t xml:space="preserve"> also comes at the cost of a less pleasant user experience. Greater walkability, by contrast, modestly lowers usage while also reducing the perception that service at the origin end is lacking, with this second effect even larger at the highest walkability level.</w:t>
      </w:r>
    </w:p>
    <w:p w14:paraId="09D25164" w14:textId="0EF69887" w:rsidR="00B71B4F" w:rsidRPr="003F7BAD" w:rsidRDefault="00B71B4F" w:rsidP="00660503">
      <w:pPr>
        <w:pStyle w:val="NormalWeb"/>
        <w:spacing w:before="0" w:beforeAutospacing="0" w:after="0" w:afterAutospacing="0"/>
        <w:jc w:val="both"/>
        <w:rPr>
          <w:color w:val="000000"/>
        </w:rPr>
        <w:sectPr w:rsidR="00B71B4F" w:rsidRPr="003F7BAD" w:rsidSect="00B9201B">
          <w:pgSz w:w="12240" w:h="15840" w:code="1"/>
          <w:pgMar w:top="1440" w:right="1440" w:bottom="1440" w:left="1440" w:header="720" w:footer="720" w:gutter="0"/>
          <w:cols w:space="720"/>
          <w:docGrid w:linePitch="360"/>
        </w:sectPr>
      </w:pPr>
    </w:p>
    <w:p w14:paraId="3404AC89" w14:textId="3BA0EE9F" w:rsidR="00A57E36" w:rsidRPr="00EE5ACB" w:rsidRDefault="00FC1FB2" w:rsidP="00EE5ACB">
      <w:pPr>
        <w:pStyle w:val="FootnoteText"/>
        <w:rPr>
          <w:b/>
          <w:bCs/>
          <w:sz w:val="24"/>
          <w:szCs w:val="24"/>
        </w:rPr>
      </w:pPr>
      <w:r w:rsidRPr="00824BDE">
        <w:rPr>
          <w:b/>
          <w:bCs/>
          <w:sz w:val="24"/>
          <w:szCs w:val="24"/>
        </w:rPr>
        <w:lastRenderedPageBreak/>
        <w:t xml:space="preserve">Table </w:t>
      </w:r>
      <w:r w:rsidR="003E4D67">
        <w:rPr>
          <w:b/>
          <w:bCs/>
          <w:sz w:val="24"/>
          <w:szCs w:val="24"/>
        </w:rPr>
        <w:t>4</w:t>
      </w:r>
      <w:r w:rsidRPr="00824BDE">
        <w:rPr>
          <w:b/>
          <w:bCs/>
          <w:sz w:val="24"/>
          <w:szCs w:val="24"/>
        </w:rPr>
        <w:t>. Average Treatment Effects (ATEs) of Exogenous Variables</w:t>
      </w:r>
    </w:p>
    <w:tbl>
      <w:tblPr>
        <w:tblW w:w="5027" w:type="pct"/>
        <w:tblCellMar>
          <w:left w:w="10" w:type="dxa"/>
          <w:right w:w="10" w:type="dxa"/>
        </w:tblCellMar>
        <w:tblLook w:val="0000" w:firstRow="0" w:lastRow="0" w:firstColumn="0" w:lastColumn="0" w:noHBand="0" w:noVBand="0"/>
      </w:tblPr>
      <w:tblGrid>
        <w:gridCol w:w="2835"/>
        <w:gridCol w:w="1945"/>
        <w:gridCol w:w="956"/>
        <w:gridCol w:w="1086"/>
        <w:gridCol w:w="675"/>
        <w:gridCol w:w="1135"/>
        <w:gridCol w:w="758"/>
        <w:gridCol w:w="722"/>
        <w:gridCol w:w="987"/>
        <w:gridCol w:w="579"/>
        <w:gridCol w:w="652"/>
        <w:gridCol w:w="654"/>
      </w:tblGrid>
      <w:tr w:rsidR="00AD46B2" w:rsidRPr="005864F4" w14:paraId="1A880252" w14:textId="77777777" w:rsidTr="00AD46B2">
        <w:trPr>
          <w:tblHeader/>
        </w:trPr>
        <w:tc>
          <w:tcPr>
            <w:tcW w:w="1092" w:type="pct"/>
            <w:vMerge w:val="restart"/>
            <w:tcBorders>
              <w:top w:val="single" w:sz="18" w:space="0" w:color="000000" w:themeColor="text1"/>
              <w:left w:val="single" w:sz="18" w:space="0" w:color="000000" w:themeColor="text1"/>
              <w:right w:val="single" w:sz="6" w:space="0" w:color="000000" w:themeColor="text1"/>
            </w:tcBorders>
            <w:vAlign w:val="center"/>
          </w:tcPr>
          <w:p w14:paraId="438CE57F" w14:textId="4E20EBBA" w:rsidR="00AD46B2" w:rsidRPr="005864F4" w:rsidRDefault="00AD46B2" w:rsidP="00AD46B2">
            <w:pPr>
              <w:spacing w:line="210" w:lineRule="auto"/>
              <w:rPr>
                <w:b/>
                <w:bCs/>
                <w:sz w:val="20"/>
                <w:szCs w:val="20"/>
              </w:rPr>
            </w:pPr>
            <w:r w:rsidRPr="005864F4">
              <w:rPr>
                <w:b/>
                <w:bCs/>
                <w:sz w:val="20"/>
                <w:szCs w:val="20"/>
              </w:rPr>
              <w:t xml:space="preserve">Variable (Base) </w:t>
            </w:r>
          </w:p>
        </w:tc>
        <w:tc>
          <w:tcPr>
            <w:tcW w:w="749" w:type="pct"/>
            <w:vMerge w:val="restart"/>
            <w:tcBorders>
              <w:top w:val="single" w:sz="18" w:space="0" w:color="000000" w:themeColor="text1"/>
              <w:left w:val="single" w:sz="6" w:space="0" w:color="000000" w:themeColor="text1"/>
              <w:right w:val="single" w:sz="18" w:space="0" w:color="000000" w:themeColor="text1"/>
            </w:tcBorders>
            <w:vAlign w:val="center"/>
          </w:tcPr>
          <w:p w14:paraId="0F4D0052" w14:textId="4493A56F" w:rsidR="00AD46B2" w:rsidRPr="005864F4" w:rsidRDefault="00AD46B2" w:rsidP="00AD46B2">
            <w:pPr>
              <w:spacing w:line="210" w:lineRule="auto"/>
              <w:rPr>
                <w:b/>
                <w:bCs/>
                <w:sz w:val="20"/>
                <w:szCs w:val="20"/>
              </w:rPr>
            </w:pPr>
            <w:r w:rsidRPr="005864F4">
              <w:rPr>
                <w:b/>
                <w:bCs/>
                <w:sz w:val="20"/>
                <w:szCs w:val="20"/>
              </w:rPr>
              <w:t>Treatment</w:t>
            </w:r>
          </w:p>
        </w:tc>
        <w:tc>
          <w:tcPr>
            <w:tcW w:w="368" w:type="pct"/>
            <w:vMerge w:val="restart"/>
            <w:tcBorders>
              <w:top w:val="single" w:sz="18" w:space="0" w:color="000000" w:themeColor="text1"/>
              <w:left w:val="single" w:sz="18" w:space="0" w:color="000000" w:themeColor="text1"/>
              <w:right w:val="single" w:sz="18" w:space="0" w:color="000000" w:themeColor="text1"/>
            </w:tcBorders>
            <w:vAlign w:val="center"/>
          </w:tcPr>
          <w:p w14:paraId="29BBB3BA" w14:textId="77777777" w:rsidR="00AD46B2" w:rsidRDefault="00AD46B2" w:rsidP="00AD46B2">
            <w:pPr>
              <w:spacing w:line="210" w:lineRule="auto"/>
              <w:jc w:val="center"/>
              <w:rPr>
                <w:b/>
                <w:bCs/>
                <w:sz w:val="20"/>
                <w:szCs w:val="20"/>
              </w:rPr>
            </w:pPr>
            <w:r>
              <w:rPr>
                <w:b/>
                <w:bCs/>
                <w:sz w:val="20"/>
                <w:szCs w:val="20"/>
              </w:rPr>
              <w:t>Transit</w:t>
            </w:r>
          </w:p>
          <w:p w14:paraId="20EABF70" w14:textId="77777777" w:rsidR="00AD46B2" w:rsidRDefault="00AD46B2" w:rsidP="00AD46B2">
            <w:pPr>
              <w:spacing w:line="210" w:lineRule="auto"/>
              <w:jc w:val="center"/>
              <w:rPr>
                <w:b/>
                <w:bCs/>
                <w:sz w:val="20"/>
                <w:szCs w:val="20"/>
              </w:rPr>
            </w:pPr>
            <w:r w:rsidRPr="005864F4">
              <w:rPr>
                <w:b/>
                <w:bCs/>
                <w:sz w:val="20"/>
                <w:szCs w:val="20"/>
              </w:rPr>
              <w:t>Us</w:t>
            </w:r>
            <w:r>
              <w:rPr>
                <w:b/>
                <w:bCs/>
                <w:sz w:val="20"/>
                <w:szCs w:val="20"/>
              </w:rPr>
              <w:t>e</w:t>
            </w:r>
          </w:p>
          <w:p w14:paraId="181212B2" w14:textId="68BEEF7F" w:rsidR="00AD46B2" w:rsidRDefault="00AD46B2" w:rsidP="00AD46B2">
            <w:pPr>
              <w:spacing w:line="210" w:lineRule="auto"/>
              <w:jc w:val="center"/>
              <w:rPr>
                <w:b/>
                <w:bCs/>
                <w:sz w:val="20"/>
                <w:szCs w:val="20"/>
              </w:rPr>
            </w:pPr>
            <w:r w:rsidRPr="00AC59C3">
              <w:rPr>
                <w:b/>
                <w:bCs/>
                <w:sz w:val="20"/>
                <w:szCs w:val="20"/>
              </w:rPr>
              <w:t>Frequency</w:t>
            </w:r>
          </w:p>
        </w:tc>
        <w:tc>
          <w:tcPr>
            <w:tcW w:w="1685" w:type="pct"/>
            <w:gridSpan w:val="5"/>
            <w:tcBorders>
              <w:top w:val="single" w:sz="18" w:space="0" w:color="000000" w:themeColor="text1"/>
              <w:left w:val="single" w:sz="18" w:space="0" w:color="000000" w:themeColor="text1"/>
              <w:bottom w:val="single" w:sz="18" w:space="0" w:color="000000" w:themeColor="text1"/>
              <w:right w:val="single" w:sz="18" w:space="0" w:color="auto"/>
            </w:tcBorders>
            <w:vAlign w:val="center"/>
          </w:tcPr>
          <w:p w14:paraId="26782AAA" w14:textId="3F7D361B" w:rsidR="00AD46B2" w:rsidRPr="005864F4" w:rsidRDefault="00AD46B2" w:rsidP="00AD46B2">
            <w:pPr>
              <w:spacing w:line="210" w:lineRule="auto"/>
              <w:jc w:val="center"/>
              <w:rPr>
                <w:b/>
                <w:bCs/>
                <w:sz w:val="20"/>
                <w:szCs w:val="20"/>
              </w:rPr>
            </w:pPr>
            <w:r>
              <w:rPr>
                <w:b/>
                <w:bCs/>
                <w:sz w:val="20"/>
                <w:szCs w:val="20"/>
              </w:rPr>
              <w:t>Personal Safety Concerns</w:t>
            </w:r>
          </w:p>
        </w:tc>
        <w:tc>
          <w:tcPr>
            <w:tcW w:w="603" w:type="pct"/>
            <w:gridSpan w:val="2"/>
            <w:tcBorders>
              <w:top w:val="single" w:sz="18" w:space="0" w:color="000000" w:themeColor="text1"/>
              <w:left w:val="single" w:sz="18" w:space="0" w:color="auto"/>
              <w:bottom w:val="single" w:sz="18" w:space="0" w:color="000000" w:themeColor="text1"/>
              <w:right w:val="single" w:sz="18" w:space="0" w:color="auto"/>
            </w:tcBorders>
            <w:vAlign w:val="center"/>
          </w:tcPr>
          <w:p w14:paraId="0289F2CA" w14:textId="77777777" w:rsidR="00AD46B2" w:rsidRDefault="00AD46B2" w:rsidP="00AD46B2">
            <w:pPr>
              <w:spacing w:line="210" w:lineRule="auto"/>
              <w:jc w:val="center"/>
              <w:rPr>
                <w:b/>
                <w:bCs/>
                <w:sz w:val="20"/>
                <w:szCs w:val="20"/>
              </w:rPr>
            </w:pPr>
            <w:r>
              <w:rPr>
                <w:b/>
                <w:bCs/>
                <w:sz w:val="20"/>
                <w:szCs w:val="20"/>
              </w:rPr>
              <w:t xml:space="preserve">Comfort / Conditions </w:t>
            </w:r>
          </w:p>
          <w:p w14:paraId="652AF4E3" w14:textId="2444E821" w:rsidR="00AD46B2" w:rsidRPr="005864F4" w:rsidRDefault="00AD46B2" w:rsidP="00AD46B2">
            <w:pPr>
              <w:spacing w:line="210" w:lineRule="auto"/>
              <w:jc w:val="center"/>
              <w:rPr>
                <w:b/>
                <w:bCs/>
                <w:sz w:val="20"/>
                <w:szCs w:val="20"/>
              </w:rPr>
            </w:pPr>
            <w:proofErr w:type="gramStart"/>
            <w:r>
              <w:rPr>
                <w:b/>
                <w:bCs/>
                <w:sz w:val="20"/>
                <w:szCs w:val="20"/>
              </w:rPr>
              <w:t>On-Board</w:t>
            </w:r>
            <w:proofErr w:type="gramEnd"/>
          </w:p>
        </w:tc>
        <w:tc>
          <w:tcPr>
            <w:tcW w:w="502" w:type="pct"/>
            <w:gridSpan w:val="2"/>
            <w:tcBorders>
              <w:top w:val="single" w:sz="18" w:space="0" w:color="000000" w:themeColor="text1"/>
              <w:left w:val="single" w:sz="18" w:space="0" w:color="auto"/>
              <w:bottom w:val="single" w:sz="18" w:space="0" w:color="000000" w:themeColor="text1"/>
              <w:right w:val="single" w:sz="18" w:space="0" w:color="000000" w:themeColor="text1"/>
            </w:tcBorders>
            <w:vAlign w:val="center"/>
          </w:tcPr>
          <w:p w14:paraId="25070CEF" w14:textId="290EB695" w:rsidR="00AD46B2" w:rsidRPr="005864F4" w:rsidRDefault="00AD46B2" w:rsidP="00AD46B2">
            <w:pPr>
              <w:spacing w:line="210" w:lineRule="auto"/>
              <w:jc w:val="center"/>
              <w:rPr>
                <w:b/>
                <w:bCs/>
                <w:sz w:val="20"/>
                <w:szCs w:val="20"/>
              </w:rPr>
            </w:pPr>
            <w:r>
              <w:rPr>
                <w:b/>
                <w:bCs/>
                <w:sz w:val="20"/>
                <w:szCs w:val="20"/>
              </w:rPr>
              <w:t>Service Availability</w:t>
            </w:r>
          </w:p>
        </w:tc>
      </w:tr>
      <w:tr w:rsidR="008B5BD0" w:rsidRPr="005864F4" w14:paraId="01F42A51" w14:textId="77777777" w:rsidTr="00AD46B2">
        <w:trPr>
          <w:tblHeader/>
        </w:trPr>
        <w:tc>
          <w:tcPr>
            <w:tcW w:w="1092" w:type="pct"/>
            <w:vMerge/>
            <w:tcBorders>
              <w:left w:val="single" w:sz="18" w:space="0" w:color="000000" w:themeColor="text1"/>
              <w:bottom w:val="single" w:sz="18" w:space="0" w:color="000000" w:themeColor="text1"/>
              <w:right w:val="single" w:sz="6" w:space="0" w:color="000000" w:themeColor="text1"/>
            </w:tcBorders>
            <w:vAlign w:val="center"/>
          </w:tcPr>
          <w:p w14:paraId="325BD49E" w14:textId="174E5733" w:rsidR="008B5BD0" w:rsidRPr="005864F4" w:rsidRDefault="008B5BD0" w:rsidP="00154678">
            <w:pPr>
              <w:spacing w:line="210" w:lineRule="auto"/>
              <w:rPr>
                <w:b/>
                <w:bCs/>
                <w:sz w:val="20"/>
                <w:szCs w:val="20"/>
              </w:rPr>
            </w:pPr>
          </w:p>
        </w:tc>
        <w:tc>
          <w:tcPr>
            <w:tcW w:w="749" w:type="pct"/>
            <w:vMerge/>
            <w:tcBorders>
              <w:left w:val="single" w:sz="6" w:space="0" w:color="000000" w:themeColor="text1"/>
              <w:bottom w:val="single" w:sz="18" w:space="0" w:color="000000" w:themeColor="text1"/>
              <w:right w:val="single" w:sz="18" w:space="0" w:color="000000" w:themeColor="text1"/>
            </w:tcBorders>
            <w:vAlign w:val="center"/>
          </w:tcPr>
          <w:p w14:paraId="07F88ADE" w14:textId="61262295" w:rsidR="008B5BD0" w:rsidRPr="005864F4" w:rsidRDefault="008B5BD0" w:rsidP="00154678">
            <w:pPr>
              <w:spacing w:line="210" w:lineRule="auto"/>
              <w:rPr>
                <w:b/>
                <w:bCs/>
                <w:sz w:val="20"/>
                <w:szCs w:val="20"/>
              </w:rPr>
            </w:pPr>
          </w:p>
        </w:tc>
        <w:tc>
          <w:tcPr>
            <w:tcW w:w="368" w:type="pct"/>
            <w:vMerge/>
            <w:tcBorders>
              <w:left w:val="single" w:sz="18" w:space="0" w:color="000000" w:themeColor="text1"/>
              <w:bottom w:val="single" w:sz="18" w:space="0" w:color="000000" w:themeColor="text1"/>
              <w:right w:val="single" w:sz="18" w:space="0" w:color="000000" w:themeColor="text1"/>
            </w:tcBorders>
            <w:vAlign w:val="center"/>
          </w:tcPr>
          <w:p w14:paraId="64F4157A" w14:textId="12F72C65" w:rsidR="008B5BD0" w:rsidRPr="00AC59C3" w:rsidRDefault="008B5BD0" w:rsidP="00154678">
            <w:pPr>
              <w:spacing w:line="210" w:lineRule="auto"/>
              <w:jc w:val="center"/>
              <w:rPr>
                <w:b/>
                <w:bCs/>
                <w:sz w:val="20"/>
                <w:szCs w:val="20"/>
              </w:rPr>
            </w:pPr>
          </w:p>
        </w:tc>
        <w:tc>
          <w:tcPr>
            <w:tcW w:w="418" w:type="pct"/>
            <w:tcBorders>
              <w:top w:val="single" w:sz="18" w:space="0" w:color="000000" w:themeColor="text1"/>
              <w:left w:val="single" w:sz="18" w:space="0" w:color="000000" w:themeColor="text1"/>
              <w:bottom w:val="single" w:sz="18" w:space="0" w:color="000000" w:themeColor="text1"/>
              <w:right w:val="single" w:sz="6" w:space="0" w:color="000000" w:themeColor="text1"/>
            </w:tcBorders>
            <w:vAlign w:val="center"/>
          </w:tcPr>
          <w:p w14:paraId="02E8D752" w14:textId="77777777" w:rsidR="008B5BD0" w:rsidRPr="005864F4" w:rsidRDefault="008B5BD0" w:rsidP="00154678">
            <w:pPr>
              <w:spacing w:line="210" w:lineRule="auto"/>
              <w:jc w:val="center"/>
              <w:rPr>
                <w:sz w:val="20"/>
                <w:szCs w:val="20"/>
              </w:rPr>
            </w:pPr>
            <w:r w:rsidRPr="005864F4">
              <w:rPr>
                <w:b/>
                <w:bCs/>
                <w:sz w:val="20"/>
                <w:szCs w:val="20"/>
              </w:rPr>
              <w:t>Threatening Passengers</w:t>
            </w:r>
          </w:p>
        </w:tc>
        <w:tc>
          <w:tcPr>
            <w:tcW w:w="260" w:type="pct"/>
            <w:tcBorders>
              <w:top w:val="single" w:sz="18" w:space="0" w:color="000000" w:themeColor="text1"/>
              <w:left w:val="single" w:sz="6" w:space="0" w:color="000000" w:themeColor="text1"/>
              <w:bottom w:val="single" w:sz="18" w:space="0" w:color="000000" w:themeColor="text1"/>
              <w:right w:val="single" w:sz="6" w:space="0" w:color="000000" w:themeColor="text1"/>
            </w:tcBorders>
            <w:vAlign w:val="center"/>
          </w:tcPr>
          <w:p w14:paraId="39990AC7" w14:textId="77777777" w:rsidR="008B5BD0" w:rsidRPr="005864F4" w:rsidRDefault="008B5BD0" w:rsidP="00154678">
            <w:pPr>
              <w:spacing w:line="210" w:lineRule="auto"/>
              <w:jc w:val="center"/>
              <w:rPr>
                <w:sz w:val="20"/>
                <w:szCs w:val="20"/>
              </w:rPr>
            </w:pPr>
            <w:r w:rsidRPr="005864F4">
              <w:rPr>
                <w:b/>
                <w:bCs/>
                <w:sz w:val="20"/>
                <w:szCs w:val="20"/>
              </w:rPr>
              <w:t>Theft Risk</w:t>
            </w:r>
          </w:p>
        </w:tc>
        <w:tc>
          <w:tcPr>
            <w:tcW w:w="437" w:type="pct"/>
            <w:tcBorders>
              <w:top w:val="single" w:sz="18" w:space="0" w:color="000000" w:themeColor="text1"/>
              <w:left w:val="single" w:sz="6" w:space="0" w:color="000000" w:themeColor="text1"/>
              <w:bottom w:val="single" w:sz="18" w:space="0" w:color="000000" w:themeColor="text1"/>
              <w:right w:val="single" w:sz="6" w:space="0" w:color="000000" w:themeColor="text1"/>
            </w:tcBorders>
            <w:vAlign w:val="center"/>
          </w:tcPr>
          <w:p w14:paraId="3F3F51A8" w14:textId="77777777" w:rsidR="008B5BD0" w:rsidRPr="005864F4" w:rsidRDefault="008B5BD0" w:rsidP="00154678">
            <w:pPr>
              <w:spacing w:line="210" w:lineRule="auto"/>
              <w:jc w:val="center"/>
              <w:rPr>
                <w:sz w:val="20"/>
                <w:szCs w:val="20"/>
              </w:rPr>
            </w:pPr>
            <w:r w:rsidRPr="005864F4">
              <w:rPr>
                <w:b/>
                <w:bCs/>
                <w:sz w:val="20"/>
                <w:szCs w:val="20"/>
              </w:rPr>
              <w:t>Law Enforcement</w:t>
            </w:r>
          </w:p>
        </w:tc>
        <w:tc>
          <w:tcPr>
            <w:tcW w:w="292" w:type="pct"/>
            <w:tcBorders>
              <w:top w:val="single" w:sz="18" w:space="0" w:color="000000" w:themeColor="text1"/>
              <w:left w:val="single" w:sz="6" w:space="0" w:color="000000" w:themeColor="text1"/>
              <w:bottom w:val="single" w:sz="18" w:space="0" w:color="000000" w:themeColor="text1"/>
              <w:right w:val="single" w:sz="6" w:space="0" w:color="000000" w:themeColor="text1"/>
            </w:tcBorders>
            <w:vAlign w:val="center"/>
          </w:tcPr>
          <w:p w14:paraId="7B2C70F2" w14:textId="77777777" w:rsidR="008B5BD0" w:rsidRPr="005864F4" w:rsidRDefault="008B5BD0" w:rsidP="00154678">
            <w:pPr>
              <w:spacing w:line="210" w:lineRule="auto"/>
              <w:jc w:val="center"/>
              <w:rPr>
                <w:sz w:val="20"/>
                <w:szCs w:val="20"/>
              </w:rPr>
            </w:pPr>
            <w:r w:rsidRPr="005864F4">
              <w:rPr>
                <w:b/>
                <w:bCs/>
                <w:sz w:val="20"/>
                <w:szCs w:val="20"/>
              </w:rPr>
              <w:t>Unsafe Walking</w:t>
            </w:r>
          </w:p>
        </w:tc>
        <w:tc>
          <w:tcPr>
            <w:tcW w:w="278" w:type="pct"/>
            <w:tcBorders>
              <w:top w:val="single" w:sz="18" w:space="0" w:color="000000" w:themeColor="text1"/>
              <w:left w:val="single" w:sz="6" w:space="0" w:color="000000" w:themeColor="text1"/>
              <w:bottom w:val="single" w:sz="18" w:space="0" w:color="000000" w:themeColor="text1"/>
              <w:right w:val="single" w:sz="18" w:space="0" w:color="auto"/>
            </w:tcBorders>
            <w:vAlign w:val="center"/>
          </w:tcPr>
          <w:p w14:paraId="72F5E8B9" w14:textId="77777777" w:rsidR="008B5BD0" w:rsidRPr="005864F4" w:rsidRDefault="008B5BD0" w:rsidP="00154678">
            <w:pPr>
              <w:spacing w:line="210" w:lineRule="auto"/>
              <w:jc w:val="center"/>
              <w:rPr>
                <w:sz w:val="20"/>
                <w:szCs w:val="20"/>
              </w:rPr>
            </w:pPr>
            <w:r w:rsidRPr="005864F4">
              <w:rPr>
                <w:b/>
                <w:bCs/>
                <w:sz w:val="20"/>
                <w:szCs w:val="20"/>
              </w:rPr>
              <w:t>Unsafe Waiting</w:t>
            </w:r>
          </w:p>
        </w:tc>
        <w:tc>
          <w:tcPr>
            <w:tcW w:w="380" w:type="pct"/>
            <w:tcBorders>
              <w:top w:val="single" w:sz="18" w:space="0" w:color="000000" w:themeColor="text1"/>
              <w:left w:val="single" w:sz="18" w:space="0" w:color="auto"/>
              <w:bottom w:val="single" w:sz="18" w:space="0" w:color="000000" w:themeColor="text1"/>
              <w:right w:val="single" w:sz="6" w:space="0" w:color="000000" w:themeColor="text1"/>
            </w:tcBorders>
            <w:vAlign w:val="center"/>
          </w:tcPr>
          <w:p w14:paraId="5EEE084D" w14:textId="77777777" w:rsidR="008B5BD0" w:rsidRPr="005864F4" w:rsidRDefault="008B5BD0" w:rsidP="00154678">
            <w:pPr>
              <w:spacing w:line="210" w:lineRule="auto"/>
              <w:jc w:val="center"/>
              <w:rPr>
                <w:sz w:val="20"/>
                <w:szCs w:val="20"/>
              </w:rPr>
            </w:pPr>
            <w:r w:rsidRPr="005864F4">
              <w:rPr>
                <w:b/>
                <w:bCs/>
                <w:sz w:val="20"/>
                <w:szCs w:val="20"/>
              </w:rPr>
              <w:t>Unsanitary Conditions</w:t>
            </w:r>
          </w:p>
        </w:tc>
        <w:tc>
          <w:tcPr>
            <w:tcW w:w="223" w:type="pct"/>
            <w:tcBorders>
              <w:top w:val="single" w:sz="18" w:space="0" w:color="000000" w:themeColor="text1"/>
              <w:left w:val="single" w:sz="6" w:space="0" w:color="000000" w:themeColor="text1"/>
              <w:bottom w:val="single" w:sz="18" w:space="0" w:color="000000" w:themeColor="text1"/>
              <w:right w:val="single" w:sz="18" w:space="0" w:color="auto"/>
            </w:tcBorders>
            <w:vAlign w:val="center"/>
          </w:tcPr>
          <w:p w14:paraId="6CC15EFE" w14:textId="77777777" w:rsidR="008B5BD0" w:rsidRPr="005864F4" w:rsidRDefault="008B5BD0" w:rsidP="00154678">
            <w:pPr>
              <w:spacing w:line="210" w:lineRule="auto"/>
              <w:jc w:val="center"/>
              <w:rPr>
                <w:sz w:val="20"/>
                <w:szCs w:val="20"/>
              </w:rPr>
            </w:pPr>
            <w:r w:rsidRPr="005864F4">
              <w:rPr>
                <w:b/>
                <w:bCs/>
                <w:sz w:val="20"/>
                <w:szCs w:val="20"/>
              </w:rPr>
              <w:t>Fall Risk</w:t>
            </w:r>
          </w:p>
        </w:tc>
        <w:tc>
          <w:tcPr>
            <w:tcW w:w="251" w:type="pct"/>
            <w:tcBorders>
              <w:top w:val="single" w:sz="18" w:space="0" w:color="000000" w:themeColor="text1"/>
              <w:left w:val="single" w:sz="18" w:space="0" w:color="auto"/>
              <w:bottom w:val="single" w:sz="18" w:space="0" w:color="000000" w:themeColor="text1"/>
              <w:right w:val="single" w:sz="6" w:space="0" w:color="000000" w:themeColor="text1"/>
            </w:tcBorders>
            <w:vAlign w:val="center"/>
          </w:tcPr>
          <w:p w14:paraId="51661B20" w14:textId="77777777" w:rsidR="008B5BD0" w:rsidRPr="005864F4" w:rsidRDefault="008B5BD0" w:rsidP="00154678">
            <w:pPr>
              <w:spacing w:line="210" w:lineRule="auto"/>
              <w:jc w:val="center"/>
              <w:rPr>
                <w:sz w:val="20"/>
                <w:szCs w:val="20"/>
              </w:rPr>
            </w:pPr>
            <w:r w:rsidRPr="005864F4">
              <w:rPr>
                <w:b/>
                <w:bCs/>
                <w:sz w:val="20"/>
                <w:szCs w:val="20"/>
              </w:rPr>
              <w:t>No Service (Org.)</w:t>
            </w:r>
          </w:p>
        </w:tc>
        <w:tc>
          <w:tcPr>
            <w:tcW w:w="251" w:type="pct"/>
            <w:tcBorders>
              <w:top w:val="single" w:sz="18" w:space="0" w:color="000000" w:themeColor="text1"/>
              <w:left w:val="single" w:sz="6" w:space="0" w:color="000000" w:themeColor="text1"/>
              <w:bottom w:val="single" w:sz="18" w:space="0" w:color="000000" w:themeColor="text1"/>
              <w:right w:val="single" w:sz="18" w:space="0" w:color="000000" w:themeColor="text1"/>
            </w:tcBorders>
            <w:vAlign w:val="center"/>
          </w:tcPr>
          <w:p w14:paraId="552B8758" w14:textId="77777777" w:rsidR="008B5BD0" w:rsidRPr="005864F4" w:rsidRDefault="008B5BD0" w:rsidP="00154678">
            <w:pPr>
              <w:spacing w:line="210" w:lineRule="auto"/>
              <w:jc w:val="center"/>
              <w:rPr>
                <w:sz w:val="20"/>
                <w:szCs w:val="20"/>
              </w:rPr>
            </w:pPr>
            <w:r w:rsidRPr="005864F4">
              <w:rPr>
                <w:b/>
                <w:bCs/>
                <w:sz w:val="20"/>
                <w:szCs w:val="20"/>
              </w:rPr>
              <w:t>No Service (Dest.)</w:t>
            </w:r>
          </w:p>
        </w:tc>
      </w:tr>
      <w:tr w:rsidR="00EE5ACB" w:rsidRPr="005864F4" w14:paraId="44376D06" w14:textId="77777777" w:rsidTr="00154678">
        <w:trPr>
          <w:tblHeader/>
        </w:trPr>
        <w:tc>
          <w:tcPr>
            <w:tcW w:w="5000" w:type="pct"/>
            <w:gridSpan w:val="12"/>
            <w:tcBorders>
              <w:top w:val="single" w:sz="18" w:space="0" w:color="000000" w:themeColor="text1"/>
              <w:left w:val="single" w:sz="18" w:space="0" w:color="000000" w:themeColor="text1"/>
              <w:right w:val="single" w:sz="18" w:space="0" w:color="000000" w:themeColor="text1"/>
            </w:tcBorders>
          </w:tcPr>
          <w:p w14:paraId="0F0815C2" w14:textId="77777777" w:rsidR="00EE5ACB" w:rsidRPr="005864F4" w:rsidRDefault="00EE5ACB" w:rsidP="00154678">
            <w:pPr>
              <w:spacing w:line="210" w:lineRule="auto"/>
              <w:rPr>
                <w:b/>
                <w:bCs/>
                <w:sz w:val="20"/>
                <w:szCs w:val="20"/>
              </w:rPr>
            </w:pPr>
            <w:r w:rsidRPr="005864F4">
              <w:rPr>
                <w:b/>
                <w:bCs/>
                <w:i/>
                <w:iCs/>
                <w:sz w:val="20"/>
                <w:szCs w:val="20"/>
              </w:rPr>
              <w:t>Individual-level demographic characteristics</w:t>
            </w:r>
          </w:p>
        </w:tc>
      </w:tr>
      <w:tr w:rsidR="00EE5ACB" w:rsidRPr="005864F4" w14:paraId="28EC5FBB" w14:textId="77777777" w:rsidTr="00AD46B2">
        <w:trPr>
          <w:tblHeader/>
        </w:trPr>
        <w:tc>
          <w:tcPr>
            <w:tcW w:w="1092" w:type="pct"/>
            <w:tcBorders>
              <w:top w:val="single" w:sz="12" w:space="0" w:color="000000" w:themeColor="text1"/>
              <w:left w:val="single" w:sz="18" w:space="0" w:color="000000" w:themeColor="text1"/>
              <w:bottom w:val="dotted" w:sz="4" w:space="0" w:color="000000" w:themeColor="text1"/>
              <w:right w:val="single" w:sz="6" w:space="0" w:color="000000" w:themeColor="text1"/>
            </w:tcBorders>
          </w:tcPr>
          <w:p w14:paraId="1D5E5CD8" w14:textId="77777777" w:rsidR="00EE5ACB" w:rsidRPr="005864F4" w:rsidRDefault="00EE5ACB" w:rsidP="00154678">
            <w:pPr>
              <w:spacing w:line="210" w:lineRule="auto"/>
              <w:rPr>
                <w:sz w:val="20"/>
                <w:szCs w:val="20"/>
              </w:rPr>
            </w:pPr>
            <w:r w:rsidRPr="005864F4">
              <w:rPr>
                <w:sz w:val="20"/>
                <w:szCs w:val="20"/>
              </w:rPr>
              <w:t>Gender (male)</w:t>
            </w:r>
          </w:p>
        </w:tc>
        <w:tc>
          <w:tcPr>
            <w:tcW w:w="749" w:type="pct"/>
            <w:tcBorders>
              <w:top w:val="single" w:sz="12" w:space="0" w:color="000000" w:themeColor="text1"/>
              <w:left w:val="single" w:sz="6" w:space="0" w:color="000000" w:themeColor="text1"/>
              <w:bottom w:val="dotted" w:sz="4" w:space="0" w:color="000000" w:themeColor="text1"/>
              <w:right w:val="single" w:sz="18" w:space="0" w:color="000000" w:themeColor="text1"/>
            </w:tcBorders>
          </w:tcPr>
          <w:p w14:paraId="481C7FE4" w14:textId="77777777" w:rsidR="00EE5ACB" w:rsidRPr="005864F4" w:rsidRDefault="00EE5ACB" w:rsidP="00154678">
            <w:pPr>
              <w:spacing w:line="210" w:lineRule="auto"/>
              <w:rPr>
                <w:sz w:val="20"/>
                <w:szCs w:val="20"/>
              </w:rPr>
            </w:pPr>
            <w:r w:rsidRPr="005864F4">
              <w:rPr>
                <w:sz w:val="20"/>
                <w:szCs w:val="20"/>
              </w:rPr>
              <w:t>Female</w:t>
            </w:r>
          </w:p>
        </w:tc>
        <w:tc>
          <w:tcPr>
            <w:tcW w:w="368" w:type="pct"/>
            <w:tcBorders>
              <w:top w:val="single" w:sz="12" w:space="0" w:color="000000" w:themeColor="text1"/>
              <w:left w:val="single" w:sz="18" w:space="0" w:color="000000" w:themeColor="text1"/>
              <w:bottom w:val="dotted" w:sz="4" w:space="0" w:color="000000" w:themeColor="text1"/>
              <w:right w:val="single" w:sz="18" w:space="0" w:color="000000" w:themeColor="text1"/>
            </w:tcBorders>
            <w:vAlign w:val="bottom"/>
          </w:tcPr>
          <w:p w14:paraId="08633B3A"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-20.73</w:t>
            </w:r>
          </w:p>
        </w:tc>
        <w:tc>
          <w:tcPr>
            <w:tcW w:w="418" w:type="pct"/>
            <w:tcBorders>
              <w:top w:val="single" w:sz="12" w:space="0" w:color="000000" w:themeColor="text1"/>
              <w:left w:val="single" w:sz="18" w:space="0" w:color="000000" w:themeColor="text1"/>
              <w:bottom w:val="dotted" w:sz="4" w:space="0" w:color="000000" w:themeColor="text1"/>
              <w:right w:val="single" w:sz="6" w:space="0" w:color="000000" w:themeColor="text1"/>
            </w:tcBorders>
            <w:vAlign w:val="bottom"/>
          </w:tcPr>
          <w:p w14:paraId="61E3DB0A"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33.38</w:t>
            </w:r>
          </w:p>
        </w:tc>
        <w:tc>
          <w:tcPr>
            <w:tcW w:w="260" w:type="pct"/>
            <w:tcBorders>
              <w:top w:val="single" w:sz="12" w:space="0" w:color="000000" w:themeColor="text1"/>
              <w:left w:val="single" w:sz="6" w:space="0" w:color="000000" w:themeColor="text1"/>
              <w:bottom w:val="dotted" w:sz="4" w:space="0" w:color="000000" w:themeColor="text1"/>
              <w:right w:val="single" w:sz="6" w:space="0" w:color="000000" w:themeColor="text1"/>
            </w:tcBorders>
            <w:vAlign w:val="bottom"/>
          </w:tcPr>
          <w:p w14:paraId="7D56E698"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top w:val="single" w:sz="12" w:space="0" w:color="000000" w:themeColor="text1"/>
              <w:left w:val="single" w:sz="6" w:space="0" w:color="000000" w:themeColor="text1"/>
              <w:bottom w:val="dotted" w:sz="4" w:space="0" w:color="000000" w:themeColor="text1"/>
              <w:right w:val="single" w:sz="6" w:space="0" w:color="000000" w:themeColor="text1"/>
            </w:tcBorders>
            <w:vAlign w:val="bottom"/>
          </w:tcPr>
          <w:p w14:paraId="09D95EDE"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top w:val="single" w:sz="12" w:space="0" w:color="000000" w:themeColor="text1"/>
              <w:left w:val="single" w:sz="6" w:space="0" w:color="000000" w:themeColor="text1"/>
              <w:bottom w:val="dotted" w:sz="4" w:space="0" w:color="000000" w:themeColor="text1"/>
              <w:right w:val="single" w:sz="6" w:space="0" w:color="000000" w:themeColor="text1"/>
            </w:tcBorders>
            <w:vAlign w:val="bottom"/>
          </w:tcPr>
          <w:p w14:paraId="731911AF"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49.42</w:t>
            </w:r>
          </w:p>
        </w:tc>
        <w:tc>
          <w:tcPr>
            <w:tcW w:w="278" w:type="pct"/>
            <w:tcBorders>
              <w:top w:val="single" w:sz="12" w:space="0" w:color="000000" w:themeColor="text1"/>
              <w:left w:val="single" w:sz="6" w:space="0" w:color="000000" w:themeColor="text1"/>
              <w:bottom w:val="dotted" w:sz="4" w:space="0" w:color="000000" w:themeColor="text1"/>
              <w:right w:val="single" w:sz="18" w:space="0" w:color="auto"/>
            </w:tcBorders>
            <w:vAlign w:val="bottom"/>
          </w:tcPr>
          <w:p w14:paraId="23C858C4"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55.18</w:t>
            </w:r>
          </w:p>
        </w:tc>
        <w:tc>
          <w:tcPr>
            <w:tcW w:w="380" w:type="pct"/>
            <w:tcBorders>
              <w:top w:val="single" w:sz="12" w:space="0" w:color="000000" w:themeColor="text1"/>
              <w:left w:val="single" w:sz="18" w:space="0" w:color="auto"/>
              <w:bottom w:val="dotted" w:sz="4" w:space="0" w:color="000000" w:themeColor="text1"/>
              <w:right w:val="single" w:sz="6" w:space="0" w:color="000000" w:themeColor="text1"/>
            </w:tcBorders>
            <w:vAlign w:val="bottom"/>
          </w:tcPr>
          <w:p w14:paraId="58022A26" w14:textId="77777777" w:rsidR="00EE5ACB" w:rsidRPr="005864F4" w:rsidRDefault="00EE5ACB" w:rsidP="00154678">
            <w:pPr>
              <w:tabs>
                <w:tab w:val="decimal" w:pos="432"/>
              </w:tabs>
              <w:spacing w:line="210" w:lineRule="auto"/>
              <w:rPr>
                <w:b/>
                <w:bCs/>
                <w:sz w:val="20"/>
                <w:szCs w:val="20"/>
              </w:rPr>
            </w:pPr>
            <w:r w:rsidRPr="005864F4">
              <w:rPr>
                <w:color w:val="000000"/>
                <w:sz w:val="20"/>
                <w:szCs w:val="20"/>
              </w:rPr>
              <w:t>27.20</w:t>
            </w:r>
          </w:p>
        </w:tc>
        <w:tc>
          <w:tcPr>
            <w:tcW w:w="223" w:type="pct"/>
            <w:tcBorders>
              <w:top w:val="single" w:sz="12" w:space="0" w:color="000000" w:themeColor="text1"/>
              <w:left w:val="single" w:sz="6" w:space="0" w:color="000000" w:themeColor="text1"/>
              <w:bottom w:val="dotted" w:sz="4" w:space="0" w:color="000000" w:themeColor="text1"/>
              <w:right w:val="single" w:sz="18" w:space="0" w:color="auto"/>
            </w:tcBorders>
            <w:vAlign w:val="bottom"/>
          </w:tcPr>
          <w:p w14:paraId="6617D090"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35.72</w:t>
            </w:r>
          </w:p>
        </w:tc>
        <w:tc>
          <w:tcPr>
            <w:tcW w:w="251" w:type="pct"/>
            <w:tcBorders>
              <w:top w:val="single" w:sz="12" w:space="0" w:color="000000" w:themeColor="text1"/>
              <w:left w:val="single" w:sz="18" w:space="0" w:color="auto"/>
              <w:bottom w:val="dotted" w:sz="4" w:space="0" w:color="000000" w:themeColor="text1"/>
              <w:right w:val="single" w:sz="6" w:space="0" w:color="000000" w:themeColor="text1"/>
            </w:tcBorders>
            <w:vAlign w:val="bottom"/>
          </w:tcPr>
          <w:p w14:paraId="3AA91F92"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single" w:sz="12" w:space="0" w:color="000000" w:themeColor="text1"/>
              <w:left w:val="single" w:sz="6" w:space="0" w:color="000000" w:themeColor="text1"/>
              <w:bottom w:val="dotted" w:sz="4" w:space="0" w:color="000000" w:themeColor="text1"/>
              <w:right w:val="single" w:sz="18" w:space="0" w:color="000000" w:themeColor="text1"/>
            </w:tcBorders>
            <w:vAlign w:val="bottom"/>
          </w:tcPr>
          <w:p w14:paraId="052CF62A"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-13.27</w:t>
            </w:r>
          </w:p>
        </w:tc>
      </w:tr>
      <w:tr w:rsidR="00EE5ACB" w:rsidRPr="005864F4" w14:paraId="1853127C" w14:textId="77777777" w:rsidTr="00AD46B2">
        <w:trPr>
          <w:tblHeader/>
        </w:trPr>
        <w:tc>
          <w:tcPr>
            <w:tcW w:w="1092" w:type="pct"/>
            <w:vMerge w:val="restart"/>
            <w:tcBorders>
              <w:top w:val="dotted" w:sz="4" w:space="0" w:color="000000" w:themeColor="text1"/>
              <w:left w:val="single" w:sz="18" w:space="0" w:color="000000" w:themeColor="text1"/>
              <w:right w:val="single" w:sz="6" w:space="0" w:color="000000" w:themeColor="text1"/>
            </w:tcBorders>
            <w:vAlign w:val="center"/>
          </w:tcPr>
          <w:p w14:paraId="0F2164CD" w14:textId="77777777" w:rsidR="00EE5ACB" w:rsidRPr="005864F4" w:rsidRDefault="00EE5ACB" w:rsidP="00154678">
            <w:pPr>
              <w:spacing w:line="210" w:lineRule="auto"/>
              <w:rPr>
                <w:sz w:val="20"/>
                <w:szCs w:val="20"/>
              </w:rPr>
            </w:pPr>
            <w:r w:rsidRPr="005864F4">
              <w:rPr>
                <w:sz w:val="20"/>
                <w:szCs w:val="20"/>
              </w:rPr>
              <w:t>Age (18–24 years)</w:t>
            </w:r>
          </w:p>
        </w:tc>
        <w:tc>
          <w:tcPr>
            <w:tcW w:w="749" w:type="pct"/>
            <w:tcBorders>
              <w:top w:val="dotted" w:sz="4" w:space="0" w:color="000000" w:themeColor="text1"/>
              <w:left w:val="single" w:sz="6" w:space="0" w:color="000000" w:themeColor="text1"/>
              <w:right w:val="single" w:sz="18" w:space="0" w:color="000000" w:themeColor="text1"/>
            </w:tcBorders>
          </w:tcPr>
          <w:p w14:paraId="0F24B41D" w14:textId="77777777" w:rsidR="00EE5ACB" w:rsidRPr="005864F4" w:rsidRDefault="00EE5ACB" w:rsidP="00154678">
            <w:pPr>
              <w:spacing w:line="210" w:lineRule="auto"/>
              <w:rPr>
                <w:sz w:val="20"/>
                <w:szCs w:val="20"/>
              </w:rPr>
            </w:pPr>
            <w:r w:rsidRPr="005864F4">
              <w:rPr>
                <w:sz w:val="20"/>
                <w:szCs w:val="20"/>
              </w:rPr>
              <w:t xml:space="preserve">25 to 44 </w:t>
            </w:r>
          </w:p>
        </w:tc>
        <w:tc>
          <w:tcPr>
            <w:tcW w:w="368" w:type="pct"/>
            <w:tcBorders>
              <w:top w:val="dotted" w:sz="4" w:space="0" w:color="000000" w:themeColor="text1"/>
              <w:left w:val="single" w:sz="18" w:space="0" w:color="000000" w:themeColor="text1"/>
              <w:right w:val="single" w:sz="18" w:space="0" w:color="000000" w:themeColor="text1"/>
            </w:tcBorders>
          </w:tcPr>
          <w:p w14:paraId="0E1E7363" w14:textId="77777777" w:rsidR="00EE5ACB" w:rsidRPr="005864F4" w:rsidRDefault="00EE5ACB" w:rsidP="00EA5195">
            <w:pPr>
              <w:tabs>
                <w:tab w:val="decimal" w:pos="288"/>
              </w:tabs>
              <w:spacing w:line="210" w:lineRule="auto"/>
              <w:jc w:val="center"/>
              <w:rPr>
                <w:b/>
                <w:bCs/>
                <w:sz w:val="20"/>
                <w:szCs w:val="20"/>
              </w:rPr>
            </w:pPr>
            <w:r w:rsidRPr="005864F4">
              <w:rPr>
                <w:sz w:val="18"/>
                <w:szCs w:val="18"/>
              </w:rPr>
              <w:t>—</w:t>
            </w:r>
          </w:p>
        </w:tc>
        <w:tc>
          <w:tcPr>
            <w:tcW w:w="418" w:type="pct"/>
            <w:tcBorders>
              <w:top w:val="dotted" w:sz="4" w:space="0" w:color="000000" w:themeColor="text1"/>
              <w:left w:val="single" w:sz="18" w:space="0" w:color="000000" w:themeColor="text1"/>
              <w:right w:val="single" w:sz="6" w:space="0" w:color="000000" w:themeColor="text1"/>
            </w:tcBorders>
          </w:tcPr>
          <w:p w14:paraId="413D4EF1"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top w:val="dotted" w:sz="4" w:space="0" w:color="000000" w:themeColor="text1"/>
              <w:left w:val="single" w:sz="6" w:space="0" w:color="000000" w:themeColor="text1"/>
              <w:right w:val="single" w:sz="6" w:space="0" w:color="000000" w:themeColor="text1"/>
            </w:tcBorders>
          </w:tcPr>
          <w:p w14:paraId="680A534F"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top w:val="dotted" w:sz="4" w:space="0" w:color="000000" w:themeColor="text1"/>
              <w:left w:val="single" w:sz="6" w:space="0" w:color="000000" w:themeColor="text1"/>
              <w:right w:val="single" w:sz="6" w:space="0" w:color="000000" w:themeColor="text1"/>
            </w:tcBorders>
          </w:tcPr>
          <w:p w14:paraId="6F2ADCC8"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top w:val="dotted" w:sz="4" w:space="0" w:color="000000" w:themeColor="text1"/>
              <w:left w:val="single" w:sz="6" w:space="0" w:color="000000" w:themeColor="text1"/>
              <w:right w:val="single" w:sz="6" w:space="0" w:color="000000" w:themeColor="text1"/>
            </w:tcBorders>
          </w:tcPr>
          <w:p w14:paraId="5A64D1C0"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top w:val="dotted" w:sz="4" w:space="0" w:color="000000" w:themeColor="text1"/>
              <w:left w:val="single" w:sz="6" w:space="0" w:color="000000" w:themeColor="text1"/>
              <w:right w:val="single" w:sz="18" w:space="0" w:color="auto"/>
            </w:tcBorders>
          </w:tcPr>
          <w:p w14:paraId="68CF9E92"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top w:val="dotted" w:sz="4" w:space="0" w:color="000000" w:themeColor="text1"/>
              <w:left w:val="single" w:sz="18" w:space="0" w:color="auto"/>
              <w:right w:val="single" w:sz="6" w:space="0" w:color="000000" w:themeColor="text1"/>
            </w:tcBorders>
          </w:tcPr>
          <w:p w14:paraId="00032F7E"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top w:val="dotted" w:sz="4" w:space="0" w:color="000000" w:themeColor="text1"/>
              <w:left w:val="single" w:sz="6" w:space="0" w:color="000000" w:themeColor="text1"/>
              <w:right w:val="single" w:sz="18" w:space="0" w:color="auto"/>
            </w:tcBorders>
          </w:tcPr>
          <w:p w14:paraId="1541B032"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dotted" w:sz="4" w:space="0" w:color="000000" w:themeColor="text1"/>
              <w:left w:val="single" w:sz="18" w:space="0" w:color="auto"/>
              <w:right w:val="single" w:sz="6" w:space="0" w:color="000000" w:themeColor="text1"/>
            </w:tcBorders>
            <w:vAlign w:val="bottom"/>
          </w:tcPr>
          <w:p w14:paraId="14112338"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-17.85</w:t>
            </w:r>
          </w:p>
        </w:tc>
        <w:tc>
          <w:tcPr>
            <w:tcW w:w="251" w:type="pct"/>
            <w:tcBorders>
              <w:top w:val="dotted" w:sz="4" w:space="0" w:color="000000" w:themeColor="text1"/>
              <w:left w:val="single" w:sz="6" w:space="0" w:color="000000" w:themeColor="text1"/>
              <w:right w:val="single" w:sz="18" w:space="0" w:color="000000" w:themeColor="text1"/>
            </w:tcBorders>
            <w:vAlign w:val="bottom"/>
          </w:tcPr>
          <w:p w14:paraId="7080CD5B"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-25.57</w:t>
            </w:r>
          </w:p>
        </w:tc>
      </w:tr>
      <w:tr w:rsidR="00EE5ACB" w:rsidRPr="005864F4" w14:paraId="0C52A646" w14:textId="77777777" w:rsidTr="00AD46B2">
        <w:trPr>
          <w:tblHeader/>
        </w:trPr>
        <w:tc>
          <w:tcPr>
            <w:tcW w:w="1092" w:type="pct"/>
            <w:vMerge/>
            <w:tcBorders>
              <w:left w:val="single" w:sz="18" w:space="0" w:color="000000" w:themeColor="text1"/>
              <w:right w:val="single" w:sz="6" w:space="0" w:color="000000" w:themeColor="text1"/>
            </w:tcBorders>
          </w:tcPr>
          <w:p w14:paraId="45F8E900" w14:textId="77777777" w:rsidR="00EE5ACB" w:rsidRPr="005864F4" w:rsidRDefault="00EE5ACB" w:rsidP="00154678">
            <w:pPr>
              <w:rPr>
                <w:sz w:val="20"/>
                <w:szCs w:val="20"/>
              </w:rPr>
            </w:pPr>
          </w:p>
        </w:tc>
        <w:tc>
          <w:tcPr>
            <w:tcW w:w="749" w:type="pct"/>
            <w:tcBorders>
              <w:left w:val="single" w:sz="6" w:space="0" w:color="000000" w:themeColor="text1"/>
              <w:right w:val="single" w:sz="18" w:space="0" w:color="000000" w:themeColor="text1"/>
            </w:tcBorders>
          </w:tcPr>
          <w:p w14:paraId="790F898D" w14:textId="77777777" w:rsidR="00EE5ACB" w:rsidRPr="005864F4" w:rsidRDefault="00EE5ACB" w:rsidP="00154678">
            <w:pPr>
              <w:spacing w:line="210" w:lineRule="auto"/>
              <w:rPr>
                <w:sz w:val="20"/>
                <w:szCs w:val="20"/>
              </w:rPr>
            </w:pPr>
            <w:r w:rsidRPr="005864F4">
              <w:rPr>
                <w:sz w:val="20"/>
                <w:szCs w:val="20"/>
              </w:rPr>
              <w:t xml:space="preserve">45 to 64 </w:t>
            </w:r>
          </w:p>
        </w:tc>
        <w:tc>
          <w:tcPr>
            <w:tcW w:w="368" w:type="pct"/>
            <w:tcBorders>
              <w:left w:val="single" w:sz="18" w:space="0" w:color="000000" w:themeColor="text1"/>
              <w:right w:val="single" w:sz="18" w:space="0" w:color="000000" w:themeColor="text1"/>
            </w:tcBorders>
            <w:vAlign w:val="bottom"/>
          </w:tcPr>
          <w:p w14:paraId="641CDD48"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-23.14</w:t>
            </w:r>
          </w:p>
        </w:tc>
        <w:tc>
          <w:tcPr>
            <w:tcW w:w="418" w:type="pct"/>
            <w:tcBorders>
              <w:left w:val="single" w:sz="18" w:space="0" w:color="000000" w:themeColor="text1"/>
              <w:right w:val="single" w:sz="6" w:space="0" w:color="000000" w:themeColor="text1"/>
            </w:tcBorders>
            <w:vAlign w:val="bottom"/>
          </w:tcPr>
          <w:p w14:paraId="4262051F"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-25.13</w:t>
            </w:r>
          </w:p>
        </w:tc>
        <w:tc>
          <w:tcPr>
            <w:tcW w:w="260" w:type="pct"/>
            <w:tcBorders>
              <w:left w:val="single" w:sz="6" w:space="0" w:color="000000" w:themeColor="text1"/>
              <w:right w:val="single" w:sz="6" w:space="0" w:color="000000" w:themeColor="text1"/>
            </w:tcBorders>
            <w:vAlign w:val="bottom"/>
          </w:tcPr>
          <w:p w14:paraId="456B5AAA"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-39.27</w:t>
            </w:r>
          </w:p>
        </w:tc>
        <w:tc>
          <w:tcPr>
            <w:tcW w:w="437" w:type="pct"/>
            <w:tcBorders>
              <w:left w:val="single" w:sz="6" w:space="0" w:color="000000" w:themeColor="text1"/>
              <w:right w:val="single" w:sz="6" w:space="0" w:color="000000" w:themeColor="text1"/>
            </w:tcBorders>
            <w:vAlign w:val="bottom"/>
          </w:tcPr>
          <w:p w14:paraId="428214E2"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-45.88</w:t>
            </w:r>
          </w:p>
        </w:tc>
        <w:tc>
          <w:tcPr>
            <w:tcW w:w="292" w:type="pct"/>
            <w:tcBorders>
              <w:left w:val="single" w:sz="6" w:space="0" w:color="000000" w:themeColor="text1"/>
              <w:right w:val="single" w:sz="6" w:space="0" w:color="000000" w:themeColor="text1"/>
            </w:tcBorders>
            <w:vAlign w:val="bottom"/>
          </w:tcPr>
          <w:p w14:paraId="1367F5E0"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-28.09</w:t>
            </w:r>
          </w:p>
        </w:tc>
        <w:tc>
          <w:tcPr>
            <w:tcW w:w="278" w:type="pct"/>
            <w:tcBorders>
              <w:left w:val="single" w:sz="6" w:space="0" w:color="000000" w:themeColor="text1"/>
              <w:right w:val="single" w:sz="18" w:space="0" w:color="auto"/>
            </w:tcBorders>
            <w:vAlign w:val="bottom"/>
          </w:tcPr>
          <w:p w14:paraId="165048B3"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-26.71</w:t>
            </w:r>
          </w:p>
        </w:tc>
        <w:tc>
          <w:tcPr>
            <w:tcW w:w="380" w:type="pct"/>
            <w:tcBorders>
              <w:left w:val="single" w:sz="18" w:space="0" w:color="auto"/>
              <w:right w:val="single" w:sz="6" w:space="0" w:color="000000" w:themeColor="text1"/>
            </w:tcBorders>
            <w:vAlign w:val="bottom"/>
          </w:tcPr>
          <w:p w14:paraId="2101C8F4" w14:textId="77777777" w:rsidR="00EE5ACB" w:rsidRPr="005864F4" w:rsidRDefault="00EE5ACB" w:rsidP="00154678">
            <w:pPr>
              <w:tabs>
                <w:tab w:val="decimal" w:pos="432"/>
              </w:tabs>
              <w:spacing w:line="210" w:lineRule="auto"/>
              <w:rPr>
                <w:b/>
                <w:bCs/>
                <w:sz w:val="20"/>
                <w:szCs w:val="20"/>
              </w:rPr>
            </w:pPr>
            <w:r w:rsidRPr="005864F4">
              <w:rPr>
                <w:color w:val="000000"/>
                <w:sz w:val="20"/>
                <w:szCs w:val="20"/>
              </w:rPr>
              <w:t>-31.18</w:t>
            </w:r>
          </w:p>
        </w:tc>
        <w:tc>
          <w:tcPr>
            <w:tcW w:w="223" w:type="pct"/>
            <w:tcBorders>
              <w:left w:val="single" w:sz="6" w:space="0" w:color="000000" w:themeColor="text1"/>
              <w:right w:val="single" w:sz="18" w:space="0" w:color="auto"/>
            </w:tcBorders>
          </w:tcPr>
          <w:p w14:paraId="5C870EE2"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left w:val="single" w:sz="18" w:space="0" w:color="auto"/>
              <w:right w:val="single" w:sz="6" w:space="0" w:color="000000" w:themeColor="text1"/>
            </w:tcBorders>
          </w:tcPr>
          <w:p w14:paraId="4452D090"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left w:val="single" w:sz="6" w:space="0" w:color="000000" w:themeColor="text1"/>
              <w:right w:val="single" w:sz="18" w:space="0" w:color="000000" w:themeColor="text1"/>
            </w:tcBorders>
          </w:tcPr>
          <w:p w14:paraId="381803B2"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r>
      <w:tr w:rsidR="00EE5ACB" w:rsidRPr="005864F4" w14:paraId="12181A4D" w14:textId="77777777" w:rsidTr="00AD46B2">
        <w:trPr>
          <w:tblHeader/>
        </w:trPr>
        <w:tc>
          <w:tcPr>
            <w:tcW w:w="1092" w:type="pct"/>
            <w:vMerge/>
            <w:tcBorders>
              <w:left w:val="single" w:sz="18" w:space="0" w:color="000000" w:themeColor="text1"/>
              <w:bottom w:val="dotted" w:sz="4" w:space="0" w:color="000000" w:themeColor="text1"/>
              <w:right w:val="single" w:sz="6" w:space="0" w:color="000000" w:themeColor="text1"/>
            </w:tcBorders>
          </w:tcPr>
          <w:p w14:paraId="59C18067" w14:textId="77777777" w:rsidR="00EE5ACB" w:rsidRPr="005864F4" w:rsidRDefault="00EE5ACB" w:rsidP="00154678">
            <w:pPr>
              <w:rPr>
                <w:sz w:val="20"/>
                <w:szCs w:val="20"/>
              </w:rPr>
            </w:pPr>
          </w:p>
        </w:tc>
        <w:tc>
          <w:tcPr>
            <w:tcW w:w="749" w:type="pct"/>
            <w:tcBorders>
              <w:left w:val="single" w:sz="6" w:space="0" w:color="000000" w:themeColor="text1"/>
              <w:bottom w:val="dotted" w:sz="4" w:space="0" w:color="000000" w:themeColor="text1"/>
              <w:right w:val="single" w:sz="18" w:space="0" w:color="000000" w:themeColor="text1"/>
            </w:tcBorders>
          </w:tcPr>
          <w:p w14:paraId="6F67D95D" w14:textId="77777777" w:rsidR="00EE5ACB" w:rsidRPr="005864F4" w:rsidRDefault="00EE5ACB" w:rsidP="00154678">
            <w:pPr>
              <w:spacing w:line="210" w:lineRule="auto"/>
              <w:rPr>
                <w:sz w:val="20"/>
                <w:szCs w:val="20"/>
              </w:rPr>
            </w:pPr>
            <w:r w:rsidRPr="005864F4">
              <w:rPr>
                <w:sz w:val="20"/>
                <w:szCs w:val="20"/>
              </w:rPr>
              <w:t>65 or older</w:t>
            </w:r>
          </w:p>
        </w:tc>
        <w:tc>
          <w:tcPr>
            <w:tcW w:w="368" w:type="pct"/>
            <w:tcBorders>
              <w:left w:val="single" w:sz="18" w:space="0" w:color="000000" w:themeColor="text1"/>
              <w:bottom w:val="dotted" w:sz="4" w:space="0" w:color="000000" w:themeColor="text1"/>
              <w:right w:val="single" w:sz="18" w:space="0" w:color="000000" w:themeColor="text1"/>
            </w:tcBorders>
            <w:vAlign w:val="bottom"/>
          </w:tcPr>
          <w:p w14:paraId="7E0ABED7"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-69.44</w:t>
            </w:r>
          </w:p>
        </w:tc>
        <w:tc>
          <w:tcPr>
            <w:tcW w:w="418" w:type="pct"/>
            <w:tcBorders>
              <w:left w:val="single" w:sz="18" w:space="0" w:color="000000" w:themeColor="text1"/>
              <w:bottom w:val="dotted" w:sz="4" w:space="0" w:color="000000" w:themeColor="text1"/>
              <w:right w:val="single" w:sz="6" w:space="0" w:color="000000" w:themeColor="text1"/>
            </w:tcBorders>
            <w:vAlign w:val="bottom"/>
          </w:tcPr>
          <w:p w14:paraId="7D483A42"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-48.12</w:t>
            </w:r>
          </w:p>
        </w:tc>
        <w:tc>
          <w:tcPr>
            <w:tcW w:w="260" w:type="pct"/>
            <w:tcBorders>
              <w:left w:val="single" w:sz="6" w:space="0" w:color="000000" w:themeColor="text1"/>
              <w:bottom w:val="dotted" w:sz="4" w:space="0" w:color="000000" w:themeColor="text1"/>
              <w:right w:val="single" w:sz="6" w:space="0" w:color="000000" w:themeColor="text1"/>
            </w:tcBorders>
            <w:vAlign w:val="bottom"/>
          </w:tcPr>
          <w:p w14:paraId="56EFF56E"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-68.38</w:t>
            </w:r>
          </w:p>
        </w:tc>
        <w:tc>
          <w:tcPr>
            <w:tcW w:w="437" w:type="pct"/>
            <w:tcBorders>
              <w:left w:val="single" w:sz="6" w:space="0" w:color="000000" w:themeColor="text1"/>
              <w:bottom w:val="dotted" w:sz="4" w:space="0" w:color="000000" w:themeColor="text1"/>
              <w:right w:val="single" w:sz="6" w:space="0" w:color="000000" w:themeColor="text1"/>
            </w:tcBorders>
            <w:vAlign w:val="bottom"/>
          </w:tcPr>
          <w:p w14:paraId="4EA755C0"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-74.50</w:t>
            </w:r>
          </w:p>
        </w:tc>
        <w:tc>
          <w:tcPr>
            <w:tcW w:w="292" w:type="pct"/>
            <w:tcBorders>
              <w:left w:val="single" w:sz="6" w:space="0" w:color="000000" w:themeColor="text1"/>
              <w:bottom w:val="dotted" w:sz="4" w:space="0" w:color="000000" w:themeColor="text1"/>
              <w:right w:val="single" w:sz="6" w:space="0" w:color="000000" w:themeColor="text1"/>
            </w:tcBorders>
            <w:vAlign w:val="bottom"/>
          </w:tcPr>
          <w:p w14:paraId="049189F6"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-52.35</w:t>
            </w:r>
          </w:p>
        </w:tc>
        <w:tc>
          <w:tcPr>
            <w:tcW w:w="278" w:type="pct"/>
            <w:tcBorders>
              <w:left w:val="single" w:sz="6" w:space="0" w:color="000000" w:themeColor="text1"/>
              <w:bottom w:val="dotted" w:sz="4" w:space="0" w:color="000000" w:themeColor="text1"/>
              <w:right w:val="single" w:sz="18" w:space="0" w:color="auto"/>
            </w:tcBorders>
            <w:vAlign w:val="bottom"/>
          </w:tcPr>
          <w:p w14:paraId="5E66425C"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-42.94</w:t>
            </w:r>
          </w:p>
        </w:tc>
        <w:tc>
          <w:tcPr>
            <w:tcW w:w="380" w:type="pct"/>
            <w:tcBorders>
              <w:left w:val="single" w:sz="18" w:space="0" w:color="auto"/>
              <w:bottom w:val="dotted" w:sz="4" w:space="0" w:color="000000" w:themeColor="text1"/>
              <w:right w:val="single" w:sz="6" w:space="0" w:color="000000" w:themeColor="text1"/>
            </w:tcBorders>
            <w:vAlign w:val="bottom"/>
          </w:tcPr>
          <w:p w14:paraId="140CB2C5" w14:textId="77777777" w:rsidR="00EE5ACB" w:rsidRPr="005864F4" w:rsidRDefault="00EE5ACB" w:rsidP="00154678">
            <w:pPr>
              <w:tabs>
                <w:tab w:val="decimal" w:pos="432"/>
              </w:tabs>
              <w:spacing w:line="210" w:lineRule="auto"/>
              <w:rPr>
                <w:b/>
                <w:bCs/>
                <w:sz w:val="20"/>
                <w:szCs w:val="20"/>
              </w:rPr>
            </w:pPr>
            <w:r w:rsidRPr="005864F4">
              <w:rPr>
                <w:color w:val="000000"/>
                <w:sz w:val="20"/>
                <w:szCs w:val="20"/>
              </w:rPr>
              <w:t>-52.28</w:t>
            </w:r>
          </w:p>
        </w:tc>
        <w:tc>
          <w:tcPr>
            <w:tcW w:w="223" w:type="pct"/>
            <w:tcBorders>
              <w:left w:val="single" w:sz="6" w:space="0" w:color="000000" w:themeColor="text1"/>
              <w:bottom w:val="dotted" w:sz="4" w:space="0" w:color="000000" w:themeColor="text1"/>
              <w:right w:val="single" w:sz="18" w:space="0" w:color="auto"/>
            </w:tcBorders>
            <w:vAlign w:val="bottom"/>
          </w:tcPr>
          <w:p w14:paraId="4632DFE5"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-37.06</w:t>
            </w:r>
          </w:p>
        </w:tc>
        <w:tc>
          <w:tcPr>
            <w:tcW w:w="251" w:type="pct"/>
            <w:tcBorders>
              <w:left w:val="single" w:sz="18" w:space="0" w:color="auto"/>
              <w:bottom w:val="dotted" w:sz="4" w:space="0" w:color="000000" w:themeColor="text1"/>
              <w:right w:val="single" w:sz="6" w:space="0" w:color="000000" w:themeColor="text1"/>
            </w:tcBorders>
          </w:tcPr>
          <w:p w14:paraId="28C4341A"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left w:val="single" w:sz="6" w:space="0" w:color="000000" w:themeColor="text1"/>
              <w:bottom w:val="dotted" w:sz="4" w:space="0" w:color="000000" w:themeColor="text1"/>
              <w:right w:val="single" w:sz="18" w:space="0" w:color="000000" w:themeColor="text1"/>
            </w:tcBorders>
          </w:tcPr>
          <w:p w14:paraId="0A0F901B"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r>
      <w:tr w:rsidR="00EE5ACB" w:rsidRPr="005864F4" w14:paraId="6112103F" w14:textId="77777777" w:rsidTr="00AD46B2">
        <w:trPr>
          <w:tblHeader/>
        </w:trPr>
        <w:tc>
          <w:tcPr>
            <w:tcW w:w="1092" w:type="pct"/>
            <w:vMerge w:val="restart"/>
            <w:tcBorders>
              <w:top w:val="dotted" w:sz="4" w:space="0" w:color="000000" w:themeColor="text1"/>
              <w:left w:val="single" w:sz="18" w:space="0" w:color="000000" w:themeColor="text1"/>
              <w:right w:val="single" w:sz="6" w:space="0" w:color="000000" w:themeColor="text1"/>
            </w:tcBorders>
            <w:vAlign w:val="center"/>
          </w:tcPr>
          <w:p w14:paraId="41B5C22E" w14:textId="77777777" w:rsidR="00EE5ACB" w:rsidRPr="005864F4" w:rsidRDefault="00EE5ACB" w:rsidP="00154678">
            <w:pPr>
              <w:spacing w:line="210" w:lineRule="auto"/>
              <w:rPr>
                <w:sz w:val="20"/>
                <w:szCs w:val="20"/>
              </w:rPr>
            </w:pPr>
            <w:r w:rsidRPr="005864F4">
              <w:rPr>
                <w:sz w:val="20"/>
                <w:szCs w:val="20"/>
              </w:rPr>
              <w:t xml:space="preserve">Employment status </w:t>
            </w:r>
          </w:p>
          <w:p w14:paraId="74E7401D" w14:textId="220E4C2D" w:rsidR="00EE5ACB" w:rsidRPr="005864F4" w:rsidRDefault="00EE5ACB" w:rsidP="00154678">
            <w:pPr>
              <w:spacing w:line="210" w:lineRule="auto"/>
              <w:rPr>
                <w:sz w:val="20"/>
                <w:szCs w:val="20"/>
              </w:rPr>
            </w:pPr>
            <w:r w:rsidRPr="005864F4">
              <w:rPr>
                <w:sz w:val="20"/>
                <w:szCs w:val="20"/>
              </w:rPr>
              <w:t>(</w:t>
            </w:r>
            <w:r w:rsidR="00CA76DD">
              <w:rPr>
                <w:sz w:val="20"/>
                <w:szCs w:val="20"/>
              </w:rPr>
              <w:t>retired</w:t>
            </w:r>
            <w:r w:rsidR="00500AD7">
              <w:rPr>
                <w:sz w:val="20"/>
                <w:szCs w:val="20"/>
              </w:rPr>
              <w:t xml:space="preserve"> or </w:t>
            </w:r>
            <w:r w:rsidRPr="005864F4">
              <w:rPr>
                <w:sz w:val="20"/>
                <w:szCs w:val="20"/>
              </w:rPr>
              <w:t>not employed)</w:t>
            </w:r>
          </w:p>
        </w:tc>
        <w:tc>
          <w:tcPr>
            <w:tcW w:w="749" w:type="pct"/>
            <w:tcBorders>
              <w:top w:val="dotted" w:sz="4" w:space="0" w:color="000000" w:themeColor="text1"/>
              <w:left w:val="single" w:sz="6" w:space="0" w:color="000000" w:themeColor="text1"/>
              <w:right w:val="single" w:sz="18" w:space="0" w:color="000000" w:themeColor="text1"/>
            </w:tcBorders>
          </w:tcPr>
          <w:p w14:paraId="66939DD5" w14:textId="77777777" w:rsidR="00EE5ACB" w:rsidRPr="005864F4" w:rsidRDefault="00EE5ACB" w:rsidP="00154678">
            <w:pPr>
              <w:spacing w:line="210" w:lineRule="auto"/>
              <w:rPr>
                <w:sz w:val="20"/>
                <w:szCs w:val="20"/>
              </w:rPr>
            </w:pPr>
            <w:r w:rsidRPr="005864F4">
              <w:rPr>
                <w:sz w:val="20"/>
                <w:szCs w:val="20"/>
              </w:rPr>
              <w:t>Full-time</w:t>
            </w:r>
          </w:p>
        </w:tc>
        <w:tc>
          <w:tcPr>
            <w:tcW w:w="368" w:type="pct"/>
            <w:tcBorders>
              <w:top w:val="dotted" w:sz="4" w:space="0" w:color="000000" w:themeColor="text1"/>
              <w:left w:val="single" w:sz="18" w:space="0" w:color="000000" w:themeColor="text1"/>
              <w:right w:val="single" w:sz="18" w:space="0" w:color="000000" w:themeColor="text1"/>
            </w:tcBorders>
            <w:vAlign w:val="bottom"/>
          </w:tcPr>
          <w:p w14:paraId="481AD39D"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77.74</w:t>
            </w:r>
          </w:p>
        </w:tc>
        <w:tc>
          <w:tcPr>
            <w:tcW w:w="418" w:type="pct"/>
            <w:tcBorders>
              <w:top w:val="dotted" w:sz="4" w:space="0" w:color="000000" w:themeColor="text1"/>
              <w:left w:val="single" w:sz="18" w:space="0" w:color="000000" w:themeColor="text1"/>
              <w:right w:val="single" w:sz="6" w:space="0" w:color="000000" w:themeColor="text1"/>
            </w:tcBorders>
          </w:tcPr>
          <w:p w14:paraId="483502B4"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top w:val="dotted" w:sz="4" w:space="0" w:color="000000" w:themeColor="text1"/>
              <w:left w:val="single" w:sz="6" w:space="0" w:color="000000" w:themeColor="text1"/>
              <w:right w:val="single" w:sz="6" w:space="0" w:color="000000" w:themeColor="text1"/>
            </w:tcBorders>
          </w:tcPr>
          <w:p w14:paraId="34B596F9"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top w:val="dotted" w:sz="4" w:space="0" w:color="000000" w:themeColor="text1"/>
              <w:left w:val="single" w:sz="6" w:space="0" w:color="000000" w:themeColor="text1"/>
              <w:right w:val="single" w:sz="6" w:space="0" w:color="000000" w:themeColor="text1"/>
            </w:tcBorders>
            <w:vAlign w:val="bottom"/>
          </w:tcPr>
          <w:p w14:paraId="356D914B"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176.70</w:t>
            </w:r>
          </w:p>
        </w:tc>
        <w:tc>
          <w:tcPr>
            <w:tcW w:w="292" w:type="pct"/>
            <w:tcBorders>
              <w:top w:val="dotted" w:sz="4" w:space="0" w:color="000000" w:themeColor="text1"/>
              <w:left w:val="single" w:sz="6" w:space="0" w:color="000000" w:themeColor="text1"/>
              <w:right w:val="single" w:sz="6" w:space="0" w:color="000000" w:themeColor="text1"/>
            </w:tcBorders>
          </w:tcPr>
          <w:p w14:paraId="476BC4FC"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top w:val="dotted" w:sz="4" w:space="0" w:color="000000" w:themeColor="text1"/>
              <w:left w:val="single" w:sz="6" w:space="0" w:color="000000" w:themeColor="text1"/>
              <w:right w:val="single" w:sz="18" w:space="0" w:color="auto"/>
            </w:tcBorders>
          </w:tcPr>
          <w:p w14:paraId="0C70D01E"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top w:val="dotted" w:sz="4" w:space="0" w:color="000000" w:themeColor="text1"/>
              <w:left w:val="single" w:sz="18" w:space="0" w:color="auto"/>
              <w:right w:val="single" w:sz="6" w:space="0" w:color="000000" w:themeColor="text1"/>
            </w:tcBorders>
          </w:tcPr>
          <w:p w14:paraId="5EECB6D5"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top w:val="dotted" w:sz="4" w:space="0" w:color="000000" w:themeColor="text1"/>
              <w:left w:val="single" w:sz="6" w:space="0" w:color="000000" w:themeColor="text1"/>
              <w:right w:val="single" w:sz="18" w:space="0" w:color="auto"/>
            </w:tcBorders>
          </w:tcPr>
          <w:p w14:paraId="3A2F0277"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dotted" w:sz="4" w:space="0" w:color="000000" w:themeColor="text1"/>
              <w:left w:val="single" w:sz="18" w:space="0" w:color="auto"/>
              <w:right w:val="single" w:sz="6" w:space="0" w:color="000000" w:themeColor="text1"/>
            </w:tcBorders>
          </w:tcPr>
          <w:p w14:paraId="387E5716"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dotted" w:sz="4" w:space="0" w:color="000000" w:themeColor="text1"/>
              <w:left w:val="single" w:sz="6" w:space="0" w:color="000000" w:themeColor="text1"/>
              <w:right w:val="single" w:sz="18" w:space="0" w:color="000000" w:themeColor="text1"/>
            </w:tcBorders>
            <w:vAlign w:val="bottom"/>
          </w:tcPr>
          <w:p w14:paraId="61DFC83F"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23.28</w:t>
            </w:r>
          </w:p>
        </w:tc>
      </w:tr>
      <w:tr w:rsidR="00EE5ACB" w:rsidRPr="005864F4" w14:paraId="695B5454" w14:textId="77777777" w:rsidTr="00AD46B2">
        <w:trPr>
          <w:tblHeader/>
        </w:trPr>
        <w:tc>
          <w:tcPr>
            <w:tcW w:w="1092" w:type="pct"/>
            <w:vMerge/>
            <w:tcBorders>
              <w:left w:val="single" w:sz="18" w:space="0" w:color="000000" w:themeColor="text1"/>
              <w:bottom w:val="dotted" w:sz="4" w:space="0" w:color="000000" w:themeColor="text1"/>
              <w:right w:val="single" w:sz="6" w:space="0" w:color="000000" w:themeColor="text1"/>
            </w:tcBorders>
            <w:vAlign w:val="center"/>
          </w:tcPr>
          <w:p w14:paraId="0D06284B" w14:textId="77777777" w:rsidR="00EE5ACB" w:rsidRPr="005864F4" w:rsidRDefault="00EE5ACB" w:rsidP="00154678">
            <w:pPr>
              <w:rPr>
                <w:sz w:val="20"/>
                <w:szCs w:val="20"/>
              </w:rPr>
            </w:pPr>
          </w:p>
        </w:tc>
        <w:tc>
          <w:tcPr>
            <w:tcW w:w="749" w:type="pct"/>
            <w:tcBorders>
              <w:left w:val="single" w:sz="6" w:space="0" w:color="000000" w:themeColor="text1"/>
              <w:bottom w:val="dotted" w:sz="4" w:space="0" w:color="000000" w:themeColor="text1"/>
              <w:right w:val="single" w:sz="18" w:space="0" w:color="000000" w:themeColor="text1"/>
            </w:tcBorders>
          </w:tcPr>
          <w:p w14:paraId="40446BD6" w14:textId="77777777" w:rsidR="00EE5ACB" w:rsidRPr="005864F4" w:rsidRDefault="00EE5ACB" w:rsidP="00154678">
            <w:pPr>
              <w:spacing w:line="210" w:lineRule="auto"/>
              <w:rPr>
                <w:sz w:val="20"/>
                <w:szCs w:val="20"/>
              </w:rPr>
            </w:pPr>
            <w:r w:rsidRPr="005864F4">
              <w:rPr>
                <w:sz w:val="20"/>
                <w:szCs w:val="20"/>
              </w:rPr>
              <w:t>Part-time</w:t>
            </w:r>
          </w:p>
        </w:tc>
        <w:tc>
          <w:tcPr>
            <w:tcW w:w="368" w:type="pct"/>
            <w:tcBorders>
              <w:left w:val="single" w:sz="18" w:space="0" w:color="000000" w:themeColor="text1"/>
              <w:bottom w:val="dotted" w:sz="4" w:space="0" w:color="000000" w:themeColor="text1"/>
              <w:right w:val="single" w:sz="18" w:space="0" w:color="000000" w:themeColor="text1"/>
            </w:tcBorders>
            <w:vAlign w:val="bottom"/>
          </w:tcPr>
          <w:p w14:paraId="1BE9B920"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55.82</w:t>
            </w:r>
          </w:p>
        </w:tc>
        <w:tc>
          <w:tcPr>
            <w:tcW w:w="418" w:type="pct"/>
            <w:tcBorders>
              <w:left w:val="single" w:sz="18" w:space="0" w:color="000000" w:themeColor="text1"/>
              <w:bottom w:val="dotted" w:sz="4" w:space="0" w:color="000000" w:themeColor="text1"/>
              <w:right w:val="single" w:sz="6" w:space="0" w:color="000000" w:themeColor="text1"/>
            </w:tcBorders>
          </w:tcPr>
          <w:p w14:paraId="706FC5EE"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left w:val="single" w:sz="6" w:space="0" w:color="000000" w:themeColor="text1"/>
              <w:bottom w:val="dotted" w:sz="4" w:space="0" w:color="000000" w:themeColor="text1"/>
              <w:right w:val="single" w:sz="6" w:space="0" w:color="000000" w:themeColor="text1"/>
            </w:tcBorders>
          </w:tcPr>
          <w:p w14:paraId="0B093C57"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left w:val="single" w:sz="6" w:space="0" w:color="000000" w:themeColor="text1"/>
              <w:bottom w:val="dotted" w:sz="4" w:space="0" w:color="000000" w:themeColor="text1"/>
              <w:right w:val="single" w:sz="6" w:space="0" w:color="000000" w:themeColor="text1"/>
            </w:tcBorders>
          </w:tcPr>
          <w:p w14:paraId="7C5C9943"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left w:val="single" w:sz="6" w:space="0" w:color="000000" w:themeColor="text1"/>
              <w:bottom w:val="dotted" w:sz="4" w:space="0" w:color="000000" w:themeColor="text1"/>
              <w:right w:val="single" w:sz="6" w:space="0" w:color="000000" w:themeColor="text1"/>
            </w:tcBorders>
          </w:tcPr>
          <w:p w14:paraId="0770A05F"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left w:val="single" w:sz="6" w:space="0" w:color="000000" w:themeColor="text1"/>
              <w:bottom w:val="dotted" w:sz="4" w:space="0" w:color="000000" w:themeColor="text1"/>
              <w:right w:val="single" w:sz="18" w:space="0" w:color="auto"/>
            </w:tcBorders>
          </w:tcPr>
          <w:p w14:paraId="06C507E6"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left w:val="single" w:sz="18" w:space="0" w:color="auto"/>
              <w:bottom w:val="dotted" w:sz="4" w:space="0" w:color="000000" w:themeColor="text1"/>
              <w:right w:val="single" w:sz="6" w:space="0" w:color="000000" w:themeColor="text1"/>
            </w:tcBorders>
          </w:tcPr>
          <w:p w14:paraId="4FCCBC8C"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left w:val="single" w:sz="6" w:space="0" w:color="000000" w:themeColor="text1"/>
              <w:bottom w:val="dotted" w:sz="4" w:space="0" w:color="000000" w:themeColor="text1"/>
              <w:right w:val="single" w:sz="18" w:space="0" w:color="auto"/>
            </w:tcBorders>
          </w:tcPr>
          <w:p w14:paraId="7C6A3753"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left w:val="single" w:sz="18" w:space="0" w:color="auto"/>
              <w:bottom w:val="dotted" w:sz="4" w:space="0" w:color="000000" w:themeColor="text1"/>
              <w:right w:val="single" w:sz="6" w:space="0" w:color="000000" w:themeColor="text1"/>
            </w:tcBorders>
          </w:tcPr>
          <w:p w14:paraId="11D95DA5"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left w:val="single" w:sz="6" w:space="0" w:color="000000" w:themeColor="text1"/>
              <w:bottom w:val="dotted" w:sz="4" w:space="0" w:color="000000" w:themeColor="text1"/>
              <w:right w:val="single" w:sz="18" w:space="0" w:color="000000" w:themeColor="text1"/>
            </w:tcBorders>
            <w:vAlign w:val="bottom"/>
          </w:tcPr>
          <w:p w14:paraId="5AEA4B65"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19.60</w:t>
            </w:r>
          </w:p>
        </w:tc>
      </w:tr>
      <w:tr w:rsidR="00EE5ACB" w:rsidRPr="005864F4" w14:paraId="323CB9A9" w14:textId="77777777" w:rsidTr="00AD46B2">
        <w:trPr>
          <w:tblHeader/>
        </w:trPr>
        <w:tc>
          <w:tcPr>
            <w:tcW w:w="1092" w:type="pct"/>
            <w:vMerge w:val="restart"/>
            <w:tcBorders>
              <w:top w:val="dotted" w:sz="4" w:space="0" w:color="000000" w:themeColor="text1"/>
              <w:left w:val="single" w:sz="18" w:space="0" w:color="000000" w:themeColor="text1"/>
              <w:right w:val="single" w:sz="6" w:space="0" w:color="000000" w:themeColor="text1"/>
            </w:tcBorders>
            <w:vAlign w:val="center"/>
          </w:tcPr>
          <w:p w14:paraId="6FBF1745" w14:textId="77777777" w:rsidR="00EE5ACB" w:rsidRPr="005864F4" w:rsidRDefault="00EE5ACB" w:rsidP="00154678">
            <w:pPr>
              <w:spacing w:line="210" w:lineRule="auto"/>
              <w:rPr>
                <w:sz w:val="20"/>
                <w:szCs w:val="20"/>
              </w:rPr>
            </w:pPr>
            <w:r w:rsidRPr="005864F4">
              <w:rPr>
                <w:sz w:val="20"/>
                <w:szCs w:val="20"/>
              </w:rPr>
              <w:t>Educational attainment</w:t>
            </w:r>
          </w:p>
          <w:p w14:paraId="10EC9C78" w14:textId="77777777" w:rsidR="00EE5ACB" w:rsidRPr="005864F4" w:rsidRDefault="00EE5ACB" w:rsidP="00154678">
            <w:pPr>
              <w:spacing w:line="210" w:lineRule="auto"/>
              <w:rPr>
                <w:sz w:val="20"/>
                <w:szCs w:val="20"/>
              </w:rPr>
            </w:pPr>
            <w:r w:rsidRPr="005864F4">
              <w:rPr>
                <w:sz w:val="20"/>
                <w:szCs w:val="20"/>
              </w:rPr>
              <w:t>(high school or less)</w:t>
            </w:r>
          </w:p>
        </w:tc>
        <w:tc>
          <w:tcPr>
            <w:tcW w:w="749" w:type="pct"/>
            <w:tcBorders>
              <w:top w:val="dotted" w:sz="4" w:space="0" w:color="000000" w:themeColor="text1"/>
              <w:left w:val="single" w:sz="6" w:space="0" w:color="000000" w:themeColor="text1"/>
              <w:right w:val="single" w:sz="18" w:space="0" w:color="000000" w:themeColor="text1"/>
            </w:tcBorders>
            <w:vAlign w:val="center"/>
          </w:tcPr>
          <w:p w14:paraId="603B585F" w14:textId="0DB15F1A" w:rsidR="00EE5ACB" w:rsidRPr="005864F4" w:rsidRDefault="00EE5ACB" w:rsidP="00154678">
            <w:pPr>
              <w:spacing w:line="210" w:lineRule="auto"/>
              <w:rPr>
                <w:sz w:val="20"/>
                <w:szCs w:val="20"/>
              </w:rPr>
            </w:pPr>
            <w:r w:rsidRPr="005864F4">
              <w:rPr>
                <w:sz w:val="20"/>
                <w:szCs w:val="20"/>
              </w:rPr>
              <w:t xml:space="preserve">Some college/technical </w:t>
            </w:r>
          </w:p>
        </w:tc>
        <w:tc>
          <w:tcPr>
            <w:tcW w:w="368" w:type="pct"/>
            <w:tcBorders>
              <w:top w:val="dotted" w:sz="4" w:space="0" w:color="000000" w:themeColor="text1"/>
              <w:left w:val="single" w:sz="18" w:space="0" w:color="000000" w:themeColor="text1"/>
              <w:right w:val="single" w:sz="18" w:space="0" w:color="000000" w:themeColor="text1"/>
            </w:tcBorders>
            <w:vAlign w:val="bottom"/>
          </w:tcPr>
          <w:p w14:paraId="5FBA17DD" w14:textId="77777777" w:rsidR="00EE5ACB" w:rsidRPr="005864F4" w:rsidRDefault="00EE5ACB" w:rsidP="00EA5195">
            <w:pPr>
              <w:tabs>
                <w:tab w:val="decimal" w:pos="288"/>
              </w:tabs>
              <w:spacing w:line="210" w:lineRule="auto"/>
              <w:jc w:val="center"/>
              <w:rPr>
                <w:b/>
                <w:bCs/>
                <w:sz w:val="20"/>
                <w:szCs w:val="20"/>
              </w:rPr>
            </w:pPr>
            <w:r w:rsidRPr="005864F4">
              <w:rPr>
                <w:sz w:val="18"/>
                <w:szCs w:val="18"/>
              </w:rPr>
              <w:t>—</w:t>
            </w:r>
          </w:p>
        </w:tc>
        <w:tc>
          <w:tcPr>
            <w:tcW w:w="418" w:type="pct"/>
            <w:tcBorders>
              <w:top w:val="dotted" w:sz="4" w:space="0" w:color="000000" w:themeColor="text1"/>
              <w:left w:val="single" w:sz="18" w:space="0" w:color="000000" w:themeColor="text1"/>
              <w:right w:val="single" w:sz="6" w:space="0" w:color="000000" w:themeColor="text1"/>
            </w:tcBorders>
            <w:vAlign w:val="bottom"/>
          </w:tcPr>
          <w:p w14:paraId="013273F2"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13.68</w:t>
            </w:r>
          </w:p>
        </w:tc>
        <w:tc>
          <w:tcPr>
            <w:tcW w:w="260" w:type="pct"/>
            <w:tcBorders>
              <w:top w:val="dotted" w:sz="4" w:space="0" w:color="000000" w:themeColor="text1"/>
              <w:left w:val="single" w:sz="6" w:space="0" w:color="000000" w:themeColor="text1"/>
              <w:right w:val="single" w:sz="6" w:space="0" w:color="000000" w:themeColor="text1"/>
            </w:tcBorders>
          </w:tcPr>
          <w:p w14:paraId="0796CBA8"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top w:val="dotted" w:sz="4" w:space="0" w:color="000000" w:themeColor="text1"/>
              <w:left w:val="single" w:sz="6" w:space="0" w:color="000000" w:themeColor="text1"/>
              <w:right w:val="single" w:sz="6" w:space="0" w:color="000000" w:themeColor="text1"/>
            </w:tcBorders>
          </w:tcPr>
          <w:p w14:paraId="3F0F9D1C"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top w:val="dotted" w:sz="4" w:space="0" w:color="000000" w:themeColor="text1"/>
              <w:left w:val="single" w:sz="6" w:space="0" w:color="000000" w:themeColor="text1"/>
              <w:right w:val="single" w:sz="6" w:space="0" w:color="000000" w:themeColor="text1"/>
            </w:tcBorders>
          </w:tcPr>
          <w:p w14:paraId="550B1F8A"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top w:val="dotted" w:sz="4" w:space="0" w:color="000000" w:themeColor="text1"/>
              <w:left w:val="single" w:sz="6" w:space="0" w:color="000000" w:themeColor="text1"/>
              <w:right w:val="single" w:sz="18" w:space="0" w:color="auto"/>
            </w:tcBorders>
          </w:tcPr>
          <w:p w14:paraId="26C5C38E"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top w:val="dotted" w:sz="4" w:space="0" w:color="000000" w:themeColor="text1"/>
              <w:left w:val="single" w:sz="18" w:space="0" w:color="auto"/>
              <w:right w:val="single" w:sz="6" w:space="0" w:color="000000" w:themeColor="text1"/>
            </w:tcBorders>
          </w:tcPr>
          <w:p w14:paraId="0BEBF0F0"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top w:val="dotted" w:sz="4" w:space="0" w:color="000000" w:themeColor="text1"/>
              <w:left w:val="single" w:sz="6" w:space="0" w:color="000000" w:themeColor="text1"/>
              <w:right w:val="single" w:sz="18" w:space="0" w:color="auto"/>
            </w:tcBorders>
          </w:tcPr>
          <w:p w14:paraId="7586CC33"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dotted" w:sz="4" w:space="0" w:color="000000" w:themeColor="text1"/>
              <w:left w:val="single" w:sz="18" w:space="0" w:color="auto"/>
              <w:right w:val="single" w:sz="6" w:space="0" w:color="000000" w:themeColor="text1"/>
            </w:tcBorders>
            <w:vAlign w:val="bottom"/>
          </w:tcPr>
          <w:p w14:paraId="4F54B664"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35.00</w:t>
            </w:r>
          </w:p>
        </w:tc>
        <w:tc>
          <w:tcPr>
            <w:tcW w:w="251" w:type="pct"/>
            <w:tcBorders>
              <w:top w:val="dotted" w:sz="4" w:space="0" w:color="000000" w:themeColor="text1"/>
              <w:left w:val="single" w:sz="6" w:space="0" w:color="000000" w:themeColor="text1"/>
              <w:right w:val="single" w:sz="18" w:space="0" w:color="000000" w:themeColor="text1"/>
            </w:tcBorders>
            <w:vAlign w:val="bottom"/>
          </w:tcPr>
          <w:p w14:paraId="7FE5E986"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26.98</w:t>
            </w:r>
          </w:p>
        </w:tc>
      </w:tr>
      <w:tr w:rsidR="00EE5ACB" w:rsidRPr="005864F4" w14:paraId="59978304" w14:textId="77777777" w:rsidTr="00AD46B2">
        <w:trPr>
          <w:tblHeader/>
        </w:trPr>
        <w:tc>
          <w:tcPr>
            <w:tcW w:w="1092" w:type="pct"/>
            <w:vMerge/>
            <w:tcBorders>
              <w:left w:val="single" w:sz="18" w:space="0" w:color="000000" w:themeColor="text1"/>
              <w:right w:val="single" w:sz="6" w:space="0" w:color="000000" w:themeColor="text1"/>
            </w:tcBorders>
            <w:vAlign w:val="center"/>
          </w:tcPr>
          <w:p w14:paraId="5EAB4529" w14:textId="77777777" w:rsidR="00EE5ACB" w:rsidRPr="005864F4" w:rsidRDefault="00EE5ACB" w:rsidP="00154678">
            <w:pPr>
              <w:rPr>
                <w:sz w:val="20"/>
                <w:szCs w:val="20"/>
              </w:rPr>
            </w:pPr>
          </w:p>
        </w:tc>
        <w:tc>
          <w:tcPr>
            <w:tcW w:w="749" w:type="pct"/>
            <w:tcBorders>
              <w:left w:val="single" w:sz="6" w:space="0" w:color="000000" w:themeColor="text1"/>
              <w:right w:val="single" w:sz="18" w:space="0" w:color="000000" w:themeColor="text1"/>
            </w:tcBorders>
            <w:vAlign w:val="center"/>
          </w:tcPr>
          <w:p w14:paraId="6B891BA5" w14:textId="77777777" w:rsidR="00EE5ACB" w:rsidRPr="005864F4" w:rsidRDefault="00EE5ACB" w:rsidP="00154678">
            <w:pPr>
              <w:spacing w:line="210" w:lineRule="auto"/>
              <w:rPr>
                <w:sz w:val="20"/>
                <w:szCs w:val="20"/>
              </w:rPr>
            </w:pPr>
            <w:r w:rsidRPr="005864F4">
              <w:rPr>
                <w:sz w:val="20"/>
                <w:szCs w:val="20"/>
              </w:rPr>
              <w:t>Bachelor's degree(s)</w:t>
            </w:r>
          </w:p>
        </w:tc>
        <w:tc>
          <w:tcPr>
            <w:tcW w:w="368" w:type="pct"/>
            <w:tcBorders>
              <w:left w:val="single" w:sz="18" w:space="0" w:color="000000" w:themeColor="text1"/>
              <w:right w:val="single" w:sz="18" w:space="0" w:color="000000" w:themeColor="text1"/>
            </w:tcBorders>
            <w:vAlign w:val="bottom"/>
          </w:tcPr>
          <w:p w14:paraId="05F67C69"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31.03</w:t>
            </w:r>
          </w:p>
        </w:tc>
        <w:tc>
          <w:tcPr>
            <w:tcW w:w="418" w:type="pct"/>
            <w:tcBorders>
              <w:left w:val="single" w:sz="18" w:space="0" w:color="000000" w:themeColor="text1"/>
              <w:right w:val="single" w:sz="6" w:space="0" w:color="000000" w:themeColor="text1"/>
            </w:tcBorders>
          </w:tcPr>
          <w:p w14:paraId="5C0F782C"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left w:val="single" w:sz="6" w:space="0" w:color="000000" w:themeColor="text1"/>
              <w:right w:val="single" w:sz="6" w:space="0" w:color="000000" w:themeColor="text1"/>
            </w:tcBorders>
          </w:tcPr>
          <w:p w14:paraId="58821A62"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left w:val="single" w:sz="6" w:space="0" w:color="000000" w:themeColor="text1"/>
              <w:right w:val="single" w:sz="6" w:space="0" w:color="000000" w:themeColor="text1"/>
            </w:tcBorders>
          </w:tcPr>
          <w:p w14:paraId="123AF8BF"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left w:val="single" w:sz="6" w:space="0" w:color="000000" w:themeColor="text1"/>
              <w:right w:val="single" w:sz="6" w:space="0" w:color="000000" w:themeColor="text1"/>
            </w:tcBorders>
          </w:tcPr>
          <w:p w14:paraId="7B657460"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left w:val="single" w:sz="6" w:space="0" w:color="000000" w:themeColor="text1"/>
              <w:right w:val="single" w:sz="18" w:space="0" w:color="auto"/>
            </w:tcBorders>
          </w:tcPr>
          <w:p w14:paraId="7E2E8187"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left w:val="single" w:sz="18" w:space="0" w:color="auto"/>
              <w:right w:val="single" w:sz="6" w:space="0" w:color="000000" w:themeColor="text1"/>
            </w:tcBorders>
          </w:tcPr>
          <w:p w14:paraId="592C2595"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left w:val="single" w:sz="6" w:space="0" w:color="000000" w:themeColor="text1"/>
              <w:right w:val="single" w:sz="18" w:space="0" w:color="auto"/>
            </w:tcBorders>
          </w:tcPr>
          <w:p w14:paraId="0DAAA39E"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left w:val="single" w:sz="18" w:space="0" w:color="auto"/>
              <w:right w:val="single" w:sz="6" w:space="0" w:color="000000" w:themeColor="text1"/>
            </w:tcBorders>
            <w:vAlign w:val="bottom"/>
          </w:tcPr>
          <w:p w14:paraId="665399BF"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92.13</w:t>
            </w:r>
          </w:p>
        </w:tc>
        <w:tc>
          <w:tcPr>
            <w:tcW w:w="251" w:type="pct"/>
            <w:tcBorders>
              <w:left w:val="single" w:sz="6" w:space="0" w:color="000000" w:themeColor="text1"/>
              <w:right w:val="single" w:sz="18" w:space="0" w:color="000000" w:themeColor="text1"/>
            </w:tcBorders>
            <w:vAlign w:val="bottom"/>
          </w:tcPr>
          <w:p w14:paraId="303E1AD1"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95.88</w:t>
            </w:r>
          </w:p>
        </w:tc>
      </w:tr>
      <w:tr w:rsidR="00EE5ACB" w:rsidRPr="005864F4" w14:paraId="0EC064A1" w14:textId="77777777" w:rsidTr="00AD46B2">
        <w:trPr>
          <w:tblHeader/>
        </w:trPr>
        <w:tc>
          <w:tcPr>
            <w:tcW w:w="1092" w:type="pct"/>
            <w:vMerge/>
            <w:tcBorders>
              <w:left w:val="single" w:sz="18" w:space="0" w:color="000000" w:themeColor="text1"/>
              <w:bottom w:val="dotted" w:sz="4" w:space="0" w:color="000000" w:themeColor="text1"/>
              <w:right w:val="single" w:sz="6" w:space="0" w:color="000000" w:themeColor="text1"/>
            </w:tcBorders>
            <w:vAlign w:val="center"/>
          </w:tcPr>
          <w:p w14:paraId="248A080C" w14:textId="77777777" w:rsidR="00EE5ACB" w:rsidRPr="005864F4" w:rsidRDefault="00EE5ACB" w:rsidP="00154678">
            <w:pPr>
              <w:rPr>
                <w:sz w:val="20"/>
                <w:szCs w:val="20"/>
              </w:rPr>
            </w:pPr>
          </w:p>
        </w:tc>
        <w:tc>
          <w:tcPr>
            <w:tcW w:w="749" w:type="pct"/>
            <w:tcBorders>
              <w:left w:val="single" w:sz="6" w:space="0" w:color="000000" w:themeColor="text1"/>
              <w:bottom w:val="dotted" w:sz="4" w:space="0" w:color="000000" w:themeColor="text1"/>
              <w:right w:val="single" w:sz="18" w:space="0" w:color="000000" w:themeColor="text1"/>
            </w:tcBorders>
            <w:vAlign w:val="center"/>
          </w:tcPr>
          <w:p w14:paraId="5E6374CC" w14:textId="77777777" w:rsidR="00EE5ACB" w:rsidRPr="005864F4" w:rsidRDefault="00EE5ACB" w:rsidP="00154678">
            <w:pPr>
              <w:spacing w:line="210" w:lineRule="auto"/>
              <w:rPr>
                <w:sz w:val="20"/>
                <w:szCs w:val="20"/>
              </w:rPr>
            </w:pPr>
            <w:r w:rsidRPr="005864F4">
              <w:rPr>
                <w:sz w:val="20"/>
                <w:szCs w:val="20"/>
              </w:rPr>
              <w:t>Graduate degree(s)</w:t>
            </w:r>
          </w:p>
        </w:tc>
        <w:tc>
          <w:tcPr>
            <w:tcW w:w="368" w:type="pct"/>
            <w:tcBorders>
              <w:left w:val="single" w:sz="18" w:space="0" w:color="000000" w:themeColor="text1"/>
              <w:bottom w:val="dotted" w:sz="4" w:space="0" w:color="000000" w:themeColor="text1"/>
              <w:right w:val="single" w:sz="18" w:space="0" w:color="000000" w:themeColor="text1"/>
            </w:tcBorders>
            <w:vAlign w:val="bottom"/>
          </w:tcPr>
          <w:p w14:paraId="2884980B"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86.18</w:t>
            </w:r>
          </w:p>
        </w:tc>
        <w:tc>
          <w:tcPr>
            <w:tcW w:w="418" w:type="pct"/>
            <w:tcBorders>
              <w:left w:val="single" w:sz="18" w:space="0" w:color="000000" w:themeColor="text1"/>
              <w:bottom w:val="dotted" w:sz="4" w:space="0" w:color="000000" w:themeColor="text1"/>
              <w:right w:val="single" w:sz="6" w:space="0" w:color="000000" w:themeColor="text1"/>
            </w:tcBorders>
          </w:tcPr>
          <w:p w14:paraId="01C9A0FC"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left w:val="single" w:sz="6" w:space="0" w:color="000000" w:themeColor="text1"/>
              <w:bottom w:val="dotted" w:sz="4" w:space="0" w:color="000000" w:themeColor="text1"/>
              <w:right w:val="single" w:sz="6" w:space="0" w:color="000000" w:themeColor="text1"/>
            </w:tcBorders>
          </w:tcPr>
          <w:p w14:paraId="2F31A5DC"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left w:val="single" w:sz="6" w:space="0" w:color="000000" w:themeColor="text1"/>
              <w:bottom w:val="dotted" w:sz="4" w:space="0" w:color="000000" w:themeColor="text1"/>
              <w:right w:val="single" w:sz="6" w:space="0" w:color="000000" w:themeColor="text1"/>
            </w:tcBorders>
            <w:vAlign w:val="bottom"/>
          </w:tcPr>
          <w:p w14:paraId="1EB4B940" w14:textId="77777777" w:rsidR="00EE5ACB" w:rsidRPr="005864F4" w:rsidRDefault="00EE5ACB" w:rsidP="00154678">
            <w:pPr>
              <w:tabs>
                <w:tab w:val="decimal" w:pos="504"/>
              </w:tabs>
              <w:spacing w:line="210" w:lineRule="auto"/>
              <w:rPr>
                <w:b/>
                <w:bCs/>
                <w:sz w:val="20"/>
                <w:szCs w:val="20"/>
              </w:rPr>
            </w:pPr>
            <w:r w:rsidRPr="005864F4">
              <w:rPr>
                <w:color w:val="000000"/>
                <w:sz w:val="20"/>
                <w:szCs w:val="20"/>
              </w:rPr>
              <w:t>50.27</w:t>
            </w:r>
          </w:p>
        </w:tc>
        <w:tc>
          <w:tcPr>
            <w:tcW w:w="292" w:type="pct"/>
            <w:tcBorders>
              <w:left w:val="single" w:sz="6" w:space="0" w:color="000000" w:themeColor="text1"/>
              <w:bottom w:val="dotted" w:sz="4" w:space="0" w:color="000000" w:themeColor="text1"/>
              <w:right w:val="single" w:sz="6" w:space="0" w:color="000000" w:themeColor="text1"/>
            </w:tcBorders>
            <w:vAlign w:val="bottom"/>
          </w:tcPr>
          <w:p w14:paraId="16338BF1"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54.56</w:t>
            </w:r>
          </w:p>
        </w:tc>
        <w:tc>
          <w:tcPr>
            <w:tcW w:w="278" w:type="pct"/>
            <w:tcBorders>
              <w:left w:val="single" w:sz="6" w:space="0" w:color="000000" w:themeColor="text1"/>
              <w:bottom w:val="dotted" w:sz="4" w:space="0" w:color="000000" w:themeColor="text1"/>
              <w:right w:val="single" w:sz="18" w:space="0" w:color="auto"/>
            </w:tcBorders>
            <w:vAlign w:val="bottom"/>
          </w:tcPr>
          <w:p w14:paraId="528C5F29" w14:textId="77777777" w:rsidR="00EE5ACB" w:rsidRPr="005864F4" w:rsidRDefault="00EE5ACB" w:rsidP="00154678">
            <w:pPr>
              <w:tabs>
                <w:tab w:val="decimal" w:pos="360"/>
              </w:tabs>
              <w:spacing w:line="210" w:lineRule="auto"/>
              <w:rPr>
                <w:b/>
                <w:bCs/>
                <w:sz w:val="20"/>
                <w:szCs w:val="20"/>
              </w:rPr>
            </w:pPr>
            <w:r w:rsidRPr="005864F4">
              <w:rPr>
                <w:color w:val="000000"/>
                <w:sz w:val="20"/>
                <w:szCs w:val="20"/>
              </w:rPr>
              <w:t>24.27</w:t>
            </w:r>
          </w:p>
        </w:tc>
        <w:tc>
          <w:tcPr>
            <w:tcW w:w="380" w:type="pct"/>
            <w:tcBorders>
              <w:left w:val="single" w:sz="18" w:space="0" w:color="auto"/>
              <w:bottom w:val="dotted" w:sz="4" w:space="0" w:color="000000" w:themeColor="text1"/>
              <w:right w:val="single" w:sz="6" w:space="0" w:color="000000" w:themeColor="text1"/>
            </w:tcBorders>
          </w:tcPr>
          <w:p w14:paraId="6E2B9417"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left w:val="single" w:sz="6" w:space="0" w:color="000000" w:themeColor="text1"/>
              <w:bottom w:val="dotted" w:sz="4" w:space="0" w:color="000000" w:themeColor="text1"/>
              <w:right w:val="single" w:sz="18" w:space="0" w:color="auto"/>
            </w:tcBorders>
            <w:vAlign w:val="bottom"/>
          </w:tcPr>
          <w:p w14:paraId="18DD1B49"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65.28</w:t>
            </w:r>
          </w:p>
        </w:tc>
        <w:tc>
          <w:tcPr>
            <w:tcW w:w="251" w:type="pct"/>
            <w:tcBorders>
              <w:left w:val="single" w:sz="18" w:space="0" w:color="auto"/>
              <w:bottom w:val="dotted" w:sz="4" w:space="0" w:color="000000" w:themeColor="text1"/>
              <w:right w:val="single" w:sz="6" w:space="0" w:color="000000" w:themeColor="text1"/>
            </w:tcBorders>
            <w:vAlign w:val="bottom"/>
          </w:tcPr>
          <w:p w14:paraId="756C8CC5"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141.43</w:t>
            </w:r>
          </w:p>
        </w:tc>
        <w:tc>
          <w:tcPr>
            <w:tcW w:w="251" w:type="pct"/>
            <w:tcBorders>
              <w:left w:val="single" w:sz="6" w:space="0" w:color="000000" w:themeColor="text1"/>
              <w:bottom w:val="dotted" w:sz="4" w:space="0" w:color="000000" w:themeColor="text1"/>
              <w:right w:val="single" w:sz="18" w:space="0" w:color="000000" w:themeColor="text1"/>
            </w:tcBorders>
            <w:vAlign w:val="bottom"/>
          </w:tcPr>
          <w:p w14:paraId="606145D2"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71.80</w:t>
            </w:r>
          </w:p>
        </w:tc>
      </w:tr>
      <w:tr w:rsidR="00EE5ACB" w:rsidRPr="005864F4" w14:paraId="7B31F497" w14:textId="77777777" w:rsidTr="00AD46B2">
        <w:trPr>
          <w:tblHeader/>
        </w:trPr>
        <w:tc>
          <w:tcPr>
            <w:tcW w:w="1092" w:type="pct"/>
            <w:vMerge w:val="restart"/>
            <w:tcBorders>
              <w:top w:val="dotted" w:sz="4" w:space="0" w:color="000000" w:themeColor="text1"/>
              <w:left w:val="single" w:sz="18" w:space="0" w:color="000000" w:themeColor="text1"/>
              <w:right w:val="single" w:sz="6" w:space="0" w:color="000000" w:themeColor="text1"/>
            </w:tcBorders>
            <w:vAlign w:val="center"/>
          </w:tcPr>
          <w:p w14:paraId="05E13814" w14:textId="77777777" w:rsidR="00EE5ACB" w:rsidRPr="005864F4" w:rsidRDefault="00EE5ACB" w:rsidP="00154678">
            <w:pPr>
              <w:spacing w:line="210" w:lineRule="auto"/>
              <w:rPr>
                <w:sz w:val="20"/>
                <w:szCs w:val="20"/>
              </w:rPr>
            </w:pPr>
            <w:r w:rsidRPr="005864F4">
              <w:rPr>
                <w:sz w:val="20"/>
                <w:szCs w:val="20"/>
              </w:rPr>
              <w:t>Race (White)</w:t>
            </w:r>
          </w:p>
        </w:tc>
        <w:tc>
          <w:tcPr>
            <w:tcW w:w="749" w:type="pct"/>
            <w:tcBorders>
              <w:top w:val="dotted" w:sz="4" w:space="0" w:color="000000" w:themeColor="text1"/>
              <w:left w:val="single" w:sz="6" w:space="0" w:color="000000" w:themeColor="text1"/>
              <w:right w:val="single" w:sz="18" w:space="0" w:color="000000" w:themeColor="text1"/>
            </w:tcBorders>
          </w:tcPr>
          <w:p w14:paraId="2C310499" w14:textId="77777777" w:rsidR="00EE5ACB" w:rsidRPr="005864F4" w:rsidRDefault="00EE5ACB" w:rsidP="00154678">
            <w:pPr>
              <w:spacing w:line="210" w:lineRule="auto"/>
              <w:rPr>
                <w:sz w:val="20"/>
                <w:szCs w:val="20"/>
              </w:rPr>
            </w:pPr>
            <w:r w:rsidRPr="005864F4">
              <w:rPr>
                <w:sz w:val="20"/>
                <w:szCs w:val="20"/>
              </w:rPr>
              <w:t>Black</w:t>
            </w:r>
          </w:p>
        </w:tc>
        <w:tc>
          <w:tcPr>
            <w:tcW w:w="368" w:type="pct"/>
            <w:tcBorders>
              <w:top w:val="dotted" w:sz="4" w:space="0" w:color="000000" w:themeColor="text1"/>
              <w:left w:val="single" w:sz="18" w:space="0" w:color="000000" w:themeColor="text1"/>
              <w:right w:val="single" w:sz="18" w:space="0" w:color="000000" w:themeColor="text1"/>
            </w:tcBorders>
            <w:vAlign w:val="bottom"/>
          </w:tcPr>
          <w:p w14:paraId="6F8A374C"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13.12</w:t>
            </w:r>
          </w:p>
        </w:tc>
        <w:tc>
          <w:tcPr>
            <w:tcW w:w="418" w:type="pct"/>
            <w:tcBorders>
              <w:top w:val="dotted" w:sz="4" w:space="0" w:color="000000" w:themeColor="text1"/>
              <w:left w:val="single" w:sz="18" w:space="0" w:color="000000" w:themeColor="text1"/>
              <w:right w:val="single" w:sz="6" w:space="0" w:color="000000" w:themeColor="text1"/>
            </w:tcBorders>
          </w:tcPr>
          <w:p w14:paraId="24785705"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top w:val="dotted" w:sz="4" w:space="0" w:color="000000" w:themeColor="text1"/>
              <w:left w:val="single" w:sz="6" w:space="0" w:color="000000" w:themeColor="text1"/>
              <w:right w:val="single" w:sz="6" w:space="0" w:color="000000" w:themeColor="text1"/>
            </w:tcBorders>
          </w:tcPr>
          <w:p w14:paraId="37AF30C3"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top w:val="dotted" w:sz="4" w:space="0" w:color="000000" w:themeColor="text1"/>
              <w:left w:val="single" w:sz="6" w:space="0" w:color="000000" w:themeColor="text1"/>
              <w:right w:val="single" w:sz="6" w:space="0" w:color="000000" w:themeColor="text1"/>
            </w:tcBorders>
          </w:tcPr>
          <w:p w14:paraId="56EE696D"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top w:val="dotted" w:sz="4" w:space="0" w:color="000000" w:themeColor="text1"/>
              <w:left w:val="single" w:sz="6" w:space="0" w:color="000000" w:themeColor="text1"/>
              <w:right w:val="single" w:sz="6" w:space="0" w:color="000000" w:themeColor="text1"/>
            </w:tcBorders>
          </w:tcPr>
          <w:p w14:paraId="134F6A78"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top w:val="dotted" w:sz="4" w:space="0" w:color="000000" w:themeColor="text1"/>
              <w:left w:val="single" w:sz="6" w:space="0" w:color="000000" w:themeColor="text1"/>
              <w:right w:val="single" w:sz="18" w:space="0" w:color="auto"/>
            </w:tcBorders>
          </w:tcPr>
          <w:p w14:paraId="68B43856"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top w:val="dotted" w:sz="4" w:space="0" w:color="000000" w:themeColor="text1"/>
              <w:left w:val="single" w:sz="18" w:space="0" w:color="auto"/>
              <w:right w:val="single" w:sz="6" w:space="0" w:color="000000" w:themeColor="text1"/>
            </w:tcBorders>
          </w:tcPr>
          <w:p w14:paraId="64E224AA"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top w:val="dotted" w:sz="4" w:space="0" w:color="000000" w:themeColor="text1"/>
              <w:left w:val="single" w:sz="6" w:space="0" w:color="000000" w:themeColor="text1"/>
              <w:right w:val="single" w:sz="18" w:space="0" w:color="auto"/>
            </w:tcBorders>
          </w:tcPr>
          <w:p w14:paraId="52A57D66"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dotted" w:sz="4" w:space="0" w:color="000000" w:themeColor="text1"/>
              <w:left w:val="single" w:sz="18" w:space="0" w:color="auto"/>
              <w:right w:val="single" w:sz="6" w:space="0" w:color="000000" w:themeColor="text1"/>
            </w:tcBorders>
            <w:vAlign w:val="bottom"/>
          </w:tcPr>
          <w:p w14:paraId="31C8A49F"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-31.87</w:t>
            </w:r>
          </w:p>
        </w:tc>
        <w:tc>
          <w:tcPr>
            <w:tcW w:w="251" w:type="pct"/>
            <w:tcBorders>
              <w:top w:val="dotted" w:sz="4" w:space="0" w:color="000000" w:themeColor="text1"/>
              <w:left w:val="single" w:sz="6" w:space="0" w:color="000000" w:themeColor="text1"/>
              <w:right w:val="single" w:sz="18" w:space="0" w:color="000000" w:themeColor="text1"/>
            </w:tcBorders>
            <w:vAlign w:val="bottom"/>
          </w:tcPr>
          <w:p w14:paraId="7960372F"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-33.36</w:t>
            </w:r>
          </w:p>
        </w:tc>
      </w:tr>
      <w:tr w:rsidR="00EE5ACB" w:rsidRPr="005864F4" w14:paraId="14D35351" w14:textId="77777777" w:rsidTr="00AD46B2">
        <w:trPr>
          <w:tblHeader/>
        </w:trPr>
        <w:tc>
          <w:tcPr>
            <w:tcW w:w="1092" w:type="pct"/>
            <w:vMerge/>
            <w:tcBorders>
              <w:left w:val="single" w:sz="18" w:space="0" w:color="000000" w:themeColor="text1"/>
              <w:bottom w:val="dotted" w:sz="4" w:space="0" w:color="000000" w:themeColor="text1"/>
              <w:right w:val="single" w:sz="6" w:space="0" w:color="000000" w:themeColor="text1"/>
            </w:tcBorders>
          </w:tcPr>
          <w:p w14:paraId="46814210" w14:textId="77777777" w:rsidR="00EE5ACB" w:rsidRPr="005864F4" w:rsidRDefault="00EE5ACB" w:rsidP="00154678">
            <w:pPr>
              <w:rPr>
                <w:sz w:val="20"/>
                <w:szCs w:val="20"/>
              </w:rPr>
            </w:pPr>
          </w:p>
        </w:tc>
        <w:tc>
          <w:tcPr>
            <w:tcW w:w="749" w:type="pct"/>
            <w:tcBorders>
              <w:left w:val="single" w:sz="6" w:space="0" w:color="000000" w:themeColor="text1"/>
              <w:bottom w:val="dotted" w:sz="4" w:space="0" w:color="000000" w:themeColor="text1"/>
              <w:right w:val="single" w:sz="18" w:space="0" w:color="000000" w:themeColor="text1"/>
            </w:tcBorders>
          </w:tcPr>
          <w:p w14:paraId="67D0275E" w14:textId="77777777" w:rsidR="00EE5ACB" w:rsidRPr="005864F4" w:rsidRDefault="00EE5ACB" w:rsidP="00154678">
            <w:pPr>
              <w:spacing w:line="210" w:lineRule="auto"/>
              <w:rPr>
                <w:sz w:val="20"/>
                <w:szCs w:val="20"/>
              </w:rPr>
            </w:pPr>
            <w:r w:rsidRPr="005864F4">
              <w:rPr>
                <w:sz w:val="20"/>
                <w:szCs w:val="20"/>
              </w:rPr>
              <w:t>Other races</w:t>
            </w:r>
          </w:p>
        </w:tc>
        <w:tc>
          <w:tcPr>
            <w:tcW w:w="368" w:type="pct"/>
            <w:tcBorders>
              <w:left w:val="single" w:sz="18" w:space="0" w:color="000000" w:themeColor="text1"/>
              <w:bottom w:val="dotted" w:sz="4" w:space="0" w:color="000000" w:themeColor="text1"/>
              <w:right w:val="single" w:sz="18" w:space="0" w:color="000000" w:themeColor="text1"/>
            </w:tcBorders>
          </w:tcPr>
          <w:p w14:paraId="37832CE5" w14:textId="77777777" w:rsidR="00EE5ACB" w:rsidRPr="005864F4" w:rsidRDefault="00EE5ACB" w:rsidP="00EA5195">
            <w:pPr>
              <w:tabs>
                <w:tab w:val="decimal" w:pos="288"/>
              </w:tabs>
              <w:spacing w:line="210" w:lineRule="auto"/>
              <w:jc w:val="center"/>
              <w:rPr>
                <w:b/>
                <w:bCs/>
                <w:sz w:val="20"/>
                <w:szCs w:val="20"/>
              </w:rPr>
            </w:pPr>
            <w:r w:rsidRPr="005864F4">
              <w:rPr>
                <w:sz w:val="18"/>
                <w:szCs w:val="18"/>
              </w:rPr>
              <w:t>—</w:t>
            </w:r>
          </w:p>
        </w:tc>
        <w:tc>
          <w:tcPr>
            <w:tcW w:w="418" w:type="pct"/>
            <w:tcBorders>
              <w:left w:val="single" w:sz="18" w:space="0" w:color="000000" w:themeColor="text1"/>
              <w:bottom w:val="dotted" w:sz="4" w:space="0" w:color="000000" w:themeColor="text1"/>
              <w:right w:val="single" w:sz="6" w:space="0" w:color="000000" w:themeColor="text1"/>
            </w:tcBorders>
          </w:tcPr>
          <w:p w14:paraId="3E5E2EAC"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left w:val="single" w:sz="6" w:space="0" w:color="000000" w:themeColor="text1"/>
              <w:bottom w:val="dotted" w:sz="4" w:space="0" w:color="000000" w:themeColor="text1"/>
              <w:right w:val="single" w:sz="6" w:space="0" w:color="000000" w:themeColor="text1"/>
            </w:tcBorders>
          </w:tcPr>
          <w:p w14:paraId="3E316263"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437" w:type="pct"/>
            <w:tcBorders>
              <w:left w:val="single" w:sz="6" w:space="0" w:color="000000" w:themeColor="text1"/>
              <w:bottom w:val="dotted" w:sz="4" w:space="0" w:color="000000" w:themeColor="text1"/>
              <w:right w:val="single" w:sz="6" w:space="0" w:color="000000" w:themeColor="text1"/>
            </w:tcBorders>
          </w:tcPr>
          <w:p w14:paraId="07984B02"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left w:val="single" w:sz="6" w:space="0" w:color="000000" w:themeColor="text1"/>
              <w:bottom w:val="dotted" w:sz="4" w:space="0" w:color="000000" w:themeColor="text1"/>
              <w:right w:val="single" w:sz="6" w:space="0" w:color="000000" w:themeColor="text1"/>
            </w:tcBorders>
          </w:tcPr>
          <w:p w14:paraId="7882336F"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left w:val="single" w:sz="6" w:space="0" w:color="000000" w:themeColor="text1"/>
              <w:bottom w:val="dotted" w:sz="4" w:space="0" w:color="000000" w:themeColor="text1"/>
              <w:right w:val="single" w:sz="18" w:space="0" w:color="auto"/>
            </w:tcBorders>
          </w:tcPr>
          <w:p w14:paraId="35FC33DE"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left w:val="single" w:sz="18" w:space="0" w:color="auto"/>
              <w:bottom w:val="dotted" w:sz="4" w:space="0" w:color="000000" w:themeColor="text1"/>
              <w:right w:val="single" w:sz="6" w:space="0" w:color="000000" w:themeColor="text1"/>
            </w:tcBorders>
          </w:tcPr>
          <w:p w14:paraId="275E9FF2"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left w:val="single" w:sz="6" w:space="0" w:color="000000" w:themeColor="text1"/>
              <w:bottom w:val="dotted" w:sz="4" w:space="0" w:color="000000" w:themeColor="text1"/>
              <w:right w:val="single" w:sz="18" w:space="0" w:color="auto"/>
            </w:tcBorders>
          </w:tcPr>
          <w:p w14:paraId="742AC7A6"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left w:val="single" w:sz="18" w:space="0" w:color="auto"/>
              <w:bottom w:val="dotted" w:sz="4" w:space="0" w:color="000000" w:themeColor="text1"/>
              <w:right w:val="single" w:sz="6" w:space="0" w:color="000000" w:themeColor="text1"/>
            </w:tcBorders>
            <w:vAlign w:val="bottom"/>
          </w:tcPr>
          <w:p w14:paraId="283A291C"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-19.86</w:t>
            </w:r>
          </w:p>
        </w:tc>
        <w:tc>
          <w:tcPr>
            <w:tcW w:w="251" w:type="pct"/>
            <w:tcBorders>
              <w:left w:val="single" w:sz="6" w:space="0" w:color="000000" w:themeColor="text1"/>
              <w:bottom w:val="dotted" w:sz="4" w:space="0" w:color="000000" w:themeColor="text1"/>
              <w:right w:val="single" w:sz="18" w:space="0" w:color="000000" w:themeColor="text1"/>
            </w:tcBorders>
            <w:vAlign w:val="bottom"/>
          </w:tcPr>
          <w:p w14:paraId="5A47F01C"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r>
      <w:tr w:rsidR="00EE5ACB" w:rsidRPr="005864F4" w14:paraId="0646D278" w14:textId="77777777" w:rsidTr="00AD46B2">
        <w:trPr>
          <w:tblHeader/>
        </w:trPr>
        <w:tc>
          <w:tcPr>
            <w:tcW w:w="1092" w:type="pct"/>
            <w:tcBorders>
              <w:top w:val="dotted" w:sz="4" w:space="0" w:color="000000" w:themeColor="text1"/>
              <w:left w:val="single" w:sz="18" w:space="0" w:color="000000" w:themeColor="text1"/>
              <w:bottom w:val="double" w:sz="4" w:space="0" w:color="000000" w:themeColor="text1"/>
              <w:right w:val="single" w:sz="6" w:space="0" w:color="000000" w:themeColor="text1"/>
            </w:tcBorders>
          </w:tcPr>
          <w:p w14:paraId="0A30088C" w14:textId="77777777" w:rsidR="00EE5ACB" w:rsidRPr="005864F4" w:rsidRDefault="00EE5ACB" w:rsidP="00154678">
            <w:pPr>
              <w:spacing w:line="210" w:lineRule="auto"/>
              <w:rPr>
                <w:sz w:val="20"/>
                <w:szCs w:val="20"/>
              </w:rPr>
            </w:pPr>
            <w:r w:rsidRPr="005864F4">
              <w:rPr>
                <w:sz w:val="20"/>
                <w:szCs w:val="20"/>
              </w:rPr>
              <w:t>Ethnicity (not Hispanic)</w:t>
            </w:r>
          </w:p>
        </w:tc>
        <w:tc>
          <w:tcPr>
            <w:tcW w:w="749" w:type="pct"/>
            <w:tcBorders>
              <w:top w:val="dotted" w:sz="4" w:space="0" w:color="000000" w:themeColor="text1"/>
              <w:left w:val="single" w:sz="6" w:space="0" w:color="000000" w:themeColor="text1"/>
              <w:bottom w:val="double" w:sz="4" w:space="0" w:color="000000" w:themeColor="text1"/>
              <w:right w:val="single" w:sz="18" w:space="0" w:color="000000" w:themeColor="text1"/>
            </w:tcBorders>
          </w:tcPr>
          <w:p w14:paraId="6FC48639" w14:textId="77777777" w:rsidR="00EE5ACB" w:rsidRPr="005864F4" w:rsidRDefault="00EE5ACB" w:rsidP="00154678">
            <w:pPr>
              <w:spacing w:line="210" w:lineRule="auto"/>
              <w:rPr>
                <w:sz w:val="20"/>
                <w:szCs w:val="20"/>
              </w:rPr>
            </w:pPr>
            <w:r w:rsidRPr="005864F4">
              <w:rPr>
                <w:sz w:val="20"/>
                <w:szCs w:val="20"/>
              </w:rPr>
              <w:t>Hispanic</w:t>
            </w:r>
          </w:p>
        </w:tc>
        <w:tc>
          <w:tcPr>
            <w:tcW w:w="368" w:type="pct"/>
            <w:tcBorders>
              <w:top w:val="dotted" w:sz="4" w:space="0" w:color="000000" w:themeColor="text1"/>
              <w:left w:val="single" w:sz="18" w:space="0" w:color="000000" w:themeColor="text1"/>
              <w:bottom w:val="double" w:sz="4" w:space="0" w:color="000000" w:themeColor="text1"/>
              <w:right w:val="single" w:sz="18" w:space="0" w:color="000000" w:themeColor="text1"/>
            </w:tcBorders>
            <w:vAlign w:val="bottom"/>
          </w:tcPr>
          <w:p w14:paraId="615E2EB8" w14:textId="77777777" w:rsidR="00EE5ACB" w:rsidRPr="005864F4" w:rsidRDefault="00EE5ACB" w:rsidP="00EA5195">
            <w:pPr>
              <w:tabs>
                <w:tab w:val="decimal" w:pos="288"/>
              </w:tabs>
              <w:spacing w:line="210" w:lineRule="auto"/>
              <w:jc w:val="center"/>
              <w:rPr>
                <w:b/>
                <w:bCs/>
                <w:sz w:val="20"/>
                <w:szCs w:val="20"/>
              </w:rPr>
            </w:pPr>
            <w:r w:rsidRPr="005864F4">
              <w:rPr>
                <w:color w:val="000000"/>
                <w:sz w:val="20"/>
                <w:szCs w:val="20"/>
              </w:rPr>
              <w:t>17.45</w:t>
            </w:r>
          </w:p>
        </w:tc>
        <w:tc>
          <w:tcPr>
            <w:tcW w:w="418" w:type="pct"/>
            <w:tcBorders>
              <w:top w:val="dotted" w:sz="4" w:space="0" w:color="000000" w:themeColor="text1"/>
              <w:left w:val="single" w:sz="18" w:space="0" w:color="000000" w:themeColor="text1"/>
              <w:bottom w:val="double" w:sz="4" w:space="0" w:color="000000" w:themeColor="text1"/>
              <w:right w:val="single" w:sz="6" w:space="0" w:color="000000" w:themeColor="text1"/>
            </w:tcBorders>
            <w:vAlign w:val="bottom"/>
          </w:tcPr>
          <w:p w14:paraId="753325FA"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60" w:type="pct"/>
            <w:tcBorders>
              <w:top w:val="dotted" w:sz="4" w:space="0" w:color="000000" w:themeColor="text1"/>
              <w:left w:val="single" w:sz="6" w:space="0" w:color="000000" w:themeColor="text1"/>
              <w:bottom w:val="double" w:sz="4" w:space="0" w:color="000000" w:themeColor="text1"/>
              <w:right w:val="single" w:sz="6" w:space="0" w:color="000000" w:themeColor="text1"/>
            </w:tcBorders>
            <w:vAlign w:val="bottom"/>
          </w:tcPr>
          <w:p w14:paraId="4644DF8E" w14:textId="77777777" w:rsidR="00EE5ACB" w:rsidRPr="005864F4" w:rsidRDefault="00EE5ACB" w:rsidP="00154678">
            <w:pPr>
              <w:tabs>
                <w:tab w:val="decimal" w:pos="288"/>
              </w:tabs>
              <w:spacing w:line="210" w:lineRule="auto"/>
              <w:rPr>
                <w:b/>
                <w:bCs/>
                <w:sz w:val="20"/>
                <w:szCs w:val="20"/>
              </w:rPr>
            </w:pPr>
            <w:r w:rsidRPr="005864F4">
              <w:rPr>
                <w:color w:val="000000"/>
                <w:sz w:val="20"/>
                <w:szCs w:val="20"/>
              </w:rPr>
              <w:t>38.61</w:t>
            </w:r>
          </w:p>
        </w:tc>
        <w:tc>
          <w:tcPr>
            <w:tcW w:w="437" w:type="pct"/>
            <w:tcBorders>
              <w:top w:val="dotted" w:sz="4" w:space="0" w:color="000000" w:themeColor="text1"/>
              <w:left w:val="single" w:sz="6" w:space="0" w:color="000000" w:themeColor="text1"/>
              <w:bottom w:val="double" w:sz="4" w:space="0" w:color="000000" w:themeColor="text1"/>
              <w:right w:val="single" w:sz="6" w:space="0" w:color="000000" w:themeColor="text1"/>
            </w:tcBorders>
          </w:tcPr>
          <w:p w14:paraId="5B412E9D" w14:textId="77777777" w:rsidR="00EE5ACB" w:rsidRPr="005864F4" w:rsidRDefault="00EE5ACB" w:rsidP="00154678">
            <w:pPr>
              <w:tabs>
                <w:tab w:val="decimal" w:pos="504"/>
              </w:tabs>
              <w:spacing w:line="210" w:lineRule="auto"/>
              <w:rPr>
                <w:b/>
                <w:bCs/>
                <w:sz w:val="20"/>
                <w:szCs w:val="20"/>
              </w:rPr>
            </w:pPr>
            <w:r w:rsidRPr="005864F4">
              <w:rPr>
                <w:sz w:val="18"/>
                <w:szCs w:val="18"/>
              </w:rPr>
              <w:t>—</w:t>
            </w:r>
          </w:p>
        </w:tc>
        <w:tc>
          <w:tcPr>
            <w:tcW w:w="292" w:type="pct"/>
            <w:tcBorders>
              <w:top w:val="dotted" w:sz="4" w:space="0" w:color="000000" w:themeColor="text1"/>
              <w:left w:val="single" w:sz="6" w:space="0" w:color="000000" w:themeColor="text1"/>
              <w:bottom w:val="double" w:sz="4" w:space="0" w:color="000000" w:themeColor="text1"/>
              <w:right w:val="single" w:sz="6" w:space="0" w:color="000000" w:themeColor="text1"/>
            </w:tcBorders>
          </w:tcPr>
          <w:p w14:paraId="6EA629AE"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278" w:type="pct"/>
            <w:tcBorders>
              <w:top w:val="dotted" w:sz="4" w:space="0" w:color="000000" w:themeColor="text1"/>
              <w:left w:val="single" w:sz="6" w:space="0" w:color="000000" w:themeColor="text1"/>
              <w:bottom w:val="double" w:sz="4" w:space="0" w:color="000000" w:themeColor="text1"/>
              <w:right w:val="single" w:sz="18" w:space="0" w:color="auto"/>
            </w:tcBorders>
          </w:tcPr>
          <w:p w14:paraId="7799E095" w14:textId="77777777" w:rsidR="00EE5ACB" w:rsidRPr="005864F4" w:rsidRDefault="00EE5ACB" w:rsidP="00154678">
            <w:pPr>
              <w:tabs>
                <w:tab w:val="decimal" w:pos="360"/>
              </w:tabs>
              <w:spacing w:line="210" w:lineRule="auto"/>
              <w:rPr>
                <w:b/>
                <w:bCs/>
                <w:sz w:val="20"/>
                <w:szCs w:val="20"/>
              </w:rPr>
            </w:pPr>
            <w:r w:rsidRPr="005864F4">
              <w:rPr>
                <w:sz w:val="18"/>
                <w:szCs w:val="18"/>
              </w:rPr>
              <w:t>—</w:t>
            </w:r>
          </w:p>
        </w:tc>
        <w:tc>
          <w:tcPr>
            <w:tcW w:w="380" w:type="pct"/>
            <w:tcBorders>
              <w:top w:val="dotted" w:sz="4" w:space="0" w:color="000000" w:themeColor="text1"/>
              <w:left w:val="single" w:sz="18" w:space="0" w:color="auto"/>
              <w:bottom w:val="double" w:sz="4" w:space="0" w:color="000000" w:themeColor="text1"/>
              <w:right w:val="single" w:sz="6" w:space="0" w:color="000000" w:themeColor="text1"/>
            </w:tcBorders>
          </w:tcPr>
          <w:p w14:paraId="6549B561" w14:textId="77777777" w:rsidR="00EE5ACB" w:rsidRPr="005864F4" w:rsidRDefault="00EE5ACB" w:rsidP="00154678">
            <w:pPr>
              <w:tabs>
                <w:tab w:val="decimal" w:pos="432"/>
              </w:tabs>
              <w:spacing w:line="210" w:lineRule="auto"/>
              <w:rPr>
                <w:b/>
                <w:bCs/>
                <w:sz w:val="20"/>
                <w:szCs w:val="20"/>
              </w:rPr>
            </w:pPr>
            <w:r w:rsidRPr="005864F4">
              <w:rPr>
                <w:sz w:val="18"/>
                <w:szCs w:val="18"/>
              </w:rPr>
              <w:t>—</w:t>
            </w:r>
          </w:p>
        </w:tc>
        <w:tc>
          <w:tcPr>
            <w:tcW w:w="223" w:type="pct"/>
            <w:tcBorders>
              <w:top w:val="dotted" w:sz="4" w:space="0" w:color="000000" w:themeColor="text1"/>
              <w:left w:val="single" w:sz="6" w:space="0" w:color="000000" w:themeColor="text1"/>
              <w:bottom w:val="double" w:sz="4" w:space="0" w:color="000000" w:themeColor="text1"/>
              <w:right w:val="single" w:sz="18" w:space="0" w:color="auto"/>
            </w:tcBorders>
          </w:tcPr>
          <w:p w14:paraId="57C030D0"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dotted" w:sz="4" w:space="0" w:color="000000" w:themeColor="text1"/>
              <w:left w:val="single" w:sz="18" w:space="0" w:color="auto"/>
              <w:bottom w:val="double" w:sz="4" w:space="0" w:color="000000" w:themeColor="text1"/>
              <w:right w:val="single" w:sz="6" w:space="0" w:color="000000" w:themeColor="text1"/>
            </w:tcBorders>
          </w:tcPr>
          <w:p w14:paraId="031D8EF5"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c>
          <w:tcPr>
            <w:tcW w:w="251" w:type="pct"/>
            <w:tcBorders>
              <w:top w:val="dotted" w:sz="4" w:space="0" w:color="000000" w:themeColor="text1"/>
              <w:left w:val="single" w:sz="6" w:space="0" w:color="000000" w:themeColor="text1"/>
              <w:bottom w:val="double" w:sz="4" w:space="0" w:color="000000" w:themeColor="text1"/>
              <w:right w:val="single" w:sz="18" w:space="0" w:color="000000" w:themeColor="text1"/>
            </w:tcBorders>
          </w:tcPr>
          <w:p w14:paraId="2001F5FE" w14:textId="77777777" w:rsidR="00EE5ACB" w:rsidRPr="005864F4" w:rsidRDefault="00EE5ACB" w:rsidP="00154678">
            <w:pPr>
              <w:tabs>
                <w:tab w:val="decimal" w:pos="288"/>
              </w:tabs>
              <w:spacing w:line="210" w:lineRule="auto"/>
              <w:rPr>
                <w:b/>
                <w:bCs/>
                <w:sz w:val="20"/>
                <w:szCs w:val="20"/>
              </w:rPr>
            </w:pPr>
            <w:r w:rsidRPr="005864F4">
              <w:rPr>
                <w:sz w:val="18"/>
                <w:szCs w:val="18"/>
              </w:rPr>
              <w:t>—</w:t>
            </w:r>
          </w:p>
        </w:tc>
      </w:tr>
      <w:tr w:rsidR="00EE5ACB" w:rsidRPr="005864F4" w14:paraId="65AEF1E9" w14:textId="77777777" w:rsidTr="00154678">
        <w:trPr>
          <w:tblHeader/>
        </w:trPr>
        <w:tc>
          <w:tcPr>
            <w:tcW w:w="5000" w:type="pct"/>
            <w:gridSpan w:val="12"/>
            <w:tcBorders>
              <w:top w:val="double" w:sz="4" w:space="0" w:color="000000" w:themeColor="text1"/>
              <w:left w:val="single" w:sz="18" w:space="0" w:color="000000" w:themeColor="text1"/>
              <w:bottom w:val="single" w:sz="12" w:space="0" w:color="000000" w:themeColor="text1"/>
              <w:right w:val="single" w:sz="18" w:space="0" w:color="000000" w:themeColor="text1"/>
            </w:tcBorders>
          </w:tcPr>
          <w:p w14:paraId="6604EAC2" w14:textId="77777777" w:rsidR="00EE5ACB" w:rsidRPr="005864F4" w:rsidRDefault="00EE5ACB" w:rsidP="00154678">
            <w:pPr>
              <w:spacing w:line="210" w:lineRule="auto"/>
              <w:rPr>
                <w:b/>
                <w:bCs/>
                <w:sz w:val="20"/>
                <w:szCs w:val="20"/>
              </w:rPr>
            </w:pPr>
            <w:r w:rsidRPr="005864F4">
              <w:rPr>
                <w:b/>
                <w:bCs/>
                <w:i/>
                <w:iCs/>
                <w:sz w:val="20"/>
                <w:szCs w:val="20"/>
              </w:rPr>
              <w:t>Household-level attributes</w:t>
            </w:r>
          </w:p>
        </w:tc>
      </w:tr>
      <w:tr w:rsidR="00EE5ACB" w:rsidRPr="005864F4" w14:paraId="11593DAD" w14:textId="77777777" w:rsidTr="00AD46B2">
        <w:trPr>
          <w:tblHeader/>
        </w:trPr>
        <w:tc>
          <w:tcPr>
            <w:tcW w:w="1092" w:type="pct"/>
            <w:vMerge w:val="restart"/>
            <w:tcBorders>
              <w:top w:val="single" w:sz="12" w:space="0" w:color="000000" w:themeColor="text1"/>
              <w:left w:val="single" w:sz="18" w:space="0" w:color="000000" w:themeColor="text1"/>
              <w:right w:val="single" w:sz="6" w:space="0" w:color="000000" w:themeColor="text1"/>
            </w:tcBorders>
            <w:vAlign w:val="center"/>
          </w:tcPr>
          <w:p w14:paraId="038364E5" w14:textId="77777777" w:rsidR="00EE5ACB" w:rsidRPr="005864F4" w:rsidRDefault="00EE5ACB" w:rsidP="00154678">
            <w:pPr>
              <w:spacing w:line="210" w:lineRule="auto"/>
              <w:rPr>
                <w:sz w:val="20"/>
                <w:szCs w:val="20"/>
              </w:rPr>
            </w:pPr>
            <w:r w:rsidRPr="005864F4">
              <w:rPr>
                <w:sz w:val="20"/>
                <w:szCs w:val="20"/>
              </w:rPr>
              <w:t>Annual income (less than $25,000)</w:t>
            </w:r>
          </w:p>
        </w:tc>
        <w:tc>
          <w:tcPr>
            <w:tcW w:w="749" w:type="pct"/>
            <w:tcBorders>
              <w:top w:val="single" w:sz="12" w:space="0" w:color="000000" w:themeColor="text1"/>
              <w:left w:val="single" w:sz="6" w:space="0" w:color="000000" w:themeColor="text1"/>
              <w:right w:val="single" w:sz="18" w:space="0" w:color="000000" w:themeColor="text1"/>
            </w:tcBorders>
            <w:vAlign w:val="center"/>
          </w:tcPr>
          <w:p w14:paraId="62C25239" w14:textId="77777777" w:rsidR="00EE5ACB" w:rsidRPr="005864F4" w:rsidRDefault="00EE5ACB" w:rsidP="00154678">
            <w:pPr>
              <w:spacing w:line="210" w:lineRule="auto"/>
              <w:rPr>
                <w:sz w:val="20"/>
                <w:szCs w:val="20"/>
              </w:rPr>
            </w:pPr>
            <w:r w:rsidRPr="005864F4">
              <w:rPr>
                <w:sz w:val="20"/>
                <w:szCs w:val="20"/>
              </w:rPr>
              <w:t>$25,000 – $49,999</w:t>
            </w:r>
          </w:p>
        </w:tc>
        <w:tc>
          <w:tcPr>
            <w:tcW w:w="368" w:type="pct"/>
            <w:tcBorders>
              <w:top w:val="single" w:sz="12" w:space="0" w:color="000000" w:themeColor="text1"/>
              <w:left w:val="single" w:sz="18" w:space="0" w:color="000000" w:themeColor="text1"/>
              <w:right w:val="single" w:sz="18" w:space="0" w:color="000000" w:themeColor="text1"/>
            </w:tcBorders>
            <w:vAlign w:val="center"/>
          </w:tcPr>
          <w:p w14:paraId="53D934EA" w14:textId="77777777" w:rsidR="00EE5ACB" w:rsidRPr="005864F4" w:rsidRDefault="00EE5ACB" w:rsidP="007B1C8A">
            <w:pPr>
              <w:tabs>
                <w:tab w:val="decimal" w:pos="288"/>
              </w:tabs>
              <w:spacing w:line="210" w:lineRule="auto"/>
              <w:jc w:val="center"/>
              <w:rPr>
                <w:sz w:val="20"/>
                <w:szCs w:val="20"/>
              </w:rPr>
            </w:pPr>
            <w:r w:rsidRPr="005864F4">
              <w:rPr>
                <w:sz w:val="20"/>
                <w:szCs w:val="20"/>
              </w:rPr>
              <w:t>-27.35</w:t>
            </w:r>
          </w:p>
        </w:tc>
        <w:tc>
          <w:tcPr>
            <w:tcW w:w="418" w:type="pct"/>
            <w:tcBorders>
              <w:top w:val="single" w:sz="12" w:space="0" w:color="000000" w:themeColor="text1"/>
              <w:left w:val="single" w:sz="18" w:space="0" w:color="000000" w:themeColor="text1"/>
              <w:right w:val="single" w:sz="6" w:space="0" w:color="000000" w:themeColor="text1"/>
            </w:tcBorders>
            <w:vAlign w:val="center"/>
          </w:tcPr>
          <w:p w14:paraId="4ECFD78A"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top w:val="single" w:sz="12" w:space="0" w:color="000000" w:themeColor="text1"/>
              <w:left w:val="single" w:sz="6" w:space="0" w:color="000000" w:themeColor="text1"/>
              <w:right w:val="single" w:sz="6" w:space="0" w:color="000000" w:themeColor="text1"/>
            </w:tcBorders>
            <w:vAlign w:val="center"/>
          </w:tcPr>
          <w:p w14:paraId="168C9D81"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single" w:sz="12" w:space="0" w:color="000000" w:themeColor="text1"/>
              <w:left w:val="single" w:sz="6" w:space="0" w:color="000000" w:themeColor="text1"/>
              <w:right w:val="single" w:sz="6" w:space="0" w:color="000000" w:themeColor="text1"/>
            </w:tcBorders>
          </w:tcPr>
          <w:p w14:paraId="2B832592"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top w:val="single" w:sz="12" w:space="0" w:color="000000" w:themeColor="text1"/>
              <w:left w:val="single" w:sz="6" w:space="0" w:color="000000" w:themeColor="text1"/>
              <w:right w:val="single" w:sz="6" w:space="0" w:color="000000" w:themeColor="text1"/>
            </w:tcBorders>
          </w:tcPr>
          <w:p w14:paraId="6145255C"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single" w:sz="12" w:space="0" w:color="000000" w:themeColor="text1"/>
              <w:left w:val="single" w:sz="6" w:space="0" w:color="000000" w:themeColor="text1"/>
              <w:right w:val="single" w:sz="18" w:space="0" w:color="auto"/>
            </w:tcBorders>
          </w:tcPr>
          <w:p w14:paraId="34B713AA"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single" w:sz="12" w:space="0" w:color="000000" w:themeColor="text1"/>
              <w:left w:val="single" w:sz="18" w:space="0" w:color="auto"/>
              <w:right w:val="single" w:sz="6" w:space="0" w:color="000000" w:themeColor="text1"/>
            </w:tcBorders>
          </w:tcPr>
          <w:p w14:paraId="6E7A210B"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single" w:sz="12" w:space="0" w:color="000000" w:themeColor="text1"/>
              <w:left w:val="single" w:sz="6" w:space="0" w:color="000000" w:themeColor="text1"/>
              <w:right w:val="single" w:sz="18" w:space="0" w:color="auto"/>
            </w:tcBorders>
          </w:tcPr>
          <w:p w14:paraId="5E529D5A"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single" w:sz="12" w:space="0" w:color="000000" w:themeColor="text1"/>
              <w:left w:val="single" w:sz="18" w:space="0" w:color="auto"/>
              <w:right w:val="single" w:sz="6" w:space="0" w:color="000000" w:themeColor="text1"/>
            </w:tcBorders>
          </w:tcPr>
          <w:p w14:paraId="226B775D"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single" w:sz="12" w:space="0" w:color="000000" w:themeColor="text1"/>
              <w:left w:val="single" w:sz="6" w:space="0" w:color="000000" w:themeColor="text1"/>
              <w:right w:val="single" w:sz="18" w:space="0" w:color="000000" w:themeColor="text1"/>
            </w:tcBorders>
          </w:tcPr>
          <w:p w14:paraId="0FCEF352"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0EE3DFE9" w14:textId="77777777" w:rsidTr="00AD46B2">
        <w:trPr>
          <w:tblHeader/>
        </w:trPr>
        <w:tc>
          <w:tcPr>
            <w:tcW w:w="1092" w:type="pct"/>
            <w:vMerge/>
            <w:tcBorders>
              <w:left w:val="single" w:sz="18" w:space="0" w:color="000000" w:themeColor="text1"/>
              <w:right w:val="single" w:sz="6" w:space="0" w:color="000000" w:themeColor="text1"/>
            </w:tcBorders>
          </w:tcPr>
          <w:p w14:paraId="279FC1C2" w14:textId="77777777" w:rsidR="00EE5ACB" w:rsidRPr="005864F4" w:rsidRDefault="00EE5ACB" w:rsidP="00154678">
            <w:pPr>
              <w:rPr>
                <w:sz w:val="20"/>
                <w:szCs w:val="20"/>
              </w:rPr>
            </w:pPr>
          </w:p>
        </w:tc>
        <w:tc>
          <w:tcPr>
            <w:tcW w:w="749" w:type="pct"/>
            <w:tcBorders>
              <w:left w:val="single" w:sz="6" w:space="0" w:color="000000" w:themeColor="text1"/>
              <w:right w:val="single" w:sz="18" w:space="0" w:color="000000" w:themeColor="text1"/>
            </w:tcBorders>
            <w:vAlign w:val="center"/>
          </w:tcPr>
          <w:p w14:paraId="36D8F3E3" w14:textId="77777777" w:rsidR="00EE5ACB" w:rsidRPr="005864F4" w:rsidRDefault="00EE5ACB" w:rsidP="00154678">
            <w:pPr>
              <w:spacing w:line="210" w:lineRule="auto"/>
              <w:rPr>
                <w:sz w:val="20"/>
                <w:szCs w:val="20"/>
              </w:rPr>
            </w:pPr>
            <w:r w:rsidRPr="005864F4">
              <w:rPr>
                <w:sz w:val="20"/>
                <w:szCs w:val="20"/>
              </w:rPr>
              <w:t>$50,000 – $99,999</w:t>
            </w:r>
          </w:p>
        </w:tc>
        <w:tc>
          <w:tcPr>
            <w:tcW w:w="368" w:type="pct"/>
            <w:tcBorders>
              <w:left w:val="single" w:sz="18" w:space="0" w:color="000000" w:themeColor="text1"/>
              <w:right w:val="single" w:sz="18" w:space="0" w:color="000000" w:themeColor="text1"/>
            </w:tcBorders>
            <w:vAlign w:val="center"/>
          </w:tcPr>
          <w:p w14:paraId="3C111F16" w14:textId="77777777" w:rsidR="00EE5ACB" w:rsidRPr="005864F4" w:rsidRDefault="00EE5ACB" w:rsidP="007B1C8A">
            <w:pPr>
              <w:tabs>
                <w:tab w:val="decimal" w:pos="288"/>
              </w:tabs>
              <w:spacing w:line="210" w:lineRule="auto"/>
              <w:jc w:val="center"/>
              <w:rPr>
                <w:sz w:val="20"/>
                <w:szCs w:val="20"/>
              </w:rPr>
            </w:pPr>
            <w:r w:rsidRPr="005864F4">
              <w:rPr>
                <w:sz w:val="20"/>
                <w:szCs w:val="20"/>
              </w:rPr>
              <w:t>-36.34</w:t>
            </w:r>
          </w:p>
        </w:tc>
        <w:tc>
          <w:tcPr>
            <w:tcW w:w="418" w:type="pct"/>
            <w:tcBorders>
              <w:left w:val="single" w:sz="18" w:space="0" w:color="000000" w:themeColor="text1"/>
              <w:right w:val="single" w:sz="6" w:space="0" w:color="000000" w:themeColor="text1"/>
            </w:tcBorders>
            <w:vAlign w:val="center"/>
          </w:tcPr>
          <w:p w14:paraId="77E25DBD"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left w:val="single" w:sz="6" w:space="0" w:color="000000" w:themeColor="text1"/>
              <w:right w:val="single" w:sz="6" w:space="0" w:color="000000" w:themeColor="text1"/>
            </w:tcBorders>
            <w:vAlign w:val="center"/>
          </w:tcPr>
          <w:p w14:paraId="42331831"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left w:val="single" w:sz="6" w:space="0" w:color="000000" w:themeColor="text1"/>
              <w:right w:val="single" w:sz="6" w:space="0" w:color="000000" w:themeColor="text1"/>
            </w:tcBorders>
          </w:tcPr>
          <w:p w14:paraId="3D33E572"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left w:val="single" w:sz="6" w:space="0" w:color="000000" w:themeColor="text1"/>
              <w:right w:val="single" w:sz="6" w:space="0" w:color="000000" w:themeColor="text1"/>
            </w:tcBorders>
            <w:vAlign w:val="center"/>
          </w:tcPr>
          <w:p w14:paraId="0AF6117F" w14:textId="77777777" w:rsidR="00EE5ACB" w:rsidRPr="005864F4" w:rsidRDefault="00EE5ACB" w:rsidP="00154678">
            <w:pPr>
              <w:tabs>
                <w:tab w:val="decimal" w:pos="360"/>
              </w:tabs>
              <w:spacing w:line="210" w:lineRule="auto"/>
              <w:rPr>
                <w:sz w:val="20"/>
                <w:szCs w:val="20"/>
              </w:rPr>
            </w:pPr>
            <w:r w:rsidRPr="005864F4">
              <w:rPr>
                <w:sz w:val="20"/>
                <w:szCs w:val="20"/>
              </w:rPr>
              <w:t>-22.42</w:t>
            </w:r>
          </w:p>
        </w:tc>
        <w:tc>
          <w:tcPr>
            <w:tcW w:w="278" w:type="pct"/>
            <w:tcBorders>
              <w:left w:val="single" w:sz="6" w:space="0" w:color="000000" w:themeColor="text1"/>
              <w:right w:val="single" w:sz="18" w:space="0" w:color="auto"/>
            </w:tcBorders>
          </w:tcPr>
          <w:p w14:paraId="1D09E8C4"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left w:val="single" w:sz="18" w:space="0" w:color="auto"/>
              <w:right w:val="single" w:sz="6" w:space="0" w:color="000000" w:themeColor="text1"/>
            </w:tcBorders>
          </w:tcPr>
          <w:p w14:paraId="20336073"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left w:val="single" w:sz="6" w:space="0" w:color="000000" w:themeColor="text1"/>
              <w:right w:val="single" w:sz="18" w:space="0" w:color="auto"/>
            </w:tcBorders>
          </w:tcPr>
          <w:p w14:paraId="6E07ECEC" w14:textId="77777777" w:rsidR="00EE5ACB" w:rsidRPr="005864F4" w:rsidRDefault="00EE5ACB" w:rsidP="00154678">
            <w:pPr>
              <w:tabs>
                <w:tab w:val="decimal" w:pos="288"/>
              </w:tabs>
              <w:spacing w:line="210" w:lineRule="auto"/>
              <w:rPr>
                <w:sz w:val="20"/>
                <w:szCs w:val="20"/>
              </w:rPr>
            </w:pPr>
            <w:r w:rsidRPr="005864F4">
              <w:rPr>
                <w:sz w:val="20"/>
                <w:szCs w:val="20"/>
              </w:rPr>
              <w:t>-23.24</w:t>
            </w:r>
          </w:p>
        </w:tc>
        <w:tc>
          <w:tcPr>
            <w:tcW w:w="251" w:type="pct"/>
            <w:tcBorders>
              <w:left w:val="single" w:sz="18" w:space="0" w:color="auto"/>
              <w:right w:val="single" w:sz="6" w:space="0" w:color="000000" w:themeColor="text1"/>
            </w:tcBorders>
          </w:tcPr>
          <w:p w14:paraId="41190F13"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left w:val="single" w:sz="6" w:space="0" w:color="000000" w:themeColor="text1"/>
              <w:right w:val="single" w:sz="18" w:space="0" w:color="000000" w:themeColor="text1"/>
            </w:tcBorders>
          </w:tcPr>
          <w:p w14:paraId="796410C2"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12877492" w14:textId="77777777" w:rsidTr="00AD46B2">
        <w:trPr>
          <w:tblHeader/>
        </w:trPr>
        <w:tc>
          <w:tcPr>
            <w:tcW w:w="1092" w:type="pct"/>
            <w:vMerge/>
            <w:tcBorders>
              <w:left w:val="single" w:sz="18" w:space="0" w:color="000000" w:themeColor="text1"/>
              <w:right w:val="single" w:sz="6" w:space="0" w:color="000000" w:themeColor="text1"/>
            </w:tcBorders>
          </w:tcPr>
          <w:p w14:paraId="5711A3D1" w14:textId="77777777" w:rsidR="00EE5ACB" w:rsidRPr="005864F4" w:rsidRDefault="00EE5ACB" w:rsidP="00154678">
            <w:pPr>
              <w:rPr>
                <w:sz w:val="20"/>
                <w:szCs w:val="20"/>
              </w:rPr>
            </w:pPr>
          </w:p>
        </w:tc>
        <w:tc>
          <w:tcPr>
            <w:tcW w:w="749" w:type="pct"/>
            <w:tcBorders>
              <w:left w:val="single" w:sz="6" w:space="0" w:color="000000" w:themeColor="text1"/>
              <w:right w:val="single" w:sz="18" w:space="0" w:color="000000" w:themeColor="text1"/>
            </w:tcBorders>
            <w:vAlign w:val="center"/>
          </w:tcPr>
          <w:p w14:paraId="5AC66F47" w14:textId="77777777" w:rsidR="00EE5ACB" w:rsidRPr="005864F4" w:rsidRDefault="00EE5ACB" w:rsidP="00154678">
            <w:pPr>
              <w:spacing w:line="210" w:lineRule="auto"/>
              <w:rPr>
                <w:sz w:val="20"/>
                <w:szCs w:val="20"/>
              </w:rPr>
            </w:pPr>
            <w:r w:rsidRPr="005864F4">
              <w:rPr>
                <w:sz w:val="20"/>
                <w:szCs w:val="20"/>
              </w:rPr>
              <w:t>$100,000 – $149,999</w:t>
            </w:r>
          </w:p>
        </w:tc>
        <w:tc>
          <w:tcPr>
            <w:tcW w:w="368" w:type="pct"/>
            <w:tcBorders>
              <w:left w:val="single" w:sz="18" w:space="0" w:color="000000" w:themeColor="text1"/>
              <w:right w:val="single" w:sz="18" w:space="0" w:color="000000" w:themeColor="text1"/>
            </w:tcBorders>
            <w:vAlign w:val="bottom"/>
          </w:tcPr>
          <w:p w14:paraId="09A7D548" w14:textId="77777777" w:rsidR="00EE5ACB" w:rsidRPr="005864F4" w:rsidRDefault="00EE5ACB" w:rsidP="007B1C8A">
            <w:pPr>
              <w:tabs>
                <w:tab w:val="decimal" w:pos="288"/>
              </w:tabs>
              <w:spacing w:line="210" w:lineRule="auto"/>
              <w:jc w:val="center"/>
              <w:rPr>
                <w:sz w:val="20"/>
                <w:szCs w:val="20"/>
              </w:rPr>
            </w:pPr>
            <w:r w:rsidRPr="005864F4">
              <w:rPr>
                <w:sz w:val="20"/>
                <w:szCs w:val="20"/>
              </w:rPr>
              <w:t>-29.05</w:t>
            </w:r>
          </w:p>
        </w:tc>
        <w:tc>
          <w:tcPr>
            <w:tcW w:w="418" w:type="pct"/>
            <w:tcBorders>
              <w:left w:val="single" w:sz="18" w:space="0" w:color="000000" w:themeColor="text1"/>
              <w:right w:val="single" w:sz="6" w:space="0" w:color="000000" w:themeColor="text1"/>
            </w:tcBorders>
          </w:tcPr>
          <w:p w14:paraId="06ADE082"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left w:val="single" w:sz="6" w:space="0" w:color="000000" w:themeColor="text1"/>
              <w:right w:val="single" w:sz="6" w:space="0" w:color="000000" w:themeColor="text1"/>
            </w:tcBorders>
            <w:vAlign w:val="bottom"/>
          </w:tcPr>
          <w:p w14:paraId="578A9B4A" w14:textId="77777777" w:rsidR="00EE5ACB" w:rsidRPr="005864F4" w:rsidRDefault="00EE5ACB" w:rsidP="00154678">
            <w:pPr>
              <w:tabs>
                <w:tab w:val="decimal" w:pos="288"/>
              </w:tabs>
              <w:spacing w:line="210" w:lineRule="auto"/>
              <w:rPr>
                <w:sz w:val="20"/>
                <w:szCs w:val="20"/>
              </w:rPr>
            </w:pPr>
            <w:r w:rsidRPr="005864F4">
              <w:rPr>
                <w:sz w:val="20"/>
                <w:szCs w:val="20"/>
              </w:rPr>
              <w:t>-12.56</w:t>
            </w:r>
          </w:p>
        </w:tc>
        <w:tc>
          <w:tcPr>
            <w:tcW w:w="437" w:type="pct"/>
            <w:tcBorders>
              <w:left w:val="single" w:sz="6" w:space="0" w:color="000000" w:themeColor="text1"/>
              <w:right w:val="single" w:sz="6" w:space="0" w:color="000000" w:themeColor="text1"/>
            </w:tcBorders>
          </w:tcPr>
          <w:p w14:paraId="7B744B55"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left w:val="single" w:sz="6" w:space="0" w:color="000000" w:themeColor="text1"/>
              <w:right w:val="single" w:sz="6" w:space="0" w:color="000000" w:themeColor="text1"/>
            </w:tcBorders>
            <w:vAlign w:val="center"/>
          </w:tcPr>
          <w:p w14:paraId="377AF9D6" w14:textId="77777777" w:rsidR="00EE5ACB" w:rsidRPr="005864F4" w:rsidRDefault="00EE5ACB" w:rsidP="00154678">
            <w:pPr>
              <w:tabs>
                <w:tab w:val="decimal" w:pos="360"/>
              </w:tabs>
              <w:spacing w:line="210" w:lineRule="auto"/>
              <w:rPr>
                <w:sz w:val="20"/>
                <w:szCs w:val="20"/>
              </w:rPr>
            </w:pPr>
            <w:r w:rsidRPr="005864F4">
              <w:rPr>
                <w:sz w:val="20"/>
                <w:szCs w:val="20"/>
              </w:rPr>
              <w:t>-21.67</w:t>
            </w:r>
          </w:p>
        </w:tc>
        <w:tc>
          <w:tcPr>
            <w:tcW w:w="278" w:type="pct"/>
            <w:tcBorders>
              <w:left w:val="single" w:sz="6" w:space="0" w:color="000000" w:themeColor="text1"/>
              <w:right w:val="single" w:sz="18" w:space="0" w:color="auto"/>
            </w:tcBorders>
            <w:vAlign w:val="bottom"/>
          </w:tcPr>
          <w:p w14:paraId="03CF4742" w14:textId="77777777" w:rsidR="00EE5ACB" w:rsidRPr="005864F4" w:rsidRDefault="00EE5ACB" w:rsidP="00154678">
            <w:pPr>
              <w:tabs>
                <w:tab w:val="decimal" w:pos="360"/>
              </w:tabs>
              <w:spacing w:line="210" w:lineRule="auto"/>
              <w:rPr>
                <w:sz w:val="20"/>
                <w:szCs w:val="20"/>
              </w:rPr>
            </w:pPr>
            <w:r w:rsidRPr="005864F4">
              <w:rPr>
                <w:sz w:val="20"/>
                <w:szCs w:val="20"/>
              </w:rPr>
              <w:t>-14.67</w:t>
            </w:r>
          </w:p>
        </w:tc>
        <w:tc>
          <w:tcPr>
            <w:tcW w:w="380" w:type="pct"/>
            <w:tcBorders>
              <w:left w:val="single" w:sz="18" w:space="0" w:color="auto"/>
              <w:right w:val="single" w:sz="6" w:space="0" w:color="000000" w:themeColor="text1"/>
            </w:tcBorders>
            <w:vAlign w:val="bottom"/>
          </w:tcPr>
          <w:p w14:paraId="41ED7183" w14:textId="77777777" w:rsidR="00EE5ACB" w:rsidRPr="005864F4" w:rsidRDefault="00EE5ACB" w:rsidP="00154678">
            <w:pPr>
              <w:tabs>
                <w:tab w:val="decimal" w:pos="432"/>
              </w:tabs>
              <w:spacing w:line="210" w:lineRule="auto"/>
              <w:rPr>
                <w:sz w:val="20"/>
                <w:szCs w:val="20"/>
              </w:rPr>
            </w:pPr>
            <w:r w:rsidRPr="005864F4">
              <w:rPr>
                <w:sz w:val="20"/>
                <w:szCs w:val="20"/>
              </w:rPr>
              <w:t>12.83</w:t>
            </w:r>
          </w:p>
        </w:tc>
        <w:tc>
          <w:tcPr>
            <w:tcW w:w="223" w:type="pct"/>
            <w:tcBorders>
              <w:left w:val="single" w:sz="6" w:space="0" w:color="000000" w:themeColor="text1"/>
              <w:right w:val="single" w:sz="18" w:space="0" w:color="auto"/>
            </w:tcBorders>
          </w:tcPr>
          <w:p w14:paraId="4D2893D1" w14:textId="77777777" w:rsidR="00EE5ACB" w:rsidRPr="005864F4" w:rsidRDefault="00EE5ACB" w:rsidP="00154678">
            <w:pPr>
              <w:tabs>
                <w:tab w:val="decimal" w:pos="288"/>
              </w:tabs>
              <w:spacing w:line="210" w:lineRule="auto"/>
              <w:rPr>
                <w:sz w:val="20"/>
                <w:szCs w:val="20"/>
              </w:rPr>
            </w:pPr>
            <w:r w:rsidRPr="005864F4">
              <w:rPr>
                <w:sz w:val="20"/>
                <w:szCs w:val="20"/>
              </w:rPr>
              <w:t>-37.95</w:t>
            </w:r>
          </w:p>
        </w:tc>
        <w:tc>
          <w:tcPr>
            <w:tcW w:w="251" w:type="pct"/>
            <w:tcBorders>
              <w:left w:val="single" w:sz="18" w:space="0" w:color="auto"/>
              <w:right w:val="single" w:sz="6" w:space="0" w:color="000000" w:themeColor="text1"/>
            </w:tcBorders>
          </w:tcPr>
          <w:p w14:paraId="28BBA1FA"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left w:val="single" w:sz="6" w:space="0" w:color="000000" w:themeColor="text1"/>
              <w:right w:val="single" w:sz="18" w:space="0" w:color="000000" w:themeColor="text1"/>
            </w:tcBorders>
          </w:tcPr>
          <w:p w14:paraId="4141C09F"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17FA3204" w14:textId="77777777" w:rsidTr="00AD46B2">
        <w:trPr>
          <w:tblHeader/>
        </w:trPr>
        <w:tc>
          <w:tcPr>
            <w:tcW w:w="1092" w:type="pct"/>
            <w:vMerge/>
            <w:tcBorders>
              <w:left w:val="single" w:sz="18" w:space="0" w:color="000000" w:themeColor="text1"/>
              <w:bottom w:val="dotted" w:sz="4" w:space="0" w:color="000000" w:themeColor="text1"/>
              <w:right w:val="single" w:sz="6" w:space="0" w:color="000000" w:themeColor="text1"/>
            </w:tcBorders>
          </w:tcPr>
          <w:p w14:paraId="718FD296" w14:textId="77777777" w:rsidR="00EE5ACB" w:rsidRPr="005864F4" w:rsidRDefault="00EE5ACB" w:rsidP="00154678">
            <w:pPr>
              <w:rPr>
                <w:sz w:val="20"/>
                <w:szCs w:val="20"/>
              </w:rPr>
            </w:pPr>
          </w:p>
        </w:tc>
        <w:tc>
          <w:tcPr>
            <w:tcW w:w="749" w:type="pct"/>
            <w:tcBorders>
              <w:left w:val="single" w:sz="6" w:space="0" w:color="000000" w:themeColor="text1"/>
              <w:bottom w:val="dotted" w:sz="4" w:space="0" w:color="000000" w:themeColor="text1"/>
              <w:right w:val="single" w:sz="18" w:space="0" w:color="000000" w:themeColor="text1"/>
            </w:tcBorders>
          </w:tcPr>
          <w:p w14:paraId="358EC49F" w14:textId="77777777" w:rsidR="00EE5ACB" w:rsidRPr="005864F4" w:rsidRDefault="00EE5ACB" w:rsidP="00154678">
            <w:pPr>
              <w:spacing w:line="210" w:lineRule="auto"/>
              <w:rPr>
                <w:sz w:val="20"/>
                <w:szCs w:val="20"/>
              </w:rPr>
            </w:pPr>
            <w:r w:rsidRPr="005864F4">
              <w:rPr>
                <w:sz w:val="20"/>
                <w:szCs w:val="20"/>
              </w:rPr>
              <w:t>$150,000 or more</w:t>
            </w:r>
          </w:p>
        </w:tc>
        <w:tc>
          <w:tcPr>
            <w:tcW w:w="368" w:type="pct"/>
            <w:tcBorders>
              <w:left w:val="single" w:sz="18" w:space="0" w:color="000000" w:themeColor="text1"/>
              <w:bottom w:val="dotted" w:sz="4" w:space="0" w:color="000000" w:themeColor="text1"/>
              <w:right w:val="single" w:sz="18" w:space="0" w:color="000000" w:themeColor="text1"/>
            </w:tcBorders>
            <w:vAlign w:val="bottom"/>
          </w:tcPr>
          <w:p w14:paraId="4119D29E" w14:textId="77777777" w:rsidR="00EE5ACB" w:rsidRPr="005864F4" w:rsidRDefault="00EE5ACB" w:rsidP="007B1C8A">
            <w:pPr>
              <w:tabs>
                <w:tab w:val="decimal" w:pos="288"/>
              </w:tabs>
              <w:spacing w:line="210" w:lineRule="auto"/>
              <w:jc w:val="center"/>
              <w:rPr>
                <w:sz w:val="20"/>
                <w:szCs w:val="20"/>
              </w:rPr>
            </w:pPr>
            <w:r w:rsidRPr="005864F4">
              <w:rPr>
                <w:sz w:val="20"/>
                <w:szCs w:val="20"/>
              </w:rPr>
              <w:t>-29.05</w:t>
            </w:r>
          </w:p>
        </w:tc>
        <w:tc>
          <w:tcPr>
            <w:tcW w:w="418" w:type="pct"/>
            <w:tcBorders>
              <w:left w:val="single" w:sz="18" w:space="0" w:color="000000" w:themeColor="text1"/>
              <w:bottom w:val="dotted" w:sz="4" w:space="0" w:color="000000" w:themeColor="text1"/>
              <w:right w:val="single" w:sz="6" w:space="0" w:color="000000" w:themeColor="text1"/>
            </w:tcBorders>
          </w:tcPr>
          <w:p w14:paraId="16B1BC7C"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left w:val="single" w:sz="6" w:space="0" w:color="000000" w:themeColor="text1"/>
              <w:bottom w:val="dotted" w:sz="4" w:space="0" w:color="000000" w:themeColor="text1"/>
              <w:right w:val="single" w:sz="6" w:space="0" w:color="000000" w:themeColor="text1"/>
            </w:tcBorders>
            <w:vAlign w:val="bottom"/>
          </w:tcPr>
          <w:p w14:paraId="3B98A6A8" w14:textId="77777777" w:rsidR="00EE5ACB" w:rsidRPr="005864F4" w:rsidRDefault="00EE5ACB" w:rsidP="00154678">
            <w:pPr>
              <w:tabs>
                <w:tab w:val="decimal" w:pos="288"/>
              </w:tabs>
              <w:spacing w:line="210" w:lineRule="auto"/>
              <w:rPr>
                <w:sz w:val="20"/>
                <w:szCs w:val="20"/>
              </w:rPr>
            </w:pPr>
            <w:r w:rsidRPr="005864F4">
              <w:rPr>
                <w:sz w:val="20"/>
                <w:szCs w:val="20"/>
              </w:rPr>
              <w:t>-12.56</w:t>
            </w:r>
          </w:p>
        </w:tc>
        <w:tc>
          <w:tcPr>
            <w:tcW w:w="437" w:type="pct"/>
            <w:tcBorders>
              <w:left w:val="single" w:sz="6" w:space="0" w:color="000000" w:themeColor="text1"/>
              <w:bottom w:val="dotted" w:sz="4" w:space="0" w:color="000000" w:themeColor="text1"/>
              <w:right w:val="single" w:sz="6" w:space="0" w:color="000000" w:themeColor="text1"/>
            </w:tcBorders>
          </w:tcPr>
          <w:p w14:paraId="6A3E4B0D"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left w:val="single" w:sz="6" w:space="0" w:color="000000" w:themeColor="text1"/>
              <w:bottom w:val="dotted" w:sz="4" w:space="0" w:color="000000" w:themeColor="text1"/>
              <w:right w:val="single" w:sz="6" w:space="0" w:color="000000" w:themeColor="text1"/>
            </w:tcBorders>
            <w:vAlign w:val="center"/>
          </w:tcPr>
          <w:p w14:paraId="72D2319F" w14:textId="77777777" w:rsidR="00EE5ACB" w:rsidRPr="005864F4" w:rsidRDefault="00EE5ACB" w:rsidP="00154678">
            <w:pPr>
              <w:tabs>
                <w:tab w:val="decimal" w:pos="360"/>
              </w:tabs>
              <w:spacing w:line="210" w:lineRule="auto"/>
              <w:rPr>
                <w:sz w:val="20"/>
                <w:szCs w:val="20"/>
              </w:rPr>
            </w:pPr>
            <w:r w:rsidRPr="005864F4">
              <w:rPr>
                <w:sz w:val="20"/>
                <w:szCs w:val="20"/>
              </w:rPr>
              <w:t>-30.62</w:t>
            </w:r>
          </w:p>
        </w:tc>
        <w:tc>
          <w:tcPr>
            <w:tcW w:w="278" w:type="pct"/>
            <w:tcBorders>
              <w:left w:val="single" w:sz="6" w:space="0" w:color="000000" w:themeColor="text1"/>
              <w:bottom w:val="dotted" w:sz="4" w:space="0" w:color="000000" w:themeColor="text1"/>
              <w:right w:val="single" w:sz="18" w:space="0" w:color="auto"/>
            </w:tcBorders>
            <w:vAlign w:val="bottom"/>
          </w:tcPr>
          <w:p w14:paraId="04C6A34A" w14:textId="77777777" w:rsidR="00EE5ACB" w:rsidRPr="005864F4" w:rsidRDefault="00EE5ACB" w:rsidP="00154678">
            <w:pPr>
              <w:tabs>
                <w:tab w:val="decimal" w:pos="360"/>
              </w:tabs>
              <w:spacing w:line="210" w:lineRule="auto"/>
              <w:rPr>
                <w:sz w:val="20"/>
                <w:szCs w:val="20"/>
              </w:rPr>
            </w:pPr>
            <w:r w:rsidRPr="005864F4">
              <w:rPr>
                <w:sz w:val="20"/>
                <w:szCs w:val="20"/>
              </w:rPr>
              <w:t>-14.67</w:t>
            </w:r>
          </w:p>
        </w:tc>
        <w:tc>
          <w:tcPr>
            <w:tcW w:w="380" w:type="pct"/>
            <w:tcBorders>
              <w:left w:val="single" w:sz="18" w:space="0" w:color="auto"/>
              <w:bottom w:val="dotted" w:sz="4" w:space="0" w:color="000000" w:themeColor="text1"/>
              <w:right w:val="single" w:sz="6" w:space="0" w:color="000000" w:themeColor="text1"/>
            </w:tcBorders>
            <w:vAlign w:val="bottom"/>
          </w:tcPr>
          <w:p w14:paraId="5373118B" w14:textId="77777777" w:rsidR="00EE5ACB" w:rsidRPr="005864F4" w:rsidRDefault="00EE5ACB" w:rsidP="00154678">
            <w:pPr>
              <w:tabs>
                <w:tab w:val="decimal" w:pos="432"/>
              </w:tabs>
              <w:spacing w:line="210" w:lineRule="auto"/>
              <w:rPr>
                <w:sz w:val="20"/>
                <w:szCs w:val="20"/>
              </w:rPr>
            </w:pPr>
            <w:r w:rsidRPr="005864F4">
              <w:rPr>
                <w:sz w:val="20"/>
                <w:szCs w:val="20"/>
              </w:rPr>
              <w:t>12.83</w:t>
            </w:r>
          </w:p>
        </w:tc>
        <w:tc>
          <w:tcPr>
            <w:tcW w:w="223" w:type="pct"/>
            <w:tcBorders>
              <w:left w:val="single" w:sz="6" w:space="0" w:color="000000" w:themeColor="text1"/>
              <w:bottom w:val="dotted" w:sz="4" w:space="0" w:color="000000" w:themeColor="text1"/>
              <w:right w:val="single" w:sz="18" w:space="0" w:color="auto"/>
            </w:tcBorders>
            <w:vAlign w:val="center"/>
          </w:tcPr>
          <w:p w14:paraId="0074DC2A" w14:textId="77777777" w:rsidR="00EE5ACB" w:rsidRPr="005864F4" w:rsidRDefault="00EE5ACB" w:rsidP="00154678">
            <w:pPr>
              <w:tabs>
                <w:tab w:val="decimal" w:pos="288"/>
              </w:tabs>
              <w:spacing w:line="210" w:lineRule="auto"/>
              <w:rPr>
                <w:sz w:val="20"/>
                <w:szCs w:val="20"/>
              </w:rPr>
            </w:pPr>
            <w:r w:rsidRPr="005864F4">
              <w:rPr>
                <w:sz w:val="20"/>
                <w:szCs w:val="20"/>
              </w:rPr>
              <w:t>-31.92</w:t>
            </w:r>
          </w:p>
        </w:tc>
        <w:tc>
          <w:tcPr>
            <w:tcW w:w="251" w:type="pct"/>
            <w:tcBorders>
              <w:left w:val="single" w:sz="18" w:space="0" w:color="auto"/>
              <w:bottom w:val="dotted" w:sz="4" w:space="0" w:color="000000" w:themeColor="text1"/>
              <w:right w:val="single" w:sz="6" w:space="0" w:color="000000" w:themeColor="text1"/>
            </w:tcBorders>
          </w:tcPr>
          <w:p w14:paraId="1E2EE27E" w14:textId="77777777" w:rsidR="00EE5ACB" w:rsidRPr="005864F4" w:rsidRDefault="00EE5ACB" w:rsidP="00154678">
            <w:pPr>
              <w:tabs>
                <w:tab w:val="decimal" w:pos="288"/>
              </w:tabs>
              <w:spacing w:line="210" w:lineRule="auto"/>
            </w:pPr>
            <w:r w:rsidRPr="005864F4">
              <w:rPr>
                <w:b/>
                <w:bCs/>
                <w:sz w:val="20"/>
                <w:szCs w:val="20"/>
              </w:rPr>
              <w:t>—</w:t>
            </w:r>
          </w:p>
        </w:tc>
        <w:tc>
          <w:tcPr>
            <w:tcW w:w="251" w:type="pct"/>
            <w:tcBorders>
              <w:left w:val="single" w:sz="6" w:space="0" w:color="000000" w:themeColor="text1"/>
              <w:bottom w:val="dotted" w:sz="4" w:space="0" w:color="000000" w:themeColor="text1"/>
              <w:right w:val="single" w:sz="18" w:space="0" w:color="000000" w:themeColor="text1"/>
            </w:tcBorders>
            <w:vAlign w:val="center"/>
          </w:tcPr>
          <w:p w14:paraId="07B3CE33" w14:textId="77777777" w:rsidR="00EE5ACB" w:rsidRPr="005864F4" w:rsidRDefault="00EE5ACB" w:rsidP="00154678">
            <w:pPr>
              <w:tabs>
                <w:tab w:val="decimal" w:pos="288"/>
              </w:tabs>
              <w:spacing w:line="210" w:lineRule="auto"/>
            </w:pPr>
            <w:r w:rsidRPr="005864F4">
              <w:rPr>
                <w:sz w:val="20"/>
                <w:szCs w:val="20"/>
              </w:rPr>
              <w:t>28.69</w:t>
            </w:r>
          </w:p>
        </w:tc>
      </w:tr>
      <w:tr w:rsidR="00EE5ACB" w:rsidRPr="005864F4" w14:paraId="2185F68C" w14:textId="77777777" w:rsidTr="00AD46B2">
        <w:trPr>
          <w:tblHeader/>
        </w:trPr>
        <w:tc>
          <w:tcPr>
            <w:tcW w:w="1092"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745D771D" w14:textId="77777777" w:rsidR="00EE5ACB" w:rsidRPr="005864F4" w:rsidRDefault="00EE5ACB" w:rsidP="00154678">
            <w:pPr>
              <w:spacing w:line="210" w:lineRule="auto"/>
              <w:rPr>
                <w:sz w:val="20"/>
                <w:szCs w:val="20"/>
              </w:rPr>
            </w:pPr>
            <w:r w:rsidRPr="005864F4">
              <w:rPr>
                <w:sz w:val="20"/>
                <w:szCs w:val="20"/>
              </w:rPr>
              <w:t>Household size (one person)</w:t>
            </w:r>
          </w:p>
        </w:tc>
        <w:tc>
          <w:tcPr>
            <w:tcW w:w="749"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40AF89CF" w14:textId="77777777" w:rsidR="00EE5ACB" w:rsidRPr="005864F4" w:rsidRDefault="00EE5ACB" w:rsidP="00154678">
            <w:pPr>
              <w:spacing w:line="210" w:lineRule="auto"/>
              <w:rPr>
                <w:sz w:val="20"/>
                <w:szCs w:val="20"/>
              </w:rPr>
            </w:pPr>
            <w:r w:rsidRPr="005864F4">
              <w:rPr>
                <w:sz w:val="20"/>
                <w:szCs w:val="20"/>
              </w:rPr>
              <w:t>Two or more</w:t>
            </w:r>
          </w:p>
        </w:tc>
        <w:tc>
          <w:tcPr>
            <w:tcW w:w="368" w:type="pct"/>
            <w:tcBorders>
              <w:top w:val="dotted" w:sz="4" w:space="0" w:color="000000" w:themeColor="text1"/>
              <w:left w:val="single" w:sz="18" w:space="0" w:color="000000" w:themeColor="text1"/>
              <w:bottom w:val="dotted" w:sz="4" w:space="0" w:color="000000" w:themeColor="text1"/>
              <w:right w:val="single" w:sz="18" w:space="0" w:color="000000" w:themeColor="text1"/>
            </w:tcBorders>
            <w:vAlign w:val="center"/>
          </w:tcPr>
          <w:p w14:paraId="2946AC95" w14:textId="77777777" w:rsidR="00EE5ACB" w:rsidRPr="005864F4" w:rsidRDefault="00EE5ACB" w:rsidP="007B1C8A">
            <w:pPr>
              <w:tabs>
                <w:tab w:val="decimal" w:pos="288"/>
              </w:tabs>
              <w:spacing w:line="210" w:lineRule="auto"/>
              <w:jc w:val="center"/>
              <w:rPr>
                <w:sz w:val="20"/>
                <w:szCs w:val="20"/>
              </w:rPr>
            </w:pPr>
            <w:r w:rsidRPr="005864F4">
              <w:rPr>
                <w:b/>
                <w:bCs/>
                <w:sz w:val="20"/>
                <w:szCs w:val="20"/>
              </w:rPr>
              <w:t>—</w:t>
            </w:r>
          </w:p>
        </w:tc>
        <w:tc>
          <w:tcPr>
            <w:tcW w:w="418"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17579690"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1637E244"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78EFF6E8"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28E028EE" w14:textId="77777777" w:rsidR="00EE5ACB" w:rsidRPr="005864F4" w:rsidRDefault="00EE5ACB" w:rsidP="00154678">
            <w:pPr>
              <w:tabs>
                <w:tab w:val="decimal" w:pos="360"/>
              </w:tabs>
              <w:spacing w:line="210" w:lineRule="auto"/>
              <w:rPr>
                <w:sz w:val="20"/>
                <w:szCs w:val="20"/>
              </w:rPr>
            </w:pPr>
            <w:r w:rsidRPr="005864F4">
              <w:rPr>
                <w:sz w:val="20"/>
                <w:szCs w:val="20"/>
              </w:rPr>
              <w:t>34.74</w:t>
            </w:r>
          </w:p>
        </w:tc>
        <w:tc>
          <w:tcPr>
            <w:tcW w:w="278" w:type="pct"/>
            <w:tcBorders>
              <w:top w:val="dotted" w:sz="4" w:space="0" w:color="000000" w:themeColor="text1"/>
              <w:left w:val="single" w:sz="6" w:space="0" w:color="000000" w:themeColor="text1"/>
              <w:bottom w:val="dotted" w:sz="4" w:space="0" w:color="000000" w:themeColor="text1"/>
              <w:right w:val="single" w:sz="18" w:space="0" w:color="auto"/>
            </w:tcBorders>
          </w:tcPr>
          <w:p w14:paraId="3A8EF5AC"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bottom w:val="dotted" w:sz="4" w:space="0" w:color="000000" w:themeColor="text1"/>
              <w:right w:val="single" w:sz="6" w:space="0" w:color="000000" w:themeColor="text1"/>
            </w:tcBorders>
          </w:tcPr>
          <w:p w14:paraId="19739EB4"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bottom w:val="dotted" w:sz="4" w:space="0" w:color="000000" w:themeColor="text1"/>
              <w:right w:val="single" w:sz="18" w:space="0" w:color="auto"/>
            </w:tcBorders>
          </w:tcPr>
          <w:p w14:paraId="039C235B"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180503DF" w14:textId="77777777" w:rsidR="00EE5ACB" w:rsidRPr="005864F4" w:rsidRDefault="00EE5ACB" w:rsidP="00154678">
            <w:pPr>
              <w:tabs>
                <w:tab w:val="decimal" w:pos="288"/>
              </w:tabs>
              <w:spacing w:line="210" w:lineRule="auto"/>
              <w:rPr>
                <w:sz w:val="20"/>
                <w:szCs w:val="20"/>
              </w:rPr>
            </w:pPr>
            <w:r w:rsidRPr="005864F4">
              <w:rPr>
                <w:sz w:val="20"/>
                <w:szCs w:val="20"/>
              </w:rPr>
              <w:t>17.02</w:t>
            </w:r>
          </w:p>
        </w:tc>
        <w:tc>
          <w:tcPr>
            <w:tcW w:w="251" w:type="pct"/>
            <w:tcBorders>
              <w:top w:val="dotted" w:sz="4" w:space="0" w:color="000000" w:themeColor="text1"/>
              <w:left w:val="single" w:sz="6" w:space="0" w:color="000000" w:themeColor="text1"/>
              <w:bottom w:val="dotted" w:sz="4" w:space="0" w:color="000000" w:themeColor="text1"/>
              <w:right w:val="single" w:sz="18" w:space="0" w:color="000000" w:themeColor="text1"/>
            </w:tcBorders>
            <w:vAlign w:val="center"/>
          </w:tcPr>
          <w:p w14:paraId="13724321"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6F789AC3" w14:textId="77777777" w:rsidTr="00AD46B2">
        <w:trPr>
          <w:tblHeader/>
        </w:trPr>
        <w:tc>
          <w:tcPr>
            <w:tcW w:w="1092"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2B501D1F" w14:textId="77777777" w:rsidR="00EE5ACB" w:rsidRPr="005864F4" w:rsidRDefault="00EE5ACB" w:rsidP="00154678">
            <w:pPr>
              <w:spacing w:line="210" w:lineRule="auto"/>
              <w:rPr>
                <w:sz w:val="20"/>
                <w:szCs w:val="20"/>
              </w:rPr>
            </w:pPr>
            <w:r w:rsidRPr="005864F4">
              <w:rPr>
                <w:sz w:val="20"/>
                <w:szCs w:val="20"/>
              </w:rPr>
              <w:t>Presence of children (none)</w:t>
            </w:r>
          </w:p>
        </w:tc>
        <w:tc>
          <w:tcPr>
            <w:tcW w:w="749"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3B79F3F2" w14:textId="77777777" w:rsidR="00EE5ACB" w:rsidRPr="005864F4" w:rsidRDefault="00EE5ACB" w:rsidP="00154678">
            <w:pPr>
              <w:spacing w:line="210" w:lineRule="auto"/>
              <w:rPr>
                <w:sz w:val="20"/>
                <w:szCs w:val="20"/>
              </w:rPr>
            </w:pPr>
            <w:r w:rsidRPr="005864F4">
              <w:rPr>
                <w:sz w:val="20"/>
                <w:szCs w:val="20"/>
              </w:rPr>
              <w:t>One or more</w:t>
            </w:r>
          </w:p>
        </w:tc>
        <w:tc>
          <w:tcPr>
            <w:tcW w:w="368" w:type="pct"/>
            <w:tcBorders>
              <w:top w:val="dotted" w:sz="4" w:space="0" w:color="000000" w:themeColor="text1"/>
              <w:left w:val="single" w:sz="18" w:space="0" w:color="000000" w:themeColor="text1"/>
              <w:bottom w:val="dotted" w:sz="4" w:space="0" w:color="000000" w:themeColor="text1"/>
              <w:right w:val="single" w:sz="18" w:space="0" w:color="000000" w:themeColor="text1"/>
            </w:tcBorders>
            <w:vAlign w:val="center"/>
          </w:tcPr>
          <w:p w14:paraId="509061E8" w14:textId="77777777" w:rsidR="00EE5ACB" w:rsidRPr="005864F4" w:rsidRDefault="00EE5ACB" w:rsidP="007B1C8A">
            <w:pPr>
              <w:tabs>
                <w:tab w:val="decimal" w:pos="288"/>
              </w:tabs>
              <w:spacing w:line="210" w:lineRule="auto"/>
              <w:jc w:val="center"/>
              <w:rPr>
                <w:sz w:val="20"/>
                <w:szCs w:val="20"/>
              </w:rPr>
            </w:pPr>
            <w:r w:rsidRPr="005864F4">
              <w:rPr>
                <w:b/>
                <w:bCs/>
                <w:sz w:val="20"/>
                <w:szCs w:val="20"/>
              </w:rPr>
              <w:t>—</w:t>
            </w:r>
          </w:p>
        </w:tc>
        <w:tc>
          <w:tcPr>
            <w:tcW w:w="418"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4E08D6B3"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44216D90"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517513AA"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13803F3F"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dotted" w:sz="4" w:space="0" w:color="000000" w:themeColor="text1"/>
              <w:left w:val="single" w:sz="6" w:space="0" w:color="000000" w:themeColor="text1"/>
              <w:bottom w:val="dotted" w:sz="4" w:space="0" w:color="000000" w:themeColor="text1"/>
              <w:right w:val="single" w:sz="18" w:space="0" w:color="auto"/>
            </w:tcBorders>
          </w:tcPr>
          <w:p w14:paraId="3A07093D"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bottom w:val="dotted" w:sz="4" w:space="0" w:color="000000" w:themeColor="text1"/>
              <w:right w:val="single" w:sz="6" w:space="0" w:color="000000" w:themeColor="text1"/>
            </w:tcBorders>
          </w:tcPr>
          <w:p w14:paraId="3AFA2939"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bottom w:val="dotted" w:sz="4" w:space="0" w:color="000000" w:themeColor="text1"/>
              <w:right w:val="single" w:sz="18" w:space="0" w:color="auto"/>
            </w:tcBorders>
            <w:vAlign w:val="center"/>
          </w:tcPr>
          <w:p w14:paraId="2A0C5529" w14:textId="77777777" w:rsidR="00EE5ACB" w:rsidRPr="005864F4" w:rsidRDefault="00EE5ACB" w:rsidP="00154678">
            <w:pPr>
              <w:tabs>
                <w:tab w:val="decimal" w:pos="288"/>
              </w:tabs>
              <w:spacing w:line="210" w:lineRule="auto"/>
              <w:rPr>
                <w:sz w:val="20"/>
                <w:szCs w:val="20"/>
              </w:rPr>
            </w:pPr>
            <w:r w:rsidRPr="005864F4">
              <w:rPr>
                <w:sz w:val="20"/>
                <w:szCs w:val="20"/>
              </w:rPr>
              <w:t>56.83</w:t>
            </w:r>
          </w:p>
        </w:tc>
        <w:tc>
          <w:tcPr>
            <w:tcW w:w="251" w:type="pct"/>
            <w:tcBorders>
              <w:top w:val="dotted" w:sz="4" w:space="0" w:color="000000" w:themeColor="text1"/>
              <w:left w:val="single" w:sz="18" w:space="0" w:color="auto"/>
              <w:bottom w:val="dotted" w:sz="4" w:space="0" w:color="000000" w:themeColor="text1"/>
              <w:right w:val="single" w:sz="6" w:space="0" w:color="000000" w:themeColor="text1"/>
            </w:tcBorders>
          </w:tcPr>
          <w:p w14:paraId="362BDD7D"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4BDCC4D9"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6F389EBC" w14:textId="77777777" w:rsidTr="00AD46B2">
        <w:trPr>
          <w:tblHeader/>
        </w:trPr>
        <w:tc>
          <w:tcPr>
            <w:tcW w:w="1092" w:type="pct"/>
            <w:vMerge w:val="restart"/>
            <w:tcBorders>
              <w:top w:val="dotted" w:sz="4" w:space="0" w:color="000000" w:themeColor="text1"/>
              <w:left w:val="single" w:sz="18" w:space="0" w:color="000000" w:themeColor="text1"/>
              <w:right w:val="single" w:sz="6" w:space="0" w:color="000000" w:themeColor="text1"/>
            </w:tcBorders>
            <w:vAlign w:val="center"/>
          </w:tcPr>
          <w:p w14:paraId="00D61431" w14:textId="77777777" w:rsidR="00EE5ACB" w:rsidRPr="005864F4" w:rsidRDefault="00EE5ACB" w:rsidP="00154678">
            <w:pPr>
              <w:spacing w:line="210" w:lineRule="auto"/>
              <w:rPr>
                <w:sz w:val="20"/>
                <w:szCs w:val="20"/>
              </w:rPr>
            </w:pPr>
            <w:r w:rsidRPr="005864F4">
              <w:rPr>
                <w:sz w:val="20"/>
                <w:szCs w:val="20"/>
              </w:rPr>
              <w:t>Housing unit type (other)</w:t>
            </w:r>
          </w:p>
        </w:tc>
        <w:tc>
          <w:tcPr>
            <w:tcW w:w="749" w:type="pct"/>
            <w:tcBorders>
              <w:top w:val="dotted" w:sz="4" w:space="0" w:color="000000" w:themeColor="text1"/>
              <w:left w:val="single" w:sz="6" w:space="0" w:color="000000" w:themeColor="text1"/>
              <w:right w:val="single" w:sz="18" w:space="0" w:color="000000" w:themeColor="text1"/>
            </w:tcBorders>
            <w:vAlign w:val="center"/>
          </w:tcPr>
          <w:p w14:paraId="2FD15E43" w14:textId="77777777" w:rsidR="00EE5ACB" w:rsidRPr="005864F4" w:rsidRDefault="00EE5ACB" w:rsidP="00154678">
            <w:pPr>
              <w:spacing w:line="210" w:lineRule="auto"/>
              <w:rPr>
                <w:sz w:val="20"/>
                <w:szCs w:val="20"/>
              </w:rPr>
            </w:pPr>
            <w:r w:rsidRPr="005864F4">
              <w:rPr>
                <w:sz w:val="20"/>
                <w:szCs w:val="20"/>
              </w:rPr>
              <w:t>Single-family</w:t>
            </w:r>
          </w:p>
        </w:tc>
        <w:tc>
          <w:tcPr>
            <w:tcW w:w="368" w:type="pct"/>
            <w:tcBorders>
              <w:top w:val="dotted" w:sz="4" w:space="0" w:color="000000" w:themeColor="text1"/>
              <w:left w:val="single" w:sz="18" w:space="0" w:color="000000" w:themeColor="text1"/>
              <w:right w:val="single" w:sz="18" w:space="0" w:color="000000" w:themeColor="text1"/>
            </w:tcBorders>
            <w:vAlign w:val="center"/>
          </w:tcPr>
          <w:p w14:paraId="0E1A0E9B" w14:textId="77777777" w:rsidR="00EE5ACB" w:rsidRPr="005864F4" w:rsidRDefault="00EE5ACB" w:rsidP="007B1C8A">
            <w:pPr>
              <w:tabs>
                <w:tab w:val="decimal" w:pos="288"/>
              </w:tabs>
              <w:spacing w:line="210" w:lineRule="auto"/>
              <w:jc w:val="center"/>
              <w:rPr>
                <w:sz w:val="20"/>
                <w:szCs w:val="20"/>
              </w:rPr>
            </w:pPr>
            <w:r w:rsidRPr="005864F4">
              <w:rPr>
                <w:sz w:val="20"/>
                <w:szCs w:val="20"/>
              </w:rPr>
              <w:t>-19.50</w:t>
            </w:r>
          </w:p>
        </w:tc>
        <w:tc>
          <w:tcPr>
            <w:tcW w:w="418" w:type="pct"/>
            <w:tcBorders>
              <w:top w:val="dotted" w:sz="4" w:space="0" w:color="000000" w:themeColor="text1"/>
              <w:left w:val="single" w:sz="18" w:space="0" w:color="000000" w:themeColor="text1"/>
              <w:right w:val="single" w:sz="6" w:space="0" w:color="000000" w:themeColor="text1"/>
            </w:tcBorders>
          </w:tcPr>
          <w:p w14:paraId="18AEFC42"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top w:val="dotted" w:sz="4" w:space="0" w:color="000000" w:themeColor="text1"/>
              <w:left w:val="single" w:sz="6" w:space="0" w:color="000000" w:themeColor="text1"/>
              <w:right w:val="single" w:sz="6" w:space="0" w:color="000000" w:themeColor="text1"/>
            </w:tcBorders>
            <w:vAlign w:val="center"/>
          </w:tcPr>
          <w:p w14:paraId="0C1024B1"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right w:val="single" w:sz="6" w:space="0" w:color="000000" w:themeColor="text1"/>
            </w:tcBorders>
          </w:tcPr>
          <w:p w14:paraId="625C58AD"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top w:val="dotted" w:sz="4" w:space="0" w:color="000000" w:themeColor="text1"/>
              <w:left w:val="single" w:sz="6" w:space="0" w:color="000000" w:themeColor="text1"/>
              <w:right w:val="single" w:sz="6" w:space="0" w:color="000000" w:themeColor="text1"/>
            </w:tcBorders>
          </w:tcPr>
          <w:p w14:paraId="0BC2DA27"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dotted" w:sz="4" w:space="0" w:color="000000" w:themeColor="text1"/>
              <w:left w:val="single" w:sz="6" w:space="0" w:color="000000" w:themeColor="text1"/>
              <w:right w:val="single" w:sz="18" w:space="0" w:color="auto"/>
            </w:tcBorders>
          </w:tcPr>
          <w:p w14:paraId="4D37B82C"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right w:val="single" w:sz="6" w:space="0" w:color="000000" w:themeColor="text1"/>
            </w:tcBorders>
          </w:tcPr>
          <w:p w14:paraId="6DA15E0D"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right w:val="single" w:sz="18" w:space="0" w:color="auto"/>
            </w:tcBorders>
          </w:tcPr>
          <w:p w14:paraId="62A21268"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right w:val="single" w:sz="6" w:space="0" w:color="000000" w:themeColor="text1"/>
            </w:tcBorders>
          </w:tcPr>
          <w:p w14:paraId="7EA8F904"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6" w:space="0" w:color="000000" w:themeColor="text1"/>
              <w:right w:val="single" w:sz="18" w:space="0" w:color="000000" w:themeColor="text1"/>
            </w:tcBorders>
            <w:vAlign w:val="center"/>
          </w:tcPr>
          <w:p w14:paraId="33661B78" w14:textId="77777777" w:rsidR="00EE5ACB" w:rsidRPr="005864F4" w:rsidRDefault="00EE5ACB" w:rsidP="00154678">
            <w:pPr>
              <w:tabs>
                <w:tab w:val="decimal" w:pos="288"/>
              </w:tabs>
              <w:spacing w:line="210" w:lineRule="auto"/>
              <w:rPr>
                <w:sz w:val="20"/>
                <w:szCs w:val="20"/>
              </w:rPr>
            </w:pPr>
            <w:r w:rsidRPr="005864F4">
              <w:rPr>
                <w:sz w:val="20"/>
                <w:szCs w:val="20"/>
              </w:rPr>
              <w:t>-11.70</w:t>
            </w:r>
          </w:p>
        </w:tc>
      </w:tr>
      <w:tr w:rsidR="00EE5ACB" w:rsidRPr="005864F4" w14:paraId="3B8025F9" w14:textId="77777777" w:rsidTr="00AD46B2">
        <w:trPr>
          <w:tblHeader/>
        </w:trPr>
        <w:tc>
          <w:tcPr>
            <w:tcW w:w="1092" w:type="pct"/>
            <w:vMerge/>
            <w:tcBorders>
              <w:left w:val="single" w:sz="18" w:space="0" w:color="000000" w:themeColor="text1"/>
              <w:bottom w:val="dotted" w:sz="4" w:space="0" w:color="000000" w:themeColor="text1"/>
              <w:right w:val="single" w:sz="6" w:space="0" w:color="000000" w:themeColor="text1"/>
            </w:tcBorders>
          </w:tcPr>
          <w:p w14:paraId="6A2E91D3" w14:textId="77777777" w:rsidR="00EE5ACB" w:rsidRPr="005864F4" w:rsidRDefault="00EE5ACB" w:rsidP="00154678">
            <w:pPr>
              <w:rPr>
                <w:sz w:val="20"/>
                <w:szCs w:val="20"/>
              </w:rPr>
            </w:pPr>
          </w:p>
        </w:tc>
        <w:tc>
          <w:tcPr>
            <w:tcW w:w="749" w:type="pct"/>
            <w:tcBorders>
              <w:left w:val="single" w:sz="6" w:space="0" w:color="000000" w:themeColor="text1"/>
              <w:bottom w:val="dotted" w:sz="4" w:space="0" w:color="000000" w:themeColor="text1"/>
              <w:right w:val="single" w:sz="18" w:space="0" w:color="000000" w:themeColor="text1"/>
            </w:tcBorders>
            <w:vAlign w:val="center"/>
          </w:tcPr>
          <w:p w14:paraId="179D2B7D" w14:textId="77777777" w:rsidR="00EE5ACB" w:rsidRPr="005864F4" w:rsidRDefault="00EE5ACB" w:rsidP="00154678">
            <w:pPr>
              <w:spacing w:line="210" w:lineRule="auto"/>
              <w:rPr>
                <w:sz w:val="20"/>
                <w:szCs w:val="20"/>
              </w:rPr>
            </w:pPr>
            <w:r w:rsidRPr="005864F4">
              <w:rPr>
                <w:sz w:val="20"/>
                <w:szCs w:val="20"/>
              </w:rPr>
              <w:t>Apartment</w:t>
            </w:r>
          </w:p>
        </w:tc>
        <w:tc>
          <w:tcPr>
            <w:tcW w:w="368" w:type="pct"/>
            <w:tcBorders>
              <w:left w:val="single" w:sz="18" w:space="0" w:color="000000" w:themeColor="text1"/>
              <w:bottom w:val="dotted" w:sz="4" w:space="0" w:color="000000" w:themeColor="text1"/>
              <w:right w:val="single" w:sz="18" w:space="0" w:color="000000" w:themeColor="text1"/>
            </w:tcBorders>
            <w:vAlign w:val="center"/>
          </w:tcPr>
          <w:p w14:paraId="039A1A1A" w14:textId="77777777" w:rsidR="00EE5ACB" w:rsidRPr="005864F4" w:rsidRDefault="00EE5ACB" w:rsidP="007B1C8A">
            <w:pPr>
              <w:tabs>
                <w:tab w:val="decimal" w:pos="288"/>
              </w:tabs>
              <w:spacing w:line="210" w:lineRule="auto"/>
              <w:jc w:val="center"/>
              <w:rPr>
                <w:sz w:val="20"/>
                <w:szCs w:val="20"/>
              </w:rPr>
            </w:pPr>
            <w:r w:rsidRPr="005864F4">
              <w:rPr>
                <w:sz w:val="20"/>
                <w:szCs w:val="20"/>
              </w:rPr>
              <w:t>12.75</w:t>
            </w:r>
          </w:p>
        </w:tc>
        <w:tc>
          <w:tcPr>
            <w:tcW w:w="418" w:type="pct"/>
            <w:tcBorders>
              <w:left w:val="single" w:sz="18" w:space="0" w:color="000000" w:themeColor="text1"/>
              <w:bottom w:val="dotted" w:sz="4" w:space="0" w:color="000000" w:themeColor="text1"/>
              <w:right w:val="single" w:sz="6" w:space="0" w:color="000000" w:themeColor="text1"/>
            </w:tcBorders>
          </w:tcPr>
          <w:p w14:paraId="49E81A0E"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left w:val="single" w:sz="6" w:space="0" w:color="000000" w:themeColor="text1"/>
              <w:bottom w:val="dotted" w:sz="4" w:space="0" w:color="000000" w:themeColor="text1"/>
              <w:right w:val="single" w:sz="6" w:space="0" w:color="000000" w:themeColor="text1"/>
            </w:tcBorders>
            <w:vAlign w:val="center"/>
          </w:tcPr>
          <w:p w14:paraId="683C7748"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left w:val="single" w:sz="6" w:space="0" w:color="000000" w:themeColor="text1"/>
              <w:bottom w:val="dotted" w:sz="4" w:space="0" w:color="000000" w:themeColor="text1"/>
              <w:right w:val="single" w:sz="6" w:space="0" w:color="000000" w:themeColor="text1"/>
            </w:tcBorders>
          </w:tcPr>
          <w:p w14:paraId="72B8EA15"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left w:val="single" w:sz="6" w:space="0" w:color="000000" w:themeColor="text1"/>
              <w:bottom w:val="dotted" w:sz="4" w:space="0" w:color="000000" w:themeColor="text1"/>
              <w:right w:val="single" w:sz="6" w:space="0" w:color="000000" w:themeColor="text1"/>
            </w:tcBorders>
          </w:tcPr>
          <w:p w14:paraId="3AF91B2B"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left w:val="single" w:sz="6" w:space="0" w:color="000000" w:themeColor="text1"/>
              <w:bottom w:val="dotted" w:sz="4" w:space="0" w:color="000000" w:themeColor="text1"/>
              <w:right w:val="single" w:sz="18" w:space="0" w:color="auto"/>
            </w:tcBorders>
          </w:tcPr>
          <w:p w14:paraId="01941E10"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left w:val="single" w:sz="18" w:space="0" w:color="auto"/>
              <w:bottom w:val="dotted" w:sz="4" w:space="0" w:color="000000" w:themeColor="text1"/>
              <w:right w:val="single" w:sz="6" w:space="0" w:color="000000" w:themeColor="text1"/>
            </w:tcBorders>
          </w:tcPr>
          <w:p w14:paraId="2A51EC55"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left w:val="single" w:sz="6" w:space="0" w:color="000000" w:themeColor="text1"/>
              <w:bottom w:val="dotted" w:sz="4" w:space="0" w:color="000000" w:themeColor="text1"/>
              <w:right w:val="single" w:sz="18" w:space="0" w:color="auto"/>
            </w:tcBorders>
          </w:tcPr>
          <w:p w14:paraId="23E44C47"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left w:val="single" w:sz="18" w:space="0" w:color="auto"/>
              <w:bottom w:val="dotted" w:sz="4" w:space="0" w:color="000000" w:themeColor="text1"/>
              <w:right w:val="single" w:sz="6" w:space="0" w:color="000000" w:themeColor="text1"/>
            </w:tcBorders>
          </w:tcPr>
          <w:p w14:paraId="084F0525"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left w:val="single" w:sz="6" w:space="0" w:color="000000" w:themeColor="text1"/>
              <w:bottom w:val="dotted" w:sz="4" w:space="0" w:color="000000" w:themeColor="text1"/>
              <w:right w:val="single" w:sz="18" w:space="0" w:color="000000" w:themeColor="text1"/>
            </w:tcBorders>
            <w:vAlign w:val="center"/>
          </w:tcPr>
          <w:p w14:paraId="5A8500E5" w14:textId="7C64EAB5" w:rsidR="00EE5ACB" w:rsidRPr="005864F4" w:rsidRDefault="0024506A" w:rsidP="00154678">
            <w:pPr>
              <w:tabs>
                <w:tab w:val="decimal" w:pos="288"/>
              </w:tabs>
              <w:spacing w:line="210" w:lineRule="auto"/>
              <w:rPr>
                <w:sz w:val="20"/>
                <w:szCs w:val="20"/>
              </w:rPr>
            </w:pPr>
            <w:r w:rsidRPr="005864F4">
              <w:rPr>
                <w:b/>
                <w:bCs/>
                <w:sz w:val="20"/>
                <w:szCs w:val="20"/>
              </w:rPr>
              <w:t>—</w:t>
            </w:r>
          </w:p>
        </w:tc>
      </w:tr>
      <w:tr w:rsidR="00EE5ACB" w:rsidRPr="005864F4" w14:paraId="4EAF06E2" w14:textId="77777777" w:rsidTr="00AD46B2">
        <w:trPr>
          <w:tblHeader/>
        </w:trPr>
        <w:tc>
          <w:tcPr>
            <w:tcW w:w="1092"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3E3D9C45" w14:textId="77777777" w:rsidR="00EE5ACB" w:rsidRPr="005864F4" w:rsidRDefault="00EE5ACB" w:rsidP="00154678">
            <w:pPr>
              <w:spacing w:line="210" w:lineRule="auto"/>
              <w:rPr>
                <w:sz w:val="20"/>
                <w:szCs w:val="20"/>
              </w:rPr>
            </w:pPr>
            <w:r w:rsidRPr="005864F4">
              <w:rPr>
                <w:sz w:val="20"/>
                <w:szCs w:val="20"/>
              </w:rPr>
              <w:t>Ownership status (own or other)</w:t>
            </w:r>
          </w:p>
        </w:tc>
        <w:tc>
          <w:tcPr>
            <w:tcW w:w="749"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5CA0E299" w14:textId="77777777" w:rsidR="00EE5ACB" w:rsidRPr="005864F4" w:rsidRDefault="00EE5ACB" w:rsidP="00154678">
            <w:pPr>
              <w:spacing w:line="210" w:lineRule="auto"/>
              <w:rPr>
                <w:sz w:val="20"/>
                <w:szCs w:val="20"/>
              </w:rPr>
            </w:pPr>
            <w:r w:rsidRPr="005864F4">
              <w:rPr>
                <w:sz w:val="20"/>
                <w:szCs w:val="20"/>
              </w:rPr>
              <w:t>Rent</w:t>
            </w:r>
          </w:p>
        </w:tc>
        <w:tc>
          <w:tcPr>
            <w:tcW w:w="368" w:type="pct"/>
            <w:tcBorders>
              <w:top w:val="dotted" w:sz="4" w:space="0" w:color="000000" w:themeColor="text1"/>
              <w:left w:val="single" w:sz="18" w:space="0" w:color="000000" w:themeColor="text1"/>
              <w:bottom w:val="dotted" w:sz="4" w:space="0" w:color="000000" w:themeColor="text1"/>
              <w:right w:val="single" w:sz="18" w:space="0" w:color="000000" w:themeColor="text1"/>
            </w:tcBorders>
            <w:vAlign w:val="center"/>
          </w:tcPr>
          <w:p w14:paraId="2321F820" w14:textId="77777777" w:rsidR="00EE5ACB" w:rsidRPr="005864F4" w:rsidRDefault="00EE5ACB" w:rsidP="007B1C8A">
            <w:pPr>
              <w:tabs>
                <w:tab w:val="decimal" w:pos="288"/>
              </w:tabs>
              <w:spacing w:line="210" w:lineRule="auto"/>
              <w:jc w:val="center"/>
              <w:rPr>
                <w:sz w:val="20"/>
                <w:szCs w:val="20"/>
              </w:rPr>
            </w:pPr>
            <w:r w:rsidRPr="005864F4">
              <w:rPr>
                <w:sz w:val="20"/>
                <w:szCs w:val="20"/>
              </w:rPr>
              <w:t>15.10</w:t>
            </w:r>
          </w:p>
        </w:tc>
        <w:tc>
          <w:tcPr>
            <w:tcW w:w="418"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6938B6B8"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3FC69B8B" w14:textId="77777777" w:rsidR="00EE5ACB" w:rsidRPr="005864F4" w:rsidRDefault="00EE5ACB" w:rsidP="00154678">
            <w:pPr>
              <w:tabs>
                <w:tab w:val="decimal" w:pos="288"/>
              </w:tabs>
              <w:spacing w:line="210" w:lineRule="auto"/>
              <w:rPr>
                <w:sz w:val="20"/>
                <w:szCs w:val="20"/>
              </w:rPr>
            </w:pPr>
            <w:r w:rsidRPr="005864F4">
              <w:rPr>
                <w:sz w:val="20"/>
                <w:szCs w:val="20"/>
              </w:rPr>
              <w:t>-15.36</w:t>
            </w:r>
          </w:p>
        </w:tc>
        <w:tc>
          <w:tcPr>
            <w:tcW w:w="437"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4149F026"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4C8EB4AD"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dotted" w:sz="4" w:space="0" w:color="000000" w:themeColor="text1"/>
              <w:left w:val="single" w:sz="6" w:space="0" w:color="000000" w:themeColor="text1"/>
              <w:bottom w:val="dotted" w:sz="4" w:space="0" w:color="000000" w:themeColor="text1"/>
              <w:right w:val="single" w:sz="18" w:space="0" w:color="auto"/>
            </w:tcBorders>
          </w:tcPr>
          <w:p w14:paraId="19B626A5"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bottom w:val="dotted" w:sz="4" w:space="0" w:color="000000" w:themeColor="text1"/>
              <w:right w:val="single" w:sz="6" w:space="0" w:color="000000" w:themeColor="text1"/>
            </w:tcBorders>
          </w:tcPr>
          <w:p w14:paraId="7BF53A97"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bottom w:val="dotted" w:sz="4" w:space="0" w:color="000000" w:themeColor="text1"/>
              <w:right w:val="single" w:sz="18" w:space="0" w:color="auto"/>
            </w:tcBorders>
          </w:tcPr>
          <w:p w14:paraId="09D5AAF8"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650CA629" w14:textId="77777777" w:rsidR="00EE5ACB" w:rsidRPr="005864F4" w:rsidRDefault="00EE5ACB" w:rsidP="00154678">
            <w:pPr>
              <w:tabs>
                <w:tab w:val="decimal" w:pos="288"/>
              </w:tabs>
              <w:spacing w:line="210" w:lineRule="auto"/>
              <w:rPr>
                <w:sz w:val="20"/>
                <w:szCs w:val="20"/>
              </w:rPr>
            </w:pPr>
            <w:r w:rsidRPr="005864F4">
              <w:rPr>
                <w:sz w:val="20"/>
                <w:szCs w:val="20"/>
              </w:rPr>
              <w:t>-20.83</w:t>
            </w:r>
          </w:p>
        </w:tc>
        <w:tc>
          <w:tcPr>
            <w:tcW w:w="251" w:type="pct"/>
            <w:tcBorders>
              <w:top w:val="dotted" w:sz="4" w:space="0" w:color="000000" w:themeColor="text1"/>
              <w:left w:val="single" w:sz="6" w:space="0" w:color="000000" w:themeColor="text1"/>
              <w:bottom w:val="dotted" w:sz="4" w:space="0" w:color="000000" w:themeColor="text1"/>
              <w:right w:val="single" w:sz="18" w:space="0" w:color="000000" w:themeColor="text1"/>
            </w:tcBorders>
            <w:vAlign w:val="center"/>
          </w:tcPr>
          <w:p w14:paraId="314F6A55"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5DF1F675" w14:textId="77777777" w:rsidTr="00AD46B2">
        <w:trPr>
          <w:tblHeader/>
        </w:trPr>
        <w:tc>
          <w:tcPr>
            <w:tcW w:w="1092" w:type="pct"/>
            <w:tcBorders>
              <w:top w:val="dotted" w:sz="4" w:space="0" w:color="000000" w:themeColor="text1"/>
              <w:left w:val="single" w:sz="18" w:space="0" w:color="000000" w:themeColor="text1"/>
              <w:bottom w:val="double" w:sz="4" w:space="0" w:color="000000" w:themeColor="text1"/>
              <w:right w:val="single" w:sz="6" w:space="0" w:color="000000" w:themeColor="text1"/>
            </w:tcBorders>
          </w:tcPr>
          <w:p w14:paraId="2BA7FB4C" w14:textId="77777777" w:rsidR="00EE5ACB" w:rsidRPr="005864F4" w:rsidRDefault="00EE5ACB" w:rsidP="00154678">
            <w:pPr>
              <w:spacing w:line="210" w:lineRule="auto"/>
              <w:rPr>
                <w:sz w:val="20"/>
                <w:szCs w:val="20"/>
              </w:rPr>
            </w:pPr>
            <w:r w:rsidRPr="005864F4">
              <w:rPr>
                <w:sz w:val="20"/>
                <w:szCs w:val="20"/>
              </w:rPr>
              <w:t>Vehicle sufficiency (sufficient)</w:t>
            </w:r>
          </w:p>
        </w:tc>
        <w:tc>
          <w:tcPr>
            <w:tcW w:w="749" w:type="pct"/>
            <w:tcBorders>
              <w:top w:val="dotted" w:sz="4" w:space="0" w:color="000000" w:themeColor="text1"/>
              <w:left w:val="single" w:sz="6" w:space="0" w:color="000000" w:themeColor="text1"/>
              <w:bottom w:val="double" w:sz="4" w:space="0" w:color="000000" w:themeColor="text1"/>
              <w:right w:val="single" w:sz="18" w:space="0" w:color="000000" w:themeColor="text1"/>
            </w:tcBorders>
          </w:tcPr>
          <w:p w14:paraId="66605B5D" w14:textId="77777777" w:rsidR="00EE5ACB" w:rsidRPr="005864F4" w:rsidRDefault="00EE5ACB" w:rsidP="00154678">
            <w:pPr>
              <w:spacing w:line="210" w:lineRule="auto"/>
              <w:rPr>
                <w:sz w:val="20"/>
                <w:szCs w:val="20"/>
              </w:rPr>
            </w:pPr>
            <w:r w:rsidRPr="005864F4">
              <w:rPr>
                <w:sz w:val="20"/>
                <w:szCs w:val="20"/>
              </w:rPr>
              <w:t>Deficient</w:t>
            </w:r>
          </w:p>
        </w:tc>
        <w:tc>
          <w:tcPr>
            <w:tcW w:w="368" w:type="pct"/>
            <w:tcBorders>
              <w:top w:val="dotted" w:sz="4" w:space="0" w:color="000000" w:themeColor="text1"/>
              <w:left w:val="single" w:sz="18" w:space="0" w:color="000000" w:themeColor="text1"/>
              <w:bottom w:val="double" w:sz="4" w:space="0" w:color="000000" w:themeColor="text1"/>
              <w:right w:val="single" w:sz="18" w:space="0" w:color="000000" w:themeColor="text1"/>
            </w:tcBorders>
            <w:vAlign w:val="center"/>
          </w:tcPr>
          <w:p w14:paraId="199DE6F0" w14:textId="77777777" w:rsidR="00EE5ACB" w:rsidRPr="005864F4" w:rsidRDefault="00EE5ACB" w:rsidP="007B1C8A">
            <w:pPr>
              <w:tabs>
                <w:tab w:val="decimal" w:pos="288"/>
              </w:tabs>
              <w:spacing w:line="210" w:lineRule="auto"/>
              <w:jc w:val="center"/>
              <w:rPr>
                <w:sz w:val="20"/>
                <w:szCs w:val="20"/>
              </w:rPr>
            </w:pPr>
            <w:r w:rsidRPr="005864F4">
              <w:rPr>
                <w:sz w:val="20"/>
                <w:szCs w:val="20"/>
              </w:rPr>
              <w:t>135.98</w:t>
            </w:r>
          </w:p>
        </w:tc>
        <w:tc>
          <w:tcPr>
            <w:tcW w:w="418" w:type="pct"/>
            <w:tcBorders>
              <w:top w:val="dotted" w:sz="4" w:space="0" w:color="000000" w:themeColor="text1"/>
              <w:left w:val="single" w:sz="18" w:space="0" w:color="000000" w:themeColor="text1"/>
              <w:bottom w:val="double" w:sz="4" w:space="0" w:color="000000" w:themeColor="text1"/>
              <w:right w:val="single" w:sz="6" w:space="0" w:color="000000" w:themeColor="text1"/>
            </w:tcBorders>
          </w:tcPr>
          <w:p w14:paraId="59B14B18"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60" w:type="pct"/>
            <w:tcBorders>
              <w:top w:val="dotted" w:sz="4" w:space="0" w:color="000000" w:themeColor="text1"/>
              <w:left w:val="single" w:sz="6" w:space="0" w:color="000000" w:themeColor="text1"/>
              <w:bottom w:val="double" w:sz="4" w:space="0" w:color="000000" w:themeColor="text1"/>
              <w:right w:val="single" w:sz="6" w:space="0" w:color="000000" w:themeColor="text1"/>
            </w:tcBorders>
            <w:vAlign w:val="center"/>
          </w:tcPr>
          <w:p w14:paraId="019AC39F"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bottom w:val="double" w:sz="4" w:space="0" w:color="000000" w:themeColor="text1"/>
              <w:right w:val="single" w:sz="6" w:space="0" w:color="000000" w:themeColor="text1"/>
            </w:tcBorders>
          </w:tcPr>
          <w:p w14:paraId="294F4D75" w14:textId="77777777" w:rsidR="00EE5ACB" w:rsidRPr="005864F4" w:rsidRDefault="00EE5ACB" w:rsidP="00154678">
            <w:pPr>
              <w:tabs>
                <w:tab w:val="decimal" w:pos="504"/>
              </w:tabs>
              <w:spacing w:line="210" w:lineRule="auto"/>
              <w:rPr>
                <w:b/>
                <w:bCs/>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double" w:sz="4" w:space="0" w:color="000000" w:themeColor="text1"/>
              <w:right w:val="single" w:sz="6" w:space="0" w:color="000000" w:themeColor="text1"/>
            </w:tcBorders>
            <w:vAlign w:val="center"/>
          </w:tcPr>
          <w:p w14:paraId="625B38CD" w14:textId="77777777" w:rsidR="00EE5ACB" w:rsidRPr="005864F4" w:rsidRDefault="00EE5ACB" w:rsidP="00154678">
            <w:pPr>
              <w:tabs>
                <w:tab w:val="decimal" w:pos="360"/>
              </w:tabs>
              <w:spacing w:line="210" w:lineRule="auto"/>
              <w:rPr>
                <w:sz w:val="20"/>
                <w:szCs w:val="20"/>
              </w:rPr>
            </w:pPr>
            <w:r w:rsidRPr="005864F4">
              <w:rPr>
                <w:sz w:val="20"/>
                <w:szCs w:val="20"/>
              </w:rPr>
              <w:t>-17.65</w:t>
            </w:r>
          </w:p>
        </w:tc>
        <w:tc>
          <w:tcPr>
            <w:tcW w:w="278" w:type="pct"/>
            <w:tcBorders>
              <w:top w:val="dotted" w:sz="4" w:space="0" w:color="000000" w:themeColor="text1"/>
              <w:left w:val="single" w:sz="6" w:space="0" w:color="000000" w:themeColor="text1"/>
              <w:bottom w:val="double" w:sz="4" w:space="0" w:color="000000" w:themeColor="text1"/>
              <w:right w:val="single" w:sz="18" w:space="0" w:color="auto"/>
            </w:tcBorders>
          </w:tcPr>
          <w:p w14:paraId="609EF7C2"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bottom w:val="double" w:sz="4" w:space="0" w:color="000000" w:themeColor="text1"/>
              <w:right w:val="single" w:sz="6" w:space="0" w:color="000000" w:themeColor="text1"/>
            </w:tcBorders>
          </w:tcPr>
          <w:p w14:paraId="4D93C98F"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bottom w:val="double" w:sz="4" w:space="0" w:color="000000" w:themeColor="text1"/>
              <w:right w:val="single" w:sz="18" w:space="0" w:color="auto"/>
            </w:tcBorders>
          </w:tcPr>
          <w:p w14:paraId="39A844FF"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double" w:sz="4" w:space="0" w:color="000000" w:themeColor="text1"/>
              <w:right w:val="single" w:sz="6" w:space="0" w:color="000000" w:themeColor="text1"/>
            </w:tcBorders>
          </w:tcPr>
          <w:p w14:paraId="076BC082"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6" w:space="0" w:color="000000" w:themeColor="text1"/>
              <w:right w:val="single" w:sz="18" w:space="0" w:color="000000" w:themeColor="text1"/>
            </w:tcBorders>
            <w:vAlign w:val="center"/>
          </w:tcPr>
          <w:p w14:paraId="4BC4F4D9" w14:textId="77777777" w:rsidR="00EE5ACB" w:rsidRPr="005864F4" w:rsidRDefault="00EE5ACB" w:rsidP="00154678">
            <w:pPr>
              <w:tabs>
                <w:tab w:val="decimal" w:pos="288"/>
              </w:tabs>
              <w:spacing w:line="210" w:lineRule="auto"/>
              <w:rPr>
                <w:sz w:val="20"/>
                <w:szCs w:val="20"/>
              </w:rPr>
            </w:pPr>
            <w:r w:rsidRPr="005864F4">
              <w:rPr>
                <w:sz w:val="20"/>
                <w:szCs w:val="20"/>
              </w:rPr>
              <w:t>-29.89</w:t>
            </w:r>
          </w:p>
        </w:tc>
      </w:tr>
      <w:tr w:rsidR="00EE5ACB" w:rsidRPr="005864F4" w14:paraId="685035BE" w14:textId="77777777" w:rsidTr="00154678">
        <w:trPr>
          <w:tblHeader/>
        </w:trPr>
        <w:tc>
          <w:tcPr>
            <w:tcW w:w="5000" w:type="pct"/>
            <w:gridSpan w:val="12"/>
            <w:tcBorders>
              <w:top w:val="double" w:sz="4" w:space="0" w:color="000000" w:themeColor="text1"/>
              <w:left w:val="single" w:sz="18" w:space="0" w:color="000000" w:themeColor="text1"/>
              <w:right w:val="single" w:sz="18" w:space="0" w:color="000000" w:themeColor="text1"/>
            </w:tcBorders>
          </w:tcPr>
          <w:p w14:paraId="2688C73D" w14:textId="77777777" w:rsidR="00EE5ACB" w:rsidRPr="005864F4" w:rsidRDefault="00EE5ACB" w:rsidP="00154678">
            <w:pPr>
              <w:tabs>
                <w:tab w:val="decimal" w:pos="288"/>
              </w:tabs>
              <w:spacing w:line="210" w:lineRule="auto"/>
              <w:rPr>
                <w:b/>
                <w:bCs/>
                <w:i/>
                <w:iCs/>
                <w:sz w:val="20"/>
                <w:szCs w:val="20"/>
              </w:rPr>
            </w:pPr>
            <w:r w:rsidRPr="005864F4">
              <w:rPr>
                <w:b/>
                <w:bCs/>
                <w:i/>
                <w:iCs/>
                <w:sz w:val="20"/>
                <w:szCs w:val="20"/>
              </w:rPr>
              <w:t>Residential built environment characteristics of respondent zip code</w:t>
            </w:r>
          </w:p>
        </w:tc>
      </w:tr>
      <w:tr w:rsidR="00EE5ACB" w:rsidRPr="005864F4" w14:paraId="6139E219" w14:textId="77777777" w:rsidTr="00AD46B2">
        <w:trPr>
          <w:tblHeader/>
        </w:trPr>
        <w:tc>
          <w:tcPr>
            <w:tcW w:w="1092" w:type="pct"/>
            <w:tcBorders>
              <w:top w:val="single" w:sz="12" w:space="0" w:color="000000" w:themeColor="text1"/>
              <w:left w:val="single" w:sz="18" w:space="0" w:color="000000" w:themeColor="text1"/>
              <w:bottom w:val="dotted" w:sz="4" w:space="0" w:color="000000" w:themeColor="text1"/>
              <w:right w:val="single" w:sz="6" w:space="0" w:color="000000" w:themeColor="text1"/>
            </w:tcBorders>
            <w:vAlign w:val="center"/>
          </w:tcPr>
          <w:p w14:paraId="682A97E8" w14:textId="77777777" w:rsidR="00EE5ACB" w:rsidRPr="005864F4" w:rsidRDefault="00EE5ACB" w:rsidP="00154678">
            <w:pPr>
              <w:spacing w:line="210" w:lineRule="auto"/>
              <w:rPr>
                <w:sz w:val="20"/>
                <w:szCs w:val="20"/>
              </w:rPr>
            </w:pPr>
            <w:r w:rsidRPr="005864F4">
              <w:rPr>
                <w:sz w:val="20"/>
                <w:szCs w:val="20"/>
              </w:rPr>
              <w:t>No-vehicle homes (25</w:t>
            </w:r>
            <w:r w:rsidRPr="005864F4">
              <w:rPr>
                <w:sz w:val="20"/>
                <w:szCs w:val="20"/>
                <w:vertAlign w:val="superscript"/>
              </w:rPr>
              <w:t>th</w:t>
            </w:r>
            <w:r w:rsidRPr="005864F4">
              <w:rPr>
                <w:sz w:val="20"/>
                <w:szCs w:val="20"/>
              </w:rPr>
              <w:t xml:space="preserve"> Percentile)</w:t>
            </w:r>
          </w:p>
        </w:tc>
        <w:tc>
          <w:tcPr>
            <w:tcW w:w="749" w:type="pct"/>
            <w:tcBorders>
              <w:top w:val="single" w:sz="12" w:space="0" w:color="000000" w:themeColor="text1"/>
              <w:left w:val="single" w:sz="6" w:space="0" w:color="000000" w:themeColor="text1"/>
              <w:bottom w:val="dotted" w:sz="4" w:space="0" w:color="000000" w:themeColor="text1"/>
              <w:right w:val="single" w:sz="18" w:space="0" w:color="000000" w:themeColor="text1"/>
            </w:tcBorders>
          </w:tcPr>
          <w:p w14:paraId="45128FF9" w14:textId="77777777" w:rsidR="00EE5ACB" w:rsidRPr="005864F4" w:rsidRDefault="00EE5ACB" w:rsidP="00154678">
            <w:pPr>
              <w:spacing w:line="210" w:lineRule="auto"/>
              <w:rPr>
                <w:sz w:val="20"/>
                <w:szCs w:val="20"/>
              </w:rPr>
            </w:pPr>
            <w:r w:rsidRPr="005864F4">
              <w:rPr>
                <w:sz w:val="20"/>
                <w:szCs w:val="20"/>
              </w:rPr>
              <w:t>75</w:t>
            </w:r>
            <w:r w:rsidRPr="005864F4">
              <w:rPr>
                <w:sz w:val="20"/>
                <w:szCs w:val="20"/>
                <w:vertAlign w:val="superscript"/>
              </w:rPr>
              <w:t>th</w:t>
            </w:r>
            <w:r w:rsidRPr="005864F4">
              <w:rPr>
                <w:sz w:val="20"/>
                <w:szCs w:val="20"/>
              </w:rPr>
              <w:t xml:space="preserve"> Percentile</w:t>
            </w:r>
          </w:p>
        </w:tc>
        <w:tc>
          <w:tcPr>
            <w:tcW w:w="368" w:type="pct"/>
            <w:tcBorders>
              <w:top w:val="single" w:sz="12" w:space="0" w:color="000000" w:themeColor="text1"/>
              <w:left w:val="single" w:sz="18" w:space="0" w:color="000000" w:themeColor="text1"/>
              <w:bottom w:val="dotted" w:sz="4" w:space="0" w:color="000000" w:themeColor="text1"/>
              <w:right w:val="single" w:sz="18" w:space="0" w:color="000000" w:themeColor="text1"/>
            </w:tcBorders>
            <w:vAlign w:val="center"/>
          </w:tcPr>
          <w:p w14:paraId="742A247C" w14:textId="77777777" w:rsidR="00EE5ACB" w:rsidRPr="005864F4" w:rsidRDefault="00EE5ACB" w:rsidP="007B1C8A">
            <w:pPr>
              <w:spacing w:line="210" w:lineRule="auto"/>
              <w:jc w:val="center"/>
              <w:rPr>
                <w:sz w:val="20"/>
                <w:szCs w:val="20"/>
              </w:rPr>
            </w:pPr>
            <w:r w:rsidRPr="005864F4">
              <w:rPr>
                <w:sz w:val="20"/>
                <w:szCs w:val="20"/>
              </w:rPr>
              <w:t>13.89</w:t>
            </w:r>
          </w:p>
        </w:tc>
        <w:tc>
          <w:tcPr>
            <w:tcW w:w="418" w:type="pct"/>
            <w:tcBorders>
              <w:top w:val="single" w:sz="12" w:space="0" w:color="000000" w:themeColor="text1"/>
              <w:left w:val="single" w:sz="18" w:space="0" w:color="000000" w:themeColor="text1"/>
              <w:bottom w:val="dotted" w:sz="4" w:space="0" w:color="000000" w:themeColor="text1"/>
              <w:right w:val="single" w:sz="6" w:space="0" w:color="000000" w:themeColor="text1"/>
            </w:tcBorders>
          </w:tcPr>
          <w:p w14:paraId="0FC6B1DF"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60" w:type="pct"/>
            <w:tcBorders>
              <w:top w:val="single" w:sz="12" w:space="0" w:color="000000" w:themeColor="text1"/>
              <w:left w:val="single" w:sz="6" w:space="0" w:color="000000" w:themeColor="text1"/>
              <w:bottom w:val="dotted" w:sz="4" w:space="0" w:color="000000" w:themeColor="text1"/>
              <w:right w:val="single" w:sz="6" w:space="0" w:color="000000" w:themeColor="text1"/>
            </w:tcBorders>
          </w:tcPr>
          <w:p w14:paraId="54A25F33"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single" w:sz="12" w:space="0" w:color="000000" w:themeColor="text1"/>
              <w:left w:val="single" w:sz="6" w:space="0" w:color="000000" w:themeColor="text1"/>
              <w:bottom w:val="dotted" w:sz="4" w:space="0" w:color="000000" w:themeColor="text1"/>
              <w:right w:val="single" w:sz="6" w:space="0" w:color="000000" w:themeColor="text1"/>
            </w:tcBorders>
          </w:tcPr>
          <w:p w14:paraId="742B014A"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92" w:type="pct"/>
            <w:tcBorders>
              <w:top w:val="single" w:sz="12" w:space="0" w:color="000000" w:themeColor="text1"/>
              <w:left w:val="single" w:sz="6" w:space="0" w:color="000000" w:themeColor="text1"/>
              <w:bottom w:val="dotted" w:sz="4" w:space="0" w:color="000000" w:themeColor="text1"/>
              <w:right w:val="single" w:sz="6" w:space="0" w:color="000000" w:themeColor="text1"/>
            </w:tcBorders>
          </w:tcPr>
          <w:p w14:paraId="30DD64F3"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single" w:sz="12" w:space="0" w:color="000000" w:themeColor="text1"/>
              <w:left w:val="single" w:sz="6" w:space="0" w:color="000000" w:themeColor="text1"/>
              <w:bottom w:val="dotted" w:sz="4" w:space="0" w:color="000000" w:themeColor="text1"/>
              <w:right w:val="single" w:sz="18" w:space="0" w:color="auto"/>
            </w:tcBorders>
          </w:tcPr>
          <w:p w14:paraId="38769BDD"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single" w:sz="12" w:space="0" w:color="000000" w:themeColor="text1"/>
              <w:left w:val="single" w:sz="18" w:space="0" w:color="auto"/>
              <w:bottom w:val="dotted" w:sz="4" w:space="0" w:color="000000" w:themeColor="text1"/>
              <w:right w:val="single" w:sz="6" w:space="0" w:color="000000" w:themeColor="text1"/>
            </w:tcBorders>
          </w:tcPr>
          <w:p w14:paraId="3946421B"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single" w:sz="12" w:space="0" w:color="000000" w:themeColor="text1"/>
              <w:left w:val="single" w:sz="6" w:space="0" w:color="000000" w:themeColor="text1"/>
              <w:bottom w:val="dotted" w:sz="4" w:space="0" w:color="000000" w:themeColor="text1"/>
              <w:right w:val="single" w:sz="18" w:space="0" w:color="auto"/>
            </w:tcBorders>
          </w:tcPr>
          <w:p w14:paraId="5762D0F6"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single" w:sz="12" w:space="0" w:color="000000" w:themeColor="text1"/>
              <w:left w:val="single" w:sz="18" w:space="0" w:color="auto"/>
              <w:bottom w:val="dotted" w:sz="4" w:space="0" w:color="000000" w:themeColor="text1"/>
              <w:right w:val="single" w:sz="6" w:space="0" w:color="000000" w:themeColor="text1"/>
            </w:tcBorders>
          </w:tcPr>
          <w:p w14:paraId="04F74E54"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single" w:sz="12" w:space="0" w:color="000000" w:themeColor="text1"/>
              <w:left w:val="single" w:sz="6" w:space="0" w:color="000000" w:themeColor="text1"/>
              <w:bottom w:val="dotted" w:sz="4" w:space="0" w:color="000000" w:themeColor="text1"/>
              <w:right w:val="single" w:sz="18" w:space="0" w:color="000000" w:themeColor="text1"/>
            </w:tcBorders>
          </w:tcPr>
          <w:p w14:paraId="1E84A1A4"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5660C8D5" w14:textId="77777777" w:rsidTr="00AD46B2">
        <w:trPr>
          <w:tblHeader/>
        </w:trPr>
        <w:tc>
          <w:tcPr>
            <w:tcW w:w="1092" w:type="pct"/>
            <w:tcBorders>
              <w:top w:val="dotted" w:sz="4" w:space="0" w:color="000000" w:themeColor="text1"/>
              <w:left w:val="single" w:sz="18" w:space="0" w:color="000000" w:themeColor="text1"/>
              <w:bottom w:val="dotted" w:sz="4" w:space="0" w:color="000000" w:themeColor="text1"/>
              <w:right w:val="single" w:sz="6" w:space="0" w:color="000000" w:themeColor="text1"/>
            </w:tcBorders>
            <w:vAlign w:val="center"/>
          </w:tcPr>
          <w:p w14:paraId="04A3CAE7" w14:textId="77777777" w:rsidR="00EE5ACB" w:rsidRPr="005864F4" w:rsidRDefault="00EE5ACB" w:rsidP="00154678">
            <w:pPr>
              <w:spacing w:line="210" w:lineRule="auto"/>
              <w:rPr>
                <w:sz w:val="20"/>
                <w:szCs w:val="20"/>
              </w:rPr>
            </w:pPr>
            <w:r w:rsidRPr="005864F4">
              <w:rPr>
                <w:sz w:val="20"/>
                <w:szCs w:val="20"/>
              </w:rPr>
              <w:t>2+ vehicle homes (25</w:t>
            </w:r>
            <w:r w:rsidRPr="005864F4">
              <w:rPr>
                <w:sz w:val="20"/>
                <w:szCs w:val="20"/>
                <w:vertAlign w:val="superscript"/>
              </w:rPr>
              <w:t>th</w:t>
            </w:r>
            <w:r w:rsidRPr="005864F4">
              <w:rPr>
                <w:sz w:val="20"/>
                <w:szCs w:val="20"/>
              </w:rPr>
              <w:t xml:space="preserve"> Percentile)</w:t>
            </w:r>
          </w:p>
        </w:tc>
        <w:tc>
          <w:tcPr>
            <w:tcW w:w="749"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1AABB006" w14:textId="77777777" w:rsidR="00EE5ACB" w:rsidRPr="005864F4" w:rsidRDefault="00EE5ACB" w:rsidP="00154678">
            <w:pPr>
              <w:spacing w:line="210" w:lineRule="auto"/>
              <w:rPr>
                <w:sz w:val="20"/>
                <w:szCs w:val="20"/>
              </w:rPr>
            </w:pPr>
            <w:r w:rsidRPr="005864F4">
              <w:rPr>
                <w:sz w:val="20"/>
                <w:szCs w:val="20"/>
              </w:rPr>
              <w:t>75</w:t>
            </w:r>
            <w:r w:rsidRPr="005864F4">
              <w:rPr>
                <w:sz w:val="20"/>
                <w:szCs w:val="20"/>
                <w:vertAlign w:val="superscript"/>
              </w:rPr>
              <w:t>th</w:t>
            </w:r>
            <w:r w:rsidRPr="005864F4">
              <w:rPr>
                <w:sz w:val="20"/>
                <w:szCs w:val="20"/>
              </w:rPr>
              <w:t xml:space="preserve"> Percentile</w:t>
            </w:r>
          </w:p>
        </w:tc>
        <w:tc>
          <w:tcPr>
            <w:tcW w:w="368" w:type="pct"/>
            <w:tcBorders>
              <w:top w:val="dotted" w:sz="4" w:space="0" w:color="000000" w:themeColor="text1"/>
              <w:left w:val="single" w:sz="18" w:space="0" w:color="000000" w:themeColor="text1"/>
              <w:bottom w:val="dotted" w:sz="4" w:space="0" w:color="000000" w:themeColor="text1"/>
              <w:right w:val="single" w:sz="18" w:space="0" w:color="000000" w:themeColor="text1"/>
            </w:tcBorders>
          </w:tcPr>
          <w:p w14:paraId="478CA12F" w14:textId="77777777" w:rsidR="00EE5ACB" w:rsidRPr="005864F4" w:rsidRDefault="00EE5ACB" w:rsidP="007B1C8A">
            <w:pPr>
              <w:spacing w:line="210" w:lineRule="auto"/>
              <w:jc w:val="center"/>
              <w:rPr>
                <w:b/>
                <w:bCs/>
                <w:sz w:val="20"/>
                <w:szCs w:val="20"/>
              </w:rPr>
            </w:pPr>
            <w:r w:rsidRPr="005864F4">
              <w:rPr>
                <w:b/>
                <w:bCs/>
                <w:sz w:val="20"/>
                <w:szCs w:val="20"/>
              </w:rPr>
              <w:t>—</w:t>
            </w:r>
          </w:p>
        </w:tc>
        <w:tc>
          <w:tcPr>
            <w:tcW w:w="418"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79105B17"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60"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03838B74"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68898B9F"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7FBE5296"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dotted" w:sz="4" w:space="0" w:color="000000" w:themeColor="text1"/>
              <w:left w:val="single" w:sz="6" w:space="0" w:color="000000" w:themeColor="text1"/>
              <w:bottom w:val="dotted" w:sz="4" w:space="0" w:color="000000" w:themeColor="text1"/>
              <w:right w:val="single" w:sz="18" w:space="0" w:color="auto"/>
            </w:tcBorders>
          </w:tcPr>
          <w:p w14:paraId="4373400D"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bottom w:val="dotted" w:sz="4" w:space="0" w:color="000000" w:themeColor="text1"/>
              <w:right w:val="single" w:sz="6" w:space="0" w:color="000000" w:themeColor="text1"/>
            </w:tcBorders>
          </w:tcPr>
          <w:p w14:paraId="376CFA6E"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bottom w:val="dotted" w:sz="4" w:space="0" w:color="000000" w:themeColor="text1"/>
              <w:right w:val="single" w:sz="18" w:space="0" w:color="auto"/>
            </w:tcBorders>
          </w:tcPr>
          <w:p w14:paraId="6AD02147"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4D99A065" w14:textId="77777777" w:rsidR="00EE5ACB" w:rsidRPr="005864F4" w:rsidRDefault="00EE5ACB" w:rsidP="00154678">
            <w:pPr>
              <w:tabs>
                <w:tab w:val="decimal" w:pos="288"/>
              </w:tabs>
              <w:spacing w:line="210" w:lineRule="auto"/>
              <w:rPr>
                <w:sz w:val="20"/>
                <w:szCs w:val="20"/>
              </w:rPr>
            </w:pPr>
            <w:r w:rsidRPr="005864F4">
              <w:rPr>
                <w:sz w:val="20"/>
                <w:szCs w:val="20"/>
              </w:rPr>
              <w:t>13.50</w:t>
            </w:r>
          </w:p>
        </w:tc>
        <w:tc>
          <w:tcPr>
            <w:tcW w:w="251" w:type="pct"/>
            <w:tcBorders>
              <w:top w:val="dotted" w:sz="4" w:space="0" w:color="000000" w:themeColor="text1"/>
              <w:left w:val="single" w:sz="6" w:space="0" w:color="000000" w:themeColor="text1"/>
              <w:bottom w:val="dotted" w:sz="4" w:space="0" w:color="000000" w:themeColor="text1"/>
              <w:right w:val="single" w:sz="18" w:space="0" w:color="000000" w:themeColor="text1"/>
            </w:tcBorders>
            <w:vAlign w:val="center"/>
          </w:tcPr>
          <w:p w14:paraId="19AB296C" w14:textId="77777777" w:rsidR="00EE5ACB" w:rsidRPr="005864F4" w:rsidRDefault="00EE5ACB" w:rsidP="00154678">
            <w:pPr>
              <w:tabs>
                <w:tab w:val="decimal" w:pos="288"/>
              </w:tabs>
              <w:spacing w:line="210" w:lineRule="auto"/>
              <w:rPr>
                <w:sz w:val="20"/>
                <w:szCs w:val="20"/>
              </w:rPr>
            </w:pPr>
            <w:r w:rsidRPr="005864F4">
              <w:rPr>
                <w:sz w:val="20"/>
                <w:szCs w:val="20"/>
              </w:rPr>
              <w:t>11.78</w:t>
            </w:r>
          </w:p>
        </w:tc>
      </w:tr>
      <w:tr w:rsidR="00EE5ACB" w:rsidRPr="005864F4" w14:paraId="69443413" w14:textId="77777777" w:rsidTr="00AD46B2">
        <w:trPr>
          <w:tblHeader/>
        </w:trPr>
        <w:tc>
          <w:tcPr>
            <w:tcW w:w="1092" w:type="pct"/>
            <w:vMerge w:val="restart"/>
            <w:tcBorders>
              <w:top w:val="dotted" w:sz="4" w:space="0" w:color="000000" w:themeColor="text1"/>
              <w:left w:val="single" w:sz="18" w:space="0" w:color="000000" w:themeColor="text1"/>
              <w:right w:val="single" w:sz="6" w:space="0" w:color="000000" w:themeColor="text1"/>
            </w:tcBorders>
          </w:tcPr>
          <w:p w14:paraId="5A0580D9" w14:textId="77777777" w:rsidR="00EE5ACB" w:rsidRPr="005864F4" w:rsidRDefault="00EE5ACB" w:rsidP="00154678">
            <w:pPr>
              <w:spacing w:line="210" w:lineRule="auto"/>
              <w:rPr>
                <w:sz w:val="20"/>
                <w:szCs w:val="20"/>
              </w:rPr>
            </w:pPr>
            <w:r w:rsidRPr="005864F4">
              <w:rPr>
                <w:sz w:val="20"/>
                <w:szCs w:val="20"/>
              </w:rPr>
              <w:t xml:space="preserve">Population density </w:t>
            </w:r>
          </w:p>
          <w:p w14:paraId="202CED22" w14:textId="77777777" w:rsidR="00EE5ACB" w:rsidRPr="005864F4" w:rsidRDefault="00EE5ACB" w:rsidP="00154678">
            <w:pPr>
              <w:spacing w:line="210" w:lineRule="auto"/>
              <w:rPr>
                <w:sz w:val="20"/>
                <w:szCs w:val="20"/>
              </w:rPr>
            </w:pPr>
            <w:r w:rsidRPr="005864F4">
              <w:rPr>
                <w:sz w:val="20"/>
                <w:szCs w:val="20"/>
              </w:rPr>
              <w:t>(low, &lt;5 people per acre)</w:t>
            </w:r>
          </w:p>
        </w:tc>
        <w:tc>
          <w:tcPr>
            <w:tcW w:w="749"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76920531" w14:textId="77777777" w:rsidR="00EE5ACB" w:rsidRPr="005864F4" w:rsidRDefault="00EE5ACB" w:rsidP="00154678">
            <w:pPr>
              <w:spacing w:line="210" w:lineRule="auto"/>
              <w:rPr>
                <w:sz w:val="20"/>
                <w:szCs w:val="20"/>
              </w:rPr>
            </w:pPr>
            <w:r w:rsidRPr="005864F4">
              <w:rPr>
                <w:sz w:val="20"/>
                <w:szCs w:val="20"/>
              </w:rPr>
              <w:t>Medium (5-10 people)</w:t>
            </w:r>
          </w:p>
        </w:tc>
        <w:tc>
          <w:tcPr>
            <w:tcW w:w="368" w:type="pct"/>
            <w:tcBorders>
              <w:top w:val="dotted" w:sz="4" w:space="0" w:color="000000" w:themeColor="text1"/>
              <w:left w:val="single" w:sz="18" w:space="0" w:color="000000" w:themeColor="text1"/>
              <w:bottom w:val="dotted" w:sz="4" w:space="0" w:color="000000" w:themeColor="text1"/>
              <w:right w:val="single" w:sz="18" w:space="0" w:color="000000" w:themeColor="text1"/>
            </w:tcBorders>
            <w:vAlign w:val="center"/>
          </w:tcPr>
          <w:p w14:paraId="5ADE32D1" w14:textId="77777777" w:rsidR="00EE5ACB" w:rsidRPr="005864F4" w:rsidRDefault="00EE5ACB" w:rsidP="007B1C8A">
            <w:pPr>
              <w:tabs>
                <w:tab w:val="decimal" w:pos="288"/>
              </w:tabs>
              <w:spacing w:line="210" w:lineRule="auto"/>
              <w:jc w:val="center"/>
              <w:rPr>
                <w:sz w:val="20"/>
                <w:szCs w:val="20"/>
              </w:rPr>
            </w:pPr>
            <w:r w:rsidRPr="005864F4">
              <w:rPr>
                <w:sz w:val="20"/>
                <w:szCs w:val="20"/>
              </w:rPr>
              <w:t>32.27</w:t>
            </w:r>
          </w:p>
        </w:tc>
        <w:tc>
          <w:tcPr>
            <w:tcW w:w="418" w:type="pct"/>
            <w:tcBorders>
              <w:top w:val="dotted" w:sz="4" w:space="0" w:color="000000" w:themeColor="text1"/>
              <w:left w:val="single" w:sz="18" w:space="0" w:color="000000" w:themeColor="text1"/>
              <w:bottom w:val="dotted" w:sz="4" w:space="0" w:color="000000" w:themeColor="text1"/>
              <w:right w:val="single" w:sz="6" w:space="0" w:color="000000" w:themeColor="text1"/>
            </w:tcBorders>
            <w:vAlign w:val="center"/>
          </w:tcPr>
          <w:p w14:paraId="19506C3F" w14:textId="77777777" w:rsidR="00EE5ACB" w:rsidRPr="005864F4" w:rsidRDefault="00EE5ACB" w:rsidP="00154678">
            <w:pPr>
              <w:tabs>
                <w:tab w:val="decimal" w:pos="504"/>
              </w:tabs>
              <w:spacing w:line="210" w:lineRule="auto"/>
              <w:rPr>
                <w:sz w:val="20"/>
                <w:szCs w:val="20"/>
              </w:rPr>
            </w:pPr>
            <w:r w:rsidRPr="005864F4">
              <w:rPr>
                <w:sz w:val="20"/>
                <w:szCs w:val="20"/>
              </w:rPr>
              <w:t>29.04</w:t>
            </w:r>
          </w:p>
        </w:tc>
        <w:tc>
          <w:tcPr>
            <w:tcW w:w="260"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3D556B14"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10F9AEF7"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55BA0542" w14:textId="77777777" w:rsidR="00EE5ACB" w:rsidRPr="005864F4" w:rsidRDefault="00EE5ACB" w:rsidP="00154678">
            <w:pPr>
              <w:tabs>
                <w:tab w:val="decimal" w:pos="360"/>
              </w:tabs>
              <w:spacing w:line="210" w:lineRule="auto"/>
              <w:rPr>
                <w:sz w:val="20"/>
                <w:szCs w:val="20"/>
              </w:rPr>
            </w:pPr>
            <w:r w:rsidRPr="005864F4">
              <w:rPr>
                <w:sz w:val="20"/>
                <w:szCs w:val="20"/>
              </w:rPr>
              <w:t>45.81</w:t>
            </w:r>
          </w:p>
        </w:tc>
        <w:tc>
          <w:tcPr>
            <w:tcW w:w="278" w:type="pct"/>
            <w:tcBorders>
              <w:top w:val="dotted" w:sz="4" w:space="0" w:color="000000" w:themeColor="text1"/>
              <w:left w:val="single" w:sz="6" w:space="0" w:color="000000" w:themeColor="text1"/>
              <w:bottom w:val="dotted" w:sz="4" w:space="0" w:color="000000" w:themeColor="text1"/>
              <w:right w:val="single" w:sz="18" w:space="0" w:color="auto"/>
            </w:tcBorders>
            <w:vAlign w:val="center"/>
          </w:tcPr>
          <w:p w14:paraId="5C689269" w14:textId="77777777" w:rsidR="00EE5ACB" w:rsidRPr="005864F4" w:rsidRDefault="00EE5ACB" w:rsidP="00154678">
            <w:pPr>
              <w:tabs>
                <w:tab w:val="decimal" w:pos="360"/>
              </w:tabs>
              <w:spacing w:line="210" w:lineRule="auto"/>
              <w:rPr>
                <w:sz w:val="20"/>
                <w:szCs w:val="20"/>
              </w:rPr>
            </w:pPr>
            <w:r w:rsidRPr="005864F4">
              <w:rPr>
                <w:sz w:val="20"/>
                <w:szCs w:val="20"/>
              </w:rPr>
              <w:t>42.85</w:t>
            </w:r>
          </w:p>
        </w:tc>
        <w:tc>
          <w:tcPr>
            <w:tcW w:w="380"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32C5B364" w14:textId="77777777" w:rsidR="00EE5ACB" w:rsidRPr="005864F4" w:rsidRDefault="00EE5ACB" w:rsidP="00154678">
            <w:pPr>
              <w:tabs>
                <w:tab w:val="decimal" w:pos="432"/>
              </w:tabs>
              <w:spacing w:line="210" w:lineRule="auto"/>
              <w:rPr>
                <w:sz w:val="20"/>
                <w:szCs w:val="20"/>
              </w:rPr>
            </w:pPr>
            <w:r w:rsidRPr="005864F4">
              <w:rPr>
                <w:sz w:val="20"/>
                <w:szCs w:val="20"/>
              </w:rPr>
              <w:t>18.80</w:t>
            </w:r>
          </w:p>
        </w:tc>
        <w:tc>
          <w:tcPr>
            <w:tcW w:w="223" w:type="pct"/>
            <w:tcBorders>
              <w:top w:val="dotted" w:sz="4" w:space="0" w:color="000000" w:themeColor="text1"/>
              <w:left w:val="single" w:sz="6" w:space="0" w:color="000000" w:themeColor="text1"/>
              <w:bottom w:val="dotted" w:sz="4" w:space="0" w:color="000000" w:themeColor="text1"/>
              <w:right w:val="single" w:sz="18" w:space="0" w:color="auto"/>
            </w:tcBorders>
          </w:tcPr>
          <w:p w14:paraId="657FD6B9"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745D5769" w14:textId="77777777" w:rsidR="00EE5ACB" w:rsidRPr="005864F4" w:rsidRDefault="00EE5ACB" w:rsidP="00154678">
            <w:pPr>
              <w:tabs>
                <w:tab w:val="decimal" w:pos="288"/>
              </w:tabs>
              <w:spacing w:line="210" w:lineRule="auto"/>
              <w:rPr>
                <w:sz w:val="20"/>
                <w:szCs w:val="20"/>
              </w:rPr>
            </w:pPr>
            <w:r w:rsidRPr="005864F4">
              <w:rPr>
                <w:sz w:val="20"/>
                <w:szCs w:val="20"/>
              </w:rPr>
              <w:t>-26.36</w:t>
            </w:r>
          </w:p>
        </w:tc>
        <w:tc>
          <w:tcPr>
            <w:tcW w:w="251" w:type="pct"/>
            <w:tcBorders>
              <w:top w:val="dotted" w:sz="4" w:space="0" w:color="000000" w:themeColor="text1"/>
              <w:left w:val="single" w:sz="6" w:space="0" w:color="000000" w:themeColor="text1"/>
              <w:bottom w:val="dotted" w:sz="4" w:space="0" w:color="000000" w:themeColor="text1"/>
              <w:right w:val="single" w:sz="18" w:space="0" w:color="000000" w:themeColor="text1"/>
            </w:tcBorders>
            <w:vAlign w:val="center"/>
          </w:tcPr>
          <w:p w14:paraId="3BEF600A" w14:textId="77777777" w:rsidR="00EE5ACB" w:rsidRPr="005864F4" w:rsidRDefault="00EE5ACB" w:rsidP="00154678">
            <w:pPr>
              <w:tabs>
                <w:tab w:val="decimal" w:pos="288"/>
              </w:tabs>
              <w:spacing w:line="210" w:lineRule="auto"/>
              <w:rPr>
                <w:sz w:val="20"/>
                <w:szCs w:val="20"/>
              </w:rPr>
            </w:pPr>
            <w:r w:rsidRPr="005864F4">
              <w:rPr>
                <w:sz w:val="20"/>
                <w:szCs w:val="20"/>
              </w:rPr>
              <w:t>-17.89</w:t>
            </w:r>
          </w:p>
        </w:tc>
      </w:tr>
      <w:tr w:rsidR="00EE5ACB" w:rsidRPr="005864F4" w14:paraId="61D4738A" w14:textId="77777777" w:rsidTr="00AD46B2">
        <w:trPr>
          <w:tblHeader/>
        </w:trPr>
        <w:tc>
          <w:tcPr>
            <w:tcW w:w="1092" w:type="pct"/>
            <w:vMerge/>
            <w:tcBorders>
              <w:left w:val="single" w:sz="18" w:space="0" w:color="000000" w:themeColor="text1"/>
              <w:bottom w:val="dotted" w:sz="4" w:space="0" w:color="000000" w:themeColor="text1"/>
              <w:right w:val="single" w:sz="6" w:space="0" w:color="000000" w:themeColor="text1"/>
            </w:tcBorders>
          </w:tcPr>
          <w:p w14:paraId="788EB1F0" w14:textId="77777777" w:rsidR="00EE5ACB" w:rsidRPr="005864F4" w:rsidRDefault="00EE5ACB" w:rsidP="00154678">
            <w:pPr>
              <w:rPr>
                <w:sz w:val="20"/>
                <w:szCs w:val="20"/>
              </w:rPr>
            </w:pPr>
          </w:p>
        </w:tc>
        <w:tc>
          <w:tcPr>
            <w:tcW w:w="749"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154D39C1" w14:textId="77777777" w:rsidR="00EE5ACB" w:rsidRPr="005864F4" w:rsidRDefault="00EE5ACB" w:rsidP="00154678">
            <w:pPr>
              <w:spacing w:line="210" w:lineRule="auto"/>
              <w:rPr>
                <w:sz w:val="20"/>
                <w:szCs w:val="20"/>
              </w:rPr>
            </w:pPr>
            <w:r w:rsidRPr="005864F4">
              <w:rPr>
                <w:sz w:val="20"/>
                <w:szCs w:val="20"/>
              </w:rPr>
              <w:t>High (&gt;10 people)</w:t>
            </w:r>
          </w:p>
        </w:tc>
        <w:tc>
          <w:tcPr>
            <w:tcW w:w="368" w:type="pct"/>
            <w:tcBorders>
              <w:top w:val="dotted" w:sz="4" w:space="0" w:color="000000" w:themeColor="text1"/>
              <w:left w:val="single" w:sz="18" w:space="0" w:color="000000" w:themeColor="text1"/>
              <w:bottom w:val="dotted" w:sz="4" w:space="0" w:color="000000" w:themeColor="text1"/>
              <w:right w:val="single" w:sz="18" w:space="0" w:color="000000" w:themeColor="text1"/>
            </w:tcBorders>
            <w:vAlign w:val="center"/>
          </w:tcPr>
          <w:p w14:paraId="4EAD5470" w14:textId="77777777" w:rsidR="00EE5ACB" w:rsidRPr="005864F4" w:rsidRDefault="00EE5ACB" w:rsidP="007B1C8A">
            <w:pPr>
              <w:tabs>
                <w:tab w:val="decimal" w:pos="288"/>
              </w:tabs>
              <w:spacing w:line="210" w:lineRule="auto"/>
              <w:jc w:val="center"/>
              <w:rPr>
                <w:sz w:val="20"/>
                <w:szCs w:val="20"/>
              </w:rPr>
            </w:pPr>
            <w:r w:rsidRPr="005864F4">
              <w:rPr>
                <w:sz w:val="20"/>
                <w:szCs w:val="20"/>
              </w:rPr>
              <w:t>92.38</w:t>
            </w:r>
          </w:p>
        </w:tc>
        <w:tc>
          <w:tcPr>
            <w:tcW w:w="418" w:type="pct"/>
            <w:tcBorders>
              <w:top w:val="dotted" w:sz="4" w:space="0" w:color="000000" w:themeColor="text1"/>
              <w:left w:val="single" w:sz="18" w:space="0" w:color="000000" w:themeColor="text1"/>
              <w:bottom w:val="dotted" w:sz="4" w:space="0" w:color="000000" w:themeColor="text1"/>
              <w:right w:val="single" w:sz="6" w:space="0" w:color="000000" w:themeColor="text1"/>
            </w:tcBorders>
            <w:vAlign w:val="center"/>
          </w:tcPr>
          <w:p w14:paraId="6A8D36C9" w14:textId="77777777" w:rsidR="00EE5ACB" w:rsidRPr="005864F4" w:rsidRDefault="00EE5ACB" w:rsidP="00154678">
            <w:pPr>
              <w:tabs>
                <w:tab w:val="decimal" w:pos="504"/>
              </w:tabs>
              <w:spacing w:line="210" w:lineRule="auto"/>
              <w:rPr>
                <w:sz w:val="20"/>
                <w:szCs w:val="20"/>
              </w:rPr>
            </w:pPr>
            <w:r w:rsidRPr="005864F4">
              <w:rPr>
                <w:sz w:val="20"/>
                <w:szCs w:val="20"/>
              </w:rPr>
              <w:t>49.66</w:t>
            </w:r>
          </w:p>
        </w:tc>
        <w:tc>
          <w:tcPr>
            <w:tcW w:w="260"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467B9EA7" w14:textId="77777777" w:rsidR="00EE5ACB" w:rsidRPr="005864F4" w:rsidRDefault="00EE5ACB" w:rsidP="00154678">
            <w:pPr>
              <w:tabs>
                <w:tab w:val="decimal" w:pos="288"/>
              </w:tabs>
              <w:spacing w:line="210" w:lineRule="auto"/>
              <w:rPr>
                <w:sz w:val="20"/>
                <w:szCs w:val="20"/>
              </w:rPr>
            </w:pPr>
            <w:r w:rsidRPr="005864F4">
              <w:rPr>
                <w:sz w:val="20"/>
                <w:szCs w:val="20"/>
              </w:rPr>
              <w:t>34.34</w:t>
            </w:r>
          </w:p>
        </w:tc>
        <w:tc>
          <w:tcPr>
            <w:tcW w:w="437"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0F823A26" w14:textId="77777777" w:rsidR="00EE5ACB" w:rsidRPr="005864F4" w:rsidRDefault="00EE5ACB" w:rsidP="00154678">
            <w:pPr>
              <w:tabs>
                <w:tab w:val="decimal" w:pos="504"/>
              </w:tabs>
              <w:spacing w:line="210" w:lineRule="auto"/>
              <w:rPr>
                <w:sz w:val="20"/>
                <w:szCs w:val="20"/>
              </w:rPr>
            </w:pPr>
            <w:r w:rsidRPr="005864F4">
              <w:rPr>
                <w:sz w:val="20"/>
                <w:szCs w:val="20"/>
              </w:rPr>
              <w:t>47.53</w:t>
            </w:r>
          </w:p>
        </w:tc>
        <w:tc>
          <w:tcPr>
            <w:tcW w:w="292" w:type="pct"/>
            <w:tcBorders>
              <w:top w:val="dotted" w:sz="4" w:space="0" w:color="000000" w:themeColor="text1"/>
              <w:left w:val="single" w:sz="6" w:space="0" w:color="000000" w:themeColor="text1"/>
              <w:bottom w:val="dotted" w:sz="4" w:space="0" w:color="000000" w:themeColor="text1"/>
              <w:right w:val="single" w:sz="6" w:space="0" w:color="000000" w:themeColor="text1"/>
            </w:tcBorders>
            <w:vAlign w:val="center"/>
          </w:tcPr>
          <w:p w14:paraId="11FD703E" w14:textId="77777777" w:rsidR="00EE5ACB" w:rsidRPr="005864F4" w:rsidRDefault="00EE5ACB" w:rsidP="00154678">
            <w:pPr>
              <w:tabs>
                <w:tab w:val="decimal" w:pos="360"/>
              </w:tabs>
              <w:spacing w:line="210" w:lineRule="auto"/>
              <w:rPr>
                <w:sz w:val="20"/>
                <w:szCs w:val="20"/>
              </w:rPr>
            </w:pPr>
            <w:r w:rsidRPr="005864F4">
              <w:rPr>
                <w:sz w:val="20"/>
                <w:szCs w:val="20"/>
              </w:rPr>
              <w:t>45.81</w:t>
            </w:r>
          </w:p>
        </w:tc>
        <w:tc>
          <w:tcPr>
            <w:tcW w:w="278" w:type="pct"/>
            <w:tcBorders>
              <w:top w:val="dotted" w:sz="4" w:space="0" w:color="000000" w:themeColor="text1"/>
              <w:left w:val="single" w:sz="6" w:space="0" w:color="000000" w:themeColor="text1"/>
              <w:bottom w:val="dotted" w:sz="4" w:space="0" w:color="000000" w:themeColor="text1"/>
              <w:right w:val="single" w:sz="18" w:space="0" w:color="auto"/>
            </w:tcBorders>
            <w:vAlign w:val="center"/>
          </w:tcPr>
          <w:p w14:paraId="42C7A2FC" w14:textId="77777777" w:rsidR="00EE5ACB" w:rsidRPr="005864F4" w:rsidRDefault="00EE5ACB" w:rsidP="00154678">
            <w:pPr>
              <w:tabs>
                <w:tab w:val="decimal" w:pos="360"/>
              </w:tabs>
              <w:spacing w:line="210" w:lineRule="auto"/>
              <w:rPr>
                <w:sz w:val="20"/>
                <w:szCs w:val="20"/>
              </w:rPr>
            </w:pPr>
            <w:r w:rsidRPr="005864F4">
              <w:rPr>
                <w:sz w:val="20"/>
                <w:szCs w:val="20"/>
              </w:rPr>
              <w:t>42.85</w:t>
            </w:r>
          </w:p>
        </w:tc>
        <w:tc>
          <w:tcPr>
            <w:tcW w:w="380"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7FC47AAE" w14:textId="77777777" w:rsidR="00EE5ACB" w:rsidRPr="005864F4" w:rsidRDefault="00EE5ACB" w:rsidP="00154678">
            <w:pPr>
              <w:tabs>
                <w:tab w:val="decimal" w:pos="432"/>
              </w:tabs>
              <w:spacing w:line="210" w:lineRule="auto"/>
              <w:rPr>
                <w:sz w:val="20"/>
                <w:szCs w:val="20"/>
              </w:rPr>
            </w:pPr>
            <w:r w:rsidRPr="005864F4">
              <w:rPr>
                <w:sz w:val="20"/>
                <w:szCs w:val="20"/>
              </w:rPr>
              <w:t>18.80</w:t>
            </w:r>
          </w:p>
        </w:tc>
        <w:tc>
          <w:tcPr>
            <w:tcW w:w="223" w:type="pct"/>
            <w:tcBorders>
              <w:top w:val="dotted" w:sz="4" w:space="0" w:color="000000" w:themeColor="text1"/>
              <w:left w:val="single" w:sz="6" w:space="0" w:color="000000" w:themeColor="text1"/>
              <w:bottom w:val="dotted" w:sz="4" w:space="0" w:color="000000" w:themeColor="text1"/>
              <w:right w:val="single" w:sz="18" w:space="0" w:color="auto"/>
            </w:tcBorders>
          </w:tcPr>
          <w:p w14:paraId="2FA35CF3"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293193F2" w14:textId="77777777" w:rsidR="00EE5ACB" w:rsidRPr="005864F4" w:rsidRDefault="00EE5ACB" w:rsidP="00154678">
            <w:pPr>
              <w:tabs>
                <w:tab w:val="decimal" w:pos="288"/>
              </w:tabs>
              <w:spacing w:line="210" w:lineRule="auto"/>
              <w:rPr>
                <w:sz w:val="20"/>
                <w:szCs w:val="20"/>
              </w:rPr>
            </w:pPr>
            <w:r w:rsidRPr="005864F4">
              <w:rPr>
                <w:sz w:val="20"/>
                <w:szCs w:val="20"/>
              </w:rPr>
              <w:t>-26.36</w:t>
            </w:r>
          </w:p>
        </w:tc>
        <w:tc>
          <w:tcPr>
            <w:tcW w:w="251" w:type="pct"/>
            <w:tcBorders>
              <w:top w:val="dotted" w:sz="4" w:space="0" w:color="000000" w:themeColor="text1"/>
              <w:left w:val="single" w:sz="6" w:space="0" w:color="000000" w:themeColor="text1"/>
              <w:bottom w:val="dotted" w:sz="4" w:space="0" w:color="000000" w:themeColor="text1"/>
              <w:right w:val="single" w:sz="18" w:space="0" w:color="000000" w:themeColor="text1"/>
            </w:tcBorders>
            <w:vAlign w:val="center"/>
          </w:tcPr>
          <w:p w14:paraId="6E057132" w14:textId="77777777" w:rsidR="00EE5ACB" w:rsidRPr="005864F4" w:rsidRDefault="00EE5ACB" w:rsidP="00154678">
            <w:pPr>
              <w:tabs>
                <w:tab w:val="decimal" w:pos="288"/>
              </w:tabs>
              <w:spacing w:line="210" w:lineRule="auto"/>
              <w:rPr>
                <w:sz w:val="20"/>
                <w:szCs w:val="20"/>
              </w:rPr>
            </w:pPr>
            <w:r w:rsidRPr="005864F4">
              <w:rPr>
                <w:sz w:val="20"/>
                <w:szCs w:val="20"/>
              </w:rPr>
              <w:t>-17.89</w:t>
            </w:r>
          </w:p>
        </w:tc>
      </w:tr>
      <w:tr w:rsidR="00EE5ACB" w:rsidRPr="005864F4" w14:paraId="6129EDFD" w14:textId="77777777" w:rsidTr="00AD46B2">
        <w:trPr>
          <w:tblHeader/>
        </w:trPr>
        <w:tc>
          <w:tcPr>
            <w:tcW w:w="1092" w:type="pct"/>
            <w:vMerge w:val="restart"/>
            <w:tcBorders>
              <w:top w:val="dotted" w:sz="4" w:space="0" w:color="000000" w:themeColor="text1"/>
              <w:left w:val="single" w:sz="18" w:space="0" w:color="000000" w:themeColor="text1"/>
              <w:right w:val="single" w:sz="6" w:space="0" w:color="000000" w:themeColor="text1"/>
            </w:tcBorders>
            <w:vAlign w:val="center"/>
          </w:tcPr>
          <w:p w14:paraId="2E615006" w14:textId="77777777" w:rsidR="00EE5ACB" w:rsidRPr="005864F4" w:rsidRDefault="00EE5ACB" w:rsidP="00154678">
            <w:pPr>
              <w:spacing w:line="210" w:lineRule="auto"/>
              <w:rPr>
                <w:sz w:val="20"/>
                <w:szCs w:val="20"/>
              </w:rPr>
            </w:pPr>
            <w:r w:rsidRPr="005864F4">
              <w:rPr>
                <w:sz w:val="20"/>
                <w:szCs w:val="20"/>
              </w:rPr>
              <w:t>Walkability Index (low, ≤ 5.75)</w:t>
            </w:r>
          </w:p>
        </w:tc>
        <w:tc>
          <w:tcPr>
            <w:tcW w:w="749" w:type="pct"/>
            <w:tcBorders>
              <w:top w:val="dotted" w:sz="4" w:space="0" w:color="000000" w:themeColor="text1"/>
              <w:left w:val="single" w:sz="6" w:space="0" w:color="000000" w:themeColor="text1"/>
              <w:bottom w:val="dotted" w:sz="4" w:space="0" w:color="000000" w:themeColor="text1"/>
              <w:right w:val="single" w:sz="18" w:space="0" w:color="000000" w:themeColor="text1"/>
            </w:tcBorders>
            <w:vAlign w:val="center"/>
          </w:tcPr>
          <w:p w14:paraId="0DA0086B" w14:textId="77777777" w:rsidR="00AC59C3" w:rsidRDefault="00EE5ACB" w:rsidP="00154678">
            <w:pPr>
              <w:spacing w:line="210" w:lineRule="auto"/>
              <w:rPr>
                <w:sz w:val="20"/>
                <w:szCs w:val="20"/>
              </w:rPr>
            </w:pPr>
            <w:r w:rsidRPr="005864F4">
              <w:rPr>
                <w:sz w:val="20"/>
                <w:szCs w:val="20"/>
              </w:rPr>
              <w:t>Medium</w:t>
            </w:r>
          </w:p>
          <w:p w14:paraId="6647B651" w14:textId="64C093A8" w:rsidR="00EE5ACB" w:rsidRPr="005864F4" w:rsidRDefault="00EE5ACB" w:rsidP="00154678">
            <w:pPr>
              <w:spacing w:line="210" w:lineRule="auto"/>
              <w:rPr>
                <w:sz w:val="20"/>
                <w:szCs w:val="20"/>
              </w:rPr>
            </w:pPr>
            <w:r w:rsidRPr="005864F4">
              <w:rPr>
                <w:sz w:val="20"/>
                <w:szCs w:val="20"/>
              </w:rPr>
              <w:t>(&gt;5.75</w:t>
            </w:r>
            <w:r w:rsidR="00020439">
              <w:rPr>
                <w:sz w:val="20"/>
                <w:szCs w:val="20"/>
              </w:rPr>
              <w:t xml:space="preserve">, </w:t>
            </w:r>
            <w:r w:rsidRPr="005864F4">
              <w:rPr>
                <w:sz w:val="20"/>
                <w:szCs w:val="20"/>
              </w:rPr>
              <w:t>≤10.5)</w:t>
            </w:r>
          </w:p>
        </w:tc>
        <w:tc>
          <w:tcPr>
            <w:tcW w:w="368" w:type="pct"/>
            <w:tcBorders>
              <w:top w:val="dotted" w:sz="4" w:space="0" w:color="000000" w:themeColor="text1"/>
              <w:left w:val="single" w:sz="18" w:space="0" w:color="000000" w:themeColor="text1"/>
              <w:bottom w:val="dotted" w:sz="4" w:space="0" w:color="000000" w:themeColor="text1"/>
              <w:right w:val="single" w:sz="18" w:space="0" w:color="000000" w:themeColor="text1"/>
            </w:tcBorders>
            <w:vAlign w:val="center"/>
          </w:tcPr>
          <w:p w14:paraId="682A2DD8" w14:textId="77777777" w:rsidR="00EE5ACB" w:rsidRPr="005864F4" w:rsidRDefault="00EE5ACB" w:rsidP="007B1C8A">
            <w:pPr>
              <w:tabs>
                <w:tab w:val="decimal" w:pos="288"/>
              </w:tabs>
              <w:spacing w:line="210" w:lineRule="auto"/>
              <w:jc w:val="center"/>
              <w:rPr>
                <w:sz w:val="20"/>
                <w:szCs w:val="20"/>
              </w:rPr>
            </w:pPr>
            <w:r w:rsidRPr="005864F4">
              <w:rPr>
                <w:sz w:val="20"/>
                <w:szCs w:val="20"/>
              </w:rPr>
              <w:t>-19.05</w:t>
            </w:r>
          </w:p>
        </w:tc>
        <w:tc>
          <w:tcPr>
            <w:tcW w:w="418" w:type="pct"/>
            <w:tcBorders>
              <w:top w:val="dotted" w:sz="4" w:space="0" w:color="000000" w:themeColor="text1"/>
              <w:left w:val="single" w:sz="18" w:space="0" w:color="000000" w:themeColor="text1"/>
              <w:bottom w:val="dotted" w:sz="4" w:space="0" w:color="000000" w:themeColor="text1"/>
              <w:right w:val="single" w:sz="6" w:space="0" w:color="000000" w:themeColor="text1"/>
            </w:tcBorders>
          </w:tcPr>
          <w:p w14:paraId="352DB14E"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60"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34F7BE26"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1F469637"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dotted" w:sz="4" w:space="0" w:color="000000" w:themeColor="text1"/>
              <w:right w:val="single" w:sz="6" w:space="0" w:color="000000" w:themeColor="text1"/>
            </w:tcBorders>
          </w:tcPr>
          <w:p w14:paraId="71FD90B9"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dotted" w:sz="4" w:space="0" w:color="000000" w:themeColor="text1"/>
              <w:left w:val="single" w:sz="6" w:space="0" w:color="000000" w:themeColor="text1"/>
              <w:bottom w:val="dotted" w:sz="4" w:space="0" w:color="000000" w:themeColor="text1"/>
              <w:right w:val="single" w:sz="18" w:space="0" w:color="auto"/>
            </w:tcBorders>
          </w:tcPr>
          <w:p w14:paraId="27A5F3C2"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bottom w:val="dotted" w:sz="4" w:space="0" w:color="000000" w:themeColor="text1"/>
              <w:right w:val="single" w:sz="6" w:space="0" w:color="000000" w:themeColor="text1"/>
            </w:tcBorders>
          </w:tcPr>
          <w:p w14:paraId="24851858"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bottom w:val="dotted" w:sz="4" w:space="0" w:color="000000" w:themeColor="text1"/>
              <w:right w:val="single" w:sz="18" w:space="0" w:color="auto"/>
            </w:tcBorders>
          </w:tcPr>
          <w:p w14:paraId="2103AAA8"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dotted" w:sz="4" w:space="0" w:color="000000" w:themeColor="text1"/>
              <w:right w:val="single" w:sz="6" w:space="0" w:color="000000" w:themeColor="text1"/>
            </w:tcBorders>
            <w:vAlign w:val="center"/>
          </w:tcPr>
          <w:p w14:paraId="24B6BBD6" w14:textId="77777777" w:rsidR="00EE5ACB" w:rsidRPr="005864F4" w:rsidRDefault="00EE5ACB" w:rsidP="00154678">
            <w:pPr>
              <w:tabs>
                <w:tab w:val="decimal" w:pos="288"/>
              </w:tabs>
              <w:spacing w:line="210" w:lineRule="auto"/>
              <w:rPr>
                <w:sz w:val="20"/>
                <w:szCs w:val="20"/>
              </w:rPr>
            </w:pPr>
            <w:r w:rsidRPr="005864F4">
              <w:rPr>
                <w:sz w:val="20"/>
                <w:szCs w:val="20"/>
              </w:rPr>
              <w:t>-25.77</w:t>
            </w:r>
          </w:p>
        </w:tc>
        <w:tc>
          <w:tcPr>
            <w:tcW w:w="251" w:type="pct"/>
            <w:tcBorders>
              <w:top w:val="dotted" w:sz="4" w:space="0" w:color="000000" w:themeColor="text1"/>
              <w:left w:val="single" w:sz="6" w:space="0" w:color="000000" w:themeColor="text1"/>
              <w:bottom w:val="dotted" w:sz="4" w:space="0" w:color="000000" w:themeColor="text1"/>
              <w:right w:val="single" w:sz="18" w:space="0" w:color="000000" w:themeColor="text1"/>
            </w:tcBorders>
          </w:tcPr>
          <w:p w14:paraId="1150BB30"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r w:rsidR="00EE5ACB" w:rsidRPr="005864F4" w14:paraId="2491AD1C" w14:textId="77777777" w:rsidTr="00AD46B2">
        <w:trPr>
          <w:tblHeader/>
        </w:trPr>
        <w:tc>
          <w:tcPr>
            <w:tcW w:w="1092" w:type="pct"/>
            <w:vMerge/>
            <w:tcBorders>
              <w:left w:val="single" w:sz="18" w:space="0" w:color="000000" w:themeColor="text1"/>
              <w:bottom w:val="single" w:sz="18" w:space="0" w:color="000000" w:themeColor="text1"/>
              <w:right w:val="single" w:sz="6" w:space="0" w:color="000000" w:themeColor="text1"/>
            </w:tcBorders>
          </w:tcPr>
          <w:p w14:paraId="209BDCAD" w14:textId="77777777" w:rsidR="00EE5ACB" w:rsidRPr="005864F4" w:rsidRDefault="00EE5ACB" w:rsidP="00154678">
            <w:pPr>
              <w:rPr>
                <w:sz w:val="20"/>
                <w:szCs w:val="20"/>
              </w:rPr>
            </w:pPr>
          </w:p>
        </w:tc>
        <w:tc>
          <w:tcPr>
            <w:tcW w:w="749" w:type="pct"/>
            <w:tcBorders>
              <w:top w:val="dotted" w:sz="4" w:space="0" w:color="000000" w:themeColor="text1"/>
              <w:left w:val="single" w:sz="6" w:space="0" w:color="000000" w:themeColor="text1"/>
              <w:bottom w:val="single" w:sz="18" w:space="0" w:color="000000" w:themeColor="text1"/>
              <w:right w:val="single" w:sz="18" w:space="0" w:color="000000" w:themeColor="text1"/>
            </w:tcBorders>
            <w:vAlign w:val="center"/>
          </w:tcPr>
          <w:p w14:paraId="166DA38E" w14:textId="77777777" w:rsidR="00EE5ACB" w:rsidRPr="005864F4" w:rsidRDefault="00EE5ACB" w:rsidP="00154678">
            <w:pPr>
              <w:spacing w:line="210" w:lineRule="auto"/>
              <w:rPr>
                <w:sz w:val="20"/>
                <w:szCs w:val="20"/>
              </w:rPr>
            </w:pPr>
            <w:r w:rsidRPr="005864F4">
              <w:rPr>
                <w:sz w:val="20"/>
                <w:szCs w:val="20"/>
              </w:rPr>
              <w:t>High (&gt; 10.5)</w:t>
            </w:r>
          </w:p>
        </w:tc>
        <w:tc>
          <w:tcPr>
            <w:tcW w:w="368" w:type="pct"/>
            <w:tcBorders>
              <w:top w:val="dotted" w:sz="4" w:space="0" w:color="000000" w:themeColor="text1"/>
              <w:left w:val="single" w:sz="18" w:space="0" w:color="000000" w:themeColor="text1"/>
              <w:bottom w:val="single" w:sz="18" w:space="0" w:color="000000" w:themeColor="text1"/>
              <w:right w:val="single" w:sz="18" w:space="0" w:color="000000" w:themeColor="text1"/>
            </w:tcBorders>
            <w:vAlign w:val="center"/>
          </w:tcPr>
          <w:p w14:paraId="072835BD" w14:textId="77777777" w:rsidR="00EE5ACB" w:rsidRPr="005864F4" w:rsidRDefault="00EE5ACB" w:rsidP="007B1C8A">
            <w:pPr>
              <w:tabs>
                <w:tab w:val="decimal" w:pos="288"/>
              </w:tabs>
              <w:spacing w:line="210" w:lineRule="auto"/>
              <w:jc w:val="center"/>
              <w:rPr>
                <w:sz w:val="20"/>
                <w:szCs w:val="20"/>
              </w:rPr>
            </w:pPr>
            <w:r w:rsidRPr="005864F4">
              <w:rPr>
                <w:sz w:val="20"/>
                <w:szCs w:val="20"/>
              </w:rPr>
              <w:t>-19.05</w:t>
            </w:r>
          </w:p>
        </w:tc>
        <w:tc>
          <w:tcPr>
            <w:tcW w:w="418" w:type="pct"/>
            <w:tcBorders>
              <w:top w:val="dotted" w:sz="4" w:space="0" w:color="000000" w:themeColor="text1"/>
              <w:left w:val="single" w:sz="18" w:space="0" w:color="000000" w:themeColor="text1"/>
              <w:bottom w:val="single" w:sz="18" w:space="0" w:color="000000" w:themeColor="text1"/>
              <w:right w:val="single" w:sz="6" w:space="0" w:color="000000" w:themeColor="text1"/>
            </w:tcBorders>
          </w:tcPr>
          <w:p w14:paraId="2CA23B26"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60" w:type="pct"/>
            <w:tcBorders>
              <w:top w:val="dotted" w:sz="4" w:space="0" w:color="000000" w:themeColor="text1"/>
              <w:left w:val="single" w:sz="6" w:space="0" w:color="000000" w:themeColor="text1"/>
              <w:bottom w:val="single" w:sz="18" w:space="0" w:color="000000" w:themeColor="text1"/>
              <w:right w:val="single" w:sz="6" w:space="0" w:color="000000" w:themeColor="text1"/>
            </w:tcBorders>
          </w:tcPr>
          <w:p w14:paraId="66C3F014"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437" w:type="pct"/>
            <w:tcBorders>
              <w:top w:val="dotted" w:sz="4" w:space="0" w:color="000000" w:themeColor="text1"/>
              <w:left w:val="single" w:sz="6" w:space="0" w:color="000000" w:themeColor="text1"/>
              <w:bottom w:val="single" w:sz="18" w:space="0" w:color="000000" w:themeColor="text1"/>
              <w:right w:val="single" w:sz="6" w:space="0" w:color="000000" w:themeColor="text1"/>
            </w:tcBorders>
          </w:tcPr>
          <w:p w14:paraId="05DE0FDA" w14:textId="77777777" w:rsidR="00EE5ACB" w:rsidRPr="005864F4" w:rsidRDefault="00EE5ACB" w:rsidP="00154678">
            <w:pPr>
              <w:tabs>
                <w:tab w:val="decimal" w:pos="504"/>
              </w:tabs>
              <w:spacing w:line="210" w:lineRule="auto"/>
              <w:rPr>
                <w:sz w:val="20"/>
                <w:szCs w:val="20"/>
              </w:rPr>
            </w:pPr>
            <w:r w:rsidRPr="005864F4">
              <w:rPr>
                <w:b/>
                <w:bCs/>
                <w:sz w:val="20"/>
                <w:szCs w:val="20"/>
              </w:rPr>
              <w:t>—</w:t>
            </w:r>
          </w:p>
        </w:tc>
        <w:tc>
          <w:tcPr>
            <w:tcW w:w="292" w:type="pct"/>
            <w:tcBorders>
              <w:top w:val="dotted" w:sz="4" w:space="0" w:color="000000" w:themeColor="text1"/>
              <w:left w:val="single" w:sz="6" w:space="0" w:color="000000" w:themeColor="text1"/>
              <w:bottom w:val="single" w:sz="18" w:space="0" w:color="000000" w:themeColor="text1"/>
              <w:right w:val="single" w:sz="6" w:space="0" w:color="000000" w:themeColor="text1"/>
            </w:tcBorders>
          </w:tcPr>
          <w:p w14:paraId="3312D6D8"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278" w:type="pct"/>
            <w:tcBorders>
              <w:top w:val="dotted" w:sz="4" w:space="0" w:color="000000" w:themeColor="text1"/>
              <w:left w:val="single" w:sz="6" w:space="0" w:color="000000" w:themeColor="text1"/>
              <w:bottom w:val="single" w:sz="18" w:space="0" w:color="000000" w:themeColor="text1"/>
              <w:right w:val="single" w:sz="18" w:space="0" w:color="auto"/>
            </w:tcBorders>
          </w:tcPr>
          <w:p w14:paraId="74C8DC3B" w14:textId="77777777" w:rsidR="00EE5ACB" w:rsidRPr="005864F4" w:rsidRDefault="00EE5ACB" w:rsidP="00154678">
            <w:pPr>
              <w:tabs>
                <w:tab w:val="decimal" w:pos="360"/>
              </w:tabs>
              <w:spacing w:line="210" w:lineRule="auto"/>
              <w:rPr>
                <w:sz w:val="20"/>
                <w:szCs w:val="20"/>
              </w:rPr>
            </w:pPr>
            <w:r w:rsidRPr="005864F4">
              <w:rPr>
                <w:b/>
                <w:bCs/>
                <w:sz w:val="20"/>
                <w:szCs w:val="20"/>
              </w:rPr>
              <w:t>—</w:t>
            </w:r>
          </w:p>
        </w:tc>
        <w:tc>
          <w:tcPr>
            <w:tcW w:w="380" w:type="pct"/>
            <w:tcBorders>
              <w:top w:val="dotted" w:sz="4" w:space="0" w:color="000000" w:themeColor="text1"/>
              <w:left w:val="single" w:sz="18" w:space="0" w:color="auto"/>
              <w:bottom w:val="single" w:sz="18" w:space="0" w:color="000000" w:themeColor="text1"/>
              <w:right w:val="single" w:sz="6" w:space="0" w:color="000000" w:themeColor="text1"/>
            </w:tcBorders>
          </w:tcPr>
          <w:p w14:paraId="58B5B360" w14:textId="77777777" w:rsidR="00EE5ACB" w:rsidRPr="005864F4" w:rsidRDefault="00EE5ACB" w:rsidP="00154678">
            <w:pPr>
              <w:tabs>
                <w:tab w:val="decimal" w:pos="432"/>
              </w:tabs>
              <w:spacing w:line="210" w:lineRule="auto"/>
              <w:rPr>
                <w:sz w:val="20"/>
                <w:szCs w:val="20"/>
              </w:rPr>
            </w:pPr>
            <w:r w:rsidRPr="005864F4">
              <w:rPr>
                <w:b/>
                <w:bCs/>
                <w:sz w:val="20"/>
                <w:szCs w:val="20"/>
              </w:rPr>
              <w:t>—</w:t>
            </w:r>
          </w:p>
        </w:tc>
        <w:tc>
          <w:tcPr>
            <w:tcW w:w="223" w:type="pct"/>
            <w:tcBorders>
              <w:top w:val="dotted" w:sz="4" w:space="0" w:color="000000" w:themeColor="text1"/>
              <w:left w:val="single" w:sz="6" w:space="0" w:color="000000" w:themeColor="text1"/>
              <w:bottom w:val="single" w:sz="18" w:space="0" w:color="000000" w:themeColor="text1"/>
              <w:right w:val="single" w:sz="18" w:space="0" w:color="auto"/>
            </w:tcBorders>
          </w:tcPr>
          <w:p w14:paraId="4DAF521A"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c>
          <w:tcPr>
            <w:tcW w:w="251" w:type="pct"/>
            <w:tcBorders>
              <w:top w:val="dotted" w:sz="4" w:space="0" w:color="000000" w:themeColor="text1"/>
              <w:left w:val="single" w:sz="18" w:space="0" w:color="auto"/>
              <w:bottom w:val="single" w:sz="18" w:space="0" w:color="000000" w:themeColor="text1"/>
              <w:right w:val="single" w:sz="6" w:space="0" w:color="000000" w:themeColor="text1"/>
            </w:tcBorders>
            <w:vAlign w:val="center"/>
          </w:tcPr>
          <w:p w14:paraId="59ED7C52" w14:textId="77777777" w:rsidR="00EE5ACB" w:rsidRPr="005864F4" w:rsidRDefault="00EE5ACB" w:rsidP="00154678">
            <w:pPr>
              <w:tabs>
                <w:tab w:val="decimal" w:pos="288"/>
              </w:tabs>
              <w:spacing w:line="210" w:lineRule="auto"/>
              <w:rPr>
                <w:sz w:val="20"/>
                <w:szCs w:val="20"/>
              </w:rPr>
            </w:pPr>
            <w:r w:rsidRPr="005864F4">
              <w:rPr>
                <w:sz w:val="20"/>
                <w:szCs w:val="20"/>
              </w:rPr>
              <w:t>-48.35</w:t>
            </w:r>
          </w:p>
        </w:tc>
        <w:tc>
          <w:tcPr>
            <w:tcW w:w="251" w:type="pct"/>
            <w:tcBorders>
              <w:top w:val="dotted" w:sz="4" w:space="0" w:color="000000" w:themeColor="text1"/>
              <w:left w:val="single" w:sz="6" w:space="0" w:color="000000" w:themeColor="text1"/>
              <w:bottom w:val="single" w:sz="18" w:space="0" w:color="000000" w:themeColor="text1"/>
              <w:right w:val="single" w:sz="18" w:space="0" w:color="000000" w:themeColor="text1"/>
            </w:tcBorders>
          </w:tcPr>
          <w:p w14:paraId="06C73D92" w14:textId="77777777" w:rsidR="00EE5ACB" w:rsidRPr="005864F4" w:rsidRDefault="00EE5ACB" w:rsidP="00154678">
            <w:pPr>
              <w:tabs>
                <w:tab w:val="decimal" w:pos="288"/>
              </w:tabs>
              <w:spacing w:line="210" w:lineRule="auto"/>
              <w:rPr>
                <w:sz w:val="20"/>
                <w:szCs w:val="20"/>
              </w:rPr>
            </w:pPr>
            <w:r w:rsidRPr="005864F4">
              <w:rPr>
                <w:b/>
                <w:bCs/>
                <w:sz w:val="20"/>
                <w:szCs w:val="20"/>
              </w:rPr>
              <w:t>—</w:t>
            </w:r>
          </w:p>
        </w:tc>
      </w:tr>
    </w:tbl>
    <w:p w14:paraId="01B61138" w14:textId="257AA22C" w:rsidR="00EE5ACB" w:rsidRPr="00721DC8" w:rsidRDefault="00EE5ACB" w:rsidP="005D53A5">
      <w:pPr>
        <w:rPr>
          <w:sz w:val="20"/>
          <w:szCs w:val="20"/>
        </w:rPr>
        <w:sectPr w:rsidR="00EE5ACB" w:rsidRPr="00721DC8" w:rsidSect="00B9201B">
          <w:pgSz w:w="15840" w:h="12240" w:orient="landscape" w:code="1"/>
          <w:pgMar w:top="1440" w:right="1440" w:bottom="1440" w:left="1440" w:header="720" w:footer="720" w:gutter="0"/>
          <w:cols w:space="720"/>
          <w:docGrid w:linePitch="360"/>
        </w:sectPr>
      </w:pPr>
    </w:p>
    <w:p w14:paraId="523E9F02" w14:textId="6F028638" w:rsidR="005B4B2E" w:rsidRPr="0034183B" w:rsidRDefault="005B4B2E" w:rsidP="005B4B2E">
      <w:pPr>
        <w:jc w:val="both"/>
        <w:rPr>
          <w:rFonts w:eastAsia="Calibri"/>
          <w:sz w:val="28"/>
          <w:szCs w:val="28"/>
        </w:rPr>
      </w:pPr>
      <w:r w:rsidRPr="0034183B">
        <w:rPr>
          <w:sz w:val="24"/>
          <w:szCs w:val="24"/>
        </w:rPr>
        <w:lastRenderedPageBreak/>
        <w:tab/>
        <w:t xml:space="preserve">Overall, these treatment effects provide quantitative insights above and beyond what may be inferred from model estimation results. Age, employment, and vehicle access stand out as the strongest levers on transit usage, while income, education, and the built environment shape a more varied set of barriers that together describe distinct populations, and distinct sets of concerns, that transit agencies and planners may need to address in customized ways. </w:t>
      </w:r>
      <w:r w:rsidR="00657E7E">
        <w:rPr>
          <w:sz w:val="24"/>
          <w:szCs w:val="24"/>
        </w:rPr>
        <w:t>For example, a low-income, vehicle-</w:t>
      </w:r>
      <w:r w:rsidR="00106E8D">
        <w:rPr>
          <w:sz w:val="24"/>
          <w:szCs w:val="24"/>
        </w:rPr>
        <w:t xml:space="preserve">deficient rider’s use of transit hinges chiefly on whether service exists nearby, with few complaints about the on-system experience, while a higher-income, highly educated traveler is the most </w:t>
      </w:r>
      <w:r w:rsidR="00061502">
        <w:rPr>
          <w:sz w:val="24"/>
          <w:szCs w:val="24"/>
        </w:rPr>
        <w:t>likely to report that transit does not reach the desired destinations and to hold the system to higher standards of cleanliness and comfort where service does exist.</w:t>
      </w:r>
    </w:p>
    <w:p w14:paraId="4BA5E3BF" w14:textId="77777777" w:rsidR="005B4B2E" w:rsidRPr="005B4B2E" w:rsidRDefault="005B4B2E" w:rsidP="005B4B2E">
      <w:pPr>
        <w:rPr>
          <w:sz w:val="24"/>
          <w:szCs w:val="24"/>
        </w:rPr>
      </w:pPr>
    </w:p>
    <w:p w14:paraId="7BC135A8" w14:textId="10D226CD" w:rsidR="00DF3532" w:rsidRPr="00DF3532" w:rsidRDefault="00DF3532" w:rsidP="00CB66EF">
      <w:pPr>
        <w:rPr>
          <w:b/>
          <w:bCs/>
          <w:sz w:val="24"/>
          <w:szCs w:val="24"/>
        </w:rPr>
      </w:pPr>
      <w:r w:rsidRPr="00DF3532">
        <w:rPr>
          <w:b/>
          <w:bCs/>
          <w:sz w:val="24"/>
          <w:szCs w:val="24"/>
        </w:rPr>
        <w:t>7. DISCUSSION AND CONCLUSIONS</w:t>
      </w:r>
    </w:p>
    <w:p w14:paraId="3E345AFA" w14:textId="61178182" w:rsidR="00DF3532" w:rsidRPr="00DF3532" w:rsidRDefault="00DF3532" w:rsidP="00DF3532">
      <w:pPr>
        <w:jc w:val="both"/>
        <w:rPr>
          <w:sz w:val="24"/>
          <w:szCs w:val="24"/>
        </w:rPr>
      </w:pPr>
      <w:r w:rsidRPr="00DF3532">
        <w:rPr>
          <w:sz w:val="24"/>
          <w:szCs w:val="24"/>
        </w:rPr>
        <w:t>This paper aims to understand why non- and low-frequency transit users do not use transit. The study utilized data from the second wave of the Transportation Heartbeat of America survey and involved the estimation of a multivariate ordered probit model that jointly estimates transit usage frequency alongside nine self-reported barriers spanning personal safety, comfort and conditions, and service availability. Because the model includes a host of sociodemographic and built environment predictors, the study findings extend beyond the barrier-reporting subsample to the broader population, offering transit agencies and planners insights on those who are likely to face different types of barriers to transit usage.</w:t>
      </w:r>
    </w:p>
    <w:p w14:paraId="799306DA" w14:textId="3520A667" w:rsidR="00DF3532" w:rsidRPr="00DF3532" w:rsidRDefault="00DF3532" w:rsidP="00DF3532">
      <w:pPr>
        <w:ind w:firstLine="720"/>
        <w:jc w:val="both"/>
        <w:rPr>
          <w:sz w:val="24"/>
          <w:szCs w:val="24"/>
        </w:rPr>
      </w:pPr>
      <w:r w:rsidRPr="00DF3532">
        <w:rPr>
          <w:sz w:val="24"/>
          <w:szCs w:val="24"/>
        </w:rPr>
        <w:t xml:space="preserve">The results point to a clear structural finding that should guide how agencies think about transit improvement efforts. The nine barriers </w:t>
      </w:r>
      <w:proofErr w:type="gramStart"/>
      <w:r w:rsidRPr="00DF3532">
        <w:rPr>
          <w:sz w:val="24"/>
          <w:szCs w:val="24"/>
        </w:rPr>
        <w:t>separate</w:t>
      </w:r>
      <w:proofErr w:type="gramEnd"/>
      <w:r w:rsidRPr="00DF3532">
        <w:rPr>
          <w:sz w:val="24"/>
          <w:szCs w:val="24"/>
        </w:rPr>
        <w:t xml:space="preserve"> into</w:t>
      </w:r>
      <w:r w:rsidR="00384253">
        <w:rPr>
          <w:sz w:val="24"/>
          <w:szCs w:val="24"/>
        </w:rPr>
        <w:t xml:space="preserve"> two internally cohesive but largely independent groups</w:t>
      </w:r>
      <w:r w:rsidRPr="00DF3532">
        <w:rPr>
          <w:sz w:val="24"/>
          <w:szCs w:val="24"/>
        </w:rPr>
        <w:t xml:space="preserve">. One group covers the on-system experience including personal safety and comfort and conditions. These barriers are found to be strongly correlated with one another, and so a rider who perceives one tends to perceive several of the barriers within this grouping. The other group covers service availability, denoting whether transit reaches a rider’s home or destination at all. These two groups are only loosely related to each other, and improving one is unlikely to move the other in any appreciable way. This means transit agencies are, in effect, working with two separate </w:t>
      </w:r>
      <w:proofErr w:type="gramStart"/>
      <w:r w:rsidRPr="00DF3532">
        <w:rPr>
          <w:sz w:val="24"/>
          <w:szCs w:val="24"/>
        </w:rPr>
        <w:t>levers</w:t>
      </w:r>
      <w:proofErr w:type="gramEnd"/>
      <w:r w:rsidRPr="00DF3532">
        <w:rPr>
          <w:sz w:val="24"/>
          <w:szCs w:val="24"/>
        </w:rPr>
        <w:t>. Making the on-system experience safer and more pleasant will do little to address riders who lack service altogether, and expanding service will do little to reassure potential riders who perceive transit as unsafe or uncomfortable. Because the on-system barriers cluster so tightly together, packaged improvements that address safety and cleanliness at the same time are likely to work better than addressing each concern in isolation.</w:t>
      </w:r>
    </w:p>
    <w:p w14:paraId="187AD7D4" w14:textId="6C019FB0" w:rsidR="00DF3532" w:rsidRPr="00DF3532" w:rsidRDefault="00DF3532" w:rsidP="00DF3532">
      <w:pPr>
        <w:ind w:firstLine="720"/>
        <w:jc w:val="both"/>
        <w:rPr>
          <w:sz w:val="24"/>
          <w:szCs w:val="24"/>
        </w:rPr>
      </w:pPr>
      <w:r w:rsidRPr="00DF3532">
        <w:rPr>
          <w:sz w:val="24"/>
          <w:szCs w:val="24"/>
        </w:rPr>
        <w:t xml:space="preserve">The specific barriers that hold different groups back also differ sharply, and this has direct implications for how interventions should be designed. Women report elevated concern across the on-system safety and comfort barriers rather than service coverage gaps, pointing to investments in lighting, staffing, and the walking and waiting environment around stops as the more effective lever for this group. Older adults show the largest usage decline of any group in the model – yet they report the fewest barriers – a pattern that reflects disengagement rather than genuinely better conditions. Removing barriers alone is unlikely to bring this group back, since they no longer interact with the system enough to name what troubles it. Reaching them would likely call for proactive outreach, travel training, and awareness programs delivered through channels older adults already trust – framed around independence and continued mobility rather than around fixing problems they do not report experiencing. </w:t>
      </w:r>
      <w:r w:rsidR="00DA7043" w:rsidRPr="00DA7043">
        <w:rPr>
          <w:sz w:val="24"/>
          <w:szCs w:val="24"/>
        </w:rPr>
        <w:t>Employed and highly educated travelers, by contrast, use transit more and expect more from it; yet they, along with the highest-income households, are the ones most likely to say transit cannot get them where they need to go</w:t>
      </w:r>
      <w:r w:rsidRPr="00DF3532">
        <w:rPr>
          <w:sz w:val="24"/>
          <w:szCs w:val="24"/>
        </w:rPr>
        <w:t xml:space="preserve">. This suggests a recoverable segment of ridership among suburban professionals and commuters. </w:t>
      </w:r>
      <w:r w:rsidRPr="00DF3532">
        <w:rPr>
          <w:sz w:val="24"/>
          <w:szCs w:val="24"/>
        </w:rPr>
        <w:lastRenderedPageBreak/>
        <w:t xml:space="preserve">Further investment in frequency, reliability, and direct connections to employment centers could plausibly draw these population segments toward transit. Hispanic travelers stand out for an elevated concern about theft that persists even after accounting for other characteristics, pointing to a more targeted role for visible security measures and community-based safety messaging in these communities. </w:t>
      </w:r>
    </w:p>
    <w:p w14:paraId="3BB69298" w14:textId="77777777" w:rsidR="00DF3532" w:rsidRPr="00DF3532" w:rsidRDefault="00DF3532" w:rsidP="00DF3532">
      <w:pPr>
        <w:ind w:firstLine="720"/>
        <w:jc w:val="both"/>
        <w:rPr>
          <w:sz w:val="24"/>
          <w:szCs w:val="24"/>
        </w:rPr>
      </w:pPr>
      <w:r w:rsidRPr="00DF3532">
        <w:rPr>
          <w:sz w:val="24"/>
          <w:szCs w:val="24"/>
        </w:rPr>
        <w:t>An encouraging pattern in the results concerns equity. After accounting for income, residential location, and exposure to transit, racial and ethnic differences in safety and comfort barriers largely disappear. This indicates that the disparities visible in simple descriptive comparisons are largely attributable to circumstances, i.e., where people live and how much they use transit, rather than race itself. The practical implication is that equity-focused strategies may be best delivered through place-based and income-based instruments, such as protecting service in transit-reliant urban cores and offering income-qualified fare programs, rather than through interventions targeted narrowly by race or ethnicity.</w:t>
      </w:r>
    </w:p>
    <w:p w14:paraId="66229BFF" w14:textId="0AA64802" w:rsidR="00DF3532" w:rsidRPr="00DF3532" w:rsidRDefault="00DF3532" w:rsidP="00DF3532">
      <w:pPr>
        <w:ind w:firstLine="720"/>
        <w:jc w:val="both"/>
        <w:rPr>
          <w:sz w:val="24"/>
          <w:szCs w:val="24"/>
        </w:rPr>
      </w:pPr>
      <w:r w:rsidRPr="00DF3532">
        <w:rPr>
          <w:sz w:val="24"/>
          <w:szCs w:val="24"/>
        </w:rPr>
        <w:t xml:space="preserve">The built environment plays an important role with results pointing toward two distinct kinds of intervention. The share of </w:t>
      </w:r>
      <w:proofErr w:type="gramStart"/>
      <w:r w:rsidR="00A36E8B">
        <w:rPr>
          <w:sz w:val="24"/>
          <w:szCs w:val="24"/>
        </w:rPr>
        <w:t>no</w:t>
      </w:r>
      <w:proofErr w:type="gramEnd"/>
      <w:r w:rsidR="00A36E8B">
        <w:rPr>
          <w:sz w:val="24"/>
          <w:szCs w:val="24"/>
        </w:rPr>
        <w:t>-vehicle homes</w:t>
      </w:r>
      <w:r w:rsidRPr="00DF3532">
        <w:rPr>
          <w:sz w:val="24"/>
          <w:szCs w:val="24"/>
        </w:rPr>
        <w:t xml:space="preserve"> in a neighborhood is a strong predictor of transit </w:t>
      </w:r>
      <w:proofErr w:type="gramStart"/>
      <w:r w:rsidRPr="00DF3532">
        <w:rPr>
          <w:sz w:val="24"/>
          <w:szCs w:val="24"/>
        </w:rPr>
        <w:t>usage, but</w:t>
      </w:r>
      <w:proofErr w:type="gramEnd"/>
      <w:r w:rsidRPr="00DF3532">
        <w:rPr>
          <w:sz w:val="24"/>
          <w:szCs w:val="24"/>
        </w:rPr>
        <w:t xml:space="preserve"> carries no association with any barrier at all. This makes it a clean and reliable indicator of where transit investment will do the </w:t>
      </w:r>
      <w:proofErr w:type="gramStart"/>
      <w:r w:rsidRPr="00DF3532">
        <w:rPr>
          <w:sz w:val="24"/>
          <w:szCs w:val="24"/>
        </w:rPr>
        <w:t>most good</w:t>
      </w:r>
      <w:proofErr w:type="gramEnd"/>
      <w:r w:rsidRPr="00DF3532">
        <w:rPr>
          <w:sz w:val="24"/>
          <w:szCs w:val="24"/>
        </w:rPr>
        <w:t>. Population density tells a more complicated story. Denser areas see higher transit usage and fewer service availability concerns, confirming that density delivers service; but they also see a rise in nearly every on-system barrier, since denser areas put more riders on more heavily used systems and expose them to more crowding, unsanitary conditions, and disorder in the process. Managing this trade-off means agencies should scale management of conditions, cleaning, safety staffing, and crowding relief, to ridership levels rather than treating it as a fixed cost. Walkability, meanwhile, appears to substitute for transit on short trips rather than complement it, suggesting that transit investment in highly walkable areas should focus on regional connectivity for longer trips rather than on short-hop coverage that walking and micromobility already serves well.</w:t>
      </w:r>
    </w:p>
    <w:p w14:paraId="58C76A1D" w14:textId="4FAB8C31" w:rsidR="00DF3532" w:rsidRDefault="00DF3532" w:rsidP="00DF3532">
      <w:pPr>
        <w:ind w:firstLine="720"/>
        <w:jc w:val="both"/>
        <w:rPr>
          <w:sz w:val="24"/>
          <w:szCs w:val="24"/>
        </w:rPr>
      </w:pPr>
      <w:r w:rsidRPr="00DF3532">
        <w:rPr>
          <w:sz w:val="24"/>
          <w:szCs w:val="24"/>
        </w:rPr>
        <w:t xml:space="preserve">Two further points are worth emphasizing for how agencies act on these findings. First, because usage and barrier perceptions are linked almost entirely through observed demographic and built environment characteristics rather than through any hidden shared covariates, agencies can identify the populations most likely to face each barrier directly from census and location data, without the need for specialized attitudinal research. This makes many of the targeted interventions discussed above immediately actionable. Second, reported satisfaction should not be mistaken for an absence of unmet need. </w:t>
      </w:r>
      <w:r w:rsidR="00C8699F" w:rsidRPr="00C8699F">
        <w:rPr>
          <w:sz w:val="24"/>
          <w:szCs w:val="24"/>
        </w:rPr>
        <w:t>A large majority of the Without Access group report no reasonable alternative to their usual way of getting around, yet a similarly large majority describe themselves as satisfied with their transportation options overall</w:t>
      </w:r>
      <w:r w:rsidRPr="00DF3532">
        <w:rPr>
          <w:sz w:val="24"/>
          <w:szCs w:val="24"/>
        </w:rPr>
        <w:t xml:space="preserve">, a pattern consistent with individuals adjusting their expectations to fit a car-reliant environment. Investment decisions grounded in satisfaction surveys risk systematically favoring the </w:t>
      </w:r>
      <w:proofErr w:type="gramStart"/>
      <w:r w:rsidRPr="00DF3532">
        <w:rPr>
          <w:sz w:val="24"/>
          <w:szCs w:val="24"/>
        </w:rPr>
        <w:t>status quo, and</w:t>
      </w:r>
      <w:proofErr w:type="gramEnd"/>
      <w:r w:rsidRPr="00DF3532">
        <w:rPr>
          <w:sz w:val="24"/>
          <w:szCs w:val="24"/>
        </w:rPr>
        <w:t xml:space="preserve"> should additionally consider objective accessibility and availability measures.  </w:t>
      </w:r>
    </w:p>
    <w:p w14:paraId="3EC54E24" w14:textId="62441E24" w:rsidR="005D054E" w:rsidRPr="00DF3532" w:rsidRDefault="00CD5766" w:rsidP="00DF3532">
      <w:pPr>
        <w:ind w:firstLine="720"/>
        <w:jc w:val="both"/>
        <w:rPr>
          <w:sz w:val="24"/>
          <w:szCs w:val="24"/>
        </w:rPr>
      </w:pPr>
      <w:r>
        <w:rPr>
          <w:sz w:val="24"/>
          <w:szCs w:val="24"/>
        </w:rPr>
        <w:t>A caveat on the practical scope of this paper is warranted. Transit service is planned and delivered at aggregate scales</w:t>
      </w:r>
      <w:r w:rsidR="00682939">
        <w:rPr>
          <w:sz w:val="24"/>
          <w:szCs w:val="24"/>
        </w:rPr>
        <w:t xml:space="preserve">. Routes </w:t>
      </w:r>
      <w:r w:rsidR="005D2CF1">
        <w:rPr>
          <w:sz w:val="24"/>
          <w:szCs w:val="24"/>
        </w:rPr>
        <w:t xml:space="preserve">traverse corridors serving </w:t>
      </w:r>
      <w:r w:rsidR="00EE68DB">
        <w:rPr>
          <w:sz w:val="24"/>
          <w:szCs w:val="24"/>
        </w:rPr>
        <w:t>diverse</w:t>
      </w:r>
      <w:r w:rsidR="005D2CF1">
        <w:rPr>
          <w:sz w:val="24"/>
          <w:szCs w:val="24"/>
        </w:rPr>
        <w:t xml:space="preserve"> travelers, and Title VI requirements direct agencies to distribute service and amenities equitably across their service areas</w:t>
      </w:r>
      <w:r w:rsidR="00020545">
        <w:rPr>
          <w:sz w:val="24"/>
          <w:szCs w:val="24"/>
        </w:rPr>
        <w:t xml:space="preserve"> (FTA, 2012)</w:t>
      </w:r>
      <w:r w:rsidR="000E4418">
        <w:rPr>
          <w:sz w:val="24"/>
          <w:szCs w:val="24"/>
        </w:rPr>
        <w:t>,</w:t>
      </w:r>
      <w:r w:rsidR="00020545">
        <w:rPr>
          <w:sz w:val="24"/>
          <w:szCs w:val="24"/>
        </w:rPr>
        <w:t xml:space="preserve"> leav</w:t>
      </w:r>
      <w:r w:rsidR="000E4418">
        <w:rPr>
          <w:sz w:val="24"/>
          <w:szCs w:val="24"/>
        </w:rPr>
        <w:t>ing</w:t>
      </w:r>
      <w:r w:rsidR="00020545">
        <w:rPr>
          <w:sz w:val="24"/>
          <w:szCs w:val="24"/>
        </w:rPr>
        <w:t xml:space="preserve"> little room to customize service for narrow market segments</w:t>
      </w:r>
      <w:r w:rsidR="000E4418">
        <w:rPr>
          <w:sz w:val="24"/>
          <w:szCs w:val="24"/>
        </w:rPr>
        <w:t>. T</w:t>
      </w:r>
      <w:r w:rsidR="00CE2172">
        <w:rPr>
          <w:sz w:val="24"/>
          <w:szCs w:val="24"/>
        </w:rPr>
        <w:t>he individual-level modeling pursued in this paper is consistent with</w:t>
      </w:r>
      <w:r w:rsidR="00994B75">
        <w:rPr>
          <w:sz w:val="24"/>
          <w:szCs w:val="24"/>
        </w:rPr>
        <w:t>, rather than in tension with, that reality. Estimating behavioral relationships</w:t>
      </w:r>
      <w:r w:rsidR="00135964">
        <w:rPr>
          <w:sz w:val="24"/>
          <w:szCs w:val="24"/>
        </w:rPr>
        <w:t xml:space="preserve"> at the individual</w:t>
      </w:r>
      <w:r w:rsidR="00D96701">
        <w:rPr>
          <w:sz w:val="24"/>
          <w:szCs w:val="24"/>
        </w:rPr>
        <w:t xml:space="preserve"> </w:t>
      </w:r>
      <w:r w:rsidR="00135964">
        <w:rPr>
          <w:sz w:val="24"/>
          <w:szCs w:val="24"/>
        </w:rPr>
        <w:t>level avoids the biases that arise when</w:t>
      </w:r>
      <w:r w:rsidR="00B32CA6">
        <w:rPr>
          <w:sz w:val="24"/>
          <w:szCs w:val="24"/>
        </w:rPr>
        <w:t xml:space="preserve"> heterogen</w:t>
      </w:r>
      <w:r w:rsidR="00E735E9">
        <w:rPr>
          <w:sz w:val="24"/>
          <w:szCs w:val="24"/>
        </w:rPr>
        <w:t>e</w:t>
      </w:r>
      <w:r w:rsidR="00B32CA6">
        <w:rPr>
          <w:sz w:val="24"/>
          <w:szCs w:val="24"/>
        </w:rPr>
        <w:t>ous travelers are pooled, and the ATEs reported earlier translate those estimates into the population-scale terms in which agencies plan.</w:t>
      </w:r>
      <w:r w:rsidR="007E02A3">
        <w:rPr>
          <w:sz w:val="24"/>
          <w:szCs w:val="24"/>
        </w:rPr>
        <w:t xml:space="preserve"> Indeed, the finding that usage and barriers are </w:t>
      </w:r>
      <w:r w:rsidR="000C0BA6">
        <w:rPr>
          <w:sz w:val="24"/>
          <w:szCs w:val="24"/>
        </w:rPr>
        <w:lastRenderedPageBreak/>
        <w:t>linked only through observable characteristics implies that agencies can identify where barrier-removal investments will yield the greatest response using census and location data alone, which is precisely</w:t>
      </w:r>
      <w:r w:rsidR="00AE29D2">
        <w:rPr>
          <w:sz w:val="24"/>
          <w:szCs w:val="24"/>
        </w:rPr>
        <w:t xml:space="preserve"> the aggregate, geography-based targeting</w:t>
      </w:r>
      <w:r w:rsidR="00884C65">
        <w:rPr>
          <w:sz w:val="24"/>
          <w:szCs w:val="24"/>
        </w:rPr>
        <w:t xml:space="preserve"> that</w:t>
      </w:r>
      <w:r w:rsidR="00AE29D2">
        <w:rPr>
          <w:sz w:val="24"/>
          <w:szCs w:val="24"/>
        </w:rPr>
        <w:t xml:space="preserve"> agencies already practice. </w:t>
      </w:r>
      <w:r w:rsidR="00D96701">
        <w:rPr>
          <w:sz w:val="24"/>
          <w:szCs w:val="24"/>
        </w:rPr>
        <w:t>Moreover, the levers implied by these findings fit within these constraints. Improvements provided uniformly across a system still disproportionately reli</w:t>
      </w:r>
      <w:r w:rsidR="001231B7">
        <w:rPr>
          <w:sz w:val="24"/>
          <w:szCs w:val="24"/>
        </w:rPr>
        <w:t>e</w:t>
      </w:r>
      <w:r w:rsidR="00D96701">
        <w:rPr>
          <w:sz w:val="24"/>
          <w:szCs w:val="24"/>
        </w:rPr>
        <w:t>ve the groups that report the corresponding barriers the most, other measures can legitimately be tailored to specific groups, and individual</w:t>
      </w:r>
      <w:r w:rsidR="00E77189">
        <w:rPr>
          <w:sz w:val="24"/>
          <w:szCs w:val="24"/>
        </w:rPr>
        <w:t>-</w:t>
      </w:r>
      <w:r w:rsidR="00D96701">
        <w:rPr>
          <w:sz w:val="24"/>
          <w:szCs w:val="24"/>
        </w:rPr>
        <w:t>level</w:t>
      </w:r>
      <w:r w:rsidR="00FE472A">
        <w:rPr>
          <w:sz w:val="24"/>
          <w:szCs w:val="24"/>
        </w:rPr>
        <w:t xml:space="preserve"> understanding becomes directly actionable as demand-responsive services expand.</w:t>
      </w:r>
    </w:p>
    <w:p w14:paraId="753ECAA0" w14:textId="24D2E914" w:rsidR="00DF3532" w:rsidRPr="00DF3532" w:rsidRDefault="00DF3532" w:rsidP="00D96701">
      <w:pPr>
        <w:ind w:firstLine="720"/>
        <w:jc w:val="both"/>
        <w:rPr>
          <w:sz w:val="24"/>
          <w:szCs w:val="24"/>
        </w:rPr>
      </w:pPr>
      <w:r w:rsidRPr="00DF3532">
        <w:rPr>
          <w:sz w:val="24"/>
          <w:szCs w:val="24"/>
        </w:rPr>
        <w:t xml:space="preserve">Overall, these findings point toward a potential set of priorities for transit agencies and planners. Mitigating on-system barriers through better lighting, visible guardianship, cleanliness, and safer vehicle operation will help retain and attract riders who already have access but feel unsafe or uncomfortable using it. Expanding and better targeting service availability, particularly toward job access and the neighborhoods with the highest shares of </w:t>
      </w:r>
      <w:proofErr w:type="gramStart"/>
      <w:r w:rsidR="00A36E8B">
        <w:rPr>
          <w:sz w:val="24"/>
          <w:szCs w:val="24"/>
        </w:rPr>
        <w:t>no</w:t>
      </w:r>
      <w:proofErr w:type="gramEnd"/>
      <w:r w:rsidR="00A36E8B">
        <w:rPr>
          <w:sz w:val="24"/>
          <w:szCs w:val="24"/>
        </w:rPr>
        <w:t>-vehicle homes</w:t>
      </w:r>
      <w:r w:rsidRPr="00DF3532">
        <w:rPr>
          <w:sz w:val="24"/>
          <w:szCs w:val="24"/>
        </w:rPr>
        <w:t xml:space="preserve">, will help reach travelers for whom transit would be an appealing option. Shaping the built environment in transit-supportive </w:t>
      </w:r>
      <w:proofErr w:type="gramStart"/>
      <w:r w:rsidRPr="00DF3532">
        <w:rPr>
          <w:sz w:val="24"/>
          <w:szCs w:val="24"/>
        </w:rPr>
        <w:t>ways, and</w:t>
      </w:r>
      <w:proofErr w:type="gramEnd"/>
      <w:r w:rsidRPr="00DF3532">
        <w:rPr>
          <w:sz w:val="24"/>
          <w:szCs w:val="24"/>
        </w:rPr>
        <w:t xml:space="preserve"> recognizing that density brings both more riders and more exposure, will help ensure that growth in usage does not come at the cost of a worse experience for riders. Raising awareness through outreach tailored to disengaged groups, particularly older adults and residents of low-density areas who may not be aware of services that exist or how to use them, will help close the gap between who could use transit and who currently does.</w:t>
      </w:r>
    </w:p>
    <w:p w14:paraId="04F05224" w14:textId="19598E1D" w:rsidR="00DF3532" w:rsidRPr="00DF3532" w:rsidRDefault="00DF3532" w:rsidP="00DF3532">
      <w:pPr>
        <w:ind w:firstLine="720"/>
        <w:jc w:val="both"/>
        <w:rPr>
          <w:sz w:val="24"/>
          <w:szCs w:val="24"/>
        </w:rPr>
      </w:pPr>
      <w:r w:rsidRPr="00DF3532">
        <w:rPr>
          <w:sz w:val="24"/>
          <w:szCs w:val="24"/>
        </w:rPr>
        <w:t xml:space="preserve">This study has several limitations that point toward useful directions for future research. The barriers examined here are based on self-reported perceptions rather than objective measures of safety, service, or conditions. Combining subjective and objective measures may help in further informing the design of interventions and policies that enhance transit futures. The data also </w:t>
      </w:r>
      <w:proofErr w:type="gramStart"/>
      <w:r w:rsidRPr="00DF3532">
        <w:rPr>
          <w:sz w:val="24"/>
          <w:szCs w:val="24"/>
        </w:rPr>
        <w:t>come</w:t>
      </w:r>
      <w:proofErr w:type="gramEnd"/>
      <w:r w:rsidRPr="00DF3532">
        <w:rPr>
          <w:sz w:val="24"/>
          <w:szCs w:val="24"/>
        </w:rPr>
        <w:t xml:space="preserve"> from a single cross-sectional survey wave, and longitudinal or panel data would show more directly how barriers and usage evolve in concert over time, and whether relieving a given barrier brings about a shift in ridership propensity. The model was also deliberately estimated using only sociodemographic and built environment predictors, excluding attitudes and residential self-selection, and future work could incorporate these factors within a framework formulated to account for the resulting complex endogeneity. Finally, this study utilizes data derived from a national sample, whereas transit usage patterns and interventions tend to be more localized and context specific. Conducting targeted surveys of this nature within metropolitan areas may help better inform transit policy and investments in local contexts. </w:t>
      </w:r>
    </w:p>
    <w:p w14:paraId="0FD932ED" w14:textId="77777777" w:rsidR="008A283F" w:rsidRPr="00931AD8" w:rsidRDefault="008A283F" w:rsidP="008A283F">
      <w:pPr>
        <w:jc w:val="both"/>
        <w:rPr>
          <w:color w:val="000000"/>
          <w:sz w:val="24"/>
          <w:szCs w:val="24"/>
        </w:rPr>
      </w:pPr>
    </w:p>
    <w:p w14:paraId="60725351" w14:textId="2B28E25D" w:rsidR="000026CE" w:rsidRPr="00390142" w:rsidRDefault="00390142" w:rsidP="00B9201B">
      <w:pPr>
        <w:rPr>
          <w:b/>
          <w:bCs/>
          <w:sz w:val="24"/>
          <w:szCs w:val="24"/>
        </w:rPr>
      </w:pPr>
      <w:r>
        <w:rPr>
          <w:b/>
          <w:bCs/>
          <w:sz w:val="24"/>
          <w:szCs w:val="24"/>
        </w:rPr>
        <w:t>ACKNOWLEDGMENTS</w:t>
      </w:r>
    </w:p>
    <w:p w14:paraId="78ECF87D" w14:textId="3F23A536" w:rsidR="00BE112E" w:rsidRDefault="007758E5" w:rsidP="00B9201B">
      <w:pPr>
        <w:pStyle w:val="FootnoteText"/>
        <w:jc w:val="both"/>
        <w:rPr>
          <w:color w:val="000000"/>
          <w:sz w:val="24"/>
          <w:szCs w:val="24"/>
        </w:rPr>
      </w:pPr>
      <w:r w:rsidRPr="007758E5">
        <w:rPr>
          <w:color w:val="000000"/>
          <w:sz w:val="24"/>
          <w:szCs w:val="24"/>
        </w:rPr>
        <w:t>This research was partially supported by the Center for Understanding Future Travel Behavior and</w:t>
      </w:r>
      <w:r>
        <w:rPr>
          <w:color w:val="000000"/>
          <w:sz w:val="24"/>
          <w:szCs w:val="24"/>
        </w:rPr>
        <w:t xml:space="preserve"> </w:t>
      </w:r>
      <w:r w:rsidRPr="007758E5">
        <w:rPr>
          <w:color w:val="000000"/>
          <w:sz w:val="24"/>
          <w:szCs w:val="24"/>
        </w:rPr>
        <w:t>Demand</w:t>
      </w:r>
      <w:r w:rsidR="00792217">
        <w:rPr>
          <w:color w:val="000000"/>
          <w:sz w:val="24"/>
          <w:szCs w:val="24"/>
        </w:rPr>
        <w:t xml:space="preserve"> (TBD)</w:t>
      </w:r>
      <w:r w:rsidRPr="007758E5">
        <w:rPr>
          <w:color w:val="000000"/>
          <w:sz w:val="24"/>
          <w:szCs w:val="24"/>
        </w:rPr>
        <w:t>, a National University Transportation Center sponsored by the U</w:t>
      </w:r>
      <w:r w:rsidR="00132069">
        <w:rPr>
          <w:color w:val="000000"/>
          <w:sz w:val="24"/>
          <w:szCs w:val="24"/>
        </w:rPr>
        <w:t>.</w:t>
      </w:r>
      <w:r w:rsidRPr="007758E5">
        <w:rPr>
          <w:color w:val="000000"/>
          <w:sz w:val="24"/>
          <w:szCs w:val="24"/>
        </w:rPr>
        <w:t>S</w:t>
      </w:r>
      <w:r w:rsidR="00132069">
        <w:rPr>
          <w:color w:val="000000"/>
          <w:sz w:val="24"/>
          <w:szCs w:val="24"/>
        </w:rPr>
        <w:t>.</w:t>
      </w:r>
      <w:r w:rsidRPr="007758E5">
        <w:rPr>
          <w:color w:val="000000"/>
          <w:sz w:val="24"/>
          <w:szCs w:val="24"/>
        </w:rPr>
        <w:t xml:space="preserve"> Department of</w:t>
      </w:r>
      <w:r>
        <w:rPr>
          <w:color w:val="000000"/>
          <w:sz w:val="24"/>
          <w:szCs w:val="24"/>
        </w:rPr>
        <w:t xml:space="preserve"> </w:t>
      </w:r>
      <w:r w:rsidRPr="007758E5">
        <w:rPr>
          <w:color w:val="000000"/>
          <w:sz w:val="24"/>
          <w:szCs w:val="24"/>
        </w:rPr>
        <w:t>Transportation under grant</w:t>
      </w:r>
      <w:r w:rsidR="00703EE6">
        <w:rPr>
          <w:color w:val="000000"/>
          <w:sz w:val="24"/>
          <w:szCs w:val="24"/>
        </w:rPr>
        <w:t>s</w:t>
      </w:r>
      <w:r w:rsidRPr="007758E5">
        <w:rPr>
          <w:color w:val="000000"/>
          <w:sz w:val="24"/>
          <w:szCs w:val="24"/>
        </w:rPr>
        <w:t xml:space="preserve"> 69A3552344815 and 69A3552348320. </w:t>
      </w:r>
      <w:r w:rsidR="006334C4" w:rsidRPr="007758E5">
        <w:rPr>
          <w:color w:val="000000"/>
          <w:sz w:val="24"/>
          <w:szCs w:val="24"/>
        </w:rPr>
        <w:t>The authors are grateful to Lisa</w:t>
      </w:r>
      <w:r w:rsidR="006334C4">
        <w:rPr>
          <w:color w:val="000000"/>
          <w:sz w:val="24"/>
          <w:szCs w:val="24"/>
        </w:rPr>
        <w:t xml:space="preserve"> </w:t>
      </w:r>
      <w:r w:rsidR="006334C4" w:rsidRPr="007758E5">
        <w:rPr>
          <w:color w:val="000000"/>
          <w:sz w:val="24"/>
          <w:szCs w:val="24"/>
        </w:rPr>
        <w:t>Macias for her help in formatting this document.</w:t>
      </w:r>
    </w:p>
    <w:p w14:paraId="549FF7E5" w14:textId="77777777" w:rsidR="008665CB" w:rsidRPr="008665CB" w:rsidRDefault="008665CB" w:rsidP="00B9201B">
      <w:pPr>
        <w:pStyle w:val="FootnoteText"/>
        <w:jc w:val="both"/>
        <w:rPr>
          <w:color w:val="000000"/>
          <w:sz w:val="24"/>
          <w:szCs w:val="24"/>
        </w:rPr>
      </w:pPr>
    </w:p>
    <w:p w14:paraId="51555DC2" w14:textId="6C980A34" w:rsidR="008665CB" w:rsidRPr="008665CB" w:rsidRDefault="008665CB" w:rsidP="00B9201B">
      <w:pPr>
        <w:pStyle w:val="FootnoteText"/>
        <w:jc w:val="both"/>
        <w:rPr>
          <w:b/>
          <w:bCs/>
          <w:caps/>
          <w:color w:val="000000"/>
          <w:sz w:val="24"/>
          <w:szCs w:val="24"/>
        </w:rPr>
      </w:pPr>
      <w:r w:rsidRPr="008665CB">
        <w:rPr>
          <w:b/>
          <w:bCs/>
          <w:caps/>
          <w:color w:val="000000"/>
          <w:sz w:val="24"/>
          <w:szCs w:val="24"/>
        </w:rPr>
        <w:t>Disclosure statement</w:t>
      </w:r>
    </w:p>
    <w:p w14:paraId="60C983DA" w14:textId="12782789" w:rsidR="008665CB" w:rsidRDefault="008665CB" w:rsidP="00B9201B">
      <w:pPr>
        <w:pStyle w:val="FootnoteText"/>
        <w:jc w:val="both"/>
        <w:rPr>
          <w:color w:val="000000"/>
          <w:sz w:val="24"/>
          <w:szCs w:val="24"/>
        </w:rPr>
      </w:pPr>
      <w:r w:rsidRPr="008665CB">
        <w:rPr>
          <w:color w:val="000000"/>
          <w:sz w:val="24"/>
          <w:szCs w:val="24"/>
        </w:rPr>
        <w:t>The authors report there are no competing interests to declare.</w:t>
      </w:r>
    </w:p>
    <w:p w14:paraId="6B127CA3" w14:textId="77777777" w:rsidR="008665CB" w:rsidRPr="008665CB" w:rsidRDefault="008665CB" w:rsidP="00B9201B">
      <w:pPr>
        <w:pStyle w:val="FootnoteText"/>
        <w:jc w:val="both"/>
        <w:rPr>
          <w:color w:val="000000"/>
          <w:sz w:val="24"/>
          <w:szCs w:val="24"/>
        </w:rPr>
      </w:pPr>
    </w:p>
    <w:p w14:paraId="3C1BE748" w14:textId="5543A9B0" w:rsidR="008665CB" w:rsidRPr="008665CB" w:rsidRDefault="008665CB" w:rsidP="00B9201B">
      <w:pPr>
        <w:pStyle w:val="FootnoteText"/>
        <w:jc w:val="both"/>
        <w:rPr>
          <w:caps/>
          <w:color w:val="000000"/>
          <w:sz w:val="24"/>
          <w:szCs w:val="24"/>
        </w:rPr>
      </w:pPr>
      <w:r w:rsidRPr="008665CB">
        <w:rPr>
          <w:b/>
          <w:bCs/>
          <w:caps/>
          <w:color w:val="000000"/>
          <w:sz w:val="24"/>
          <w:szCs w:val="24"/>
        </w:rPr>
        <w:t>Declaration of generative AI use</w:t>
      </w:r>
    </w:p>
    <w:p w14:paraId="5585F03F" w14:textId="39A554E2" w:rsidR="00B9201B" w:rsidRPr="008665CB" w:rsidRDefault="008665CB" w:rsidP="00B9201B">
      <w:pPr>
        <w:pStyle w:val="FootnoteText"/>
        <w:jc w:val="both"/>
        <w:rPr>
          <w:color w:val="000000"/>
          <w:sz w:val="24"/>
          <w:szCs w:val="24"/>
        </w:rPr>
      </w:pPr>
      <w:r w:rsidRPr="008665CB">
        <w:rPr>
          <w:rFonts w:eastAsia="Calibri"/>
          <w:sz w:val="24"/>
          <w:szCs w:val="24"/>
        </w:rPr>
        <w:t xml:space="preserve">Artificial intelligence tools – ChatGPT and Claude – were used to support the preparation of this manuscript, assisting with formatting content and refining language. All AI-assisted output was critically reviewed, revised, and validated by the authors. The study design, analysis, interpretation of results, and conclusions reflect the authors’ academic and professional judgment. AI tools </w:t>
      </w:r>
      <w:r w:rsidRPr="008665CB">
        <w:rPr>
          <w:rFonts w:eastAsia="Calibri"/>
          <w:sz w:val="24"/>
          <w:szCs w:val="24"/>
        </w:rPr>
        <w:lastRenderedPageBreak/>
        <w:t>improved efficiency and communication but did not substitute for engineering judgment, technical review, or responsibility for the final content. The authors are solely responsible for all content, including any errors or omissions.</w:t>
      </w:r>
    </w:p>
    <w:p w14:paraId="4D9BEA62" w14:textId="77777777" w:rsidR="008665CB" w:rsidRDefault="008665CB" w:rsidP="00B9201B">
      <w:pPr>
        <w:pStyle w:val="FootnoteText"/>
        <w:jc w:val="both"/>
        <w:rPr>
          <w:color w:val="000000"/>
          <w:sz w:val="24"/>
          <w:szCs w:val="24"/>
        </w:rPr>
      </w:pPr>
    </w:p>
    <w:p w14:paraId="7D856FAC" w14:textId="69E05B52" w:rsidR="00031B7E" w:rsidRPr="007366EE" w:rsidRDefault="00390142" w:rsidP="006F4AD8">
      <w:pPr>
        <w:jc w:val="both"/>
        <w:rPr>
          <w:b/>
          <w:bCs/>
          <w:sz w:val="24"/>
          <w:szCs w:val="24"/>
        </w:rPr>
      </w:pPr>
      <w:r w:rsidRPr="007366EE">
        <w:rPr>
          <w:b/>
          <w:bCs/>
          <w:sz w:val="24"/>
          <w:szCs w:val="24"/>
        </w:rPr>
        <w:t>REFERENCES</w:t>
      </w:r>
    </w:p>
    <w:p w14:paraId="04B65422" w14:textId="77777777" w:rsidR="002911A8" w:rsidRDefault="002911A8" w:rsidP="006F4AD8">
      <w:pPr>
        <w:pStyle w:val="FootnoteText"/>
        <w:tabs>
          <w:tab w:val="left" w:pos="0"/>
        </w:tabs>
        <w:jc w:val="both"/>
        <w:rPr>
          <w:bCs/>
          <w:color w:val="000000"/>
          <w:sz w:val="24"/>
          <w:szCs w:val="24"/>
        </w:rPr>
      </w:pPr>
      <w:proofErr w:type="spellStart"/>
      <w:r w:rsidRPr="002911A8">
        <w:rPr>
          <w:bCs/>
          <w:color w:val="000000"/>
          <w:sz w:val="24"/>
          <w:szCs w:val="24"/>
        </w:rPr>
        <w:t>Abenoza</w:t>
      </w:r>
      <w:proofErr w:type="spellEnd"/>
      <w:r w:rsidRPr="002911A8">
        <w:rPr>
          <w:bCs/>
          <w:color w:val="000000"/>
          <w:sz w:val="24"/>
          <w:szCs w:val="24"/>
        </w:rPr>
        <w:t xml:space="preserve">, R. F., Ceccato, V., Susilo, Y. O., &amp; Cats, O. (2018). Individual, travel, and bus stop </w:t>
      </w:r>
    </w:p>
    <w:p w14:paraId="3C596A85" w14:textId="0189CE73" w:rsidR="002911A8" w:rsidRDefault="002911A8" w:rsidP="006F4AD8">
      <w:pPr>
        <w:pStyle w:val="FootnoteText"/>
        <w:tabs>
          <w:tab w:val="left" w:pos="0"/>
        </w:tabs>
        <w:jc w:val="both"/>
        <w:rPr>
          <w:bCs/>
          <w:i/>
          <w:iCs/>
          <w:color w:val="000000"/>
          <w:sz w:val="24"/>
          <w:szCs w:val="24"/>
        </w:rPr>
      </w:pPr>
      <w:r>
        <w:rPr>
          <w:bCs/>
          <w:color w:val="000000"/>
          <w:sz w:val="24"/>
          <w:szCs w:val="24"/>
        </w:rPr>
        <w:tab/>
      </w:r>
      <w:r w:rsidRPr="002911A8">
        <w:rPr>
          <w:bCs/>
          <w:color w:val="000000"/>
          <w:sz w:val="24"/>
          <w:szCs w:val="24"/>
        </w:rPr>
        <w:t>characteristics influencing travelers’ safety perceptions. </w:t>
      </w:r>
      <w:r w:rsidRPr="002911A8">
        <w:rPr>
          <w:bCs/>
          <w:i/>
          <w:iCs/>
          <w:color w:val="000000"/>
          <w:sz w:val="24"/>
          <w:szCs w:val="24"/>
        </w:rPr>
        <w:t xml:space="preserve">Transportation </w:t>
      </w:r>
      <w:r w:rsidR="0093518D">
        <w:rPr>
          <w:bCs/>
          <w:i/>
          <w:iCs/>
          <w:color w:val="000000"/>
          <w:sz w:val="24"/>
          <w:szCs w:val="24"/>
        </w:rPr>
        <w:t>R</w:t>
      </w:r>
      <w:r w:rsidRPr="002911A8">
        <w:rPr>
          <w:bCs/>
          <w:i/>
          <w:iCs/>
          <w:color w:val="000000"/>
          <w:sz w:val="24"/>
          <w:szCs w:val="24"/>
        </w:rPr>
        <w:t xml:space="preserve">esearch </w:t>
      </w:r>
    </w:p>
    <w:p w14:paraId="25CFC62B" w14:textId="1374A151" w:rsidR="002911A8" w:rsidRDefault="002911A8" w:rsidP="006F4AD8">
      <w:pPr>
        <w:pStyle w:val="FootnoteText"/>
        <w:tabs>
          <w:tab w:val="left" w:pos="0"/>
        </w:tabs>
        <w:jc w:val="both"/>
        <w:rPr>
          <w:bCs/>
          <w:color w:val="000000"/>
          <w:sz w:val="24"/>
          <w:szCs w:val="24"/>
        </w:rPr>
      </w:pPr>
      <w:r>
        <w:rPr>
          <w:bCs/>
          <w:i/>
          <w:iCs/>
          <w:color w:val="000000"/>
          <w:sz w:val="24"/>
          <w:szCs w:val="24"/>
        </w:rPr>
        <w:tab/>
      </w:r>
      <w:r w:rsidR="0093518D">
        <w:rPr>
          <w:bCs/>
          <w:i/>
          <w:iCs/>
          <w:color w:val="000000"/>
          <w:sz w:val="24"/>
          <w:szCs w:val="24"/>
        </w:rPr>
        <w:t>R</w:t>
      </w:r>
      <w:r w:rsidRPr="002911A8">
        <w:rPr>
          <w:bCs/>
          <w:i/>
          <w:iCs/>
          <w:color w:val="000000"/>
          <w:sz w:val="24"/>
          <w:szCs w:val="24"/>
        </w:rPr>
        <w:t>ecord</w:t>
      </w:r>
      <w:r w:rsidRPr="002911A8">
        <w:rPr>
          <w:bCs/>
          <w:color w:val="000000"/>
          <w:sz w:val="24"/>
          <w:szCs w:val="24"/>
        </w:rPr>
        <w:t>, </w:t>
      </w:r>
      <w:r w:rsidRPr="002911A8">
        <w:rPr>
          <w:bCs/>
          <w:i/>
          <w:iCs/>
          <w:color w:val="000000"/>
          <w:sz w:val="24"/>
          <w:szCs w:val="24"/>
        </w:rPr>
        <w:t>2672</w:t>
      </w:r>
      <w:r w:rsidRPr="002911A8">
        <w:rPr>
          <w:bCs/>
          <w:color w:val="000000"/>
          <w:sz w:val="24"/>
          <w:szCs w:val="24"/>
        </w:rPr>
        <w:t>(8), 19-28.</w:t>
      </w:r>
      <w:r>
        <w:rPr>
          <w:bCs/>
          <w:color w:val="000000"/>
          <w:sz w:val="24"/>
          <w:szCs w:val="24"/>
        </w:rPr>
        <w:t xml:space="preserve"> </w:t>
      </w:r>
      <w:hyperlink r:id="rId19" w:history="1">
        <w:r w:rsidR="007F43B1" w:rsidRPr="007F43B1">
          <w:rPr>
            <w:rStyle w:val="Hyperlink"/>
            <w:bCs/>
            <w:sz w:val="24"/>
            <w:szCs w:val="24"/>
          </w:rPr>
          <w:t>https://doi.org/10.1177/0361198118758677</w:t>
        </w:r>
      </w:hyperlink>
    </w:p>
    <w:p w14:paraId="1231D461" w14:textId="77777777" w:rsidR="003724D1" w:rsidRDefault="003724D1" w:rsidP="006F4AD8">
      <w:pPr>
        <w:pStyle w:val="FootnoteText"/>
        <w:tabs>
          <w:tab w:val="left" w:pos="0"/>
        </w:tabs>
        <w:jc w:val="both"/>
        <w:rPr>
          <w:bCs/>
          <w:color w:val="000000"/>
          <w:sz w:val="24"/>
          <w:szCs w:val="24"/>
        </w:rPr>
      </w:pPr>
      <w:r w:rsidRPr="003724D1">
        <w:rPr>
          <w:bCs/>
          <w:color w:val="000000"/>
          <w:sz w:val="24"/>
          <w:szCs w:val="24"/>
        </w:rPr>
        <w:t xml:space="preserve">Aeschliman, S., &amp; Stathopoulos, A. (2025). Trade-offs in transit public safety interventions: </w:t>
      </w:r>
    </w:p>
    <w:p w14:paraId="3F7A8580" w14:textId="77777777" w:rsidR="003724D1" w:rsidRDefault="003724D1" w:rsidP="006F4AD8">
      <w:pPr>
        <w:pStyle w:val="FootnoteText"/>
        <w:tabs>
          <w:tab w:val="left" w:pos="0"/>
        </w:tabs>
        <w:jc w:val="both"/>
        <w:rPr>
          <w:bCs/>
          <w:i/>
          <w:iCs/>
          <w:color w:val="000000"/>
          <w:sz w:val="24"/>
          <w:szCs w:val="24"/>
        </w:rPr>
      </w:pPr>
      <w:r>
        <w:rPr>
          <w:bCs/>
          <w:color w:val="000000"/>
          <w:sz w:val="24"/>
          <w:szCs w:val="24"/>
        </w:rPr>
        <w:tab/>
      </w:r>
      <w:r w:rsidRPr="003724D1">
        <w:rPr>
          <w:bCs/>
          <w:color w:val="000000"/>
          <w:sz w:val="24"/>
          <w:szCs w:val="24"/>
        </w:rPr>
        <w:t>Balancing enforcement and service quality improvements. </w:t>
      </w:r>
      <w:r w:rsidRPr="003724D1">
        <w:rPr>
          <w:bCs/>
          <w:i/>
          <w:iCs/>
          <w:color w:val="000000"/>
          <w:sz w:val="24"/>
          <w:szCs w:val="24"/>
        </w:rPr>
        <w:t xml:space="preserve">Transportation Research Part </w:t>
      </w:r>
    </w:p>
    <w:p w14:paraId="1BF36A90" w14:textId="2693321F" w:rsidR="007F43B1" w:rsidRDefault="003724D1" w:rsidP="006F4AD8">
      <w:pPr>
        <w:pStyle w:val="FootnoteText"/>
        <w:tabs>
          <w:tab w:val="left" w:pos="0"/>
        </w:tabs>
        <w:jc w:val="both"/>
        <w:rPr>
          <w:bCs/>
          <w:color w:val="000000"/>
          <w:sz w:val="24"/>
          <w:szCs w:val="24"/>
        </w:rPr>
      </w:pPr>
      <w:r>
        <w:rPr>
          <w:bCs/>
          <w:i/>
          <w:iCs/>
          <w:color w:val="000000"/>
          <w:sz w:val="24"/>
          <w:szCs w:val="24"/>
        </w:rPr>
        <w:tab/>
      </w:r>
      <w:r w:rsidRPr="003724D1">
        <w:rPr>
          <w:bCs/>
          <w:i/>
          <w:iCs/>
          <w:color w:val="000000"/>
          <w:sz w:val="24"/>
          <w:szCs w:val="24"/>
        </w:rPr>
        <w:t>A: Policy and Practice</w:t>
      </w:r>
      <w:r w:rsidRPr="003724D1">
        <w:rPr>
          <w:bCs/>
          <w:color w:val="000000"/>
          <w:sz w:val="24"/>
          <w:szCs w:val="24"/>
        </w:rPr>
        <w:t>, </w:t>
      </w:r>
      <w:r w:rsidRPr="003724D1">
        <w:rPr>
          <w:bCs/>
          <w:i/>
          <w:iCs/>
          <w:color w:val="000000"/>
          <w:sz w:val="24"/>
          <w:szCs w:val="24"/>
        </w:rPr>
        <w:t>199</w:t>
      </w:r>
      <w:r w:rsidRPr="003724D1">
        <w:rPr>
          <w:bCs/>
          <w:color w:val="000000"/>
          <w:sz w:val="24"/>
          <w:szCs w:val="24"/>
        </w:rPr>
        <w:t>, 104584.</w:t>
      </w:r>
      <w:r w:rsidR="009B6417">
        <w:rPr>
          <w:bCs/>
          <w:color w:val="000000"/>
          <w:sz w:val="24"/>
          <w:szCs w:val="24"/>
        </w:rPr>
        <w:t xml:space="preserve"> </w:t>
      </w:r>
      <w:hyperlink r:id="rId20" w:tgtFrame="_blank" w:tooltip="Persistent link using digital object identifier" w:history="1">
        <w:r w:rsidR="009B6417" w:rsidRPr="009B6417">
          <w:rPr>
            <w:rStyle w:val="Hyperlink"/>
            <w:bCs/>
            <w:sz w:val="24"/>
            <w:szCs w:val="24"/>
          </w:rPr>
          <w:t>https://doi.org/10.1016/j.tra.2025.104584</w:t>
        </w:r>
      </w:hyperlink>
    </w:p>
    <w:p w14:paraId="535E94FC" w14:textId="77777777" w:rsidR="000F0168" w:rsidRDefault="000F0168" w:rsidP="006F4AD8">
      <w:pPr>
        <w:pStyle w:val="FootnoteText"/>
        <w:tabs>
          <w:tab w:val="left" w:pos="0"/>
        </w:tabs>
        <w:jc w:val="both"/>
        <w:rPr>
          <w:bCs/>
          <w:color w:val="000000"/>
          <w:sz w:val="24"/>
          <w:szCs w:val="24"/>
        </w:rPr>
      </w:pPr>
      <w:proofErr w:type="spellStart"/>
      <w:r w:rsidRPr="000F0168">
        <w:rPr>
          <w:bCs/>
          <w:color w:val="000000"/>
          <w:sz w:val="24"/>
          <w:szCs w:val="24"/>
        </w:rPr>
        <w:t>Asgharpour</w:t>
      </w:r>
      <w:proofErr w:type="spellEnd"/>
      <w:r w:rsidRPr="000F0168">
        <w:rPr>
          <w:bCs/>
          <w:color w:val="000000"/>
          <w:sz w:val="24"/>
          <w:szCs w:val="24"/>
        </w:rPr>
        <w:t xml:space="preserve">, S., Askari, S., &amp; Mohammadian, A. K. (2025). Who stays loyal to transit? </w:t>
      </w:r>
    </w:p>
    <w:p w14:paraId="70CEC6F1" w14:textId="77777777" w:rsidR="000F0168" w:rsidRDefault="000F0168" w:rsidP="006F4AD8">
      <w:pPr>
        <w:pStyle w:val="FootnoteText"/>
        <w:tabs>
          <w:tab w:val="left" w:pos="0"/>
        </w:tabs>
        <w:jc w:val="both"/>
        <w:rPr>
          <w:bCs/>
          <w:i/>
          <w:iCs/>
          <w:color w:val="000000"/>
          <w:sz w:val="24"/>
          <w:szCs w:val="24"/>
        </w:rPr>
      </w:pPr>
      <w:r>
        <w:rPr>
          <w:bCs/>
          <w:color w:val="000000"/>
          <w:sz w:val="24"/>
          <w:szCs w:val="24"/>
        </w:rPr>
        <w:tab/>
      </w:r>
      <w:r w:rsidRPr="000F0168">
        <w:rPr>
          <w:bCs/>
          <w:color w:val="000000"/>
          <w:sz w:val="24"/>
          <w:szCs w:val="24"/>
        </w:rPr>
        <w:t>Understanding preference-based heterogeneity in service satisfaction. </w:t>
      </w:r>
      <w:r w:rsidRPr="000F0168">
        <w:rPr>
          <w:bCs/>
          <w:i/>
          <w:iCs/>
          <w:color w:val="000000"/>
          <w:sz w:val="24"/>
          <w:szCs w:val="24"/>
        </w:rPr>
        <w:t xml:space="preserve">Research in </w:t>
      </w:r>
    </w:p>
    <w:p w14:paraId="3C713EA0" w14:textId="4B01B04B" w:rsidR="009B6417" w:rsidRDefault="000F0168" w:rsidP="006F4AD8">
      <w:pPr>
        <w:pStyle w:val="FootnoteText"/>
        <w:tabs>
          <w:tab w:val="left" w:pos="0"/>
        </w:tabs>
        <w:jc w:val="both"/>
        <w:rPr>
          <w:sz w:val="24"/>
          <w:szCs w:val="24"/>
        </w:rPr>
      </w:pPr>
      <w:r>
        <w:rPr>
          <w:bCs/>
          <w:i/>
          <w:iCs/>
          <w:color w:val="000000"/>
          <w:sz w:val="24"/>
          <w:szCs w:val="24"/>
        </w:rPr>
        <w:tab/>
      </w:r>
      <w:r w:rsidRPr="000F0168">
        <w:rPr>
          <w:bCs/>
          <w:i/>
          <w:iCs/>
          <w:color w:val="000000"/>
          <w:sz w:val="24"/>
          <w:szCs w:val="24"/>
        </w:rPr>
        <w:t>Transportation Economics</w:t>
      </w:r>
      <w:r w:rsidRPr="000F0168">
        <w:rPr>
          <w:bCs/>
          <w:color w:val="000000"/>
          <w:sz w:val="24"/>
          <w:szCs w:val="24"/>
        </w:rPr>
        <w:t>, </w:t>
      </w:r>
      <w:r w:rsidRPr="000F0168">
        <w:rPr>
          <w:bCs/>
          <w:i/>
          <w:iCs/>
          <w:color w:val="000000"/>
          <w:sz w:val="24"/>
          <w:szCs w:val="24"/>
        </w:rPr>
        <w:t>112</w:t>
      </w:r>
      <w:r w:rsidRPr="000F0168">
        <w:rPr>
          <w:bCs/>
          <w:color w:val="000000"/>
          <w:sz w:val="24"/>
          <w:szCs w:val="24"/>
        </w:rPr>
        <w:t>, 10160</w:t>
      </w:r>
      <w:r w:rsidRPr="007C74C0">
        <w:rPr>
          <w:bCs/>
          <w:color w:val="000000"/>
          <w:sz w:val="24"/>
          <w:szCs w:val="24"/>
        </w:rPr>
        <w:t>8.</w:t>
      </w:r>
      <w:r w:rsidR="00D813CD" w:rsidRPr="007C74C0">
        <w:rPr>
          <w:bCs/>
          <w:color w:val="000000"/>
          <w:sz w:val="24"/>
          <w:szCs w:val="24"/>
        </w:rPr>
        <w:t xml:space="preserve"> </w:t>
      </w:r>
      <w:hyperlink r:id="rId21" w:history="1">
        <w:r w:rsidR="008B7422" w:rsidRPr="00B13457">
          <w:rPr>
            <w:rStyle w:val="Hyperlink"/>
            <w:sz w:val="24"/>
            <w:szCs w:val="24"/>
          </w:rPr>
          <w:t>https://doi.org/10.1016/j.retrec.2025.101608</w:t>
        </w:r>
      </w:hyperlink>
      <w:r w:rsidR="008B7422">
        <w:rPr>
          <w:sz w:val="24"/>
          <w:szCs w:val="24"/>
        </w:rPr>
        <w:t xml:space="preserve"> </w:t>
      </w:r>
    </w:p>
    <w:p w14:paraId="2EBC2944" w14:textId="77777777" w:rsidR="00C165E4" w:rsidRDefault="00C165E4" w:rsidP="006F4AD8">
      <w:pPr>
        <w:pStyle w:val="FootnoteText"/>
        <w:tabs>
          <w:tab w:val="left" w:pos="0"/>
        </w:tabs>
        <w:jc w:val="both"/>
        <w:rPr>
          <w:bCs/>
          <w:color w:val="000000"/>
          <w:sz w:val="24"/>
          <w:szCs w:val="24"/>
        </w:rPr>
      </w:pPr>
      <w:r w:rsidRPr="00C165E4">
        <w:rPr>
          <w:bCs/>
          <w:color w:val="000000"/>
          <w:sz w:val="24"/>
          <w:szCs w:val="24"/>
        </w:rPr>
        <w:t xml:space="preserve">Bhat, C. R. (2018). New matrix-based methods for the analytic evaluation of the multivariate </w:t>
      </w:r>
    </w:p>
    <w:p w14:paraId="57E71F80" w14:textId="77777777" w:rsidR="00C165E4" w:rsidRDefault="00C165E4" w:rsidP="006F4AD8">
      <w:pPr>
        <w:pStyle w:val="FootnoteText"/>
        <w:tabs>
          <w:tab w:val="left" w:pos="0"/>
        </w:tabs>
        <w:jc w:val="both"/>
        <w:rPr>
          <w:bCs/>
          <w:i/>
          <w:iCs/>
          <w:color w:val="000000"/>
          <w:sz w:val="24"/>
          <w:szCs w:val="24"/>
        </w:rPr>
      </w:pPr>
      <w:r>
        <w:rPr>
          <w:bCs/>
          <w:color w:val="000000"/>
          <w:sz w:val="24"/>
          <w:szCs w:val="24"/>
        </w:rPr>
        <w:tab/>
      </w:r>
      <w:r w:rsidRPr="00C165E4">
        <w:rPr>
          <w:bCs/>
          <w:color w:val="000000"/>
          <w:sz w:val="24"/>
          <w:szCs w:val="24"/>
        </w:rPr>
        <w:t>cumulative normal distribution function. </w:t>
      </w:r>
      <w:r w:rsidRPr="00C165E4">
        <w:rPr>
          <w:bCs/>
          <w:i/>
          <w:iCs/>
          <w:color w:val="000000"/>
          <w:sz w:val="24"/>
          <w:szCs w:val="24"/>
        </w:rPr>
        <w:t xml:space="preserve">Transportation Research Part B: </w:t>
      </w:r>
    </w:p>
    <w:p w14:paraId="307F5262" w14:textId="780DB937" w:rsidR="008B7422" w:rsidRDefault="00C165E4" w:rsidP="006F4AD8">
      <w:pPr>
        <w:pStyle w:val="FootnoteText"/>
        <w:tabs>
          <w:tab w:val="left" w:pos="0"/>
        </w:tabs>
        <w:jc w:val="both"/>
        <w:rPr>
          <w:bCs/>
          <w:color w:val="000000"/>
          <w:sz w:val="24"/>
          <w:szCs w:val="24"/>
        </w:rPr>
      </w:pPr>
      <w:r>
        <w:rPr>
          <w:bCs/>
          <w:i/>
          <w:iCs/>
          <w:color w:val="000000"/>
          <w:sz w:val="24"/>
          <w:szCs w:val="24"/>
        </w:rPr>
        <w:tab/>
      </w:r>
      <w:r w:rsidRPr="00C165E4">
        <w:rPr>
          <w:bCs/>
          <w:i/>
          <w:iCs/>
          <w:color w:val="000000"/>
          <w:sz w:val="24"/>
          <w:szCs w:val="24"/>
        </w:rPr>
        <w:t>Methodological</w:t>
      </w:r>
      <w:r w:rsidRPr="00C165E4">
        <w:rPr>
          <w:bCs/>
          <w:color w:val="000000"/>
          <w:sz w:val="24"/>
          <w:szCs w:val="24"/>
        </w:rPr>
        <w:t>, </w:t>
      </w:r>
      <w:r w:rsidRPr="00C165E4">
        <w:rPr>
          <w:bCs/>
          <w:i/>
          <w:iCs/>
          <w:color w:val="000000"/>
          <w:sz w:val="24"/>
          <w:szCs w:val="24"/>
        </w:rPr>
        <w:t>109</w:t>
      </w:r>
      <w:r w:rsidRPr="00C165E4">
        <w:rPr>
          <w:bCs/>
          <w:color w:val="000000"/>
          <w:sz w:val="24"/>
          <w:szCs w:val="24"/>
        </w:rPr>
        <w:t>, 238-256.</w:t>
      </w:r>
      <w:r w:rsidR="0096345E">
        <w:rPr>
          <w:bCs/>
          <w:color w:val="000000"/>
          <w:sz w:val="24"/>
          <w:szCs w:val="24"/>
        </w:rPr>
        <w:t xml:space="preserve"> </w:t>
      </w:r>
      <w:hyperlink r:id="rId22" w:tgtFrame="_blank" w:tooltip="Persistent link using digital object identifier" w:history="1">
        <w:r w:rsidR="0096345E" w:rsidRPr="0096345E">
          <w:rPr>
            <w:rStyle w:val="Hyperlink"/>
            <w:bCs/>
            <w:sz w:val="24"/>
            <w:szCs w:val="24"/>
          </w:rPr>
          <w:t>https://doi.org/10.1016/j.trb.2018.01.011</w:t>
        </w:r>
      </w:hyperlink>
    </w:p>
    <w:p w14:paraId="6DA8B1F4" w14:textId="77777777" w:rsidR="00626962" w:rsidRDefault="00626962" w:rsidP="006F4AD8">
      <w:pPr>
        <w:pStyle w:val="FootnoteText"/>
        <w:tabs>
          <w:tab w:val="left" w:pos="0"/>
        </w:tabs>
        <w:jc w:val="both"/>
        <w:rPr>
          <w:bCs/>
          <w:color w:val="000000"/>
          <w:sz w:val="24"/>
          <w:szCs w:val="24"/>
        </w:rPr>
      </w:pPr>
      <w:r w:rsidRPr="00626962">
        <w:rPr>
          <w:bCs/>
          <w:color w:val="000000"/>
          <w:sz w:val="24"/>
          <w:szCs w:val="24"/>
        </w:rPr>
        <w:t xml:space="preserve">Bian, J. J., Zhong, S., Towne Jr, S. D., Lee, C., Ory, M. G., &amp; Li, W. (2022). Perceived risks of </w:t>
      </w:r>
    </w:p>
    <w:p w14:paraId="3F5A1E63" w14:textId="77777777" w:rsidR="00626962" w:rsidRDefault="00626962" w:rsidP="006F4AD8">
      <w:pPr>
        <w:pStyle w:val="FootnoteText"/>
        <w:tabs>
          <w:tab w:val="left" w:pos="0"/>
        </w:tabs>
        <w:jc w:val="both"/>
        <w:rPr>
          <w:bCs/>
          <w:color w:val="000000"/>
          <w:sz w:val="24"/>
          <w:szCs w:val="24"/>
        </w:rPr>
      </w:pPr>
      <w:r>
        <w:rPr>
          <w:bCs/>
          <w:color w:val="000000"/>
          <w:sz w:val="24"/>
          <w:szCs w:val="24"/>
        </w:rPr>
        <w:tab/>
      </w:r>
      <w:r w:rsidRPr="00626962">
        <w:rPr>
          <w:bCs/>
          <w:color w:val="000000"/>
          <w:sz w:val="24"/>
          <w:szCs w:val="24"/>
        </w:rPr>
        <w:t xml:space="preserve">transit use during COVID-19: Correlates and strategies from a case study in El Paso, </w:t>
      </w:r>
    </w:p>
    <w:p w14:paraId="34417C3E" w14:textId="77777777" w:rsidR="00BD514E" w:rsidRDefault="00626962" w:rsidP="006F4AD8">
      <w:pPr>
        <w:pStyle w:val="FootnoteText"/>
        <w:tabs>
          <w:tab w:val="left" w:pos="0"/>
        </w:tabs>
        <w:jc w:val="both"/>
        <w:rPr>
          <w:bCs/>
          <w:color w:val="000000"/>
          <w:sz w:val="24"/>
          <w:szCs w:val="24"/>
        </w:rPr>
      </w:pPr>
      <w:r>
        <w:rPr>
          <w:bCs/>
          <w:color w:val="000000"/>
          <w:sz w:val="24"/>
          <w:szCs w:val="24"/>
        </w:rPr>
        <w:tab/>
      </w:r>
      <w:r w:rsidRPr="00626962">
        <w:rPr>
          <w:bCs/>
          <w:color w:val="000000"/>
          <w:sz w:val="24"/>
          <w:szCs w:val="24"/>
        </w:rPr>
        <w:t>Texas. </w:t>
      </w:r>
      <w:r w:rsidRPr="00626962">
        <w:rPr>
          <w:bCs/>
          <w:i/>
          <w:iCs/>
          <w:color w:val="000000"/>
          <w:sz w:val="24"/>
          <w:szCs w:val="24"/>
        </w:rPr>
        <w:t>Journal of Transport &amp; Health</w:t>
      </w:r>
      <w:r w:rsidRPr="00626962">
        <w:rPr>
          <w:bCs/>
          <w:color w:val="000000"/>
          <w:sz w:val="24"/>
          <w:szCs w:val="24"/>
        </w:rPr>
        <w:t>, </w:t>
      </w:r>
      <w:r w:rsidRPr="00626962">
        <w:rPr>
          <w:bCs/>
          <w:i/>
          <w:iCs/>
          <w:color w:val="000000"/>
          <w:sz w:val="24"/>
          <w:szCs w:val="24"/>
        </w:rPr>
        <w:t>27</w:t>
      </w:r>
      <w:r w:rsidRPr="00626962">
        <w:rPr>
          <w:bCs/>
          <w:color w:val="000000"/>
          <w:sz w:val="24"/>
          <w:szCs w:val="24"/>
        </w:rPr>
        <w:t>, 101491.</w:t>
      </w:r>
    </w:p>
    <w:p w14:paraId="3D77C54A" w14:textId="02D97528" w:rsidR="00B453B1" w:rsidRDefault="00BD514E" w:rsidP="006F4AD8">
      <w:pPr>
        <w:pStyle w:val="FootnoteText"/>
        <w:tabs>
          <w:tab w:val="left" w:pos="0"/>
        </w:tabs>
        <w:jc w:val="both"/>
        <w:rPr>
          <w:bCs/>
          <w:color w:val="000000"/>
          <w:sz w:val="24"/>
          <w:szCs w:val="24"/>
        </w:rPr>
      </w:pPr>
      <w:r>
        <w:rPr>
          <w:bCs/>
          <w:color w:val="000000"/>
          <w:sz w:val="24"/>
          <w:szCs w:val="24"/>
        </w:rPr>
        <w:tab/>
      </w:r>
      <w:hyperlink r:id="rId23" w:history="1">
        <w:r w:rsidR="00EF02AF" w:rsidRPr="00B13457">
          <w:rPr>
            <w:rStyle w:val="Hyperlink"/>
            <w:bCs/>
            <w:sz w:val="24"/>
            <w:szCs w:val="24"/>
          </w:rPr>
          <w:t>https://doi.org/10.1016/j.jth.2022.101491</w:t>
        </w:r>
      </w:hyperlink>
    </w:p>
    <w:p w14:paraId="1B45A94F" w14:textId="7F3F60F6" w:rsidR="00A14170" w:rsidRPr="006F4AD8" w:rsidRDefault="00A14170" w:rsidP="006F4AD8">
      <w:pPr>
        <w:pStyle w:val="FootnoteText"/>
        <w:tabs>
          <w:tab w:val="left" w:pos="0"/>
        </w:tabs>
        <w:jc w:val="both"/>
        <w:rPr>
          <w:bCs/>
          <w:color w:val="000000"/>
          <w:sz w:val="24"/>
          <w:szCs w:val="24"/>
          <w:lang w:val="fr-FR"/>
        </w:rPr>
      </w:pPr>
      <w:r w:rsidRPr="006F4AD8">
        <w:rPr>
          <w:bCs/>
          <w:color w:val="000000"/>
          <w:sz w:val="24"/>
          <w:szCs w:val="24"/>
          <w:lang w:val="fr-FR"/>
        </w:rPr>
        <w:t xml:space="preserve">Boisjoly, G., Grisé, E., Maguire, M., Veillette, M. P., </w:t>
      </w:r>
      <w:proofErr w:type="spellStart"/>
      <w:r w:rsidRPr="006F4AD8">
        <w:rPr>
          <w:bCs/>
          <w:color w:val="000000"/>
          <w:sz w:val="24"/>
          <w:szCs w:val="24"/>
          <w:lang w:val="fr-FR"/>
        </w:rPr>
        <w:t>Deboosere</w:t>
      </w:r>
      <w:proofErr w:type="spellEnd"/>
      <w:r w:rsidRPr="006F4AD8">
        <w:rPr>
          <w:bCs/>
          <w:color w:val="000000"/>
          <w:sz w:val="24"/>
          <w:szCs w:val="24"/>
          <w:lang w:val="fr-FR"/>
        </w:rPr>
        <w:t>, R., Berrebi, E., &amp; El-</w:t>
      </w:r>
      <w:proofErr w:type="spellStart"/>
      <w:r w:rsidRPr="006F4AD8">
        <w:rPr>
          <w:bCs/>
          <w:color w:val="000000"/>
          <w:sz w:val="24"/>
          <w:szCs w:val="24"/>
          <w:lang w:val="fr-FR"/>
        </w:rPr>
        <w:t>Geneidy</w:t>
      </w:r>
      <w:proofErr w:type="spellEnd"/>
      <w:r w:rsidRPr="006F4AD8">
        <w:rPr>
          <w:bCs/>
          <w:color w:val="000000"/>
          <w:sz w:val="24"/>
          <w:szCs w:val="24"/>
          <w:lang w:val="fr-FR"/>
        </w:rPr>
        <w:t xml:space="preserve">, </w:t>
      </w:r>
    </w:p>
    <w:p w14:paraId="69FB8B85" w14:textId="77777777" w:rsidR="00A14170" w:rsidRDefault="00A14170" w:rsidP="006F4AD8">
      <w:pPr>
        <w:pStyle w:val="FootnoteText"/>
        <w:tabs>
          <w:tab w:val="left" w:pos="0"/>
        </w:tabs>
        <w:jc w:val="both"/>
        <w:rPr>
          <w:bCs/>
          <w:color w:val="000000"/>
          <w:sz w:val="24"/>
          <w:szCs w:val="24"/>
        </w:rPr>
      </w:pPr>
      <w:r w:rsidRPr="006F4AD8">
        <w:rPr>
          <w:bCs/>
          <w:color w:val="000000"/>
          <w:sz w:val="24"/>
          <w:szCs w:val="24"/>
          <w:lang w:val="fr-FR"/>
        </w:rPr>
        <w:tab/>
      </w:r>
      <w:r w:rsidRPr="00A14170">
        <w:rPr>
          <w:bCs/>
          <w:color w:val="000000"/>
          <w:sz w:val="24"/>
          <w:szCs w:val="24"/>
        </w:rPr>
        <w:t xml:space="preserve">A. (2018). Invest in the ride: A </w:t>
      </w:r>
      <w:proofErr w:type="gramStart"/>
      <w:r w:rsidRPr="00A14170">
        <w:rPr>
          <w:bCs/>
          <w:color w:val="000000"/>
          <w:sz w:val="24"/>
          <w:szCs w:val="24"/>
        </w:rPr>
        <w:t>14 year</w:t>
      </w:r>
      <w:proofErr w:type="gramEnd"/>
      <w:r w:rsidRPr="00A14170">
        <w:rPr>
          <w:bCs/>
          <w:color w:val="000000"/>
          <w:sz w:val="24"/>
          <w:szCs w:val="24"/>
        </w:rPr>
        <w:t xml:space="preserve"> longitudinal analysis of the determinants of public </w:t>
      </w:r>
    </w:p>
    <w:p w14:paraId="5BB0266A" w14:textId="77777777" w:rsidR="00A14170" w:rsidRDefault="00A14170" w:rsidP="006F4AD8">
      <w:pPr>
        <w:pStyle w:val="FootnoteText"/>
        <w:tabs>
          <w:tab w:val="left" w:pos="0"/>
        </w:tabs>
        <w:jc w:val="both"/>
        <w:rPr>
          <w:bCs/>
          <w:i/>
          <w:iCs/>
          <w:color w:val="000000"/>
          <w:sz w:val="24"/>
          <w:szCs w:val="24"/>
        </w:rPr>
      </w:pPr>
      <w:r>
        <w:rPr>
          <w:bCs/>
          <w:color w:val="000000"/>
          <w:sz w:val="24"/>
          <w:szCs w:val="24"/>
        </w:rPr>
        <w:tab/>
      </w:r>
      <w:r w:rsidRPr="00A14170">
        <w:rPr>
          <w:bCs/>
          <w:color w:val="000000"/>
          <w:sz w:val="24"/>
          <w:szCs w:val="24"/>
        </w:rPr>
        <w:t>transport ridership in 25 North American cities. </w:t>
      </w:r>
      <w:r w:rsidRPr="00A14170">
        <w:rPr>
          <w:bCs/>
          <w:i/>
          <w:iCs/>
          <w:color w:val="000000"/>
          <w:sz w:val="24"/>
          <w:szCs w:val="24"/>
        </w:rPr>
        <w:t xml:space="preserve">Transportation Research Part A: Policy </w:t>
      </w:r>
    </w:p>
    <w:p w14:paraId="3AF1EB88" w14:textId="47E0A23E" w:rsidR="008762C1" w:rsidRDefault="00A14170" w:rsidP="006F4AD8">
      <w:pPr>
        <w:pStyle w:val="FootnoteText"/>
        <w:tabs>
          <w:tab w:val="left" w:pos="0"/>
        </w:tabs>
        <w:jc w:val="both"/>
        <w:rPr>
          <w:bCs/>
          <w:color w:val="000000"/>
          <w:sz w:val="24"/>
          <w:szCs w:val="24"/>
        </w:rPr>
      </w:pPr>
      <w:r>
        <w:rPr>
          <w:bCs/>
          <w:i/>
          <w:iCs/>
          <w:color w:val="000000"/>
          <w:sz w:val="24"/>
          <w:szCs w:val="24"/>
        </w:rPr>
        <w:tab/>
      </w:r>
      <w:r w:rsidRPr="00A14170">
        <w:rPr>
          <w:bCs/>
          <w:i/>
          <w:iCs/>
          <w:color w:val="000000"/>
          <w:sz w:val="24"/>
          <w:szCs w:val="24"/>
        </w:rPr>
        <w:t>and Practice</w:t>
      </w:r>
      <w:r w:rsidRPr="00A14170">
        <w:rPr>
          <w:bCs/>
          <w:color w:val="000000"/>
          <w:sz w:val="24"/>
          <w:szCs w:val="24"/>
        </w:rPr>
        <w:t>, </w:t>
      </w:r>
      <w:r w:rsidRPr="00A14170">
        <w:rPr>
          <w:bCs/>
          <w:i/>
          <w:iCs/>
          <w:color w:val="000000"/>
          <w:sz w:val="24"/>
          <w:szCs w:val="24"/>
        </w:rPr>
        <w:t>116</w:t>
      </w:r>
      <w:r w:rsidRPr="00A14170">
        <w:rPr>
          <w:bCs/>
          <w:color w:val="000000"/>
          <w:sz w:val="24"/>
          <w:szCs w:val="24"/>
        </w:rPr>
        <w:t>, 434-445.</w:t>
      </w:r>
      <w:r w:rsidR="00E77CBF" w:rsidRPr="00E77CBF">
        <w:rPr>
          <w:sz w:val="22"/>
          <w:szCs w:val="22"/>
        </w:rPr>
        <w:t xml:space="preserve"> </w:t>
      </w:r>
      <w:hyperlink r:id="rId24" w:tgtFrame="_blank" w:tooltip="Persistent link using digital object identifier" w:history="1">
        <w:r w:rsidR="00E77CBF" w:rsidRPr="00E77CBF">
          <w:rPr>
            <w:rStyle w:val="Hyperlink"/>
            <w:bCs/>
            <w:sz w:val="24"/>
            <w:szCs w:val="24"/>
          </w:rPr>
          <w:t>https://doi.org/10.1016/j.tra.2018.07.005</w:t>
        </w:r>
      </w:hyperlink>
    </w:p>
    <w:p w14:paraId="292B289A" w14:textId="631515CB" w:rsidR="00EF02AF" w:rsidRDefault="00EF02AF" w:rsidP="006F4AD8">
      <w:pPr>
        <w:pStyle w:val="FootnoteText"/>
        <w:tabs>
          <w:tab w:val="left" w:pos="0"/>
        </w:tabs>
        <w:jc w:val="both"/>
        <w:rPr>
          <w:bCs/>
          <w:color w:val="000000"/>
          <w:sz w:val="24"/>
          <w:szCs w:val="24"/>
        </w:rPr>
      </w:pPr>
      <w:r w:rsidRPr="00EF02AF">
        <w:rPr>
          <w:bCs/>
          <w:color w:val="000000"/>
          <w:sz w:val="24"/>
          <w:szCs w:val="24"/>
        </w:rPr>
        <w:t>Brown, A. E. (2017). Car-less or car-free? Socioeconomic and mobility differences among zero-</w:t>
      </w:r>
    </w:p>
    <w:p w14:paraId="0D7A76A2" w14:textId="77777777" w:rsidR="00EF02AF" w:rsidRDefault="00EF02AF" w:rsidP="006F4AD8">
      <w:pPr>
        <w:pStyle w:val="FootnoteText"/>
        <w:tabs>
          <w:tab w:val="left" w:pos="0"/>
        </w:tabs>
        <w:jc w:val="both"/>
        <w:rPr>
          <w:bCs/>
          <w:color w:val="000000"/>
          <w:sz w:val="24"/>
          <w:szCs w:val="24"/>
        </w:rPr>
      </w:pPr>
      <w:r>
        <w:rPr>
          <w:bCs/>
          <w:color w:val="000000"/>
          <w:sz w:val="24"/>
          <w:szCs w:val="24"/>
        </w:rPr>
        <w:tab/>
      </w:r>
      <w:r w:rsidRPr="00EF02AF">
        <w:rPr>
          <w:bCs/>
          <w:color w:val="000000"/>
          <w:sz w:val="24"/>
          <w:szCs w:val="24"/>
        </w:rPr>
        <w:t>car households. </w:t>
      </w:r>
      <w:r w:rsidRPr="00EF02AF">
        <w:rPr>
          <w:bCs/>
          <w:i/>
          <w:iCs/>
          <w:color w:val="000000"/>
          <w:sz w:val="24"/>
          <w:szCs w:val="24"/>
        </w:rPr>
        <w:t>Transport Policy</w:t>
      </w:r>
      <w:r w:rsidRPr="00EF02AF">
        <w:rPr>
          <w:bCs/>
          <w:color w:val="000000"/>
          <w:sz w:val="24"/>
          <w:szCs w:val="24"/>
        </w:rPr>
        <w:t>, </w:t>
      </w:r>
      <w:r w:rsidRPr="00EF02AF">
        <w:rPr>
          <w:bCs/>
          <w:i/>
          <w:iCs/>
          <w:color w:val="000000"/>
          <w:sz w:val="24"/>
          <w:szCs w:val="24"/>
        </w:rPr>
        <w:t>60</w:t>
      </w:r>
      <w:r w:rsidRPr="00EF02AF">
        <w:rPr>
          <w:bCs/>
          <w:color w:val="000000"/>
          <w:sz w:val="24"/>
          <w:szCs w:val="24"/>
        </w:rPr>
        <w:t>, 152-159.</w:t>
      </w:r>
      <w:r>
        <w:rPr>
          <w:bCs/>
          <w:color w:val="000000"/>
          <w:sz w:val="24"/>
          <w:szCs w:val="24"/>
        </w:rPr>
        <w:t xml:space="preserve"> </w:t>
      </w:r>
    </w:p>
    <w:p w14:paraId="59CA0442" w14:textId="5DD665B8" w:rsidR="00EF02AF" w:rsidRDefault="00EF02AF" w:rsidP="006F4AD8">
      <w:pPr>
        <w:pStyle w:val="FootnoteText"/>
        <w:tabs>
          <w:tab w:val="left" w:pos="0"/>
        </w:tabs>
        <w:jc w:val="both"/>
        <w:rPr>
          <w:bCs/>
          <w:color w:val="000000"/>
          <w:sz w:val="24"/>
          <w:szCs w:val="24"/>
        </w:rPr>
      </w:pPr>
      <w:r>
        <w:rPr>
          <w:bCs/>
          <w:color w:val="000000"/>
          <w:sz w:val="24"/>
          <w:szCs w:val="24"/>
        </w:rPr>
        <w:tab/>
      </w:r>
      <w:hyperlink r:id="rId25" w:history="1">
        <w:r w:rsidR="00585293" w:rsidRPr="00B13457">
          <w:rPr>
            <w:rStyle w:val="Hyperlink"/>
            <w:bCs/>
            <w:sz w:val="24"/>
            <w:szCs w:val="24"/>
          </w:rPr>
          <w:t>https://doi.org/10.1016/j.tranpol.2017.09.016</w:t>
        </w:r>
      </w:hyperlink>
    </w:p>
    <w:p w14:paraId="693D5F4B" w14:textId="77777777" w:rsidR="00666A53" w:rsidRDefault="00666A53" w:rsidP="006F4AD8">
      <w:pPr>
        <w:pStyle w:val="FootnoteText"/>
        <w:tabs>
          <w:tab w:val="left" w:pos="0"/>
        </w:tabs>
        <w:jc w:val="both"/>
        <w:rPr>
          <w:bCs/>
          <w:i/>
          <w:iCs/>
          <w:color w:val="000000"/>
          <w:sz w:val="24"/>
          <w:szCs w:val="24"/>
        </w:rPr>
      </w:pPr>
      <w:r w:rsidRPr="00666A53">
        <w:rPr>
          <w:bCs/>
          <w:color w:val="000000"/>
          <w:sz w:val="24"/>
          <w:szCs w:val="24"/>
        </w:rPr>
        <w:t>Cervero, R. (2001). Walk-and-ride: factors influencing pedestrian access to transit. </w:t>
      </w:r>
      <w:r w:rsidRPr="00666A53">
        <w:rPr>
          <w:bCs/>
          <w:i/>
          <w:iCs/>
          <w:color w:val="000000"/>
          <w:sz w:val="24"/>
          <w:szCs w:val="24"/>
        </w:rPr>
        <w:t xml:space="preserve">Journal of </w:t>
      </w:r>
    </w:p>
    <w:p w14:paraId="009ECAFC" w14:textId="4A7C8BF8" w:rsidR="00A64823" w:rsidRDefault="00666A53" w:rsidP="006F4AD8">
      <w:pPr>
        <w:pStyle w:val="FootnoteText"/>
        <w:tabs>
          <w:tab w:val="left" w:pos="0"/>
        </w:tabs>
        <w:jc w:val="both"/>
        <w:rPr>
          <w:bCs/>
          <w:color w:val="000000"/>
          <w:sz w:val="24"/>
          <w:szCs w:val="24"/>
        </w:rPr>
      </w:pPr>
      <w:r>
        <w:rPr>
          <w:bCs/>
          <w:i/>
          <w:iCs/>
          <w:color w:val="000000"/>
          <w:sz w:val="24"/>
          <w:szCs w:val="24"/>
        </w:rPr>
        <w:tab/>
      </w:r>
      <w:r w:rsidRPr="00666A53">
        <w:rPr>
          <w:bCs/>
          <w:i/>
          <w:iCs/>
          <w:color w:val="000000"/>
          <w:sz w:val="24"/>
          <w:szCs w:val="24"/>
        </w:rPr>
        <w:t>Public Transportation</w:t>
      </w:r>
      <w:r w:rsidRPr="00666A53">
        <w:rPr>
          <w:bCs/>
          <w:color w:val="000000"/>
          <w:sz w:val="24"/>
          <w:szCs w:val="24"/>
        </w:rPr>
        <w:t>, </w:t>
      </w:r>
      <w:r w:rsidRPr="00666A53">
        <w:rPr>
          <w:bCs/>
          <w:i/>
          <w:iCs/>
          <w:color w:val="000000"/>
          <w:sz w:val="24"/>
          <w:szCs w:val="24"/>
        </w:rPr>
        <w:t>3</w:t>
      </w:r>
      <w:r w:rsidRPr="00666A53">
        <w:rPr>
          <w:bCs/>
          <w:color w:val="000000"/>
          <w:sz w:val="24"/>
          <w:szCs w:val="24"/>
        </w:rPr>
        <w:t>(4), 1-23.</w:t>
      </w:r>
      <w:r>
        <w:rPr>
          <w:bCs/>
          <w:color w:val="000000"/>
          <w:sz w:val="24"/>
          <w:szCs w:val="24"/>
        </w:rPr>
        <w:t xml:space="preserve"> </w:t>
      </w:r>
      <w:hyperlink r:id="rId26" w:tgtFrame="_blank" w:tooltip="Persistent link using digital object identifier" w:history="1">
        <w:r w:rsidRPr="00666A53">
          <w:rPr>
            <w:rStyle w:val="Hyperlink"/>
            <w:bCs/>
            <w:sz w:val="24"/>
            <w:szCs w:val="24"/>
          </w:rPr>
          <w:t>https://doi.org/10.5038/2375-0901.3.4.1</w:t>
        </w:r>
      </w:hyperlink>
    </w:p>
    <w:p w14:paraId="33D54995" w14:textId="77777777" w:rsidR="00B23638" w:rsidRDefault="00A64823" w:rsidP="006F4AD8">
      <w:pPr>
        <w:pStyle w:val="FootnoteText"/>
        <w:tabs>
          <w:tab w:val="left" w:pos="0"/>
        </w:tabs>
        <w:jc w:val="both"/>
        <w:rPr>
          <w:bCs/>
          <w:i/>
          <w:iCs/>
          <w:color w:val="000000"/>
          <w:sz w:val="24"/>
          <w:szCs w:val="24"/>
        </w:rPr>
      </w:pPr>
      <w:r w:rsidRPr="00A64823">
        <w:rPr>
          <w:bCs/>
          <w:color w:val="000000"/>
          <w:sz w:val="24"/>
          <w:szCs w:val="24"/>
        </w:rPr>
        <w:t>Chapman, J., Fox, E., Bachman, W., Frank, L., Thomas, J., &amp; Reyes, A. R</w:t>
      </w:r>
      <w:r w:rsidR="00B23638">
        <w:rPr>
          <w:bCs/>
          <w:color w:val="000000"/>
          <w:sz w:val="24"/>
          <w:szCs w:val="24"/>
        </w:rPr>
        <w:t>.</w:t>
      </w:r>
      <w:r w:rsidR="00DD0DBB" w:rsidRPr="00DD0DBB">
        <w:rPr>
          <w:bCs/>
          <w:color w:val="000000"/>
          <w:sz w:val="24"/>
          <w:szCs w:val="24"/>
        </w:rPr>
        <w:t xml:space="preserve"> (2021). </w:t>
      </w:r>
      <w:r w:rsidR="00DD0DBB" w:rsidRPr="00DD0DBB">
        <w:rPr>
          <w:bCs/>
          <w:i/>
          <w:iCs/>
          <w:color w:val="000000"/>
          <w:sz w:val="24"/>
          <w:szCs w:val="24"/>
        </w:rPr>
        <w:t>Smart</w:t>
      </w:r>
      <w:r w:rsidR="00B23638">
        <w:rPr>
          <w:bCs/>
          <w:i/>
          <w:iCs/>
          <w:color w:val="000000"/>
          <w:sz w:val="24"/>
          <w:szCs w:val="24"/>
        </w:rPr>
        <w:t xml:space="preserve"> </w:t>
      </w:r>
    </w:p>
    <w:p w14:paraId="6FCC9014" w14:textId="77777777" w:rsidR="00B23638" w:rsidRDefault="00B23638" w:rsidP="006F4AD8">
      <w:pPr>
        <w:pStyle w:val="FootnoteText"/>
        <w:tabs>
          <w:tab w:val="left" w:pos="0"/>
        </w:tabs>
        <w:jc w:val="both"/>
        <w:rPr>
          <w:bCs/>
          <w:color w:val="000000"/>
          <w:sz w:val="24"/>
          <w:szCs w:val="24"/>
        </w:rPr>
      </w:pPr>
      <w:r>
        <w:rPr>
          <w:bCs/>
          <w:i/>
          <w:iCs/>
          <w:color w:val="000000"/>
          <w:sz w:val="24"/>
          <w:szCs w:val="24"/>
        </w:rPr>
        <w:tab/>
      </w:r>
      <w:r w:rsidR="00DD0DBB" w:rsidRPr="00DD0DBB">
        <w:rPr>
          <w:bCs/>
          <w:i/>
          <w:iCs/>
          <w:color w:val="000000"/>
          <w:sz w:val="24"/>
          <w:szCs w:val="24"/>
        </w:rPr>
        <w:t>Location Database Technical Documentation and User Guide, Version 3.0</w:t>
      </w:r>
      <w:r w:rsidR="00DD0DBB" w:rsidRPr="00DD0DBB">
        <w:rPr>
          <w:bCs/>
          <w:color w:val="000000"/>
          <w:sz w:val="24"/>
          <w:szCs w:val="24"/>
        </w:rPr>
        <w:t xml:space="preserve">. Washington, </w:t>
      </w:r>
    </w:p>
    <w:p w14:paraId="0BD280F2" w14:textId="15C03313" w:rsidR="00DD0DBB" w:rsidRPr="00B23638" w:rsidRDefault="00B23638" w:rsidP="006F4AD8">
      <w:pPr>
        <w:pStyle w:val="FootnoteText"/>
        <w:tabs>
          <w:tab w:val="left" w:pos="0"/>
        </w:tabs>
        <w:jc w:val="both"/>
        <w:rPr>
          <w:bCs/>
          <w:i/>
          <w:iCs/>
          <w:color w:val="000000"/>
          <w:sz w:val="24"/>
          <w:szCs w:val="24"/>
        </w:rPr>
      </w:pPr>
      <w:r>
        <w:rPr>
          <w:bCs/>
          <w:color w:val="000000"/>
          <w:sz w:val="24"/>
          <w:szCs w:val="24"/>
        </w:rPr>
        <w:tab/>
      </w:r>
      <w:r w:rsidR="00DD0DBB" w:rsidRPr="00DD0DBB">
        <w:rPr>
          <w:bCs/>
          <w:color w:val="000000"/>
          <w:sz w:val="24"/>
          <w:szCs w:val="24"/>
        </w:rPr>
        <w:t>DC: U.S. Environmental Protection Agency.</w:t>
      </w:r>
    </w:p>
    <w:p w14:paraId="10974248" w14:textId="341E5C95" w:rsidR="00EF3DD3" w:rsidRDefault="00EF3DD3" w:rsidP="006F4AD8">
      <w:pPr>
        <w:pStyle w:val="FootnoteText"/>
        <w:tabs>
          <w:tab w:val="left" w:pos="0"/>
        </w:tabs>
        <w:jc w:val="both"/>
        <w:rPr>
          <w:bCs/>
          <w:color w:val="000000"/>
          <w:sz w:val="24"/>
          <w:szCs w:val="24"/>
        </w:rPr>
      </w:pPr>
      <w:r w:rsidRPr="00EF3DD3">
        <w:rPr>
          <w:bCs/>
          <w:color w:val="000000"/>
          <w:sz w:val="24"/>
          <w:szCs w:val="24"/>
        </w:rPr>
        <w:t xml:space="preserve">Diao, M., Kong, H., &amp; Zhao, J. (2021). Impacts of transportation network companies on urban </w:t>
      </w:r>
    </w:p>
    <w:p w14:paraId="2425BEB1" w14:textId="5251E07A" w:rsidR="006C17CD" w:rsidRDefault="00EF3DD3" w:rsidP="006F4AD8">
      <w:pPr>
        <w:pStyle w:val="FootnoteText"/>
        <w:tabs>
          <w:tab w:val="left" w:pos="0"/>
        </w:tabs>
        <w:jc w:val="both"/>
        <w:rPr>
          <w:bCs/>
          <w:color w:val="000000"/>
          <w:sz w:val="24"/>
          <w:szCs w:val="24"/>
        </w:rPr>
      </w:pPr>
      <w:r>
        <w:rPr>
          <w:bCs/>
          <w:color w:val="000000"/>
          <w:sz w:val="24"/>
          <w:szCs w:val="24"/>
        </w:rPr>
        <w:tab/>
      </w:r>
      <w:r w:rsidRPr="00EF3DD3">
        <w:rPr>
          <w:bCs/>
          <w:color w:val="000000"/>
          <w:sz w:val="24"/>
          <w:szCs w:val="24"/>
        </w:rPr>
        <w:t>mobility. </w:t>
      </w:r>
      <w:r w:rsidRPr="00EF3DD3">
        <w:rPr>
          <w:bCs/>
          <w:i/>
          <w:iCs/>
          <w:color w:val="000000"/>
          <w:sz w:val="24"/>
          <w:szCs w:val="24"/>
        </w:rPr>
        <w:t>Nature Sustainability</w:t>
      </w:r>
      <w:r w:rsidRPr="00EF3DD3">
        <w:rPr>
          <w:bCs/>
          <w:color w:val="000000"/>
          <w:sz w:val="24"/>
          <w:szCs w:val="24"/>
        </w:rPr>
        <w:t>, </w:t>
      </w:r>
      <w:r w:rsidRPr="00EF3DD3">
        <w:rPr>
          <w:bCs/>
          <w:i/>
          <w:iCs/>
          <w:color w:val="000000"/>
          <w:sz w:val="24"/>
          <w:szCs w:val="24"/>
        </w:rPr>
        <w:t>4</w:t>
      </w:r>
      <w:r w:rsidRPr="00EF3DD3">
        <w:rPr>
          <w:bCs/>
          <w:color w:val="000000"/>
          <w:sz w:val="24"/>
          <w:szCs w:val="24"/>
        </w:rPr>
        <w:t>(6), 494-500.</w:t>
      </w:r>
      <w:r w:rsidR="002A286B">
        <w:rPr>
          <w:bCs/>
          <w:color w:val="000000"/>
          <w:sz w:val="24"/>
          <w:szCs w:val="24"/>
        </w:rPr>
        <w:t xml:space="preserve"> </w:t>
      </w:r>
    </w:p>
    <w:p w14:paraId="0F81A965" w14:textId="0CDC9500" w:rsidR="002A286B" w:rsidRDefault="002A286B" w:rsidP="006F4AD8">
      <w:pPr>
        <w:pStyle w:val="FootnoteText"/>
        <w:tabs>
          <w:tab w:val="left" w:pos="0"/>
        </w:tabs>
        <w:jc w:val="both"/>
        <w:rPr>
          <w:bCs/>
          <w:color w:val="000000"/>
          <w:sz w:val="24"/>
          <w:szCs w:val="24"/>
        </w:rPr>
      </w:pPr>
      <w:r>
        <w:rPr>
          <w:bCs/>
          <w:color w:val="000000"/>
          <w:sz w:val="24"/>
          <w:szCs w:val="24"/>
        </w:rPr>
        <w:tab/>
      </w:r>
      <w:hyperlink r:id="rId27" w:history="1">
        <w:r w:rsidRPr="00B13457">
          <w:rPr>
            <w:rStyle w:val="Hyperlink"/>
            <w:bCs/>
            <w:sz w:val="24"/>
            <w:szCs w:val="24"/>
          </w:rPr>
          <w:t>https://doi.org/10.1038/s41893-020-00678-z</w:t>
        </w:r>
      </w:hyperlink>
      <w:r>
        <w:rPr>
          <w:bCs/>
          <w:color w:val="000000"/>
          <w:sz w:val="24"/>
          <w:szCs w:val="24"/>
        </w:rPr>
        <w:t xml:space="preserve"> </w:t>
      </w:r>
    </w:p>
    <w:p w14:paraId="2EA25E4A" w14:textId="77777777" w:rsidR="00AC23F7" w:rsidRDefault="006A5E3B" w:rsidP="006F4AD8">
      <w:pPr>
        <w:pStyle w:val="FootnoteText"/>
        <w:tabs>
          <w:tab w:val="left" w:pos="0"/>
        </w:tabs>
        <w:jc w:val="both"/>
        <w:rPr>
          <w:bCs/>
          <w:color w:val="000000"/>
          <w:sz w:val="24"/>
          <w:szCs w:val="24"/>
        </w:rPr>
      </w:pPr>
      <w:r w:rsidRPr="006A5E3B">
        <w:rPr>
          <w:bCs/>
          <w:color w:val="000000"/>
          <w:sz w:val="24"/>
          <w:szCs w:val="24"/>
        </w:rPr>
        <w:t xml:space="preserve">Dickens, M., &amp; Bonina, J. (2026). </w:t>
      </w:r>
      <w:r w:rsidRPr="006A5E3B">
        <w:rPr>
          <w:bCs/>
          <w:i/>
          <w:iCs/>
          <w:color w:val="000000"/>
          <w:sz w:val="24"/>
          <w:szCs w:val="24"/>
        </w:rPr>
        <w:t>2026 Public Transportation Fact Book</w:t>
      </w:r>
      <w:r w:rsidRPr="006A5E3B">
        <w:rPr>
          <w:bCs/>
          <w:color w:val="000000"/>
          <w:sz w:val="24"/>
          <w:szCs w:val="24"/>
        </w:rPr>
        <w:t>.</w:t>
      </w:r>
      <w:r w:rsidR="0071249C">
        <w:rPr>
          <w:bCs/>
          <w:color w:val="000000"/>
          <w:sz w:val="24"/>
          <w:szCs w:val="24"/>
        </w:rPr>
        <w:t xml:space="preserve"> </w:t>
      </w:r>
      <w:r w:rsidR="00AC23F7" w:rsidRPr="00AC23F7">
        <w:rPr>
          <w:bCs/>
          <w:color w:val="000000"/>
          <w:sz w:val="24"/>
          <w:szCs w:val="24"/>
        </w:rPr>
        <w:t xml:space="preserve">American Public </w:t>
      </w:r>
    </w:p>
    <w:p w14:paraId="03D9F10A" w14:textId="0C39D8CB" w:rsidR="002975DC" w:rsidRDefault="00AC23F7" w:rsidP="006F4AD8">
      <w:pPr>
        <w:pStyle w:val="FootnoteText"/>
        <w:tabs>
          <w:tab w:val="left" w:pos="0"/>
        </w:tabs>
        <w:jc w:val="both"/>
        <w:rPr>
          <w:bCs/>
          <w:color w:val="000000"/>
          <w:sz w:val="24"/>
          <w:szCs w:val="24"/>
        </w:rPr>
      </w:pPr>
      <w:r>
        <w:rPr>
          <w:bCs/>
          <w:color w:val="000000"/>
          <w:sz w:val="24"/>
          <w:szCs w:val="24"/>
        </w:rPr>
        <w:tab/>
      </w:r>
      <w:r w:rsidRPr="00AC23F7">
        <w:rPr>
          <w:bCs/>
          <w:color w:val="000000"/>
          <w:sz w:val="24"/>
          <w:szCs w:val="24"/>
        </w:rPr>
        <w:t>Transportation Association.</w:t>
      </w:r>
    </w:p>
    <w:p w14:paraId="6939CF05" w14:textId="04B08B3A" w:rsidR="002975DC" w:rsidRDefault="002975DC" w:rsidP="006F4AD8">
      <w:pPr>
        <w:pStyle w:val="FootnoteText"/>
        <w:tabs>
          <w:tab w:val="left" w:pos="0"/>
        </w:tabs>
        <w:jc w:val="both"/>
        <w:rPr>
          <w:bCs/>
          <w:color w:val="000000"/>
          <w:sz w:val="24"/>
          <w:szCs w:val="24"/>
        </w:rPr>
      </w:pPr>
      <w:r w:rsidRPr="002975DC">
        <w:rPr>
          <w:bCs/>
          <w:color w:val="000000"/>
          <w:sz w:val="24"/>
          <w:szCs w:val="24"/>
        </w:rPr>
        <w:t xml:space="preserve">Erhardt, G. D., Hoque, J. M., Goyal, V., Berrebi, S., </w:t>
      </w:r>
      <w:proofErr w:type="spellStart"/>
      <w:r w:rsidRPr="002975DC">
        <w:rPr>
          <w:bCs/>
          <w:color w:val="000000"/>
          <w:sz w:val="24"/>
          <w:szCs w:val="24"/>
        </w:rPr>
        <w:t>Brakewood</w:t>
      </w:r>
      <w:proofErr w:type="spellEnd"/>
      <w:r w:rsidRPr="002975DC">
        <w:rPr>
          <w:bCs/>
          <w:color w:val="000000"/>
          <w:sz w:val="24"/>
          <w:szCs w:val="24"/>
        </w:rPr>
        <w:t xml:space="preserve">, C., &amp; Watkins, K. E. (2022). </w:t>
      </w:r>
    </w:p>
    <w:p w14:paraId="62C561C9" w14:textId="30FB2D7C" w:rsidR="002975DC" w:rsidRDefault="002975DC" w:rsidP="006F4AD8">
      <w:pPr>
        <w:pStyle w:val="FootnoteText"/>
        <w:tabs>
          <w:tab w:val="left" w:pos="0"/>
        </w:tabs>
        <w:jc w:val="both"/>
        <w:rPr>
          <w:bCs/>
          <w:i/>
          <w:iCs/>
          <w:color w:val="000000"/>
          <w:sz w:val="24"/>
          <w:szCs w:val="24"/>
        </w:rPr>
      </w:pPr>
      <w:r>
        <w:rPr>
          <w:bCs/>
          <w:color w:val="000000"/>
          <w:sz w:val="24"/>
          <w:szCs w:val="24"/>
        </w:rPr>
        <w:tab/>
      </w:r>
      <w:r w:rsidRPr="002975DC">
        <w:rPr>
          <w:bCs/>
          <w:color w:val="000000"/>
          <w:sz w:val="24"/>
          <w:szCs w:val="24"/>
        </w:rPr>
        <w:t>Why has public transit ridership declined in the United States? </w:t>
      </w:r>
      <w:r w:rsidRPr="002975DC">
        <w:rPr>
          <w:bCs/>
          <w:i/>
          <w:iCs/>
          <w:color w:val="000000"/>
          <w:sz w:val="24"/>
          <w:szCs w:val="24"/>
        </w:rPr>
        <w:t xml:space="preserve">Transportation </w:t>
      </w:r>
      <w:r w:rsidR="0093518D">
        <w:rPr>
          <w:bCs/>
          <w:i/>
          <w:iCs/>
          <w:color w:val="000000"/>
          <w:sz w:val="24"/>
          <w:szCs w:val="24"/>
        </w:rPr>
        <w:t>R</w:t>
      </w:r>
      <w:r w:rsidRPr="002975DC">
        <w:rPr>
          <w:bCs/>
          <w:i/>
          <w:iCs/>
          <w:color w:val="000000"/>
          <w:sz w:val="24"/>
          <w:szCs w:val="24"/>
        </w:rPr>
        <w:t xml:space="preserve">esearch </w:t>
      </w:r>
    </w:p>
    <w:p w14:paraId="5042D617" w14:textId="6E1BAE07" w:rsidR="00EF02AF" w:rsidRDefault="002975DC" w:rsidP="006F4AD8">
      <w:pPr>
        <w:pStyle w:val="FootnoteText"/>
        <w:tabs>
          <w:tab w:val="left" w:pos="0"/>
        </w:tabs>
        <w:jc w:val="both"/>
        <w:rPr>
          <w:bCs/>
          <w:color w:val="000000"/>
          <w:sz w:val="24"/>
          <w:szCs w:val="24"/>
        </w:rPr>
      </w:pPr>
      <w:r>
        <w:rPr>
          <w:bCs/>
          <w:i/>
          <w:iCs/>
          <w:color w:val="000000"/>
          <w:sz w:val="24"/>
          <w:szCs w:val="24"/>
        </w:rPr>
        <w:tab/>
      </w:r>
      <w:r w:rsidR="0093518D">
        <w:rPr>
          <w:bCs/>
          <w:i/>
          <w:iCs/>
          <w:color w:val="000000"/>
          <w:sz w:val="24"/>
          <w:szCs w:val="24"/>
        </w:rPr>
        <w:t>P</w:t>
      </w:r>
      <w:r w:rsidRPr="002975DC">
        <w:rPr>
          <w:bCs/>
          <w:i/>
          <w:iCs/>
          <w:color w:val="000000"/>
          <w:sz w:val="24"/>
          <w:szCs w:val="24"/>
        </w:rPr>
        <w:t xml:space="preserve">art A: </w:t>
      </w:r>
      <w:r w:rsidR="0093518D">
        <w:rPr>
          <w:bCs/>
          <w:i/>
          <w:iCs/>
          <w:color w:val="000000"/>
          <w:sz w:val="24"/>
          <w:szCs w:val="24"/>
        </w:rPr>
        <w:t>P</w:t>
      </w:r>
      <w:r w:rsidRPr="002975DC">
        <w:rPr>
          <w:bCs/>
          <w:i/>
          <w:iCs/>
          <w:color w:val="000000"/>
          <w:sz w:val="24"/>
          <w:szCs w:val="24"/>
        </w:rPr>
        <w:t xml:space="preserve">olicy and </w:t>
      </w:r>
      <w:r w:rsidR="0093518D">
        <w:rPr>
          <w:bCs/>
          <w:i/>
          <w:iCs/>
          <w:color w:val="000000"/>
          <w:sz w:val="24"/>
          <w:szCs w:val="24"/>
        </w:rPr>
        <w:t>P</w:t>
      </w:r>
      <w:r w:rsidRPr="002975DC">
        <w:rPr>
          <w:bCs/>
          <w:i/>
          <w:iCs/>
          <w:color w:val="000000"/>
          <w:sz w:val="24"/>
          <w:szCs w:val="24"/>
        </w:rPr>
        <w:t>ractice</w:t>
      </w:r>
      <w:r w:rsidRPr="002975DC">
        <w:rPr>
          <w:bCs/>
          <w:color w:val="000000"/>
          <w:sz w:val="24"/>
          <w:szCs w:val="24"/>
        </w:rPr>
        <w:t>, </w:t>
      </w:r>
      <w:r w:rsidRPr="002975DC">
        <w:rPr>
          <w:bCs/>
          <w:i/>
          <w:iCs/>
          <w:color w:val="000000"/>
          <w:sz w:val="24"/>
          <w:szCs w:val="24"/>
        </w:rPr>
        <w:t>161</w:t>
      </w:r>
      <w:r w:rsidRPr="002975DC">
        <w:rPr>
          <w:bCs/>
          <w:color w:val="000000"/>
          <w:sz w:val="24"/>
          <w:szCs w:val="24"/>
        </w:rPr>
        <w:t>, 68-87.</w:t>
      </w:r>
      <w:r>
        <w:rPr>
          <w:bCs/>
          <w:color w:val="000000"/>
          <w:sz w:val="24"/>
          <w:szCs w:val="24"/>
        </w:rPr>
        <w:t xml:space="preserve"> </w:t>
      </w:r>
      <w:hyperlink r:id="rId28" w:tgtFrame="_blank" w:tooltip="Persistent link using digital object identifier" w:history="1">
        <w:r w:rsidR="00E21753" w:rsidRPr="00E21753">
          <w:rPr>
            <w:rStyle w:val="Hyperlink"/>
            <w:bCs/>
            <w:sz w:val="24"/>
            <w:szCs w:val="24"/>
          </w:rPr>
          <w:t>https://doi.org/10.1016/j.tra.2022.04.006</w:t>
        </w:r>
      </w:hyperlink>
    </w:p>
    <w:p w14:paraId="68E02827" w14:textId="77777777" w:rsidR="00B44CFD" w:rsidRDefault="00B44CFD" w:rsidP="006F4AD8">
      <w:pPr>
        <w:pStyle w:val="FootnoteText"/>
        <w:tabs>
          <w:tab w:val="left" w:pos="0"/>
        </w:tabs>
        <w:jc w:val="both"/>
        <w:rPr>
          <w:bCs/>
          <w:i/>
          <w:iCs/>
          <w:color w:val="000000"/>
          <w:sz w:val="24"/>
          <w:szCs w:val="24"/>
        </w:rPr>
      </w:pPr>
      <w:r w:rsidRPr="00B44CFD">
        <w:rPr>
          <w:bCs/>
          <w:color w:val="000000"/>
          <w:sz w:val="24"/>
          <w:szCs w:val="24"/>
        </w:rPr>
        <w:t>Ewing, R., &amp; Cervero, R. (2010). Travel and the built environment: A meta-analysis. </w:t>
      </w:r>
      <w:r w:rsidRPr="00B44CFD">
        <w:rPr>
          <w:bCs/>
          <w:i/>
          <w:iCs/>
          <w:color w:val="000000"/>
          <w:sz w:val="24"/>
          <w:szCs w:val="24"/>
        </w:rPr>
        <w:t xml:space="preserve">Journal of </w:t>
      </w:r>
    </w:p>
    <w:p w14:paraId="1977E67A" w14:textId="3643D8EA" w:rsidR="00B44CFD" w:rsidRDefault="00B44CFD" w:rsidP="006F4AD8">
      <w:pPr>
        <w:pStyle w:val="FootnoteText"/>
        <w:tabs>
          <w:tab w:val="left" w:pos="0"/>
        </w:tabs>
        <w:ind w:left="720"/>
        <w:jc w:val="both"/>
        <w:rPr>
          <w:bCs/>
          <w:color w:val="000000"/>
          <w:sz w:val="24"/>
          <w:szCs w:val="24"/>
        </w:rPr>
      </w:pPr>
      <w:r w:rsidRPr="00B44CFD">
        <w:rPr>
          <w:bCs/>
          <w:i/>
          <w:iCs/>
          <w:color w:val="000000"/>
          <w:sz w:val="24"/>
          <w:szCs w:val="24"/>
        </w:rPr>
        <w:t xml:space="preserve">the American </w:t>
      </w:r>
      <w:r w:rsidR="0093518D">
        <w:rPr>
          <w:bCs/>
          <w:i/>
          <w:iCs/>
          <w:color w:val="000000"/>
          <w:sz w:val="24"/>
          <w:szCs w:val="24"/>
        </w:rPr>
        <w:t>P</w:t>
      </w:r>
      <w:r w:rsidRPr="00B44CFD">
        <w:rPr>
          <w:bCs/>
          <w:i/>
          <w:iCs/>
          <w:color w:val="000000"/>
          <w:sz w:val="24"/>
          <w:szCs w:val="24"/>
        </w:rPr>
        <w:t xml:space="preserve">lanning </w:t>
      </w:r>
      <w:r w:rsidR="0093518D">
        <w:rPr>
          <w:bCs/>
          <w:i/>
          <w:iCs/>
          <w:color w:val="000000"/>
          <w:sz w:val="24"/>
          <w:szCs w:val="24"/>
        </w:rPr>
        <w:t>A</w:t>
      </w:r>
      <w:r w:rsidRPr="00B44CFD">
        <w:rPr>
          <w:bCs/>
          <w:i/>
          <w:iCs/>
          <w:color w:val="000000"/>
          <w:sz w:val="24"/>
          <w:szCs w:val="24"/>
        </w:rPr>
        <w:t>ssociation</w:t>
      </w:r>
      <w:r w:rsidRPr="00B44CFD">
        <w:rPr>
          <w:bCs/>
          <w:color w:val="000000"/>
          <w:sz w:val="24"/>
          <w:szCs w:val="24"/>
        </w:rPr>
        <w:t>, </w:t>
      </w:r>
      <w:r w:rsidRPr="00B44CFD">
        <w:rPr>
          <w:bCs/>
          <w:i/>
          <w:iCs/>
          <w:color w:val="000000"/>
          <w:sz w:val="24"/>
          <w:szCs w:val="24"/>
        </w:rPr>
        <w:t>76</w:t>
      </w:r>
      <w:r w:rsidRPr="00B44CFD">
        <w:rPr>
          <w:bCs/>
          <w:color w:val="000000"/>
          <w:sz w:val="24"/>
          <w:szCs w:val="24"/>
        </w:rPr>
        <w:t>(3), 265-294.</w:t>
      </w:r>
      <w:r>
        <w:rPr>
          <w:bCs/>
          <w:color w:val="000000"/>
          <w:sz w:val="24"/>
          <w:szCs w:val="24"/>
        </w:rPr>
        <w:t xml:space="preserve"> </w:t>
      </w:r>
      <w:hyperlink r:id="rId29" w:history="1">
        <w:r w:rsidRPr="00B44CFD">
          <w:rPr>
            <w:rStyle w:val="Hyperlink"/>
            <w:bCs/>
            <w:sz w:val="24"/>
            <w:szCs w:val="24"/>
          </w:rPr>
          <w:t>https://doi.org/10.1080/01944361003766766</w:t>
        </w:r>
      </w:hyperlink>
    </w:p>
    <w:p w14:paraId="2C6009CA" w14:textId="77777777" w:rsidR="004C2CA5" w:rsidRDefault="004C2CA5" w:rsidP="006F4AD8">
      <w:pPr>
        <w:pStyle w:val="FootnoteText"/>
        <w:tabs>
          <w:tab w:val="left" w:pos="0"/>
        </w:tabs>
        <w:jc w:val="both"/>
        <w:rPr>
          <w:bCs/>
          <w:color w:val="000000"/>
          <w:sz w:val="24"/>
          <w:szCs w:val="24"/>
        </w:rPr>
      </w:pPr>
      <w:r w:rsidRPr="004C2CA5">
        <w:rPr>
          <w:bCs/>
          <w:color w:val="000000"/>
          <w:sz w:val="24"/>
          <w:szCs w:val="24"/>
        </w:rPr>
        <w:t xml:space="preserve">Fan, Y., Guthrie, A., &amp; Levinson, D. (2016). </w:t>
      </w:r>
      <w:proofErr w:type="gramStart"/>
      <w:r w:rsidRPr="004C2CA5">
        <w:rPr>
          <w:bCs/>
          <w:color w:val="000000"/>
          <w:sz w:val="24"/>
          <w:szCs w:val="24"/>
        </w:rPr>
        <w:t>Waiting</w:t>
      </w:r>
      <w:proofErr w:type="gramEnd"/>
      <w:r w:rsidRPr="004C2CA5">
        <w:rPr>
          <w:bCs/>
          <w:color w:val="000000"/>
          <w:sz w:val="24"/>
          <w:szCs w:val="24"/>
        </w:rPr>
        <w:t xml:space="preserve"> time perceptions at transit stops and </w:t>
      </w:r>
    </w:p>
    <w:p w14:paraId="027603B6" w14:textId="77777777" w:rsidR="004C2CA5" w:rsidRDefault="004C2CA5" w:rsidP="00E765BA">
      <w:pPr>
        <w:pStyle w:val="FootnoteText"/>
        <w:keepLines/>
        <w:tabs>
          <w:tab w:val="left" w:pos="0"/>
        </w:tabs>
        <w:jc w:val="both"/>
        <w:rPr>
          <w:bCs/>
          <w:i/>
          <w:iCs/>
          <w:color w:val="000000"/>
          <w:sz w:val="24"/>
          <w:szCs w:val="24"/>
        </w:rPr>
      </w:pPr>
      <w:r>
        <w:rPr>
          <w:bCs/>
          <w:color w:val="000000"/>
          <w:sz w:val="24"/>
          <w:szCs w:val="24"/>
        </w:rPr>
        <w:tab/>
      </w:r>
      <w:r w:rsidRPr="004C2CA5">
        <w:rPr>
          <w:bCs/>
          <w:color w:val="000000"/>
          <w:sz w:val="24"/>
          <w:szCs w:val="24"/>
        </w:rPr>
        <w:t>stations: Effects of basic amenities, gender, and security. </w:t>
      </w:r>
      <w:r w:rsidRPr="004C2CA5">
        <w:rPr>
          <w:bCs/>
          <w:i/>
          <w:iCs/>
          <w:color w:val="000000"/>
          <w:sz w:val="24"/>
          <w:szCs w:val="24"/>
        </w:rPr>
        <w:t xml:space="preserve">Transportation Research Part </w:t>
      </w:r>
    </w:p>
    <w:p w14:paraId="7D692733" w14:textId="73304370" w:rsidR="00B44CFD" w:rsidRDefault="004C2CA5" w:rsidP="006F4AD8">
      <w:pPr>
        <w:pStyle w:val="FootnoteText"/>
        <w:tabs>
          <w:tab w:val="left" w:pos="0"/>
        </w:tabs>
        <w:jc w:val="both"/>
      </w:pPr>
      <w:r>
        <w:rPr>
          <w:bCs/>
          <w:i/>
          <w:iCs/>
          <w:color w:val="000000"/>
          <w:sz w:val="24"/>
          <w:szCs w:val="24"/>
        </w:rPr>
        <w:lastRenderedPageBreak/>
        <w:tab/>
      </w:r>
      <w:r w:rsidRPr="004C2CA5">
        <w:rPr>
          <w:bCs/>
          <w:i/>
          <w:iCs/>
          <w:color w:val="000000"/>
          <w:sz w:val="24"/>
          <w:szCs w:val="24"/>
        </w:rPr>
        <w:t>A: Policy and Practice</w:t>
      </w:r>
      <w:r w:rsidRPr="004C2CA5">
        <w:rPr>
          <w:bCs/>
          <w:color w:val="000000"/>
          <w:sz w:val="24"/>
          <w:szCs w:val="24"/>
        </w:rPr>
        <w:t>, </w:t>
      </w:r>
      <w:r w:rsidRPr="004C2CA5">
        <w:rPr>
          <w:bCs/>
          <w:i/>
          <w:iCs/>
          <w:color w:val="000000"/>
          <w:sz w:val="24"/>
          <w:szCs w:val="24"/>
        </w:rPr>
        <w:t>88</w:t>
      </w:r>
      <w:r w:rsidRPr="004C2CA5">
        <w:rPr>
          <w:bCs/>
          <w:color w:val="000000"/>
          <w:sz w:val="24"/>
          <w:szCs w:val="24"/>
        </w:rPr>
        <w:t>, 251-264.</w:t>
      </w:r>
      <w:r>
        <w:rPr>
          <w:bCs/>
          <w:color w:val="000000"/>
          <w:sz w:val="24"/>
          <w:szCs w:val="24"/>
        </w:rPr>
        <w:t xml:space="preserve"> </w:t>
      </w:r>
      <w:hyperlink r:id="rId30" w:tgtFrame="_blank" w:tooltip="Persistent link using digital object identifier" w:history="1">
        <w:r w:rsidRPr="004C2CA5">
          <w:rPr>
            <w:rStyle w:val="Hyperlink"/>
            <w:bCs/>
            <w:sz w:val="24"/>
            <w:szCs w:val="24"/>
          </w:rPr>
          <w:t>https://doi.org/10.1016/j.tra.2016.04.012</w:t>
        </w:r>
      </w:hyperlink>
    </w:p>
    <w:p w14:paraId="08D36690" w14:textId="77777777" w:rsidR="0034721A" w:rsidRDefault="0034721A" w:rsidP="006F4AD8">
      <w:pPr>
        <w:pStyle w:val="FootnoteText"/>
        <w:tabs>
          <w:tab w:val="left" w:pos="0"/>
        </w:tabs>
        <w:jc w:val="both"/>
        <w:rPr>
          <w:bCs/>
          <w:color w:val="000000"/>
          <w:sz w:val="24"/>
          <w:szCs w:val="24"/>
        </w:rPr>
      </w:pPr>
      <w:r w:rsidRPr="0034721A">
        <w:rPr>
          <w:bCs/>
          <w:color w:val="000000"/>
          <w:sz w:val="24"/>
          <w:szCs w:val="24"/>
        </w:rPr>
        <w:t xml:space="preserve">Federal Transit Administration (2012). Title VI Requirements and Guidelines for Federal Transit </w:t>
      </w:r>
    </w:p>
    <w:p w14:paraId="2D122FBA" w14:textId="77777777" w:rsidR="0034721A" w:rsidRDefault="0034721A" w:rsidP="006F4AD8">
      <w:pPr>
        <w:pStyle w:val="FootnoteText"/>
        <w:tabs>
          <w:tab w:val="left" w:pos="0"/>
        </w:tabs>
        <w:jc w:val="both"/>
        <w:rPr>
          <w:bCs/>
          <w:color w:val="000000"/>
          <w:sz w:val="24"/>
          <w:szCs w:val="24"/>
        </w:rPr>
      </w:pPr>
      <w:r>
        <w:rPr>
          <w:bCs/>
          <w:color w:val="000000"/>
          <w:sz w:val="24"/>
          <w:szCs w:val="24"/>
        </w:rPr>
        <w:tab/>
      </w:r>
      <w:r w:rsidRPr="0034721A">
        <w:rPr>
          <w:bCs/>
          <w:color w:val="000000"/>
          <w:sz w:val="24"/>
          <w:szCs w:val="24"/>
        </w:rPr>
        <w:t xml:space="preserve">Administration Recipients. FTA Circular 4702.1B, U.S. Department of Transportation, </w:t>
      </w:r>
    </w:p>
    <w:p w14:paraId="422F44C5" w14:textId="230A8F9F" w:rsidR="0034721A" w:rsidRDefault="0034721A" w:rsidP="00C54D2D">
      <w:pPr>
        <w:pStyle w:val="FootnoteText"/>
        <w:tabs>
          <w:tab w:val="left" w:pos="0"/>
        </w:tabs>
        <w:jc w:val="both"/>
        <w:rPr>
          <w:bCs/>
          <w:color w:val="000000"/>
          <w:sz w:val="24"/>
          <w:szCs w:val="24"/>
        </w:rPr>
      </w:pPr>
      <w:r>
        <w:rPr>
          <w:bCs/>
          <w:color w:val="000000"/>
          <w:sz w:val="24"/>
          <w:szCs w:val="24"/>
        </w:rPr>
        <w:tab/>
      </w:r>
      <w:r w:rsidRPr="0034721A">
        <w:rPr>
          <w:bCs/>
          <w:color w:val="000000"/>
          <w:sz w:val="24"/>
          <w:szCs w:val="24"/>
        </w:rPr>
        <w:t xml:space="preserve">Washington, D.C. </w:t>
      </w:r>
    </w:p>
    <w:p w14:paraId="7C63AB9B" w14:textId="77777777" w:rsidR="00D03C50" w:rsidRDefault="00D03C50" w:rsidP="006F4AD8">
      <w:pPr>
        <w:pStyle w:val="FootnoteText"/>
        <w:tabs>
          <w:tab w:val="left" w:pos="0"/>
        </w:tabs>
        <w:jc w:val="both"/>
        <w:rPr>
          <w:bCs/>
          <w:color w:val="000000"/>
          <w:sz w:val="24"/>
          <w:szCs w:val="24"/>
        </w:rPr>
      </w:pPr>
      <w:r w:rsidRPr="00D03C50">
        <w:rPr>
          <w:bCs/>
          <w:color w:val="000000"/>
          <w:sz w:val="24"/>
          <w:szCs w:val="24"/>
        </w:rPr>
        <w:t xml:space="preserve">He, Q., </w:t>
      </w:r>
      <w:proofErr w:type="spellStart"/>
      <w:r w:rsidRPr="00D03C50">
        <w:rPr>
          <w:bCs/>
          <w:color w:val="000000"/>
          <w:sz w:val="24"/>
          <w:szCs w:val="24"/>
        </w:rPr>
        <w:t>Rowangould</w:t>
      </w:r>
      <w:proofErr w:type="spellEnd"/>
      <w:r w:rsidRPr="00D03C50">
        <w:rPr>
          <w:bCs/>
          <w:color w:val="000000"/>
          <w:sz w:val="24"/>
          <w:szCs w:val="24"/>
        </w:rPr>
        <w:t xml:space="preserve">, D., Karner, A., Palm, M., &amp; LaRue, S. (2022). Covid-19 pandemic impacts </w:t>
      </w:r>
    </w:p>
    <w:p w14:paraId="13099C18" w14:textId="77777777" w:rsidR="00D03C50" w:rsidRDefault="00D03C50" w:rsidP="006F4AD8">
      <w:pPr>
        <w:pStyle w:val="FootnoteText"/>
        <w:tabs>
          <w:tab w:val="left" w:pos="0"/>
        </w:tabs>
        <w:jc w:val="both"/>
        <w:rPr>
          <w:bCs/>
          <w:i/>
          <w:iCs/>
          <w:color w:val="000000"/>
          <w:sz w:val="24"/>
          <w:szCs w:val="24"/>
        </w:rPr>
      </w:pPr>
      <w:r>
        <w:rPr>
          <w:bCs/>
          <w:color w:val="000000"/>
          <w:sz w:val="24"/>
          <w:szCs w:val="24"/>
        </w:rPr>
        <w:tab/>
      </w:r>
      <w:r w:rsidRPr="00D03C50">
        <w:rPr>
          <w:bCs/>
          <w:color w:val="000000"/>
          <w:sz w:val="24"/>
          <w:szCs w:val="24"/>
        </w:rPr>
        <w:t>on essential transit riders: findings from a US Survey. </w:t>
      </w:r>
      <w:r w:rsidRPr="00D03C50">
        <w:rPr>
          <w:bCs/>
          <w:i/>
          <w:iCs/>
          <w:color w:val="000000"/>
          <w:sz w:val="24"/>
          <w:szCs w:val="24"/>
        </w:rPr>
        <w:t xml:space="preserve">Transportation Research Part D: </w:t>
      </w:r>
    </w:p>
    <w:p w14:paraId="3CF58E32" w14:textId="70D85677" w:rsidR="004C2CA5" w:rsidRPr="006F4AD8" w:rsidRDefault="00D03C50" w:rsidP="006F4AD8">
      <w:pPr>
        <w:pStyle w:val="FootnoteText"/>
        <w:tabs>
          <w:tab w:val="left" w:pos="0"/>
        </w:tabs>
        <w:jc w:val="both"/>
        <w:rPr>
          <w:bCs/>
          <w:color w:val="000000"/>
          <w:sz w:val="24"/>
          <w:szCs w:val="24"/>
          <w:lang w:val="fr-FR"/>
        </w:rPr>
      </w:pPr>
      <w:r>
        <w:rPr>
          <w:bCs/>
          <w:i/>
          <w:iCs/>
          <w:color w:val="000000"/>
          <w:sz w:val="24"/>
          <w:szCs w:val="24"/>
        </w:rPr>
        <w:tab/>
      </w:r>
      <w:r w:rsidRPr="00D03C50">
        <w:rPr>
          <w:bCs/>
          <w:i/>
          <w:iCs/>
          <w:color w:val="000000"/>
          <w:sz w:val="24"/>
          <w:szCs w:val="24"/>
        </w:rPr>
        <w:t>Transport and Environment</w:t>
      </w:r>
      <w:r w:rsidRPr="00D03C50">
        <w:rPr>
          <w:bCs/>
          <w:color w:val="000000"/>
          <w:sz w:val="24"/>
          <w:szCs w:val="24"/>
        </w:rPr>
        <w:t>, </w:t>
      </w:r>
      <w:r w:rsidRPr="00D03C50">
        <w:rPr>
          <w:bCs/>
          <w:i/>
          <w:iCs/>
          <w:color w:val="000000"/>
          <w:sz w:val="24"/>
          <w:szCs w:val="24"/>
        </w:rPr>
        <w:t>105</w:t>
      </w:r>
      <w:r w:rsidRPr="00D03C50">
        <w:rPr>
          <w:bCs/>
          <w:color w:val="000000"/>
          <w:sz w:val="24"/>
          <w:szCs w:val="24"/>
        </w:rPr>
        <w:t>, 103217.</w:t>
      </w:r>
      <w:r>
        <w:rPr>
          <w:bCs/>
          <w:color w:val="000000"/>
          <w:sz w:val="24"/>
          <w:szCs w:val="24"/>
        </w:rPr>
        <w:t xml:space="preserve"> </w:t>
      </w:r>
      <w:hyperlink r:id="rId31" w:tgtFrame="_blank" w:tooltip="Persistent link using digital object identifier" w:history="1">
        <w:r w:rsidRPr="006F4AD8">
          <w:rPr>
            <w:rStyle w:val="Hyperlink"/>
            <w:bCs/>
            <w:sz w:val="24"/>
            <w:szCs w:val="24"/>
            <w:lang w:val="fr-FR"/>
          </w:rPr>
          <w:t>https://doi.org/10.1016/j.trd.2022.103217</w:t>
        </w:r>
      </w:hyperlink>
    </w:p>
    <w:p w14:paraId="6D95894F" w14:textId="77777777" w:rsidR="008D0EA1" w:rsidRPr="006F4AD8" w:rsidRDefault="008D0EA1" w:rsidP="006F4AD8">
      <w:pPr>
        <w:pStyle w:val="FootnoteText"/>
        <w:tabs>
          <w:tab w:val="left" w:pos="0"/>
        </w:tabs>
        <w:jc w:val="both"/>
        <w:rPr>
          <w:bCs/>
          <w:color w:val="000000"/>
          <w:sz w:val="24"/>
          <w:szCs w:val="24"/>
          <w:lang w:val="fr-FR"/>
        </w:rPr>
      </w:pPr>
      <w:r w:rsidRPr="006F4AD8">
        <w:rPr>
          <w:bCs/>
          <w:color w:val="000000"/>
          <w:sz w:val="24"/>
          <w:szCs w:val="24"/>
          <w:lang w:val="fr-FR"/>
        </w:rPr>
        <w:t xml:space="preserve">Hosseini, S. S., </w:t>
      </w:r>
      <w:proofErr w:type="spellStart"/>
      <w:r w:rsidRPr="006F4AD8">
        <w:rPr>
          <w:bCs/>
          <w:color w:val="000000"/>
          <w:sz w:val="24"/>
          <w:szCs w:val="24"/>
          <w:lang w:val="fr-FR"/>
        </w:rPr>
        <w:t>Ardabili</w:t>
      </w:r>
      <w:proofErr w:type="spellEnd"/>
      <w:r w:rsidRPr="006F4AD8">
        <w:rPr>
          <w:bCs/>
          <w:color w:val="000000"/>
          <w:sz w:val="24"/>
          <w:szCs w:val="24"/>
          <w:lang w:val="fr-FR"/>
        </w:rPr>
        <w:t xml:space="preserve">, B. R., </w:t>
      </w:r>
      <w:proofErr w:type="spellStart"/>
      <w:r w:rsidRPr="006F4AD8">
        <w:rPr>
          <w:bCs/>
          <w:color w:val="000000"/>
          <w:sz w:val="24"/>
          <w:szCs w:val="24"/>
          <w:lang w:val="fr-FR"/>
        </w:rPr>
        <w:t>Azarbayjani</w:t>
      </w:r>
      <w:proofErr w:type="spellEnd"/>
      <w:r w:rsidRPr="006F4AD8">
        <w:rPr>
          <w:bCs/>
          <w:color w:val="000000"/>
          <w:sz w:val="24"/>
          <w:szCs w:val="24"/>
          <w:lang w:val="fr-FR"/>
        </w:rPr>
        <w:t xml:space="preserve">, M., &amp; </w:t>
      </w:r>
      <w:proofErr w:type="spellStart"/>
      <w:r w:rsidRPr="006F4AD8">
        <w:rPr>
          <w:bCs/>
          <w:color w:val="000000"/>
          <w:sz w:val="24"/>
          <w:szCs w:val="24"/>
          <w:lang w:val="fr-FR"/>
        </w:rPr>
        <w:t>Tabkhi</w:t>
      </w:r>
      <w:proofErr w:type="spellEnd"/>
      <w:r w:rsidRPr="006F4AD8">
        <w:rPr>
          <w:bCs/>
          <w:color w:val="000000"/>
          <w:sz w:val="24"/>
          <w:szCs w:val="24"/>
          <w:lang w:val="fr-FR"/>
        </w:rPr>
        <w:t xml:space="preserve">, H. (2025). </w:t>
      </w:r>
      <w:proofErr w:type="spellStart"/>
      <w:r w:rsidRPr="006F4AD8">
        <w:rPr>
          <w:bCs/>
          <w:color w:val="000000"/>
          <w:sz w:val="24"/>
          <w:szCs w:val="24"/>
          <w:lang w:val="fr-FR"/>
        </w:rPr>
        <w:t>Demographic</w:t>
      </w:r>
      <w:proofErr w:type="spellEnd"/>
      <w:r w:rsidRPr="006F4AD8">
        <w:rPr>
          <w:bCs/>
          <w:color w:val="000000"/>
          <w:sz w:val="24"/>
          <w:szCs w:val="24"/>
          <w:lang w:val="fr-FR"/>
        </w:rPr>
        <w:t xml:space="preserve"> </w:t>
      </w:r>
      <w:proofErr w:type="spellStart"/>
      <w:r w:rsidRPr="006F4AD8">
        <w:rPr>
          <w:bCs/>
          <w:color w:val="000000"/>
          <w:sz w:val="24"/>
          <w:szCs w:val="24"/>
          <w:lang w:val="fr-FR"/>
        </w:rPr>
        <w:t>disparities</w:t>
      </w:r>
      <w:proofErr w:type="spellEnd"/>
      <w:r w:rsidRPr="006F4AD8">
        <w:rPr>
          <w:bCs/>
          <w:color w:val="000000"/>
          <w:sz w:val="24"/>
          <w:szCs w:val="24"/>
          <w:lang w:val="fr-FR"/>
        </w:rPr>
        <w:t xml:space="preserve">, </w:t>
      </w:r>
    </w:p>
    <w:p w14:paraId="509456E9" w14:textId="77777777" w:rsidR="008D0EA1" w:rsidRDefault="008D0EA1" w:rsidP="006F4AD8">
      <w:pPr>
        <w:pStyle w:val="FootnoteText"/>
        <w:tabs>
          <w:tab w:val="left" w:pos="0"/>
        </w:tabs>
        <w:jc w:val="both"/>
        <w:rPr>
          <w:bCs/>
          <w:color w:val="000000"/>
          <w:sz w:val="24"/>
          <w:szCs w:val="24"/>
        </w:rPr>
      </w:pPr>
      <w:r w:rsidRPr="006F4AD8">
        <w:rPr>
          <w:bCs/>
          <w:color w:val="000000"/>
          <w:sz w:val="24"/>
          <w:szCs w:val="24"/>
          <w:lang w:val="fr-FR"/>
        </w:rPr>
        <w:tab/>
      </w:r>
      <w:r w:rsidRPr="008D0EA1">
        <w:rPr>
          <w:bCs/>
          <w:color w:val="000000"/>
          <w:sz w:val="24"/>
          <w:szCs w:val="24"/>
        </w:rPr>
        <w:t>service efficiency, safety, and user satisfaction in public bus transit system: A survey-</w:t>
      </w:r>
    </w:p>
    <w:p w14:paraId="44C1E946" w14:textId="77777777" w:rsidR="008D0EA1" w:rsidRDefault="008D0EA1" w:rsidP="006F4AD8">
      <w:pPr>
        <w:pStyle w:val="FootnoteText"/>
        <w:tabs>
          <w:tab w:val="left" w:pos="0"/>
        </w:tabs>
        <w:jc w:val="both"/>
        <w:rPr>
          <w:bCs/>
          <w:i/>
          <w:iCs/>
          <w:color w:val="000000"/>
          <w:sz w:val="24"/>
          <w:szCs w:val="24"/>
        </w:rPr>
      </w:pPr>
      <w:r>
        <w:rPr>
          <w:bCs/>
          <w:color w:val="000000"/>
          <w:sz w:val="24"/>
          <w:szCs w:val="24"/>
        </w:rPr>
        <w:tab/>
      </w:r>
      <w:r w:rsidRPr="008D0EA1">
        <w:rPr>
          <w:bCs/>
          <w:color w:val="000000"/>
          <w:sz w:val="24"/>
          <w:szCs w:val="24"/>
        </w:rPr>
        <w:t>based case study in the city of Charlotte, NC. </w:t>
      </w:r>
      <w:r w:rsidRPr="008D0EA1">
        <w:rPr>
          <w:bCs/>
          <w:i/>
          <w:iCs/>
          <w:color w:val="000000"/>
          <w:sz w:val="24"/>
          <w:szCs w:val="24"/>
        </w:rPr>
        <w:t xml:space="preserve">Transportation Research Interdisciplinary </w:t>
      </w:r>
    </w:p>
    <w:p w14:paraId="47CF8D8E" w14:textId="02B30D63" w:rsidR="00D03C50" w:rsidRDefault="008D0EA1" w:rsidP="006F4AD8">
      <w:pPr>
        <w:pStyle w:val="FootnoteText"/>
        <w:tabs>
          <w:tab w:val="left" w:pos="0"/>
        </w:tabs>
        <w:jc w:val="both"/>
        <w:rPr>
          <w:bCs/>
          <w:color w:val="000000"/>
          <w:sz w:val="24"/>
          <w:szCs w:val="24"/>
        </w:rPr>
      </w:pPr>
      <w:r>
        <w:rPr>
          <w:bCs/>
          <w:i/>
          <w:iCs/>
          <w:color w:val="000000"/>
          <w:sz w:val="24"/>
          <w:szCs w:val="24"/>
        </w:rPr>
        <w:tab/>
      </w:r>
      <w:r w:rsidRPr="008D0EA1">
        <w:rPr>
          <w:bCs/>
          <w:i/>
          <w:iCs/>
          <w:color w:val="000000"/>
          <w:sz w:val="24"/>
          <w:szCs w:val="24"/>
        </w:rPr>
        <w:t>Perspectives</w:t>
      </w:r>
      <w:r w:rsidRPr="008D0EA1">
        <w:rPr>
          <w:bCs/>
          <w:color w:val="000000"/>
          <w:sz w:val="24"/>
          <w:szCs w:val="24"/>
        </w:rPr>
        <w:t>, </w:t>
      </w:r>
      <w:r w:rsidRPr="008D0EA1">
        <w:rPr>
          <w:bCs/>
          <w:i/>
          <w:iCs/>
          <w:color w:val="000000"/>
          <w:sz w:val="24"/>
          <w:szCs w:val="24"/>
        </w:rPr>
        <w:t>29</w:t>
      </w:r>
      <w:r w:rsidRPr="008D0EA1">
        <w:rPr>
          <w:bCs/>
          <w:color w:val="000000"/>
          <w:sz w:val="24"/>
          <w:szCs w:val="24"/>
        </w:rPr>
        <w:t>, 101296.</w:t>
      </w:r>
      <w:r>
        <w:rPr>
          <w:bCs/>
          <w:color w:val="000000"/>
          <w:sz w:val="24"/>
          <w:szCs w:val="24"/>
        </w:rPr>
        <w:t xml:space="preserve"> </w:t>
      </w:r>
      <w:hyperlink r:id="rId32" w:tgtFrame="_blank" w:tooltip="Persistent link using digital object identifier" w:history="1">
        <w:r w:rsidRPr="008D0EA1">
          <w:rPr>
            <w:rStyle w:val="Hyperlink"/>
            <w:bCs/>
            <w:sz w:val="24"/>
            <w:szCs w:val="24"/>
          </w:rPr>
          <w:t>https://doi.org/10.1016/j.trip.2024.101296</w:t>
        </w:r>
      </w:hyperlink>
    </w:p>
    <w:p w14:paraId="50368344" w14:textId="77777777" w:rsidR="004E11A0" w:rsidRDefault="004E11A0" w:rsidP="006F4AD8">
      <w:pPr>
        <w:pStyle w:val="FootnoteText"/>
        <w:tabs>
          <w:tab w:val="left" w:pos="0"/>
        </w:tabs>
        <w:jc w:val="both"/>
        <w:rPr>
          <w:bCs/>
          <w:color w:val="000000"/>
          <w:sz w:val="24"/>
          <w:szCs w:val="24"/>
        </w:rPr>
      </w:pPr>
      <w:r w:rsidRPr="004E11A0">
        <w:rPr>
          <w:bCs/>
          <w:color w:val="000000"/>
          <w:sz w:val="24"/>
          <w:szCs w:val="24"/>
        </w:rPr>
        <w:t xml:space="preserve">Hsu, H. P., Boarnet, M. G., &amp; Houston, D. (2019). Gender and rail transit use: Influence of </w:t>
      </w:r>
    </w:p>
    <w:p w14:paraId="2D39B784" w14:textId="39843A24" w:rsidR="004E11A0" w:rsidRDefault="004E11A0" w:rsidP="006F4AD8">
      <w:pPr>
        <w:pStyle w:val="FootnoteText"/>
        <w:tabs>
          <w:tab w:val="left" w:pos="0"/>
        </w:tabs>
        <w:jc w:val="both"/>
        <w:rPr>
          <w:bCs/>
          <w:color w:val="000000"/>
          <w:sz w:val="24"/>
          <w:szCs w:val="24"/>
        </w:rPr>
      </w:pPr>
      <w:r>
        <w:rPr>
          <w:bCs/>
          <w:color w:val="000000"/>
          <w:sz w:val="24"/>
          <w:szCs w:val="24"/>
        </w:rPr>
        <w:tab/>
      </w:r>
      <w:r w:rsidRPr="004E11A0">
        <w:rPr>
          <w:bCs/>
          <w:color w:val="000000"/>
          <w:sz w:val="24"/>
          <w:szCs w:val="24"/>
        </w:rPr>
        <w:t>environmental beliefs and safety concerns. </w:t>
      </w:r>
      <w:r w:rsidRPr="004E11A0">
        <w:rPr>
          <w:bCs/>
          <w:i/>
          <w:iCs/>
          <w:color w:val="000000"/>
          <w:sz w:val="24"/>
          <w:szCs w:val="24"/>
        </w:rPr>
        <w:t xml:space="preserve">Transportation </w:t>
      </w:r>
      <w:r w:rsidR="0093518D">
        <w:rPr>
          <w:bCs/>
          <w:i/>
          <w:iCs/>
          <w:color w:val="000000"/>
          <w:sz w:val="24"/>
          <w:szCs w:val="24"/>
        </w:rPr>
        <w:t>R</w:t>
      </w:r>
      <w:r w:rsidRPr="004E11A0">
        <w:rPr>
          <w:bCs/>
          <w:i/>
          <w:iCs/>
          <w:color w:val="000000"/>
          <w:sz w:val="24"/>
          <w:szCs w:val="24"/>
        </w:rPr>
        <w:t xml:space="preserve">esearch </w:t>
      </w:r>
      <w:r w:rsidR="0093518D">
        <w:rPr>
          <w:bCs/>
          <w:i/>
          <w:iCs/>
          <w:color w:val="000000"/>
          <w:sz w:val="24"/>
          <w:szCs w:val="24"/>
        </w:rPr>
        <w:t>R</w:t>
      </w:r>
      <w:r w:rsidRPr="004E11A0">
        <w:rPr>
          <w:bCs/>
          <w:i/>
          <w:iCs/>
          <w:color w:val="000000"/>
          <w:sz w:val="24"/>
          <w:szCs w:val="24"/>
        </w:rPr>
        <w:t>ecord</w:t>
      </w:r>
      <w:r w:rsidRPr="004E11A0">
        <w:rPr>
          <w:bCs/>
          <w:color w:val="000000"/>
          <w:sz w:val="24"/>
          <w:szCs w:val="24"/>
        </w:rPr>
        <w:t>, </w:t>
      </w:r>
      <w:r w:rsidRPr="004E11A0">
        <w:rPr>
          <w:bCs/>
          <w:i/>
          <w:iCs/>
          <w:color w:val="000000"/>
          <w:sz w:val="24"/>
          <w:szCs w:val="24"/>
        </w:rPr>
        <w:t>2673</w:t>
      </w:r>
      <w:r w:rsidRPr="004E11A0">
        <w:rPr>
          <w:bCs/>
          <w:color w:val="000000"/>
          <w:sz w:val="24"/>
          <w:szCs w:val="24"/>
        </w:rPr>
        <w:t xml:space="preserve">(4), </w:t>
      </w:r>
    </w:p>
    <w:p w14:paraId="2096CFC8" w14:textId="09BFFBF7" w:rsidR="008D0EA1" w:rsidRDefault="004E11A0" w:rsidP="006F4AD8">
      <w:pPr>
        <w:pStyle w:val="FootnoteText"/>
        <w:tabs>
          <w:tab w:val="left" w:pos="0"/>
        </w:tabs>
        <w:jc w:val="both"/>
      </w:pPr>
      <w:r>
        <w:rPr>
          <w:bCs/>
          <w:color w:val="000000"/>
          <w:sz w:val="24"/>
          <w:szCs w:val="24"/>
        </w:rPr>
        <w:tab/>
      </w:r>
      <w:r w:rsidRPr="004E11A0">
        <w:rPr>
          <w:bCs/>
          <w:color w:val="000000"/>
          <w:sz w:val="24"/>
          <w:szCs w:val="24"/>
        </w:rPr>
        <w:t>327-338.</w:t>
      </w:r>
      <w:r>
        <w:rPr>
          <w:bCs/>
          <w:color w:val="000000"/>
          <w:sz w:val="24"/>
          <w:szCs w:val="24"/>
        </w:rPr>
        <w:t xml:space="preserve"> </w:t>
      </w:r>
      <w:hyperlink r:id="rId33" w:history="1">
        <w:r w:rsidR="00686BC6" w:rsidRPr="00686BC6">
          <w:rPr>
            <w:rStyle w:val="Hyperlink"/>
            <w:bCs/>
            <w:sz w:val="24"/>
            <w:szCs w:val="24"/>
          </w:rPr>
          <w:t>https://doi.org/10.1177/0361198119837193</w:t>
        </w:r>
      </w:hyperlink>
    </w:p>
    <w:p w14:paraId="3F642CAB" w14:textId="77777777" w:rsidR="007B0671" w:rsidRDefault="007B0671" w:rsidP="006F4AD8">
      <w:pPr>
        <w:pStyle w:val="FootnoteText"/>
        <w:tabs>
          <w:tab w:val="left" w:pos="0"/>
        </w:tabs>
        <w:jc w:val="both"/>
        <w:rPr>
          <w:bCs/>
          <w:color w:val="000000"/>
          <w:sz w:val="24"/>
          <w:szCs w:val="24"/>
        </w:rPr>
      </w:pPr>
      <w:r w:rsidRPr="007B0671">
        <w:rPr>
          <w:bCs/>
          <w:color w:val="000000"/>
          <w:sz w:val="24"/>
          <w:szCs w:val="24"/>
        </w:rPr>
        <w:t xml:space="preserve">Hwang, H., Haddad, A. J., &amp; Bhat, C. R. (2025). Multivariate analysis of frequency, duration </w:t>
      </w:r>
    </w:p>
    <w:p w14:paraId="4228BB07" w14:textId="77777777" w:rsidR="007B0671" w:rsidRDefault="007B0671" w:rsidP="006F4AD8">
      <w:pPr>
        <w:pStyle w:val="FootnoteText"/>
        <w:tabs>
          <w:tab w:val="left" w:pos="0"/>
        </w:tabs>
        <w:jc w:val="both"/>
        <w:rPr>
          <w:bCs/>
          <w:i/>
          <w:iCs/>
          <w:color w:val="000000"/>
          <w:sz w:val="24"/>
          <w:szCs w:val="24"/>
        </w:rPr>
      </w:pPr>
      <w:r>
        <w:rPr>
          <w:bCs/>
          <w:color w:val="000000"/>
          <w:sz w:val="24"/>
          <w:szCs w:val="24"/>
        </w:rPr>
        <w:tab/>
      </w:r>
      <w:r w:rsidRPr="007B0671">
        <w:rPr>
          <w:bCs/>
          <w:color w:val="000000"/>
          <w:sz w:val="24"/>
          <w:szCs w:val="24"/>
        </w:rPr>
        <w:t>and companionship in walking behaviors among adults over 50. </w:t>
      </w:r>
      <w:r w:rsidRPr="007B0671">
        <w:rPr>
          <w:bCs/>
          <w:i/>
          <w:iCs/>
          <w:color w:val="000000"/>
          <w:sz w:val="24"/>
          <w:szCs w:val="24"/>
        </w:rPr>
        <w:t xml:space="preserve">Journal of Transport &amp; </w:t>
      </w:r>
    </w:p>
    <w:p w14:paraId="5241ECE5" w14:textId="0778C3FF" w:rsidR="007B0671" w:rsidRDefault="007B0671" w:rsidP="006F4AD8">
      <w:pPr>
        <w:pStyle w:val="FootnoteText"/>
        <w:tabs>
          <w:tab w:val="left" w:pos="0"/>
        </w:tabs>
        <w:jc w:val="both"/>
      </w:pPr>
      <w:r>
        <w:rPr>
          <w:bCs/>
          <w:i/>
          <w:iCs/>
          <w:color w:val="000000"/>
          <w:sz w:val="24"/>
          <w:szCs w:val="24"/>
        </w:rPr>
        <w:tab/>
      </w:r>
      <w:r w:rsidRPr="007B0671">
        <w:rPr>
          <w:bCs/>
          <w:i/>
          <w:iCs/>
          <w:color w:val="000000"/>
          <w:sz w:val="24"/>
          <w:szCs w:val="24"/>
        </w:rPr>
        <w:t>Health</w:t>
      </w:r>
      <w:r w:rsidRPr="007B0671">
        <w:rPr>
          <w:bCs/>
          <w:color w:val="000000"/>
          <w:sz w:val="24"/>
          <w:szCs w:val="24"/>
        </w:rPr>
        <w:t>, </w:t>
      </w:r>
      <w:r w:rsidRPr="007B0671">
        <w:rPr>
          <w:bCs/>
          <w:i/>
          <w:iCs/>
          <w:color w:val="000000"/>
          <w:sz w:val="24"/>
          <w:szCs w:val="24"/>
        </w:rPr>
        <w:t>44</w:t>
      </w:r>
      <w:r w:rsidRPr="007B0671">
        <w:rPr>
          <w:bCs/>
          <w:color w:val="000000"/>
          <w:sz w:val="24"/>
          <w:szCs w:val="24"/>
        </w:rPr>
        <w:t>, 102161.</w:t>
      </w:r>
      <w:r w:rsidR="00214FB0">
        <w:rPr>
          <w:bCs/>
          <w:color w:val="000000"/>
          <w:sz w:val="24"/>
          <w:szCs w:val="24"/>
        </w:rPr>
        <w:t xml:space="preserve"> </w:t>
      </w:r>
      <w:hyperlink r:id="rId34" w:tgtFrame="_blank" w:tooltip="Persistent link using digital object identifier" w:history="1">
        <w:r w:rsidR="00214FB0" w:rsidRPr="00214FB0">
          <w:rPr>
            <w:rStyle w:val="Hyperlink"/>
            <w:bCs/>
            <w:sz w:val="24"/>
            <w:szCs w:val="24"/>
          </w:rPr>
          <w:t>https://doi.org/10.1016/j.jth.2025.102161</w:t>
        </w:r>
      </w:hyperlink>
    </w:p>
    <w:p w14:paraId="69C13BBF" w14:textId="77777777" w:rsidR="006B0284" w:rsidRDefault="006B0284" w:rsidP="006F4AD8">
      <w:pPr>
        <w:pStyle w:val="FootnoteText"/>
        <w:tabs>
          <w:tab w:val="left" w:pos="0"/>
        </w:tabs>
        <w:jc w:val="both"/>
        <w:rPr>
          <w:bCs/>
          <w:color w:val="000000"/>
          <w:sz w:val="24"/>
          <w:szCs w:val="24"/>
        </w:rPr>
      </w:pPr>
      <w:r w:rsidRPr="006B0284">
        <w:rPr>
          <w:bCs/>
          <w:color w:val="000000"/>
          <w:sz w:val="24"/>
          <w:szCs w:val="24"/>
        </w:rPr>
        <w:t xml:space="preserve">King, D. A., Smart, M. J., &amp; Manville, M. (2022). The Poverty of the Carless: Toward Universal </w:t>
      </w:r>
    </w:p>
    <w:p w14:paraId="138BEC8C" w14:textId="77777777" w:rsidR="00ED2FCE" w:rsidRDefault="006B0284" w:rsidP="00ED2FCE">
      <w:pPr>
        <w:pStyle w:val="FootnoteText"/>
        <w:tabs>
          <w:tab w:val="left" w:pos="0"/>
        </w:tabs>
        <w:jc w:val="both"/>
        <w:rPr>
          <w:bCs/>
          <w:color w:val="000000"/>
          <w:sz w:val="24"/>
          <w:szCs w:val="24"/>
        </w:rPr>
      </w:pPr>
      <w:r>
        <w:rPr>
          <w:bCs/>
          <w:color w:val="000000"/>
          <w:sz w:val="24"/>
          <w:szCs w:val="24"/>
        </w:rPr>
        <w:tab/>
      </w:r>
      <w:r w:rsidRPr="006B0284">
        <w:rPr>
          <w:bCs/>
          <w:color w:val="000000"/>
          <w:sz w:val="24"/>
          <w:szCs w:val="24"/>
        </w:rPr>
        <w:t xml:space="preserve">Auto Access. </w:t>
      </w:r>
      <w:r w:rsidRPr="006B0284">
        <w:rPr>
          <w:bCs/>
          <w:i/>
          <w:iCs/>
          <w:color w:val="000000"/>
          <w:sz w:val="24"/>
          <w:szCs w:val="24"/>
        </w:rPr>
        <w:t>Journal of Planning Education and Research</w:t>
      </w:r>
      <w:r w:rsidRPr="006B0284">
        <w:rPr>
          <w:bCs/>
          <w:color w:val="000000"/>
          <w:sz w:val="24"/>
          <w:szCs w:val="24"/>
        </w:rPr>
        <w:t xml:space="preserve">, </w:t>
      </w:r>
      <w:r w:rsidRPr="006B0284">
        <w:rPr>
          <w:bCs/>
          <w:i/>
          <w:iCs/>
          <w:color w:val="000000"/>
          <w:sz w:val="24"/>
          <w:szCs w:val="24"/>
        </w:rPr>
        <w:t>42</w:t>
      </w:r>
      <w:r w:rsidRPr="006B0284">
        <w:rPr>
          <w:bCs/>
          <w:color w:val="000000"/>
          <w:sz w:val="24"/>
          <w:szCs w:val="24"/>
        </w:rPr>
        <w:t>(3), 464-481.</w:t>
      </w:r>
      <w:r w:rsidR="00ED2FCE">
        <w:rPr>
          <w:bCs/>
          <w:color w:val="000000"/>
          <w:sz w:val="24"/>
          <w:szCs w:val="24"/>
        </w:rPr>
        <w:t xml:space="preserve"> </w:t>
      </w:r>
    </w:p>
    <w:p w14:paraId="5C5267AC" w14:textId="3F03CA8E" w:rsidR="006B0284" w:rsidRDefault="00ED2FCE" w:rsidP="006F4AD8">
      <w:pPr>
        <w:pStyle w:val="FootnoteText"/>
        <w:tabs>
          <w:tab w:val="left" w:pos="0"/>
        </w:tabs>
        <w:jc w:val="both"/>
        <w:rPr>
          <w:bCs/>
          <w:color w:val="000000"/>
          <w:sz w:val="24"/>
          <w:szCs w:val="24"/>
        </w:rPr>
      </w:pPr>
      <w:r>
        <w:rPr>
          <w:bCs/>
          <w:color w:val="000000"/>
          <w:sz w:val="24"/>
          <w:szCs w:val="24"/>
        </w:rPr>
        <w:tab/>
      </w:r>
      <w:hyperlink r:id="rId35" w:history="1">
        <w:r w:rsidRPr="00AF3D30">
          <w:rPr>
            <w:rStyle w:val="Hyperlink"/>
            <w:bCs/>
            <w:sz w:val="24"/>
            <w:szCs w:val="24"/>
          </w:rPr>
          <w:t>https://doi.org/10.1177/0739456X18823252</w:t>
        </w:r>
      </w:hyperlink>
    </w:p>
    <w:p w14:paraId="11F3B21C" w14:textId="77777777" w:rsidR="003B0C3A" w:rsidRDefault="003B0C3A" w:rsidP="006F4AD8">
      <w:pPr>
        <w:pStyle w:val="FootnoteText"/>
        <w:tabs>
          <w:tab w:val="left" w:pos="0"/>
        </w:tabs>
        <w:jc w:val="both"/>
        <w:rPr>
          <w:bCs/>
          <w:color w:val="000000"/>
          <w:sz w:val="24"/>
          <w:szCs w:val="24"/>
        </w:rPr>
      </w:pPr>
      <w:proofErr w:type="spellStart"/>
      <w:r w:rsidRPr="003B0C3A">
        <w:rPr>
          <w:bCs/>
          <w:color w:val="000000"/>
          <w:sz w:val="24"/>
          <w:szCs w:val="24"/>
        </w:rPr>
        <w:t>Lubitow</w:t>
      </w:r>
      <w:proofErr w:type="spellEnd"/>
      <w:r w:rsidRPr="003B0C3A">
        <w:rPr>
          <w:bCs/>
          <w:color w:val="000000"/>
          <w:sz w:val="24"/>
          <w:szCs w:val="24"/>
        </w:rPr>
        <w:t xml:space="preserve">, A., Abelson, M. J., &amp; Carpenter, E. (2020). Transforming mobility justice: Gendered </w:t>
      </w:r>
    </w:p>
    <w:p w14:paraId="2E007231" w14:textId="317065B4" w:rsidR="003B0C3A" w:rsidRDefault="003B0C3A" w:rsidP="006F4AD8">
      <w:pPr>
        <w:pStyle w:val="FootnoteText"/>
        <w:tabs>
          <w:tab w:val="left" w:pos="0"/>
        </w:tabs>
        <w:jc w:val="both"/>
        <w:rPr>
          <w:bCs/>
          <w:color w:val="000000"/>
          <w:sz w:val="24"/>
          <w:szCs w:val="24"/>
        </w:rPr>
      </w:pPr>
      <w:r>
        <w:rPr>
          <w:bCs/>
          <w:color w:val="000000"/>
          <w:sz w:val="24"/>
          <w:szCs w:val="24"/>
        </w:rPr>
        <w:tab/>
      </w:r>
      <w:r w:rsidRPr="003B0C3A">
        <w:rPr>
          <w:bCs/>
          <w:color w:val="000000"/>
          <w:sz w:val="24"/>
          <w:szCs w:val="24"/>
        </w:rPr>
        <w:t>harassment and violence on transit. </w:t>
      </w:r>
      <w:r w:rsidRPr="003B0C3A">
        <w:rPr>
          <w:bCs/>
          <w:i/>
          <w:iCs/>
          <w:color w:val="000000"/>
          <w:sz w:val="24"/>
          <w:szCs w:val="24"/>
        </w:rPr>
        <w:t xml:space="preserve">Journal of </w:t>
      </w:r>
      <w:r w:rsidR="0093518D">
        <w:rPr>
          <w:bCs/>
          <w:i/>
          <w:iCs/>
          <w:color w:val="000000"/>
          <w:sz w:val="24"/>
          <w:szCs w:val="24"/>
        </w:rPr>
        <w:t>T</w:t>
      </w:r>
      <w:r w:rsidRPr="003B0C3A">
        <w:rPr>
          <w:bCs/>
          <w:i/>
          <w:iCs/>
          <w:color w:val="000000"/>
          <w:sz w:val="24"/>
          <w:szCs w:val="24"/>
        </w:rPr>
        <w:t xml:space="preserve">ransport </w:t>
      </w:r>
      <w:r w:rsidR="0093518D">
        <w:rPr>
          <w:bCs/>
          <w:i/>
          <w:iCs/>
          <w:color w:val="000000"/>
          <w:sz w:val="24"/>
          <w:szCs w:val="24"/>
        </w:rPr>
        <w:t>G</w:t>
      </w:r>
      <w:r w:rsidRPr="003B0C3A">
        <w:rPr>
          <w:bCs/>
          <w:i/>
          <w:iCs/>
          <w:color w:val="000000"/>
          <w:sz w:val="24"/>
          <w:szCs w:val="24"/>
        </w:rPr>
        <w:t>eography</w:t>
      </w:r>
      <w:r w:rsidRPr="003B0C3A">
        <w:rPr>
          <w:bCs/>
          <w:color w:val="000000"/>
          <w:sz w:val="24"/>
          <w:szCs w:val="24"/>
        </w:rPr>
        <w:t>, </w:t>
      </w:r>
      <w:r w:rsidRPr="003B0C3A">
        <w:rPr>
          <w:bCs/>
          <w:i/>
          <w:iCs/>
          <w:color w:val="000000"/>
          <w:sz w:val="24"/>
          <w:szCs w:val="24"/>
        </w:rPr>
        <w:t>82</w:t>
      </w:r>
      <w:r w:rsidRPr="003B0C3A">
        <w:rPr>
          <w:bCs/>
          <w:color w:val="000000"/>
          <w:sz w:val="24"/>
          <w:szCs w:val="24"/>
        </w:rPr>
        <w:t>, 102601.</w:t>
      </w:r>
      <w:r>
        <w:rPr>
          <w:bCs/>
          <w:color w:val="000000"/>
          <w:sz w:val="24"/>
          <w:szCs w:val="24"/>
        </w:rPr>
        <w:t xml:space="preserve"> </w:t>
      </w:r>
    </w:p>
    <w:p w14:paraId="0BB8B326" w14:textId="01A4B3DF" w:rsidR="00686BC6" w:rsidRDefault="003B0C3A" w:rsidP="006F4AD8">
      <w:pPr>
        <w:pStyle w:val="FootnoteText"/>
        <w:tabs>
          <w:tab w:val="left" w:pos="0"/>
        </w:tabs>
        <w:jc w:val="both"/>
        <w:rPr>
          <w:bCs/>
          <w:color w:val="000000"/>
          <w:sz w:val="24"/>
          <w:szCs w:val="24"/>
        </w:rPr>
      </w:pPr>
      <w:r>
        <w:rPr>
          <w:bCs/>
          <w:color w:val="000000"/>
          <w:sz w:val="24"/>
          <w:szCs w:val="24"/>
        </w:rPr>
        <w:tab/>
      </w:r>
      <w:hyperlink r:id="rId36" w:history="1">
        <w:r w:rsidRPr="00B13457">
          <w:rPr>
            <w:rStyle w:val="Hyperlink"/>
            <w:bCs/>
            <w:sz w:val="24"/>
            <w:szCs w:val="24"/>
          </w:rPr>
          <w:t>https://doi.org/10.1016/j.jtrangeo.2019.102601</w:t>
        </w:r>
      </w:hyperlink>
    </w:p>
    <w:p w14:paraId="0158D49B" w14:textId="77777777" w:rsidR="00AA2265" w:rsidRDefault="00AA2265" w:rsidP="006F4AD8">
      <w:pPr>
        <w:pStyle w:val="FootnoteText"/>
        <w:tabs>
          <w:tab w:val="left" w:pos="0"/>
        </w:tabs>
        <w:jc w:val="both"/>
        <w:rPr>
          <w:bCs/>
          <w:color w:val="000000"/>
          <w:sz w:val="24"/>
          <w:szCs w:val="24"/>
        </w:rPr>
      </w:pPr>
      <w:r w:rsidRPr="00AA2265">
        <w:rPr>
          <w:bCs/>
          <w:color w:val="000000"/>
          <w:sz w:val="24"/>
          <w:szCs w:val="24"/>
        </w:rPr>
        <w:t xml:space="preserve">Luo, H., Zhang, Z., </w:t>
      </w:r>
      <w:proofErr w:type="spellStart"/>
      <w:r w:rsidRPr="00AA2265">
        <w:rPr>
          <w:bCs/>
          <w:color w:val="000000"/>
          <w:sz w:val="24"/>
          <w:szCs w:val="24"/>
        </w:rPr>
        <w:t>Gkritza</w:t>
      </w:r>
      <w:proofErr w:type="spellEnd"/>
      <w:r w:rsidRPr="00AA2265">
        <w:rPr>
          <w:bCs/>
          <w:color w:val="000000"/>
          <w:sz w:val="24"/>
          <w:szCs w:val="24"/>
        </w:rPr>
        <w:t xml:space="preserve">, K., &amp; Cai, H. (2021). Are shared electric scooters competing with </w:t>
      </w:r>
    </w:p>
    <w:p w14:paraId="6A0F39CA" w14:textId="77777777" w:rsidR="00AA2265" w:rsidRDefault="00AA2265" w:rsidP="006F4AD8">
      <w:pPr>
        <w:pStyle w:val="FootnoteText"/>
        <w:tabs>
          <w:tab w:val="left" w:pos="0"/>
        </w:tabs>
        <w:jc w:val="both"/>
        <w:rPr>
          <w:bCs/>
          <w:i/>
          <w:iCs/>
          <w:color w:val="000000"/>
          <w:sz w:val="24"/>
          <w:szCs w:val="24"/>
        </w:rPr>
      </w:pPr>
      <w:r>
        <w:rPr>
          <w:bCs/>
          <w:color w:val="000000"/>
          <w:sz w:val="24"/>
          <w:szCs w:val="24"/>
        </w:rPr>
        <w:tab/>
      </w:r>
      <w:r w:rsidRPr="00AA2265">
        <w:rPr>
          <w:bCs/>
          <w:color w:val="000000"/>
          <w:sz w:val="24"/>
          <w:szCs w:val="24"/>
        </w:rPr>
        <w:t>buses? a case study in Indianapolis. </w:t>
      </w:r>
      <w:r w:rsidRPr="00AA2265">
        <w:rPr>
          <w:bCs/>
          <w:i/>
          <w:iCs/>
          <w:color w:val="000000"/>
          <w:sz w:val="24"/>
          <w:szCs w:val="24"/>
        </w:rPr>
        <w:t xml:space="preserve">Transportation Research Part D: Transport and </w:t>
      </w:r>
    </w:p>
    <w:p w14:paraId="01C5C226" w14:textId="4261A2DE" w:rsidR="003B0C3A" w:rsidRPr="006F4AD8" w:rsidRDefault="00AA2265" w:rsidP="006F4AD8">
      <w:pPr>
        <w:pStyle w:val="FootnoteText"/>
        <w:tabs>
          <w:tab w:val="left" w:pos="0"/>
        </w:tabs>
        <w:jc w:val="both"/>
        <w:rPr>
          <w:bCs/>
          <w:color w:val="000000"/>
          <w:sz w:val="24"/>
          <w:szCs w:val="24"/>
          <w:lang w:val="fr-FR"/>
        </w:rPr>
      </w:pPr>
      <w:r>
        <w:rPr>
          <w:bCs/>
          <w:i/>
          <w:iCs/>
          <w:color w:val="000000"/>
          <w:sz w:val="24"/>
          <w:szCs w:val="24"/>
        </w:rPr>
        <w:tab/>
      </w:r>
      <w:proofErr w:type="spellStart"/>
      <w:r w:rsidRPr="006F4AD8">
        <w:rPr>
          <w:bCs/>
          <w:i/>
          <w:iCs/>
          <w:color w:val="000000"/>
          <w:sz w:val="24"/>
          <w:szCs w:val="24"/>
          <w:lang w:val="fr-FR"/>
        </w:rPr>
        <w:t>Environment</w:t>
      </w:r>
      <w:proofErr w:type="spellEnd"/>
      <w:r w:rsidRPr="006F4AD8">
        <w:rPr>
          <w:bCs/>
          <w:color w:val="000000"/>
          <w:sz w:val="24"/>
          <w:szCs w:val="24"/>
          <w:lang w:val="fr-FR"/>
        </w:rPr>
        <w:t>, </w:t>
      </w:r>
      <w:r w:rsidRPr="006F4AD8">
        <w:rPr>
          <w:bCs/>
          <w:i/>
          <w:iCs/>
          <w:color w:val="000000"/>
          <w:sz w:val="24"/>
          <w:szCs w:val="24"/>
          <w:lang w:val="fr-FR"/>
        </w:rPr>
        <w:t>97</w:t>
      </w:r>
      <w:r w:rsidRPr="006F4AD8">
        <w:rPr>
          <w:bCs/>
          <w:color w:val="000000"/>
          <w:sz w:val="24"/>
          <w:szCs w:val="24"/>
          <w:lang w:val="fr-FR"/>
        </w:rPr>
        <w:t xml:space="preserve">, 102877. </w:t>
      </w:r>
      <w:hyperlink r:id="rId37" w:tgtFrame="_blank" w:tooltip="Persistent link using digital object identifier" w:history="1">
        <w:r w:rsidR="00023D75" w:rsidRPr="006F4AD8">
          <w:rPr>
            <w:rStyle w:val="Hyperlink"/>
            <w:bCs/>
            <w:sz w:val="24"/>
            <w:szCs w:val="24"/>
            <w:lang w:val="fr-FR"/>
          </w:rPr>
          <w:t>https://doi.org/10.1016/j.trd.2021.102877</w:t>
        </w:r>
      </w:hyperlink>
    </w:p>
    <w:p w14:paraId="6E189AA1" w14:textId="77777777" w:rsidR="004A0A0D" w:rsidRDefault="004A0A0D" w:rsidP="006F4AD8">
      <w:pPr>
        <w:pStyle w:val="FootnoteText"/>
        <w:tabs>
          <w:tab w:val="left" w:pos="0"/>
        </w:tabs>
        <w:jc w:val="both"/>
        <w:rPr>
          <w:bCs/>
          <w:color w:val="000000"/>
          <w:sz w:val="24"/>
          <w:szCs w:val="24"/>
        </w:rPr>
      </w:pPr>
      <w:r w:rsidRPr="004A0A0D">
        <w:rPr>
          <w:bCs/>
          <w:color w:val="000000"/>
          <w:sz w:val="24"/>
          <w:szCs w:val="24"/>
        </w:rPr>
        <w:t xml:space="preserve">Lyons, T., Ewing, R., &amp; Tian, G. (2025). Coverage vs frequency: Is spatial coverage or temporal </w:t>
      </w:r>
    </w:p>
    <w:p w14:paraId="5351F868" w14:textId="499BBD8D" w:rsidR="004A0A0D" w:rsidRDefault="004A0A0D" w:rsidP="006F4AD8">
      <w:pPr>
        <w:pStyle w:val="FootnoteText"/>
        <w:tabs>
          <w:tab w:val="left" w:pos="0"/>
        </w:tabs>
        <w:jc w:val="both"/>
        <w:rPr>
          <w:bCs/>
          <w:color w:val="000000"/>
          <w:sz w:val="24"/>
          <w:szCs w:val="24"/>
        </w:rPr>
      </w:pPr>
      <w:r>
        <w:rPr>
          <w:bCs/>
          <w:color w:val="000000"/>
          <w:sz w:val="24"/>
          <w:szCs w:val="24"/>
        </w:rPr>
        <w:tab/>
      </w:r>
      <w:r w:rsidRPr="004A0A0D">
        <w:rPr>
          <w:bCs/>
          <w:color w:val="000000"/>
          <w:sz w:val="24"/>
          <w:szCs w:val="24"/>
        </w:rPr>
        <w:t xml:space="preserve">frequency more </w:t>
      </w:r>
      <w:proofErr w:type="gramStart"/>
      <w:r w:rsidRPr="004A0A0D">
        <w:rPr>
          <w:bCs/>
          <w:color w:val="000000"/>
          <w:sz w:val="24"/>
          <w:szCs w:val="24"/>
        </w:rPr>
        <w:t>impactful</w:t>
      </w:r>
      <w:proofErr w:type="gramEnd"/>
      <w:r w:rsidRPr="004A0A0D">
        <w:rPr>
          <w:bCs/>
          <w:color w:val="000000"/>
          <w:sz w:val="24"/>
          <w:szCs w:val="24"/>
        </w:rPr>
        <w:t xml:space="preserve"> on transit ridership? </w:t>
      </w:r>
      <w:r w:rsidRPr="004A0A0D">
        <w:rPr>
          <w:bCs/>
          <w:i/>
          <w:iCs/>
          <w:color w:val="000000"/>
          <w:sz w:val="24"/>
          <w:szCs w:val="24"/>
        </w:rPr>
        <w:t>Journal of Transport Geography</w:t>
      </w:r>
      <w:r w:rsidRPr="004A0A0D">
        <w:rPr>
          <w:bCs/>
          <w:color w:val="000000"/>
          <w:sz w:val="24"/>
          <w:szCs w:val="24"/>
        </w:rPr>
        <w:t>, </w:t>
      </w:r>
      <w:r w:rsidRPr="004A0A0D">
        <w:rPr>
          <w:bCs/>
          <w:i/>
          <w:iCs/>
          <w:color w:val="000000"/>
          <w:sz w:val="24"/>
          <w:szCs w:val="24"/>
        </w:rPr>
        <w:t>122</w:t>
      </w:r>
      <w:r w:rsidRPr="004A0A0D">
        <w:rPr>
          <w:bCs/>
          <w:color w:val="000000"/>
          <w:sz w:val="24"/>
          <w:szCs w:val="24"/>
        </w:rPr>
        <w:t xml:space="preserve">, </w:t>
      </w:r>
    </w:p>
    <w:p w14:paraId="32DCC7DF" w14:textId="661943A6" w:rsidR="00023D75" w:rsidRDefault="004A0A0D" w:rsidP="006F4AD8">
      <w:pPr>
        <w:pStyle w:val="FootnoteText"/>
        <w:tabs>
          <w:tab w:val="left" w:pos="0"/>
        </w:tabs>
        <w:jc w:val="both"/>
        <w:rPr>
          <w:bCs/>
          <w:color w:val="000000"/>
          <w:sz w:val="24"/>
          <w:szCs w:val="24"/>
        </w:rPr>
      </w:pPr>
      <w:r>
        <w:rPr>
          <w:bCs/>
          <w:color w:val="000000"/>
          <w:sz w:val="24"/>
          <w:szCs w:val="24"/>
        </w:rPr>
        <w:tab/>
      </w:r>
      <w:r w:rsidRPr="004A0A0D">
        <w:rPr>
          <w:bCs/>
          <w:color w:val="000000"/>
          <w:sz w:val="24"/>
          <w:szCs w:val="24"/>
        </w:rPr>
        <w:t>104058.</w:t>
      </w:r>
      <w:r>
        <w:rPr>
          <w:bCs/>
          <w:color w:val="000000"/>
          <w:sz w:val="24"/>
          <w:szCs w:val="24"/>
        </w:rPr>
        <w:t xml:space="preserve"> </w:t>
      </w:r>
      <w:hyperlink r:id="rId38" w:tgtFrame="_blank" w:tooltip="Persistent link using digital object identifier" w:history="1">
        <w:r w:rsidR="005C021A" w:rsidRPr="005C021A">
          <w:rPr>
            <w:rStyle w:val="Hyperlink"/>
            <w:bCs/>
            <w:sz w:val="24"/>
            <w:szCs w:val="24"/>
          </w:rPr>
          <w:t>https://doi.org/10.1016/j.jtrangeo.2024.104058</w:t>
        </w:r>
      </w:hyperlink>
    </w:p>
    <w:p w14:paraId="27917A80" w14:textId="77777777" w:rsidR="00177564" w:rsidRDefault="00177564" w:rsidP="006F4AD8">
      <w:pPr>
        <w:pStyle w:val="FootnoteText"/>
        <w:tabs>
          <w:tab w:val="left" w:pos="0"/>
        </w:tabs>
        <w:jc w:val="both"/>
        <w:rPr>
          <w:bCs/>
          <w:color w:val="000000"/>
          <w:sz w:val="24"/>
          <w:szCs w:val="24"/>
        </w:rPr>
      </w:pPr>
      <w:r w:rsidRPr="006F4AD8">
        <w:rPr>
          <w:bCs/>
          <w:color w:val="000000"/>
          <w:sz w:val="24"/>
          <w:szCs w:val="24"/>
          <w:lang w:val="es-ES"/>
        </w:rPr>
        <w:t xml:space="preserve">Maharjan, S., </w:t>
      </w:r>
      <w:proofErr w:type="spellStart"/>
      <w:r w:rsidRPr="006F4AD8">
        <w:rPr>
          <w:bCs/>
          <w:color w:val="000000"/>
          <w:sz w:val="24"/>
          <w:szCs w:val="24"/>
          <w:lang w:val="es-ES"/>
        </w:rPr>
        <w:t>Janatabadi</w:t>
      </w:r>
      <w:proofErr w:type="spellEnd"/>
      <w:r w:rsidRPr="006F4AD8">
        <w:rPr>
          <w:bCs/>
          <w:color w:val="000000"/>
          <w:sz w:val="24"/>
          <w:szCs w:val="24"/>
          <w:lang w:val="es-ES"/>
        </w:rPr>
        <w:t xml:space="preserve">, F., &amp; </w:t>
      </w:r>
      <w:proofErr w:type="spellStart"/>
      <w:r w:rsidRPr="006F4AD8">
        <w:rPr>
          <w:bCs/>
          <w:color w:val="000000"/>
          <w:sz w:val="24"/>
          <w:szCs w:val="24"/>
          <w:lang w:val="es-ES"/>
        </w:rPr>
        <w:t>Ermagun</w:t>
      </w:r>
      <w:proofErr w:type="spellEnd"/>
      <w:r w:rsidRPr="006F4AD8">
        <w:rPr>
          <w:bCs/>
          <w:color w:val="000000"/>
          <w:sz w:val="24"/>
          <w:szCs w:val="24"/>
          <w:lang w:val="es-ES"/>
        </w:rPr>
        <w:t xml:space="preserve">, A. (2024). </w:t>
      </w:r>
      <w:r w:rsidRPr="00177564">
        <w:rPr>
          <w:bCs/>
          <w:color w:val="000000"/>
          <w:sz w:val="24"/>
          <w:szCs w:val="24"/>
        </w:rPr>
        <w:t xml:space="preserve">Spatial inequity of transit and </w:t>
      </w:r>
      <w:proofErr w:type="gramStart"/>
      <w:r w:rsidRPr="00177564">
        <w:rPr>
          <w:bCs/>
          <w:color w:val="000000"/>
          <w:sz w:val="24"/>
          <w:szCs w:val="24"/>
        </w:rPr>
        <w:t>automobile</w:t>
      </w:r>
      <w:proofErr w:type="gramEnd"/>
      <w:r w:rsidRPr="00177564">
        <w:rPr>
          <w:bCs/>
          <w:color w:val="000000"/>
          <w:sz w:val="24"/>
          <w:szCs w:val="24"/>
        </w:rPr>
        <w:t xml:space="preserve"> </w:t>
      </w:r>
    </w:p>
    <w:p w14:paraId="60739346" w14:textId="05C15EDD" w:rsidR="00177564" w:rsidRDefault="00177564" w:rsidP="006F4AD8">
      <w:pPr>
        <w:pStyle w:val="FootnoteText"/>
        <w:tabs>
          <w:tab w:val="left" w:pos="0"/>
        </w:tabs>
        <w:jc w:val="both"/>
        <w:rPr>
          <w:bCs/>
          <w:i/>
          <w:iCs/>
          <w:color w:val="000000"/>
          <w:sz w:val="24"/>
          <w:szCs w:val="24"/>
        </w:rPr>
      </w:pPr>
      <w:r>
        <w:rPr>
          <w:bCs/>
          <w:color w:val="000000"/>
          <w:sz w:val="24"/>
          <w:szCs w:val="24"/>
        </w:rPr>
        <w:tab/>
      </w:r>
      <w:r w:rsidRPr="00177564">
        <w:rPr>
          <w:bCs/>
          <w:color w:val="000000"/>
          <w:sz w:val="24"/>
          <w:szCs w:val="24"/>
        </w:rPr>
        <w:t>access gap across America for underserved population. </w:t>
      </w:r>
      <w:r w:rsidRPr="00177564">
        <w:rPr>
          <w:bCs/>
          <w:i/>
          <w:iCs/>
          <w:color w:val="000000"/>
          <w:sz w:val="24"/>
          <w:szCs w:val="24"/>
        </w:rPr>
        <w:t xml:space="preserve">Transportation </w:t>
      </w:r>
      <w:r w:rsidR="0093518D">
        <w:rPr>
          <w:bCs/>
          <w:i/>
          <w:iCs/>
          <w:color w:val="000000"/>
          <w:sz w:val="24"/>
          <w:szCs w:val="24"/>
        </w:rPr>
        <w:t>R</w:t>
      </w:r>
      <w:r w:rsidRPr="00177564">
        <w:rPr>
          <w:bCs/>
          <w:i/>
          <w:iCs/>
          <w:color w:val="000000"/>
          <w:sz w:val="24"/>
          <w:szCs w:val="24"/>
        </w:rPr>
        <w:t xml:space="preserve">esearch </w:t>
      </w:r>
    </w:p>
    <w:p w14:paraId="0B50A89E" w14:textId="6144AC5E" w:rsidR="005C021A" w:rsidRDefault="00177564" w:rsidP="006F4AD8">
      <w:pPr>
        <w:pStyle w:val="FootnoteText"/>
        <w:tabs>
          <w:tab w:val="left" w:pos="0"/>
        </w:tabs>
        <w:jc w:val="both"/>
        <w:rPr>
          <w:bCs/>
          <w:color w:val="000000"/>
          <w:sz w:val="24"/>
          <w:szCs w:val="24"/>
        </w:rPr>
      </w:pPr>
      <w:r>
        <w:rPr>
          <w:bCs/>
          <w:i/>
          <w:iCs/>
          <w:color w:val="000000"/>
          <w:sz w:val="24"/>
          <w:szCs w:val="24"/>
        </w:rPr>
        <w:tab/>
      </w:r>
      <w:r w:rsidR="0093518D">
        <w:rPr>
          <w:bCs/>
          <w:i/>
          <w:iCs/>
          <w:color w:val="000000"/>
          <w:sz w:val="24"/>
          <w:szCs w:val="24"/>
        </w:rPr>
        <w:t>R</w:t>
      </w:r>
      <w:r w:rsidRPr="00177564">
        <w:rPr>
          <w:bCs/>
          <w:i/>
          <w:iCs/>
          <w:color w:val="000000"/>
          <w:sz w:val="24"/>
          <w:szCs w:val="24"/>
        </w:rPr>
        <w:t>ecord</w:t>
      </w:r>
      <w:r w:rsidRPr="00177564">
        <w:rPr>
          <w:bCs/>
          <w:color w:val="000000"/>
          <w:sz w:val="24"/>
          <w:szCs w:val="24"/>
        </w:rPr>
        <w:t>, </w:t>
      </w:r>
      <w:r w:rsidRPr="00177564">
        <w:rPr>
          <w:bCs/>
          <w:i/>
          <w:iCs/>
          <w:color w:val="000000"/>
          <w:sz w:val="24"/>
          <w:szCs w:val="24"/>
        </w:rPr>
        <w:t>2678</w:t>
      </w:r>
      <w:r w:rsidRPr="00177564">
        <w:rPr>
          <w:bCs/>
          <w:color w:val="000000"/>
          <w:sz w:val="24"/>
          <w:szCs w:val="24"/>
        </w:rPr>
        <w:t>(1), 674-690.</w:t>
      </w:r>
      <w:r>
        <w:rPr>
          <w:bCs/>
          <w:color w:val="000000"/>
          <w:sz w:val="24"/>
          <w:szCs w:val="24"/>
        </w:rPr>
        <w:t xml:space="preserve"> </w:t>
      </w:r>
      <w:hyperlink r:id="rId39" w:history="1">
        <w:r w:rsidRPr="00177564">
          <w:rPr>
            <w:rStyle w:val="Hyperlink"/>
            <w:bCs/>
            <w:sz w:val="24"/>
            <w:szCs w:val="24"/>
          </w:rPr>
          <w:t>https://doi.org/10.1177/03611981231171914</w:t>
        </w:r>
      </w:hyperlink>
    </w:p>
    <w:p w14:paraId="7E5A5714" w14:textId="77777777" w:rsidR="002130BB" w:rsidRDefault="002130BB" w:rsidP="006F4AD8">
      <w:pPr>
        <w:pStyle w:val="FootnoteText"/>
        <w:tabs>
          <w:tab w:val="left" w:pos="0"/>
        </w:tabs>
        <w:jc w:val="both"/>
        <w:rPr>
          <w:bCs/>
          <w:color w:val="000000"/>
          <w:sz w:val="24"/>
          <w:szCs w:val="24"/>
        </w:rPr>
      </w:pPr>
      <w:r w:rsidRPr="002130BB">
        <w:rPr>
          <w:bCs/>
          <w:color w:val="000000"/>
          <w:sz w:val="24"/>
          <w:szCs w:val="24"/>
        </w:rPr>
        <w:t xml:space="preserve">Manville, M., Taylor, B. D., Blumenberg, E., &amp; Schouten, A. (2023). Vehicle access and falling </w:t>
      </w:r>
    </w:p>
    <w:p w14:paraId="612119AD" w14:textId="77777777" w:rsidR="002130BB" w:rsidRDefault="002130BB" w:rsidP="006F4AD8">
      <w:pPr>
        <w:pStyle w:val="FootnoteText"/>
        <w:tabs>
          <w:tab w:val="left" w:pos="0"/>
        </w:tabs>
        <w:jc w:val="both"/>
        <w:rPr>
          <w:bCs/>
          <w:color w:val="000000"/>
          <w:sz w:val="24"/>
          <w:szCs w:val="24"/>
        </w:rPr>
      </w:pPr>
      <w:r>
        <w:rPr>
          <w:bCs/>
          <w:color w:val="000000"/>
          <w:sz w:val="24"/>
          <w:szCs w:val="24"/>
        </w:rPr>
        <w:tab/>
      </w:r>
      <w:r w:rsidRPr="002130BB">
        <w:rPr>
          <w:bCs/>
          <w:color w:val="000000"/>
          <w:sz w:val="24"/>
          <w:szCs w:val="24"/>
        </w:rPr>
        <w:t>transit ridership: evidence from Southern California. </w:t>
      </w:r>
      <w:r w:rsidRPr="002130BB">
        <w:rPr>
          <w:bCs/>
          <w:i/>
          <w:iCs/>
          <w:color w:val="000000"/>
          <w:sz w:val="24"/>
          <w:szCs w:val="24"/>
        </w:rPr>
        <w:t>Transportation</w:t>
      </w:r>
      <w:r w:rsidRPr="002130BB">
        <w:rPr>
          <w:bCs/>
          <w:color w:val="000000"/>
          <w:sz w:val="24"/>
          <w:szCs w:val="24"/>
        </w:rPr>
        <w:t>, </w:t>
      </w:r>
      <w:r w:rsidRPr="002130BB">
        <w:rPr>
          <w:bCs/>
          <w:i/>
          <w:iCs/>
          <w:color w:val="000000"/>
          <w:sz w:val="24"/>
          <w:szCs w:val="24"/>
        </w:rPr>
        <w:t>50</w:t>
      </w:r>
      <w:r w:rsidRPr="002130BB">
        <w:rPr>
          <w:bCs/>
          <w:color w:val="000000"/>
          <w:sz w:val="24"/>
          <w:szCs w:val="24"/>
        </w:rPr>
        <w:t>(1), 303-329.</w:t>
      </w:r>
      <w:r>
        <w:rPr>
          <w:bCs/>
          <w:color w:val="000000"/>
          <w:sz w:val="24"/>
          <w:szCs w:val="24"/>
        </w:rPr>
        <w:t xml:space="preserve"> </w:t>
      </w:r>
    </w:p>
    <w:p w14:paraId="228F20AE" w14:textId="5AFA87F5" w:rsidR="00177564" w:rsidRDefault="002130BB" w:rsidP="006F4AD8">
      <w:pPr>
        <w:pStyle w:val="FootnoteText"/>
        <w:tabs>
          <w:tab w:val="left" w:pos="0"/>
        </w:tabs>
        <w:jc w:val="both"/>
        <w:rPr>
          <w:bCs/>
          <w:color w:val="000000"/>
          <w:sz w:val="24"/>
          <w:szCs w:val="24"/>
        </w:rPr>
      </w:pPr>
      <w:r>
        <w:rPr>
          <w:bCs/>
          <w:color w:val="000000"/>
          <w:sz w:val="24"/>
          <w:szCs w:val="24"/>
        </w:rPr>
        <w:tab/>
      </w:r>
      <w:hyperlink r:id="rId40" w:history="1">
        <w:r w:rsidRPr="00B13457">
          <w:rPr>
            <w:rStyle w:val="Hyperlink"/>
            <w:bCs/>
            <w:sz w:val="24"/>
            <w:szCs w:val="24"/>
          </w:rPr>
          <w:t>https://doi.org/10.1007/s11116-021-10245-w</w:t>
        </w:r>
      </w:hyperlink>
      <w:r>
        <w:rPr>
          <w:bCs/>
          <w:color w:val="000000"/>
          <w:sz w:val="24"/>
          <w:szCs w:val="24"/>
        </w:rPr>
        <w:t xml:space="preserve"> </w:t>
      </w:r>
    </w:p>
    <w:p w14:paraId="1605ED97" w14:textId="77777777" w:rsidR="00E73860" w:rsidRDefault="00E73860" w:rsidP="006F4AD8">
      <w:pPr>
        <w:pStyle w:val="FootnoteText"/>
        <w:tabs>
          <w:tab w:val="left" w:pos="0"/>
        </w:tabs>
        <w:jc w:val="both"/>
        <w:rPr>
          <w:bCs/>
          <w:i/>
          <w:iCs/>
          <w:color w:val="000000"/>
          <w:sz w:val="24"/>
          <w:szCs w:val="24"/>
        </w:rPr>
      </w:pPr>
      <w:r w:rsidRPr="00E73860">
        <w:rPr>
          <w:bCs/>
          <w:color w:val="000000"/>
          <w:sz w:val="24"/>
          <w:szCs w:val="24"/>
        </w:rPr>
        <w:t xml:space="preserve">McGraw, J., Haas, P., Ewing, R., &amp; Sabouri, S. (2021). </w:t>
      </w:r>
      <w:r w:rsidRPr="00E73860">
        <w:rPr>
          <w:bCs/>
          <w:i/>
          <w:iCs/>
          <w:color w:val="000000"/>
          <w:sz w:val="24"/>
          <w:szCs w:val="24"/>
        </w:rPr>
        <w:t xml:space="preserve">An Update on Public Transportation’s </w:t>
      </w:r>
    </w:p>
    <w:p w14:paraId="09574C1C" w14:textId="77777777" w:rsidR="00E73860" w:rsidRDefault="00E73860" w:rsidP="006F4AD8">
      <w:pPr>
        <w:pStyle w:val="FootnoteText"/>
        <w:tabs>
          <w:tab w:val="left" w:pos="0"/>
        </w:tabs>
        <w:jc w:val="both"/>
        <w:rPr>
          <w:bCs/>
          <w:color w:val="000000"/>
          <w:sz w:val="24"/>
          <w:szCs w:val="24"/>
        </w:rPr>
      </w:pPr>
      <w:r>
        <w:rPr>
          <w:bCs/>
          <w:i/>
          <w:iCs/>
          <w:color w:val="000000"/>
          <w:sz w:val="24"/>
          <w:szCs w:val="24"/>
        </w:rPr>
        <w:tab/>
      </w:r>
      <w:r w:rsidRPr="00E73860">
        <w:rPr>
          <w:bCs/>
          <w:i/>
          <w:iCs/>
          <w:color w:val="000000"/>
          <w:sz w:val="24"/>
          <w:szCs w:val="24"/>
        </w:rPr>
        <w:t>Impacts on Greenhouse Gas Emissions</w:t>
      </w:r>
      <w:r w:rsidRPr="00E73860">
        <w:rPr>
          <w:bCs/>
          <w:color w:val="000000"/>
          <w:sz w:val="24"/>
          <w:szCs w:val="24"/>
        </w:rPr>
        <w:t xml:space="preserve">. The National Academies Press. </w:t>
      </w:r>
    </w:p>
    <w:p w14:paraId="164E13E8" w14:textId="77EA1CBD" w:rsidR="00E73860" w:rsidRDefault="00E73860" w:rsidP="006F4AD8">
      <w:pPr>
        <w:pStyle w:val="FootnoteText"/>
        <w:tabs>
          <w:tab w:val="left" w:pos="0"/>
        </w:tabs>
        <w:jc w:val="both"/>
        <w:rPr>
          <w:bCs/>
          <w:color w:val="000000"/>
          <w:sz w:val="24"/>
          <w:szCs w:val="24"/>
        </w:rPr>
      </w:pPr>
      <w:r>
        <w:rPr>
          <w:bCs/>
          <w:color w:val="000000"/>
          <w:sz w:val="24"/>
          <w:szCs w:val="24"/>
        </w:rPr>
        <w:tab/>
      </w:r>
      <w:hyperlink r:id="rId41" w:history="1">
        <w:r w:rsidR="000961AD" w:rsidRPr="00B13457">
          <w:rPr>
            <w:rStyle w:val="Hyperlink"/>
            <w:bCs/>
            <w:sz w:val="24"/>
            <w:szCs w:val="24"/>
          </w:rPr>
          <w:t>https://doi.org/10.17226/26103</w:t>
        </w:r>
      </w:hyperlink>
      <w:r w:rsidR="000961AD">
        <w:rPr>
          <w:bCs/>
          <w:color w:val="000000"/>
          <w:sz w:val="24"/>
          <w:szCs w:val="24"/>
        </w:rPr>
        <w:t xml:space="preserve"> </w:t>
      </w:r>
    </w:p>
    <w:p w14:paraId="5C6C70AC" w14:textId="77777777" w:rsidR="001F3DEC" w:rsidRDefault="001F3DEC" w:rsidP="006F4AD8">
      <w:pPr>
        <w:pStyle w:val="FootnoteText"/>
        <w:tabs>
          <w:tab w:val="left" w:pos="0"/>
        </w:tabs>
        <w:jc w:val="both"/>
        <w:rPr>
          <w:bCs/>
          <w:color w:val="000000"/>
          <w:sz w:val="24"/>
          <w:szCs w:val="24"/>
        </w:rPr>
      </w:pPr>
      <w:r w:rsidRPr="001F3DEC">
        <w:rPr>
          <w:bCs/>
          <w:color w:val="000000"/>
          <w:sz w:val="24"/>
          <w:szCs w:val="24"/>
        </w:rPr>
        <w:t xml:space="preserve">Mers, B., Watkins, K., &amp; Hunter, M. (2024). Demographic breakdown of transit rider </w:t>
      </w:r>
    </w:p>
    <w:p w14:paraId="1109E717" w14:textId="77777777" w:rsidR="001F3DEC" w:rsidRDefault="001F3DEC" w:rsidP="006F4AD8">
      <w:pPr>
        <w:pStyle w:val="FootnoteText"/>
        <w:tabs>
          <w:tab w:val="left" w:pos="0"/>
        </w:tabs>
        <w:jc w:val="both"/>
        <w:rPr>
          <w:bCs/>
          <w:color w:val="000000"/>
          <w:sz w:val="24"/>
          <w:szCs w:val="24"/>
        </w:rPr>
      </w:pPr>
      <w:r>
        <w:rPr>
          <w:bCs/>
          <w:color w:val="000000"/>
          <w:sz w:val="24"/>
          <w:szCs w:val="24"/>
        </w:rPr>
        <w:tab/>
      </w:r>
      <w:r w:rsidRPr="001F3DEC">
        <w:rPr>
          <w:bCs/>
          <w:color w:val="000000"/>
          <w:sz w:val="24"/>
          <w:szCs w:val="24"/>
        </w:rPr>
        <w:t>satisfaction. </w:t>
      </w:r>
      <w:r w:rsidRPr="001F3DEC">
        <w:rPr>
          <w:bCs/>
          <w:i/>
          <w:iCs/>
          <w:color w:val="000000"/>
          <w:sz w:val="24"/>
          <w:szCs w:val="24"/>
        </w:rPr>
        <w:t>Transportation Research Record</w:t>
      </w:r>
      <w:r w:rsidRPr="001F3DEC">
        <w:rPr>
          <w:bCs/>
          <w:color w:val="000000"/>
          <w:sz w:val="24"/>
          <w:szCs w:val="24"/>
        </w:rPr>
        <w:t>, </w:t>
      </w:r>
      <w:r w:rsidRPr="001F3DEC">
        <w:rPr>
          <w:bCs/>
          <w:i/>
          <w:iCs/>
          <w:color w:val="000000"/>
          <w:sz w:val="24"/>
          <w:szCs w:val="24"/>
        </w:rPr>
        <w:t>2678</w:t>
      </w:r>
      <w:r w:rsidRPr="001F3DEC">
        <w:rPr>
          <w:bCs/>
          <w:color w:val="000000"/>
          <w:sz w:val="24"/>
          <w:szCs w:val="24"/>
        </w:rPr>
        <w:t>(6), 656-666.</w:t>
      </w:r>
      <w:r>
        <w:rPr>
          <w:bCs/>
          <w:color w:val="000000"/>
          <w:sz w:val="24"/>
          <w:szCs w:val="24"/>
        </w:rPr>
        <w:t xml:space="preserve"> </w:t>
      </w:r>
    </w:p>
    <w:p w14:paraId="316DC390" w14:textId="797A5CD4" w:rsidR="000961AD" w:rsidRDefault="001F3DEC" w:rsidP="006F4AD8">
      <w:pPr>
        <w:pStyle w:val="FootnoteText"/>
        <w:tabs>
          <w:tab w:val="left" w:pos="0"/>
        </w:tabs>
        <w:jc w:val="both"/>
        <w:rPr>
          <w:bCs/>
          <w:color w:val="000000"/>
          <w:sz w:val="24"/>
          <w:szCs w:val="24"/>
        </w:rPr>
      </w:pPr>
      <w:r>
        <w:rPr>
          <w:bCs/>
          <w:color w:val="000000"/>
          <w:sz w:val="24"/>
          <w:szCs w:val="24"/>
        </w:rPr>
        <w:tab/>
      </w:r>
      <w:hyperlink r:id="rId42" w:history="1">
        <w:r w:rsidRPr="00B13457">
          <w:rPr>
            <w:rStyle w:val="Hyperlink"/>
            <w:bCs/>
            <w:sz w:val="24"/>
            <w:szCs w:val="24"/>
          </w:rPr>
          <w:t>https://doi.org/10.1177/03611981231198836</w:t>
        </w:r>
      </w:hyperlink>
    </w:p>
    <w:p w14:paraId="0AF88435" w14:textId="77777777" w:rsidR="00616744" w:rsidRDefault="00616744" w:rsidP="006F4AD8">
      <w:pPr>
        <w:pStyle w:val="FootnoteText"/>
        <w:tabs>
          <w:tab w:val="left" w:pos="0"/>
        </w:tabs>
        <w:jc w:val="both"/>
        <w:rPr>
          <w:bCs/>
          <w:color w:val="000000"/>
          <w:sz w:val="24"/>
          <w:szCs w:val="24"/>
        </w:rPr>
      </w:pPr>
      <w:r w:rsidRPr="00616744">
        <w:rPr>
          <w:bCs/>
          <w:color w:val="000000"/>
          <w:sz w:val="24"/>
          <w:szCs w:val="24"/>
        </w:rPr>
        <w:t xml:space="preserve">Morris, E. A., Speroni, S., &amp; Taylor, B. D. (2025). Going nowhere faster: Did the covid-19 </w:t>
      </w:r>
    </w:p>
    <w:p w14:paraId="4C0EF68A" w14:textId="2B8C616F" w:rsidR="00616744" w:rsidRDefault="00616744" w:rsidP="006F4AD8">
      <w:pPr>
        <w:pStyle w:val="FootnoteText"/>
        <w:tabs>
          <w:tab w:val="left" w:pos="0"/>
        </w:tabs>
        <w:jc w:val="both"/>
        <w:rPr>
          <w:bCs/>
          <w:i/>
          <w:iCs/>
          <w:color w:val="000000"/>
          <w:sz w:val="24"/>
          <w:szCs w:val="24"/>
        </w:rPr>
      </w:pPr>
      <w:r>
        <w:rPr>
          <w:bCs/>
          <w:color w:val="000000"/>
          <w:sz w:val="24"/>
          <w:szCs w:val="24"/>
        </w:rPr>
        <w:tab/>
      </w:r>
      <w:proofErr w:type="gramStart"/>
      <w:r w:rsidRPr="00616744">
        <w:rPr>
          <w:bCs/>
          <w:color w:val="000000"/>
          <w:sz w:val="24"/>
          <w:szCs w:val="24"/>
        </w:rPr>
        <w:t>pandemic</w:t>
      </w:r>
      <w:proofErr w:type="gramEnd"/>
      <w:r w:rsidRPr="00616744">
        <w:rPr>
          <w:bCs/>
          <w:color w:val="000000"/>
          <w:sz w:val="24"/>
          <w:szCs w:val="24"/>
        </w:rPr>
        <w:t xml:space="preserve"> accelerate the trend toward staying home? </w:t>
      </w:r>
      <w:r w:rsidRPr="00616744">
        <w:rPr>
          <w:bCs/>
          <w:i/>
          <w:iCs/>
          <w:color w:val="000000"/>
          <w:sz w:val="24"/>
          <w:szCs w:val="24"/>
        </w:rPr>
        <w:t xml:space="preserve">Journal of the American Planning </w:t>
      </w:r>
    </w:p>
    <w:p w14:paraId="41956F00" w14:textId="771FAAEB" w:rsidR="00616744" w:rsidRDefault="00616744" w:rsidP="006F4AD8">
      <w:pPr>
        <w:pStyle w:val="FootnoteText"/>
        <w:tabs>
          <w:tab w:val="left" w:pos="0"/>
        </w:tabs>
        <w:ind w:left="720"/>
        <w:jc w:val="both"/>
        <w:rPr>
          <w:bCs/>
          <w:color w:val="000000"/>
          <w:sz w:val="24"/>
          <w:szCs w:val="24"/>
        </w:rPr>
      </w:pPr>
      <w:r w:rsidRPr="00616744">
        <w:rPr>
          <w:bCs/>
          <w:i/>
          <w:iCs/>
          <w:color w:val="000000"/>
          <w:sz w:val="24"/>
          <w:szCs w:val="24"/>
        </w:rPr>
        <w:t>Association</w:t>
      </w:r>
      <w:r w:rsidRPr="00616744">
        <w:rPr>
          <w:bCs/>
          <w:color w:val="000000"/>
          <w:sz w:val="24"/>
          <w:szCs w:val="24"/>
        </w:rPr>
        <w:t>, </w:t>
      </w:r>
      <w:r w:rsidRPr="00616744">
        <w:rPr>
          <w:bCs/>
          <w:i/>
          <w:iCs/>
          <w:color w:val="000000"/>
          <w:sz w:val="24"/>
          <w:szCs w:val="24"/>
        </w:rPr>
        <w:t>91</w:t>
      </w:r>
      <w:r w:rsidRPr="00616744">
        <w:rPr>
          <w:bCs/>
          <w:color w:val="000000"/>
          <w:sz w:val="24"/>
          <w:szCs w:val="24"/>
        </w:rPr>
        <w:t>(3), 361-379.</w:t>
      </w:r>
      <w:r>
        <w:rPr>
          <w:bCs/>
          <w:color w:val="000000"/>
          <w:sz w:val="24"/>
          <w:szCs w:val="24"/>
        </w:rPr>
        <w:t xml:space="preserve"> </w:t>
      </w:r>
      <w:hyperlink r:id="rId43" w:history="1">
        <w:r w:rsidRPr="00616744">
          <w:rPr>
            <w:rStyle w:val="Hyperlink"/>
            <w:bCs/>
            <w:sz w:val="24"/>
            <w:szCs w:val="24"/>
          </w:rPr>
          <w:t>https://doi.org/10.1080/01944363.2024.2385327</w:t>
        </w:r>
      </w:hyperlink>
    </w:p>
    <w:p w14:paraId="2854C932" w14:textId="6157A697" w:rsidR="00616744" w:rsidRDefault="00D871A1" w:rsidP="006F4AD8">
      <w:pPr>
        <w:pStyle w:val="FootnoteText"/>
        <w:tabs>
          <w:tab w:val="left" w:pos="0"/>
        </w:tabs>
        <w:jc w:val="both"/>
        <w:rPr>
          <w:bCs/>
          <w:color w:val="000000"/>
          <w:sz w:val="24"/>
          <w:szCs w:val="24"/>
        </w:rPr>
      </w:pPr>
      <w:r w:rsidRPr="00D871A1">
        <w:rPr>
          <w:bCs/>
          <w:color w:val="000000"/>
          <w:sz w:val="24"/>
          <w:szCs w:val="24"/>
        </w:rPr>
        <w:t xml:space="preserve">National Safety Council. (2026). </w:t>
      </w:r>
      <w:r w:rsidRPr="00D871A1">
        <w:rPr>
          <w:bCs/>
          <w:i/>
          <w:iCs/>
          <w:color w:val="000000"/>
          <w:sz w:val="24"/>
          <w:szCs w:val="24"/>
        </w:rPr>
        <w:t>Deaths by Transportation Mode</w:t>
      </w:r>
      <w:r w:rsidRPr="00D871A1">
        <w:rPr>
          <w:bCs/>
          <w:color w:val="000000"/>
          <w:sz w:val="24"/>
          <w:szCs w:val="24"/>
        </w:rPr>
        <w:t xml:space="preserve">. </w:t>
      </w:r>
      <w:r w:rsidR="00335D51">
        <w:rPr>
          <w:bCs/>
          <w:color w:val="000000"/>
          <w:sz w:val="24"/>
          <w:szCs w:val="24"/>
        </w:rPr>
        <w:t>Injury Facts.</w:t>
      </w:r>
    </w:p>
    <w:p w14:paraId="0D6740F4" w14:textId="77777777" w:rsidR="004A0451" w:rsidRDefault="004A0451" w:rsidP="006F4AD8">
      <w:pPr>
        <w:pStyle w:val="FootnoteText"/>
        <w:tabs>
          <w:tab w:val="left" w:pos="0"/>
        </w:tabs>
        <w:jc w:val="both"/>
        <w:rPr>
          <w:bCs/>
          <w:color w:val="000000"/>
          <w:sz w:val="24"/>
          <w:szCs w:val="24"/>
        </w:rPr>
      </w:pPr>
      <w:proofErr w:type="spellStart"/>
      <w:r w:rsidRPr="006F4AD8">
        <w:rPr>
          <w:bCs/>
          <w:color w:val="000000"/>
          <w:sz w:val="24"/>
          <w:szCs w:val="24"/>
          <w:lang w:val="es-ES"/>
        </w:rPr>
        <w:t>Redelmeier</w:t>
      </w:r>
      <w:proofErr w:type="spellEnd"/>
      <w:r w:rsidRPr="006F4AD8">
        <w:rPr>
          <w:bCs/>
          <w:color w:val="000000"/>
          <w:sz w:val="24"/>
          <w:szCs w:val="24"/>
          <w:lang w:val="es-ES"/>
        </w:rPr>
        <w:t>, P., &amp; El-</w:t>
      </w:r>
      <w:proofErr w:type="spellStart"/>
      <w:r w:rsidRPr="006F4AD8">
        <w:rPr>
          <w:bCs/>
          <w:color w:val="000000"/>
          <w:sz w:val="24"/>
          <w:szCs w:val="24"/>
          <w:lang w:val="es-ES"/>
        </w:rPr>
        <w:t>Geneidy</w:t>
      </w:r>
      <w:proofErr w:type="spellEnd"/>
      <w:r w:rsidRPr="006F4AD8">
        <w:rPr>
          <w:bCs/>
          <w:color w:val="000000"/>
          <w:sz w:val="24"/>
          <w:szCs w:val="24"/>
          <w:lang w:val="es-ES"/>
        </w:rPr>
        <w:t xml:space="preserve">, A. (2024). </w:t>
      </w:r>
      <w:r w:rsidRPr="004A0451">
        <w:rPr>
          <w:bCs/>
          <w:color w:val="000000"/>
          <w:sz w:val="24"/>
          <w:szCs w:val="24"/>
        </w:rPr>
        <w:t xml:space="preserve">If you cut </w:t>
      </w:r>
      <w:proofErr w:type="gramStart"/>
      <w:r w:rsidRPr="004A0451">
        <w:rPr>
          <w:bCs/>
          <w:color w:val="000000"/>
          <w:sz w:val="24"/>
          <w:szCs w:val="24"/>
        </w:rPr>
        <w:t>it</w:t>
      </w:r>
      <w:proofErr w:type="gramEnd"/>
      <w:r w:rsidRPr="004A0451">
        <w:rPr>
          <w:bCs/>
          <w:color w:val="000000"/>
          <w:sz w:val="24"/>
          <w:szCs w:val="24"/>
        </w:rPr>
        <w:t xml:space="preserve"> will they ride? Longitudinal examination </w:t>
      </w:r>
    </w:p>
    <w:p w14:paraId="7312AE70" w14:textId="77777777" w:rsidR="004A0451" w:rsidRDefault="004A0451" w:rsidP="006F4AD8">
      <w:pPr>
        <w:pStyle w:val="FootnoteText"/>
        <w:tabs>
          <w:tab w:val="left" w:pos="0"/>
        </w:tabs>
        <w:jc w:val="both"/>
        <w:rPr>
          <w:bCs/>
          <w:i/>
          <w:iCs/>
          <w:color w:val="000000"/>
          <w:sz w:val="24"/>
          <w:szCs w:val="24"/>
        </w:rPr>
      </w:pPr>
      <w:r>
        <w:rPr>
          <w:bCs/>
          <w:color w:val="000000"/>
          <w:sz w:val="24"/>
          <w:szCs w:val="24"/>
        </w:rPr>
        <w:lastRenderedPageBreak/>
        <w:tab/>
      </w:r>
      <w:r w:rsidRPr="004A0451">
        <w:rPr>
          <w:bCs/>
          <w:color w:val="000000"/>
          <w:sz w:val="24"/>
          <w:szCs w:val="24"/>
        </w:rPr>
        <w:t>of the elasticity of public transport ridership in the post-pandemic era. </w:t>
      </w:r>
      <w:r w:rsidRPr="004A0451">
        <w:rPr>
          <w:bCs/>
          <w:i/>
          <w:iCs/>
          <w:color w:val="000000"/>
          <w:sz w:val="24"/>
          <w:szCs w:val="24"/>
        </w:rPr>
        <w:t xml:space="preserve">Transportation </w:t>
      </w:r>
    </w:p>
    <w:p w14:paraId="3A43B24B" w14:textId="63A7DD48" w:rsidR="00335D51" w:rsidRDefault="004A0451" w:rsidP="006F4AD8">
      <w:pPr>
        <w:pStyle w:val="FootnoteText"/>
        <w:tabs>
          <w:tab w:val="left" w:pos="0"/>
        </w:tabs>
        <w:jc w:val="both"/>
        <w:rPr>
          <w:bCs/>
          <w:color w:val="000000"/>
          <w:sz w:val="24"/>
          <w:szCs w:val="24"/>
        </w:rPr>
      </w:pPr>
      <w:r>
        <w:rPr>
          <w:bCs/>
          <w:i/>
          <w:iCs/>
          <w:color w:val="000000"/>
          <w:sz w:val="24"/>
          <w:szCs w:val="24"/>
        </w:rPr>
        <w:tab/>
      </w:r>
      <w:r w:rsidRPr="004A0451">
        <w:rPr>
          <w:bCs/>
          <w:i/>
          <w:iCs/>
          <w:color w:val="000000"/>
          <w:sz w:val="24"/>
          <w:szCs w:val="24"/>
        </w:rPr>
        <w:t>Research Record</w:t>
      </w:r>
      <w:r w:rsidRPr="004A0451">
        <w:rPr>
          <w:bCs/>
          <w:color w:val="000000"/>
          <w:sz w:val="24"/>
          <w:szCs w:val="24"/>
        </w:rPr>
        <w:t>, </w:t>
      </w:r>
      <w:r w:rsidRPr="004A0451">
        <w:rPr>
          <w:bCs/>
          <w:i/>
          <w:iCs/>
          <w:color w:val="000000"/>
          <w:sz w:val="24"/>
          <w:szCs w:val="24"/>
        </w:rPr>
        <w:t>2678</w:t>
      </w:r>
      <w:r w:rsidRPr="004A0451">
        <w:rPr>
          <w:bCs/>
          <w:color w:val="000000"/>
          <w:sz w:val="24"/>
          <w:szCs w:val="24"/>
        </w:rPr>
        <w:t>(11), 241-252.</w:t>
      </w:r>
      <w:r>
        <w:rPr>
          <w:bCs/>
          <w:color w:val="000000"/>
          <w:sz w:val="24"/>
          <w:szCs w:val="24"/>
        </w:rPr>
        <w:t xml:space="preserve"> </w:t>
      </w:r>
      <w:hyperlink r:id="rId44" w:history="1">
        <w:r w:rsidR="00A5766A" w:rsidRPr="00A5766A">
          <w:rPr>
            <w:rStyle w:val="Hyperlink"/>
            <w:bCs/>
            <w:sz w:val="24"/>
            <w:szCs w:val="24"/>
          </w:rPr>
          <w:t>https://doi.org/10.1177/03611981241240754</w:t>
        </w:r>
      </w:hyperlink>
    </w:p>
    <w:p w14:paraId="37C78121" w14:textId="1C3B7D0C" w:rsidR="00921D13" w:rsidRDefault="00921D13" w:rsidP="006F4AD8">
      <w:pPr>
        <w:pStyle w:val="FootnoteText"/>
        <w:tabs>
          <w:tab w:val="left" w:pos="0"/>
        </w:tabs>
        <w:jc w:val="both"/>
        <w:rPr>
          <w:bCs/>
          <w:i/>
          <w:iCs/>
          <w:color w:val="000000"/>
          <w:sz w:val="24"/>
          <w:szCs w:val="24"/>
        </w:rPr>
      </w:pPr>
      <w:r w:rsidRPr="00921D13">
        <w:rPr>
          <w:bCs/>
          <w:color w:val="000000"/>
          <w:sz w:val="24"/>
          <w:szCs w:val="24"/>
        </w:rPr>
        <w:t>Ryan, S., &amp; Frank, L. F. (2009). Pedestrian environments and transit ridership. </w:t>
      </w:r>
      <w:r w:rsidRPr="00921D13">
        <w:rPr>
          <w:bCs/>
          <w:i/>
          <w:iCs/>
          <w:color w:val="000000"/>
          <w:sz w:val="24"/>
          <w:szCs w:val="24"/>
        </w:rPr>
        <w:t xml:space="preserve">Journal of </w:t>
      </w:r>
      <w:r w:rsidR="0093518D">
        <w:rPr>
          <w:bCs/>
          <w:i/>
          <w:iCs/>
          <w:color w:val="000000"/>
          <w:sz w:val="24"/>
          <w:szCs w:val="24"/>
        </w:rPr>
        <w:t>P</w:t>
      </w:r>
      <w:r w:rsidRPr="00921D13">
        <w:rPr>
          <w:bCs/>
          <w:i/>
          <w:iCs/>
          <w:color w:val="000000"/>
          <w:sz w:val="24"/>
          <w:szCs w:val="24"/>
        </w:rPr>
        <w:t xml:space="preserve">ublic </w:t>
      </w:r>
    </w:p>
    <w:p w14:paraId="2B67F68A" w14:textId="068BD1D2" w:rsidR="00A5766A" w:rsidRDefault="00921D13" w:rsidP="006F4AD8">
      <w:pPr>
        <w:pStyle w:val="FootnoteText"/>
        <w:tabs>
          <w:tab w:val="left" w:pos="0"/>
        </w:tabs>
        <w:jc w:val="both"/>
        <w:rPr>
          <w:bCs/>
          <w:color w:val="000000"/>
          <w:sz w:val="24"/>
          <w:szCs w:val="24"/>
        </w:rPr>
      </w:pPr>
      <w:r>
        <w:rPr>
          <w:bCs/>
          <w:i/>
          <w:iCs/>
          <w:color w:val="000000"/>
          <w:sz w:val="24"/>
          <w:szCs w:val="24"/>
        </w:rPr>
        <w:tab/>
      </w:r>
      <w:r w:rsidR="0093518D">
        <w:rPr>
          <w:bCs/>
          <w:i/>
          <w:iCs/>
          <w:color w:val="000000"/>
          <w:sz w:val="24"/>
          <w:szCs w:val="24"/>
        </w:rPr>
        <w:t>T</w:t>
      </w:r>
      <w:r w:rsidRPr="00921D13">
        <w:rPr>
          <w:bCs/>
          <w:i/>
          <w:iCs/>
          <w:color w:val="000000"/>
          <w:sz w:val="24"/>
          <w:szCs w:val="24"/>
        </w:rPr>
        <w:t>ransportation</w:t>
      </w:r>
      <w:r w:rsidRPr="00921D13">
        <w:rPr>
          <w:bCs/>
          <w:color w:val="000000"/>
          <w:sz w:val="24"/>
          <w:szCs w:val="24"/>
        </w:rPr>
        <w:t>, </w:t>
      </w:r>
      <w:r w:rsidRPr="00921D13">
        <w:rPr>
          <w:bCs/>
          <w:i/>
          <w:iCs/>
          <w:color w:val="000000"/>
          <w:sz w:val="24"/>
          <w:szCs w:val="24"/>
        </w:rPr>
        <w:t>12</w:t>
      </w:r>
      <w:r w:rsidRPr="00921D13">
        <w:rPr>
          <w:bCs/>
          <w:color w:val="000000"/>
          <w:sz w:val="24"/>
          <w:szCs w:val="24"/>
        </w:rPr>
        <w:t>(1), 3</w:t>
      </w:r>
      <w:r w:rsidR="00B424D0">
        <w:rPr>
          <w:bCs/>
          <w:color w:val="000000"/>
          <w:sz w:val="24"/>
          <w:szCs w:val="24"/>
        </w:rPr>
        <w:t>9-57</w:t>
      </w:r>
      <w:r w:rsidRPr="00921D13">
        <w:rPr>
          <w:bCs/>
          <w:color w:val="000000"/>
          <w:sz w:val="24"/>
          <w:szCs w:val="24"/>
        </w:rPr>
        <w:t>.</w:t>
      </w:r>
      <w:r>
        <w:rPr>
          <w:bCs/>
          <w:color w:val="000000"/>
          <w:sz w:val="24"/>
          <w:szCs w:val="24"/>
        </w:rPr>
        <w:t xml:space="preserve"> </w:t>
      </w:r>
      <w:hyperlink r:id="rId45" w:history="1">
        <w:r w:rsidR="009A55E9" w:rsidRPr="00B13457">
          <w:rPr>
            <w:rStyle w:val="Hyperlink"/>
            <w:bCs/>
            <w:sz w:val="24"/>
            <w:szCs w:val="24"/>
          </w:rPr>
          <w:t>https://doi.org/10.5038/2375-0901.12.1.3</w:t>
        </w:r>
      </w:hyperlink>
    </w:p>
    <w:p w14:paraId="58A76B0B" w14:textId="77777777" w:rsidR="00186297" w:rsidRDefault="00186297" w:rsidP="006F4AD8">
      <w:pPr>
        <w:pStyle w:val="FootnoteText"/>
        <w:tabs>
          <w:tab w:val="left" w:pos="0"/>
        </w:tabs>
        <w:jc w:val="both"/>
        <w:rPr>
          <w:bCs/>
          <w:color w:val="000000"/>
          <w:sz w:val="24"/>
          <w:szCs w:val="24"/>
        </w:rPr>
      </w:pPr>
      <w:r w:rsidRPr="00186297">
        <w:rPr>
          <w:bCs/>
          <w:color w:val="000000"/>
          <w:sz w:val="24"/>
          <w:szCs w:val="24"/>
        </w:rPr>
        <w:t xml:space="preserve">Shin, J., &amp; Tilahun, N. (2022). The role of residential choice </w:t>
      </w:r>
      <w:proofErr w:type="gramStart"/>
      <w:r w:rsidRPr="00186297">
        <w:rPr>
          <w:bCs/>
          <w:color w:val="000000"/>
          <w:sz w:val="24"/>
          <w:szCs w:val="24"/>
        </w:rPr>
        <w:t>on</w:t>
      </w:r>
      <w:proofErr w:type="gramEnd"/>
      <w:r w:rsidRPr="00186297">
        <w:rPr>
          <w:bCs/>
          <w:color w:val="000000"/>
          <w:sz w:val="24"/>
          <w:szCs w:val="24"/>
        </w:rPr>
        <w:t xml:space="preserve"> the travel behavior of young </w:t>
      </w:r>
    </w:p>
    <w:p w14:paraId="6C90E297" w14:textId="43314C72" w:rsidR="00A65122" w:rsidRDefault="00186297" w:rsidP="006F4AD8">
      <w:pPr>
        <w:pStyle w:val="FootnoteText"/>
        <w:tabs>
          <w:tab w:val="left" w:pos="0"/>
        </w:tabs>
        <w:jc w:val="both"/>
        <w:rPr>
          <w:bCs/>
          <w:color w:val="000000"/>
          <w:sz w:val="24"/>
          <w:szCs w:val="24"/>
        </w:rPr>
      </w:pPr>
      <w:r>
        <w:rPr>
          <w:bCs/>
          <w:color w:val="000000"/>
          <w:sz w:val="24"/>
          <w:szCs w:val="24"/>
        </w:rPr>
        <w:tab/>
      </w:r>
      <w:r w:rsidRPr="00186297">
        <w:rPr>
          <w:bCs/>
          <w:color w:val="000000"/>
          <w:sz w:val="24"/>
          <w:szCs w:val="24"/>
        </w:rPr>
        <w:t>adults. </w:t>
      </w:r>
      <w:r w:rsidRPr="00186297">
        <w:rPr>
          <w:bCs/>
          <w:i/>
          <w:iCs/>
          <w:color w:val="000000"/>
          <w:sz w:val="24"/>
          <w:szCs w:val="24"/>
        </w:rPr>
        <w:t xml:space="preserve">Transportation </w:t>
      </w:r>
      <w:r w:rsidR="0093518D">
        <w:rPr>
          <w:bCs/>
          <w:i/>
          <w:iCs/>
          <w:color w:val="000000"/>
          <w:sz w:val="24"/>
          <w:szCs w:val="24"/>
        </w:rPr>
        <w:t>R</w:t>
      </w:r>
      <w:r w:rsidRPr="00186297">
        <w:rPr>
          <w:bCs/>
          <w:i/>
          <w:iCs/>
          <w:color w:val="000000"/>
          <w:sz w:val="24"/>
          <w:szCs w:val="24"/>
        </w:rPr>
        <w:t xml:space="preserve">esearch </w:t>
      </w:r>
      <w:r w:rsidR="0093518D">
        <w:rPr>
          <w:bCs/>
          <w:i/>
          <w:iCs/>
          <w:color w:val="000000"/>
          <w:sz w:val="24"/>
          <w:szCs w:val="24"/>
        </w:rPr>
        <w:t>P</w:t>
      </w:r>
      <w:r w:rsidRPr="00186297">
        <w:rPr>
          <w:bCs/>
          <w:i/>
          <w:iCs/>
          <w:color w:val="000000"/>
          <w:sz w:val="24"/>
          <w:szCs w:val="24"/>
        </w:rPr>
        <w:t xml:space="preserve">art A: </w:t>
      </w:r>
      <w:r w:rsidR="0093518D">
        <w:rPr>
          <w:bCs/>
          <w:i/>
          <w:iCs/>
          <w:color w:val="000000"/>
          <w:sz w:val="24"/>
          <w:szCs w:val="24"/>
        </w:rPr>
        <w:t>P</w:t>
      </w:r>
      <w:r w:rsidRPr="00186297">
        <w:rPr>
          <w:bCs/>
          <w:i/>
          <w:iCs/>
          <w:color w:val="000000"/>
          <w:sz w:val="24"/>
          <w:szCs w:val="24"/>
        </w:rPr>
        <w:t xml:space="preserve">olicy and </w:t>
      </w:r>
      <w:r w:rsidR="0093518D">
        <w:rPr>
          <w:bCs/>
          <w:i/>
          <w:iCs/>
          <w:color w:val="000000"/>
          <w:sz w:val="24"/>
          <w:szCs w:val="24"/>
        </w:rPr>
        <w:t>P</w:t>
      </w:r>
      <w:r w:rsidRPr="00186297">
        <w:rPr>
          <w:bCs/>
          <w:i/>
          <w:iCs/>
          <w:color w:val="000000"/>
          <w:sz w:val="24"/>
          <w:szCs w:val="24"/>
        </w:rPr>
        <w:t>ractice</w:t>
      </w:r>
      <w:r w:rsidRPr="00186297">
        <w:rPr>
          <w:bCs/>
          <w:color w:val="000000"/>
          <w:sz w:val="24"/>
          <w:szCs w:val="24"/>
        </w:rPr>
        <w:t>, </w:t>
      </w:r>
      <w:r w:rsidRPr="00186297">
        <w:rPr>
          <w:bCs/>
          <w:i/>
          <w:iCs/>
          <w:color w:val="000000"/>
          <w:sz w:val="24"/>
          <w:szCs w:val="24"/>
        </w:rPr>
        <w:t>158</w:t>
      </w:r>
      <w:r w:rsidRPr="00186297">
        <w:rPr>
          <w:bCs/>
          <w:color w:val="000000"/>
          <w:sz w:val="24"/>
          <w:szCs w:val="24"/>
        </w:rPr>
        <w:t>, 62-74.</w:t>
      </w:r>
      <w:r w:rsidR="00A65122">
        <w:rPr>
          <w:bCs/>
          <w:color w:val="000000"/>
          <w:sz w:val="24"/>
          <w:szCs w:val="24"/>
        </w:rPr>
        <w:t xml:space="preserve"> </w:t>
      </w:r>
    </w:p>
    <w:p w14:paraId="03265516" w14:textId="5286E193" w:rsidR="00921D13" w:rsidRDefault="00A65122" w:rsidP="006F4AD8">
      <w:pPr>
        <w:pStyle w:val="FootnoteText"/>
        <w:tabs>
          <w:tab w:val="left" w:pos="0"/>
        </w:tabs>
        <w:jc w:val="both"/>
        <w:rPr>
          <w:bCs/>
          <w:color w:val="000000"/>
          <w:sz w:val="24"/>
          <w:szCs w:val="24"/>
        </w:rPr>
      </w:pPr>
      <w:r>
        <w:rPr>
          <w:bCs/>
          <w:color w:val="000000"/>
          <w:sz w:val="24"/>
          <w:szCs w:val="24"/>
        </w:rPr>
        <w:tab/>
      </w:r>
      <w:hyperlink r:id="rId46" w:history="1">
        <w:r w:rsidRPr="00B13457">
          <w:rPr>
            <w:rStyle w:val="Hyperlink"/>
            <w:bCs/>
            <w:sz w:val="24"/>
            <w:szCs w:val="24"/>
          </w:rPr>
          <w:t>https://doi.org/10.1016/j.tra.2021.11.016</w:t>
        </w:r>
      </w:hyperlink>
    </w:p>
    <w:p w14:paraId="5893C776" w14:textId="351EA2A4" w:rsidR="00A55ADF" w:rsidRDefault="00A55ADF" w:rsidP="006F4AD8">
      <w:pPr>
        <w:pStyle w:val="FootnoteText"/>
        <w:tabs>
          <w:tab w:val="left" w:pos="0"/>
        </w:tabs>
        <w:jc w:val="both"/>
        <w:rPr>
          <w:sz w:val="24"/>
          <w:szCs w:val="24"/>
        </w:rPr>
      </w:pPr>
      <w:r w:rsidRPr="00A55ADF">
        <w:rPr>
          <w:sz w:val="24"/>
          <w:szCs w:val="24"/>
        </w:rPr>
        <w:t xml:space="preserve">Shrode, G. </w:t>
      </w:r>
      <w:r w:rsidR="00BE5D44">
        <w:rPr>
          <w:sz w:val="24"/>
          <w:szCs w:val="24"/>
        </w:rPr>
        <w:t>(</w:t>
      </w:r>
      <w:r w:rsidRPr="00A55ADF">
        <w:rPr>
          <w:sz w:val="24"/>
          <w:szCs w:val="24"/>
        </w:rPr>
        <w:t>2022</w:t>
      </w:r>
      <w:r w:rsidR="00BE5D44">
        <w:rPr>
          <w:sz w:val="24"/>
          <w:szCs w:val="24"/>
        </w:rPr>
        <w:t>)</w:t>
      </w:r>
      <w:r w:rsidRPr="00A55ADF">
        <w:rPr>
          <w:sz w:val="24"/>
          <w:szCs w:val="24"/>
        </w:rPr>
        <w:t xml:space="preserve">. </w:t>
      </w:r>
      <w:r w:rsidRPr="00A55ADF">
        <w:rPr>
          <w:i/>
          <w:iCs/>
          <w:sz w:val="24"/>
          <w:szCs w:val="24"/>
        </w:rPr>
        <w:t>The Mass Transit Fiscal Cliff: Estimating the Size and Scope of the Problem.</w:t>
      </w:r>
      <w:r w:rsidRPr="00A55ADF">
        <w:rPr>
          <w:sz w:val="24"/>
          <w:szCs w:val="24"/>
        </w:rPr>
        <w:t xml:space="preserve"> </w:t>
      </w:r>
    </w:p>
    <w:p w14:paraId="15A29163" w14:textId="28638D13" w:rsidR="00A65122" w:rsidRDefault="00A55ADF" w:rsidP="006F4AD8">
      <w:pPr>
        <w:pStyle w:val="FootnoteText"/>
        <w:tabs>
          <w:tab w:val="left" w:pos="0"/>
        </w:tabs>
        <w:jc w:val="both"/>
        <w:rPr>
          <w:sz w:val="24"/>
          <w:szCs w:val="24"/>
        </w:rPr>
      </w:pPr>
      <w:r>
        <w:rPr>
          <w:sz w:val="24"/>
          <w:szCs w:val="24"/>
        </w:rPr>
        <w:tab/>
      </w:r>
      <w:r w:rsidRPr="00A55ADF">
        <w:rPr>
          <w:sz w:val="24"/>
          <w:szCs w:val="24"/>
        </w:rPr>
        <w:t>Washington, DC: Eno Center for Transportation</w:t>
      </w:r>
      <w:r w:rsidR="00582F38">
        <w:rPr>
          <w:sz w:val="24"/>
          <w:szCs w:val="24"/>
        </w:rPr>
        <w:t>.</w:t>
      </w:r>
    </w:p>
    <w:p w14:paraId="2BA3B6C1" w14:textId="77777777" w:rsidR="001A5F97" w:rsidRDefault="001A5F97" w:rsidP="006F4AD8">
      <w:pPr>
        <w:pStyle w:val="FootnoteText"/>
        <w:tabs>
          <w:tab w:val="left" w:pos="0"/>
        </w:tabs>
        <w:jc w:val="both"/>
        <w:rPr>
          <w:bCs/>
          <w:color w:val="000000"/>
          <w:sz w:val="24"/>
          <w:szCs w:val="24"/>
        </w:rPr>
      </w:pPr>
      <w:r w:rsidRPr="006F4AD8">
        <w:rPr>
          <w:bCs/>
          <w:color w:val="000000"/>
          <w:sz w:val="24"/>
          <w:szCs w:val="24"/>
          <w:lang w:val="pt-BR"/>
        </w:rPr>
        <w:t xml:space="preserve">Silvano, A. P., &amp; Ohlin, M. (2019). </w:t>
      </w:r>
      <w:r w:rsidRPr="001A5F97">
        <w:rPr>
          <w:bCs/>
          <w:color w:val="000000"/>
          <w:sz w:val="24"/>
          <w:szCs w:val="24"/>
        </w:rPr>
        <w:t xml:space="preserve">Non-collision incidents on buses due to acceleration and </w:t>
      </w:r>
    </w:p>
    <w:p w14:paraId="1F5BF984" w14:textId="77777777" w:rsidR="001A5F97" w:rsidRDefault="001A5F97" w:rsidP="006F4AD8">
      <w:pPr>
        <w:pStyle w:val="FootnoteText"/>
        <w:tabs>
          <w:tab w:val="left" w:pos="0"/>
        </w:tabs>
        <w:jc w:val="both"/>
        <w:rPr>
          <w:bCs/>
          <w:i/>
          <w:iCs/>
          <w:color w:val="000000"/>
          <w:sz w:val="24"/>
          <w:szCs w:val="24"/>
        </w:rPr>
      </w:pPr>
      <w:r>
        <w:rPr>
          <w:bCs/>
          <w:color w:val="000000"/>
          <w:sz w:val="24"/>
          <w:szCs w:val="24"/>
        </w:rPr>
        <w:tab/>
      </w:r>
      <w:r w:rsidRPr="001A5F97">
        <w:rPr>
          <w:bCs/>
          <w:color w:val="000000"/>
          <w:sz w:val="24"/>
          <w:szCs w:val="24"/>
        </w:rPr>
        <w:t xml:space="preserve">braking </w:t>
      </w:r>
      <w:proofErr w:type="spellStart"/>
      <w:r w:rsidRPr="001A5F97">
        <w:rPr>
          <w:bCs/>
          <w:color w:val="000000"/>
          <w:sz w:val="24"/>
          <w:szCs w:val="24"/>
        </w:rPr>
        <w:t>manoeuvres</w:t>
      </w:r>
      <w:proofErr w:type="spellEnd"/>
      <w:r w:rsidRPr="001A5F97">
        <w:rPr>
          <w:bCs/>
          <w:color w:val="000000"/>
          <w:sz w:val="24"/>
          <w:szCs w:val="24"/>
        </w:rPr>
        <w:t xml:space="preserve"> leading to falling events among standing passengers. </w:t>
      </w:r>
      <w:r w:rsidRPr="001A5F97">
        <w:rPr>
          <w:bCs/>
          <w:i/>
          <w:iCs/>
          <w:color w:val="000000"/>
          <w:sz w:val="24"/>
          <w:szCs w:val="24"/>
        </w:rPr>
        <w:t xml:space="preserve">Journal of </w:t>
      </w:r>
    </w:p>
    <w:p w14:paraId="2838FB7D" w14:textId="661400B3" w:rsidR="00582F38" w:rsidRDefault="001A5F97" w:rsidP="006F4AD8">
      <w:pPr>
        <w:pStyle w:val="FootnoteText"/>
        <w:tabs>
          <w:tab w:val="left" w:pos="0"/>
        </w:tabs>
        <w:jc w:val="both"/>
      </w:pPr>
      <w:r>
        <w:rPr>
          <w:bCs/>
          <w:i/>
          <w:iCs/>
          <w:color w:val="000000"/>
          <w:sz w:val="24"/>
          <w:szCs w:val="24"/>
        </w:rPr>
        <w:tab/>
      </w:r>
      <w:r w:rsidRPr="001A5F97">
        <w:rPr>
          <w:bCs/>
          <w:i/>
          <w:iCs/>
          <w:color w:val="000000"/>
          <w:sz w:val="24"/>
          <w:szCs w:val="24"/>
        </w:rPr>
        <w:t>Transport &amp; Health</w:t>
      </w:r>
      <w:r w:rsidRPr="001A5F97">
        <w:rPr>
          <w:bCs/>
          <w:color w:val="000000"/>
          <w:sz w:val="24"/>
          <w:szCs w:val="24"/>
        </w:rPr>
        <w:t>, </w:t>
      </w:r>
      <w:r w:rsidRPr="001A5F97">
        <w:rPr>
          <w:bCs/>
          <w:i/>
          <w:iCs/>
          <w:color w:val="000000"/>
          <w:sz w:val="24"/>
          <w:szCs w:val="24"/>
        </w:rPr>
        <w:t>14</w:t>
      </w:r>
      <w:r w:rsidRPr="001A5F97">
        <w:rPr>
          <w:bCs/>
          <w:color w:val="000000"/>
          <w:sz w:val="24"/>
          <w:szCs w:val="24"/>
        </w:rPr>
        <w:t>, 100560.</w:t>
      </w:r>
      <w:r>
        <w:rPr>
          <w:bCs/>
          <w:color w:val="000000"/>
          <w:sz w:val="24"/>
          <w:szCs w:val="24"/>
        </w:rPr>
        <w:t xml:space="preserve"> </w:t>
      </w:r>
      <w:hyperlink r:id="rId47" w:tgtFrame="_blank" w:tooltip="Persistent link using digital object identifier" w:history="1">
        <w:r w:rsidRPr="001A5F97">
          <w:rPr>
            <w:rStyle w:val="Hyperlink"/>
            <w:bCs/>
            <w:sz w:val="24"/>
            <w:szCs w:val="24"/>
          </w:rPr>
          <w:t>https://doi.org/10.1016/j.jth.2019.04.006</w:t>
        </w:r>
      </w:hyperlink>
    </w:p>
    <w:p w14:paraId="19D46B24" w14:textId="77777777" w:rsidR="007F7969" w:rsidRDefault="007F7969" w:rsidP="007F7969">
      <w:pPr>
        <w:pStyle w:val="FootnoteText"/>
        <w:tabs>
          <w:tab w:val="left" w:pos="0"/>
        </w:tabs>
        <w:jc w:val="both"/>
        <w:rPr>
          <w:bCs/>
          <w:color w:val="000000"/>
          <w:sz w:val="24"/>
          <w:szCs w:val="24"/>
        </w:rPr>
      </w:pPr>
      <w:r w:rsidRPr="007F7969">
        <w:rPr>
          <w:bCs/>
          <w:color w:val="000000"/>
          <w:sz w:val="24"/>
          <w:szCs w:val="24"/>
        </w:rPr>
        <w:t>Tomer, A. (2011). </w:t>
      </w:r>
      <w:r w:rsidRPr="007F7969">
        <w:rPr>
          <w:bCs/>
          <w:i/>
          <w:iCs/>
          <w:color w:val="000000"/>
          <w:sz w:val="24"/>
          <w:szCs w:val="24"/>
        </w:rPr>
        <w:t>Transit access and zero-vehicle households</w:t>
      </w:r>
      <w:r w:rsidRPr="007F7969">
        <w:rPr>
          <w:bCs/>
          <w:color w:val="000000"/>
          <w:sz w:val="24"/>
          <w:szCs w:val="24"/>
        </w:rPr>
        <w:t xml:space="preserve">. Metropolitan Policy Program at </w:t>
      </w:r>
    </w:p>
    <w:p w14:paraId="217AFA53" w14:textId="3BF21431" w:rsidR="007F7969" w:rsidRDefault="007F7969" w:rsidP="007F7969">
      <w:pPr>
        <w:pStyle w:val="FootnoteText"/>
        <w:tabs>
          <w:tab w:val="left" w:pos="0"/>
        </w:tabs>
        <w:ind w:left="720"/>
        <w:jc w:val="both"/>
        <w:rPr>
          <w:bCs/>
          <w:color w:val="000000"/>
          <w:sz w:val="24"/>
          <w:szCs w:val="24"/>
        </w:rPr>
      </w:pPr>
      <w:r w:rsidRPr="007F7969">
        <w:rPr>
          <w:bCs/>
          <w:color w:val="000000"/>
          <w:sz w:val="24"/>
          <w:szCs w:val="24"/>
        </w:rPr>
        <w:t>Brookings.</w:t>
      </w:r>
    </w:p>
    <w:p w14:paraId="0285C31C" w14:textId="77777777" w:rsidR="00415E95" w:rsidRDefault="00415E95" w:rsidP="007F7969">
      <w:pPr>
        <w:pStyle w:val="FootnoteText"/>
        <w:tabs>
          <w:tab w:val="left" w:pos="0"/>
        </w:tabs>
        <w:jc w:val="both"/>
        <w:rPr>
          <w:bCs/>
          <w:color w:val="000000"/>
          <w:sz w:val="24"/>
          <w:szCs w:val="24"/>
        </w:rPr>
      </w:pPr>
      <w:r w:rsidRPr="00415E95">
        <w:rPr>
          <w:bCs/>
          <w:color w:val="000000"/>
          <w:sz w:val="24"/>
          <w:szCs w:val="24"/>
        </w:rPr>
        <w:t xml:space="preserve">Toy, S., Whitmarsh, L., &amp; Sun, Y. (2025). Zero-car households–constraint or lifestyle choice? A </w:t>
      </w:r>
    </w:p>
    <w:p w14:paraId="4D31449D" w14:textId="77777777" w:rsidR="00415E95" w:rsidRDefault="00415E95" w:rsidP="007F7969">
      <w:pPr>
        <w:pStyle w:val="FootnoteText"/>
        <w:tabs>
          <w:tab w:val="left" w:pos="0"/>
        </w:tabs>
        <w:jc w:val="both"/>
        <w:rPr>
          <w:bCs/>
          <w:i/>
          <w:iCs/>
          <w:color w:val="000000"/>
          <w:sz w:val="24"/>
          <w:szCs w:val="24"/>
        </w:rPr>
      </w:pPr>
      <w:r>
        <w:rPr>
          <w:bCs/>
          <w:color w:val="000000"/>
          <w:sz w:val="24"/>
          <w:szCs w:val="24"/>
        </w:rPr>
        <w:tab/>
      </w:r>
      <w:r w:rsidRPr="00415E95">
        <w:rPr>
          <w:bCs/>
          <w:color w:val="000000"/>
          <w:sz w:val="24"/>
          <w:szCs w:val="24"/>
        </w:rPr>
        <w:t>systematic literature review of the factors affecting non-car ownership. </w:t>
      </w:r>
      <w:r w:rsidRPr="00415E95">
        <w:rPr>
          <w:bCs/>
          <w:i/>
          <w:iCs/>
          <w:color w:val="000000"/>
          <w:sz w:val="24"/>
          <w:szCs w:val="24"/>
        </w:rPr>
        <w:t xml:space="preserve">Transport </w:t>
      </w:r>
    </w:p>
    <w:p w14:paraId="35BD2F57" w14:textId="46C7E754" w:rsidR="00415E95" w:rsidRDefault="00415E95" w:rsidP="007F7969">
      <w:pPr>
        <w:pStyle w:val="FootnoteText"/>
        <w:tabs>
          <w:tab w:val="left" w:pos="0"/>
        </w:tabs>
        <w:ind w:left="720"/>
        <w:jc w:val="both"/>
        <w:rPr>
          <w:bCs/>
          <w:color w:val="000000"/>
          <w:sz w:val="24"/>
          <w:szCs w:val="24"/>
        </w:rPr>
      </w:pPr>
      <w:r w:rsidRPr="00415E95">
        <w:rPr>
          <w:bCs/>
          <w:i/>
          <w:iCs/>
          <w:color w:val="000000"/>
          <w:sz w:val="24"/>
          <w:szCs w:val="24"/>
        </w:rPr>
        <w:t>Reviews</w:t>
      </w:r>
      <w:r w:rsidRPr="00415E95">
        <w:rPr>
          <w:bCs/>
          <w:color w:val="000000"/>
          <w:sz w:val="24"/>
          <w:szCs w:val="24"/>
        </w:rPr>
        <w:t>, </w:t>
      </w:r>
      <w:r w:rsidRPr="00415E95">
        <w:rPr>
          <w:bCs/>
          <w:i/>
          <w:iCs/>
          <w:color w:val="000000"/>
          <w:sz w:val="24"/>
          <w:szCs w:val="24"/>
        </w:rPr>
        <w:t>45</w:t>
      </w:r>
      <w:r w:rsidRPr="00415E95">
        <w:rPr>
          <w:bCs/>
          <w:color w:val="000000"/>
          <w:sz w:val="24"/>
          <w:szCs w:val="24"/>
        </w:rPr>
        <w:t>(3), 390-412.</w:t>
      </w:r>
      <w:r>
        <w:rPr>
          <w:bCs/>
          <w:color w:val="000000"/>
          <w:sz w:val="24"/>
          <w:szCs w:val="24"/>
        </w:rPr>
        <w:t xml:space="preserve"> </w:t>
      </w:r>
      <w:hyperlink r:id="rId48" w:history="1">
        <w:r w:rsidRPr="00415E95">
          <w:rPr>
            <w:rStyle w:val="Hyperlink"/>
            <w:bCs/>
            <w:sz w:val="24"/>
            <w:szCs w:val="24"/>
          </w:rPr>
          <w:t>https://doi.org/10.1080/01441647.2025.2457091</w:t>
        </w:r>
      </w:hyperlink>
    </w:p>
    <w:p w14:paraId="5B445EDA" w14:textId="77777777" w:rsidR="00020439" w:rsidRDefault="00DF0381" w:rsidP="007F7969">
      <w:pPr>
        <w:pStyle w:val="FootnoteText"/>
        <w:tabs>
          <w:tab w:val="left" w:pos="0"/>
        </w:tabs>
        <w:jc w:val="both"/>
        <w:rPr>
          <w:bCs/>
          <w:color w:val="000000"/>
          <w:sz w:val="24"/>
          <w:szCs w:val="24"/>
        </w:rPr>
      </w:pPr>
      <w:r w:rsidRPr="00DF0381">
        <w:rPr>
          <w:bCs/>
          <w:color w:val="000000"/>
          <w:sz w:val="24"/>
          <w:szCs w:val="24"/>
        </w:rPr>
        <w:t>U.S. Census Bureau</w:t>
      </w:r>
      <w:r w:rsidR="00020439">
        <w:rPr>
          <w:bCs/>
          <w:color w:val="000000"/>
          <w:sz w:val="24"/>
          <w:szCs w:val="24"/>
        </w:rPr>
        <w:t>.</w:t>
      </w:r>
      <w:r w:rsidR="00BE5D44">
        <w:rPr>
          <w:bCs/>
          <w:color w:val="000000"/>
          <w:sz w:val="24"/>
          <w:szCs w:val="24"/>
        </w:rPr>
        <w:t xml:space="preserve"> </w:t>
      </w:r>
      <w:r w:rsidR="008C2FCE">
        <w:rPr>
          <w:bCs/>
          <w:color w:val="000000"/>
          <w:sz w:val="24"/>
          <w:szCs w:val="24"/>
        </w:rPr>
        <w:t>(</w:t>
      </w:r>
      <w:r w:rsidRPr="00DF0381">
        <w:rPr>
          <w:bCs/>
          <w:color w:val="000000"/>
          <w:sz w:val="24"/>
          <w:szCs w:val="24"/>
        </w:rPr>
        <w:t>2026</w:t>
      </w:r>
      <w:r w:rsidR="008C2FCE">
        <w:rPr>
          <w:bCs/>
          <w:color w:val="000000"/>
          <w:sz w:val="24"/>
          <w:szCs w:val="24"/>
        </w:rPr>
        <w:t>)</w:t>
      </w:r>
      <w:r w:rsidRPr="00DF0381">
        <w:rPr>
          <w:bCs/>
          <w:color w:val="000000"/>
          <w:sz w:val="24"/>
          <w:szCs w:val="24"/>
        </w:rPr>
        <w:t xml:space="preserve">. </w:t>
      </w:r>
      <w:r w:rsidRPr="00DF0381">
        <w:rPr>
          <w:bCs/>
          <w:i/>
          <w:iCs/>
          <w:color w:val="000000"/>
          <w:sz w:val="24"/>
          <w:szCs w:val="24"/>
        </w:rPr>
        <w:t>American Community Survey 2024 (5-Year Estimates)</w:t>
      </w:r>
      <w:r w:rsidRPr="00DF0381">
        <w:rPr>
          <w:bCs/>
          <w:color w:val="000000"/>
          <w:sz w:val="24"/>
          <w:szCs w:val="24"/>
        </w:rPr>
        <w:t xml:space="preserve">. </w:t>
      </w:r>
    </w:p>
    <w:p w14:paraId="2CACB053" w14:textId="68F7BDD7" w:rsidR="00415E95" w:rsidRDefault="00020439" w:rsidP="007F7969">
      <w:pPr>
        <w:pStyle w:val="FootnoteText"/>
        <w:tabs>
          <w:tab w:val="left" w:pos="0"/>
        </w:tabs>
        <w:jc w:val="both"/>
        <w:rPr>
          <w:bCs/>
          <w:color w:val="000000"/>
          <w:sz w:val="24"/>
          <w:szCs w:val="24"/>
        </w:rPr>
      </w:pPr>
      <w:r>
        <w:rPr>
          <w:bCs/>
          <w:color w:val="000000"/>
          <w:sz w:val="24"/>
          <w:szCs w:val="24"/>
        </w:rPr>
        <w:tab/>
      </w:r>
      <w:r w:rsidR="00DF0381" w:rsidRPr="00DF0381">
        <w:rPr>
          <w:bCs/>
          <w:color w:val="000000"/>
          <w:sz w:val="24"/>
          <w:szCs w:val="24"/>
        </w:rPr>
        <w:t>Washington, DC: U.S. Census Bureau.</w:t>
      </w:r>
    </w:p>
    <w:p w14:paraId="424C2EFC" w14:textId="77777777" w:rsidR="00851DAB" w:rsidRDefault="00851DAB" w:rsidP="007F7969">
      <w:pPr>
        <w:pStyle w:val="FootnoteText"/>
        <w:tabs>
          <w:tab w:val="left" w:pos="0"/>
        </w:tabs>
        <w:jc w:val="both"/>
        <w:rPr>
          <w:bCs/>
          <w:color w:val="000000"/>
          <w:sz w:val="24"/>
          <w:szCs w:val="24"/>
        </w:rPr>
      </w:pPr>
      <w:r w:rsidRPr="00851DAB">
        <w:rPr>
          <w:bCs/>
          <w:color w:val="000000"/>
          <w:sz w:val="24"/>
          <w:szCs w:val="24"/>
        </w:rPr>
        <w:t xml:space="preserve">Wang, W., Espeland, S., Barajas, J. M., &amp; </w:t>
      </w:r>
      <w:proofErr w:type="spellStart"/>
      <w:r w:rsidRPr="00851DAB">
        <w:rPr>
          <w:bCs/>
          <w:color w:val="000000"/>
          <w:sz w:val="24"/>
          <w:szCs w:val="24"/>
        </w:rPr>
        <w:t>Rowangould</w:t>
      </w:r>
      <w:proofErr w:type="spellEnd"/>
      <w:r w:rsidRPr="00851DAB">
        <w:rPr>
          <w:bCs/>
          <w:color w:val="000000"/>
          <w:sz w:val="24"/>
          <w:szCs w:val="24"/>
        </w:rPr>
        <w:t xml:space="preserve">, D. (2025). Rural–nonrural divide in car </w:t>
      </w:r>
    </w:p>
    <w:p w14:paraId="30A069A5" w14:textId="77777777" w:rsidR="00851DAB" w:rsidRDefault="00851DAB" w:rsidP="007F7969">
      <w:pPr>
        <w:pStyle w:val="FootnoteText"/>
        <w:tabs>
          <w:tab w:val="left" w:pos="0"/>
        </w:tabs>
        <w:jc w:val="both"/>
        <w:rPr>
          <w:bCs/>
          <w:color w:val="000000"/>
          <w:sz w:val="24"/>
          <w:szCs w:val="24"/>
        </w:rPr>
      </w:pPr>
      <w:r>
        <w:rPr>
          <w:bCs/>
          <w:color w:val="000000"/>
          <w:sz w:val="24"/>
          <w:szCs w:val="24"/>
        </w:rPr>
        <w:tab/>
      </w:r>
      <w:r w:rsidRPr="00851DAB">
        <w:rPr>
          <w:bCs/>
          <w:color w:val="000000"/>
          <w:sz w:val="24"/>
          <w:szCs w:val="24"/>
        </w:rPr>
        <w:t>access and unmet travel need in the United States. </w:t>
      </w:r>
      <w:r w:rsidRPr="00851DAB">
        <w:rPr>
          <w:bCs/>
          <w:i/>
          <w:iCs/>
          <w:color w:val="000000"/>
          <w:sz w:val="24"/>
          <w:szCs w:val="24"/>
        </w:rPr>
        <w:t>Transportation</w:t>
      </w:r>
      <w:r w:rsidRPr="00851DAB">
        <w:rPr>
          <w:bCs/>
          <w:color w:val="000000"/>
          <w:sz w:val="24"/>
          <w:szCs w:val="24"/>
        </w:rPr>
        <w:t>, </w:t>
      </w:r>
      <w:r w:rsidRPr="00851DAB">
        <w:rPr>
          <w:bCs/>
          <w:i/>
          <w:iCs/>
          <w:color w:val="000000"/>
          <w:sz w:val="24"/>
          <w:szCs w:val="24"/>
        </w:rPr>
        <w:t>52</w:t>
      </w:r>
      <w:r w:rsidRPr="00851DAB">
        <w:rPr>
          <w:bCs/>
          <w:color w:val="000000"/>
          <w:sz w:val="24"/>
          <w:szCs w:val="24"/>
        </w:rPr>
        <w:t>(2), 507-536.</w:t>
      </w:r>
      <w:r>
        <w:rPr>
          <w:bCs/>
          <w:color w:val="000000"/>
          <w:sz w:val="24"/>
          <w:szCs w:val="24"/>
        </w:rPr>
        <w:t xml:space="preserve"> </w:t>
      </w:r>
    </w:p>
    <w:p w14:paraId="71C027D9" w14:textId="3AA5AD2C" w:rsidR="00DF0381" w:rsidRDefault="00851DAB" w:rsidP="007F7969">
      <w:pPr>
        <w:pStyle w:val="FootnoteText"/>
        <w:tabs>
          <w:tab w:val="left" w:pos="0"/>
        </w:tabs>
        <w:jc w:val="both"/>
        <w:rPr>
          <w:bCs/>
          <w:color w:val="000000"/>
          <w:sz w:val="24"/>
          <w:szCs w:val="24"/>
        </w:rPr>
      </w:pPr>
      <w:r>
        <w:rPr>
          <w:bCs/>
          <w:color w:val="000000"/>
          <w:sz w:val="24"/>
          <w:szCs w:val="24"/>
        </w:rPr>
        <w:tab/>
      </w:r>
      <w:hyperlink r:id="rId49" w:history="1">
        <w:r w:rsidRPr="00B13457">
          <w:rPr>
            <w:rStyle w:val="Hyperlink"/>
            <w:bCs/>
            <w:sz w:val="24"/>
            <w:szCs w:val="24"/>
          </w:rPr>
          <w:t>https://doi.org/10.1007/s11116-023-10429-6</w:t>
        </w:r>
      </w:hyperlink>
    </w:p>
    <w:p w14:paraId="05E25979" w14:textId="77777777" w:rsidR="00EB24BE" w:rsidRDefault="00EB24BE" w:rsidP="007F7969">
      <w:pPr>
        <w:pStyle w:val="FootnoteText"/>
        <w:tabs>
          <w:tab w:val="left" w:pos="0"/>
        </w:tabs>
        <w:jc w:val="both"/>
        <w:rPr>
          <w:bCs/>
          <w:color w:val="000000"/>
          <w:sz w:val="24"/>
          <w:szCs w:val="24"/>
        </w:rPr>
      </w:pPr>
      <w:r w:rsidRPr="00EB24BE">
        <w:rPr>
          <w:bCs/>
          <w:color w:val="000000"/>
          <w:sz w:val="24"/>
          <w:szCs w:val="24"/>
        </w:rPr>
        <w:t xml:space="preserve">Yang, Y. (2025). Public transit use among American older adults: Insights from a nationally </w:t>
      </w:r>
    </w:p>
    <w:p w14:paraId="6436A61C" w14:textId="3FB18043" w:rsidR="00EB24BE" w:rsidRDefault="00EB24BE" w:rsidP="007F7969">
      <w:pPr>
        <w:pStyle w:val="FootnoteText"/>
        <w:tabs>
          <w:tab w:val="left" w:pos="0"/>
        </w:tabs>
        <w:jc w:val="both"/>
        <w:rPr>
          <w:bCs/>
          <w:color w:val="000000"/>
          <w:sz w:val="24"/>
          <w:szCs w:val="24"/>
        </w:rPr>
      </w:pPr>
      <w:r>
        <w:rPr>
          <w:bCs/>
          <w:color w:val="000000"/>
          <w:sz w:val="24"/>
          <w:szCs w:val="24"/>
        </w:rPr>
        <w:tab/>
      </w:r>
      <w:r w:rsidRPr="00EB24BE">
        <w:rPr>
          <w:bCs/>
          <w:color w:val="000000"/>
          <w:sz w:val="24"/>
          <w:szCs w:val="24"/>
        </w:rPr>
        <w:t>representative survey. </w:t>
      </w:r>
      <w:r w:rsidRPr="00EB24BE">
        <w:rPr>
          <w:bCs/>
          <w:i/>
          <w:iCs/>
          <w:color w:val="000000"/>
          <w:sz w:val="24"/>
          <w:szCs w:val="24"/>
        </w:rPr>
        <w:t xml:space="preserve">Journal of </w:t>
      </w:r>
      <w:r w:rsidR="0093518D">
        <w:rPr>
          <w:bCs/>
          <w:i/>
          <w:iCs/>
          <w:color w:val="000000"/>
          <w:sz w:val="24"/>
          <w:szCs w:val="24"/>
        </w:rPr>
        <w:t>T</w:t>
      </w:r>
      <w:r w:rsidRPr="00EB24BE">
        <w:rPr>
          <w:bCs/>
          <w:i/>
          <w:iCs/>
          <w:color w:val="000000"/>
          <w:sz w:val="24"/>
          <w:szCs w:val="24"/>
        </w:rPr>
        <w:t>ransport &amp; Health</w:t>
      </w:r>
      <w:r w:rsidRPr="00EB24BE">
        <w:rPr>
          <w:bCs/>
          <w:color w:val="000000"/>
          <w:sz w:val="24"/>
          <w:szCs w:val="24"/>
        </w:rPr>
        <w:t>, </w:t>
      </w:r>
      <w:r w:rsidRPr="00EB24BE">
        <w:rPr>
          <w:bCs/>
          <w:i/>
          <w:iCs/>
          <w:color w:val="000000"/>
          <w:sz w:val="24"/>
          <w:szCs w:val="24"/>
        </w:rPr>
        <w:t>41</w:t>
      </w:r>
      <w:r w:rsidRPr="00EB24BE">
        <w:rPr>
          <w:bCs/>
          <w:color w:val="000000"/>
          <w:sz w:val="24"/>
          <w:szCs w:val="24"/>
        </w:rPr>
        <w:t>, 101982.</w:t>
      </w:r>
      <w:r>
        <w:rPr>
          <w:bCs/>
          <w:color w:val="000000"/>
          <w:sz w:val="24"/>
          <w:szCs w:val="24"/>
        </w:rPr>
        <w:t xml:space="preserve"> </w:t>
      </w:r>
    </w:p>
    <w:p w14:paraId="1A6E6712" w14:textId="42D91D72" w:rsidR="00851DAB" w:rsidRDefault="00EB24BE" w:rsidP="007F7969">
      <w:pPr>
        <w:pStyle w:val="FootnoteText"/>
        <w:tabs>
          <w:tab w:val="left" w:pos="0"/>
        </w:tabs>
        <w:jc w:val="both"/>
        <w:rPr>
          <w:bCs/>
          <w:color w:val="000000"/>
          <w:sz w:val="24"/>
          <w:szCs w:val="24"/>
        </w:rPr>
      </w:pPr>
      <w:r>
        <w:rPr>
          <w:bCs/>
          <w:color w:val="000000"/>
          <w:sz w:val="24"/>
          <w:szCs w:val="24"/>
        </w:rPr>
        <w:tab/>
      </w:r>
      <w:hyperlink r:id="rId50" w:history="1">
        <w:r w:rsidRPr="00B13457">
          <w:rPr>
            <w:rStyle w:val="Hyperlink"/>
            <w:bCs/>
            <w:sz w:val="24"/>
            <w:szCs w:val="24"/>
          </w:rPr>
          <w:t>https://doi.org/10.1016/j.jth.2025.101982</w:t>
        </w:r>
      </w:hyperlink>
    </w:p>
    <w:p w14:paraId="29EF9CC2" w14:textId="77777777" w:rsidR="003D1D64" w:rsidRDefault="003D1D64" w:rsidP="007F7969">
      <w:pPr>
        <w:pStyle w:val="FootnoteText"/>
        <w:tabs>
          <w:tab w:val="left" w:pos="0"/>
        </w:tabs>
        <w:jc w:val="both"/>
        <w:rPr>
          <w:bCs/>
          <w:color w:val="000000"/>
          <w:sz w:val="24"/>
          <w:szCs w:val="24"/>
        </w:rPr>
      </w:pPr>
      <w:r w:rsidRPr="003D1D64">
        <w:rPr>
          <w:bCs/>
          <w:color w:val="000000"/>
          <w:sz w:val="24"/>
          <w:szCs w:val="24"/>
        </w:rPr>
        <w:t xml:space="preserve">Yavuz, N., Welch, E. W., &amp; Sriraj, P. S. (2007). Individual and neighborhood determinants of </w:t>
      </w:r>
    </w:p>
    <w:p w14:paraId="1098481F" w14:textId="77777777" w:rsidR="003D1D64" w:rsidRDefault="003D1D64" w:rsidP="007F7969">
      <w:pPr>
        <w:pStyle w:val="FootnoteText"/>
        <w:tabs>
          <w:tab w:val="left" w:pos="0"/>
        </w:tabs>
        <w:jc w:val="both"/>
        <w:rPr>
          <w:bCs/>
          <w:color w:val="000000"/>
          <w:sz w:val="24"/>
          <w:szCs w:val="24"/>
        </w:rPr>
      </w:pPr>
      <w:r>
        <w:rPr>
          <w:bCs/>
          <w:color w:val="000000"/>
          <w:sz w:val="24"/>
          <w:szCs w:val="24"/>
        </w:rPr>
        <w:tab/>
      </w:r>
      <w:r w:rsidRPr="003D1D64">
        <w:rPr>
          <w:bCs/>
          <w:color w:val="000000"/>
          <w:sz w:val="24"/>
          <w:szCs w:val="24"/>
        </w:rPr>
        <w:t xml:space="preserve">perceptions of bus and train safety in Chicago, Illinois: Application of hierarchical linear </w:t>
      </w:r>
    </w:p>
    <w:p w14:paraId="1DA62350" w14:textId="5CFE482F" w:rsidR="00EB24BE" w:rsidRDefault="003D1D64" w:rsidP="007F7969">
      <w:pPr>
        <w:pStyle w:val="FootnoteText"/>
        <w:tabs>
          <w:tab w:val="left" w:pos="0"/>
        </w:tabs>
        <w:jc w:val="both"/>
        <w:rPr>
          <w:bCs/>
          <w:color w:val="000000"/>
          <w:sz w:val="24"/>
          <w:szCs w:val="24"/>
        </w:rPr>
      </w:pPr>
      <w:r>
        <w:rPr>
          <w:bCs/>
          <w:color w:val="000000"/>
          <w:sz w:val="24"/>
          <w:szCs w:val="24"/>
        </w:rPr>
        <w:tab/>
      </w:r>
      <w:r w:rsidRPr="003D1D64">
        <w:rPr>
          <w:bCs/>
          <w:color w:val="000000"/>
          <w:sz w:val="24"/>
          <w:szCs w:val="24"/>
        </w:rPr>
        <w:t>modeling. </w:t>
      </w:r>
      <w:r w:rsidRPr="003D1D64">
        <w:rPr>
          <w:bCs/>
          <w:i/>
          <w:iCs/>
          <w:color w:val="000000"/>
          <w:sz w:val="24"/>
          <w:szCs w:val="24"/>
        </w:rPr>
        <w:t xml:space="preserve">Transportation </w:t>
      </w:r>
      <w:r w:rsidR="0093518D">
        <w:rPr>
          <w:bCs/>
          <w:i/>
          <w:iCs/>
          <w:color w:val="000000"/>
          <w:sz w:val="24"/>
          <w:szCs w:val="24"/>
        </w:rPr>
        <w:t>R</w:t>
      </w:r>
      <w:r w:rsidRPr="003D1D64">
        <w:rPr>
          <w:bCs/>
          <w:i/>
          <w:iCs/>
          <w:color w:val="000000"/>
          <w:sz w:val="24"/>
          <w:szCs w:val="24"/>
        </w:rPr>
        <w:t xml:space="preserve">esearch </w:t>
      </w:r>
      <w:r w:rsidR="0093518D">
        <w:rPr>
          <w:bCs/>
          <w:i/>
          <w:iCs/>
          <w:color w:val="000000"/>
          <w:sz w:val="24"/>
          <w:szCs w:val="24"/>
        </w:rPr>
        <w:t>R</w:t>
      </w:r>
      <w:r w:rsidRPr="003D1D64">
        <w:rPr>
          <w:bCs/>
          <w:i/>
          <w:iCs/>
          <w:color w:val="000000"/>
          <w:sz w:val="24"/>
          <w:szCs w:val="24"/>
        </w:rPr>
        <w:t>ecord</w:t>
      </w:r>
      <w:r w:rsidRPr="003D1D64">
        <w:rPr>
          <w:bCs/>
          <w:color w:val="000000"/>
          <w:sz w:val="24"/>
          <w:szCs w:val="24"/>
        </w:rPr>
        <w:t>, </w:t>
      </w:r>
      <w:r w:rsidRPr="003D1D64">
        <w:rPr>
          <w:bCs/>
          <w:i/>
          <w:iCs/>
          <w:color w:val="000000"/>
          <w:sz w:val="24"/>
          <w:szCs w:val="24"/>
        </w:rPr>
        <w:t>2034</w:t>
      </w:r>
      <w:r w:rsidRPr="003D1D64">
        <w:rPr>
          <w:bCs/>
          <w:color w:val="000000"/>
          <w:sz w:val="24"/>
          <w:szCs w:val="24"/>
        </w:rPr>
        <w:t>(1), 19-26.</w:t>
      </w:r>
      <w:r w:rsidR="003A6B46">
        <w:rPr>
          <w:bCs/>
          <w:color w:val="000000"/>
          <w:sz w:val="24"/>
          <w:szCs w:val="24"/>
        </w:rPr>
        <w:t xml:space="preserve"> </w:t>
      </w:r>
    </w:p>
    <w:p w14:paraId="3A040DEA" w14:textId="0396072C" w:rsidR="00CE38CF" w:rsidRDefault="003A6B46" w:rsidP="007F7969">
      <w:pPr>
        <w:pStyle w:val="FootnoteText"/>
        <w:tabs>
          <w:tab w:val="left" w:pos="0"/>
        </w:tabs>
        <w:jc w:val="both"/>
      </w:pPr>
      <w:r>
        <w:rPr>
          <w:bCs/>
          <w:color w:val="000000"/>
          <w:sz w:val="24"/>
          <w:szCs w:val="24"/>
        </w:rPr>
        <w:tab/>
      </w:r>
      <w:hyperlink r:id="rId51" w:history="1">
        <w:r w:rsidRPr="003A6B46">
          <w:rPr>
            <w:rStyle w:val="Hyperlink"/>
            <w:bCs/>
            <w:sz w:val="24"/>
            <w:szCs w:val="24"/>
          </w:rPr>
          <w:t>https://doi.org/10.3141/2034-03</w:t>
        </w:r>
      </w:hyperlink>
    </w:p>
    <w:p w14:paraId="574EFF89" w14:textId="77777777" w:rsidR="00CE38CF" w:rsidRDefault="00CE38CF" w:rsidP="007F7969">
      <w:pPr>
        <w:pStyle w:val="FootnoteText"/>
        <w:tabs>
          <w:tab w:val="left" w:pos="0"/>
        </w:tabs>
        <w:jc w:val="both"/>
      </w:pPr>
    </w:p>
    <w:p w14:paraId="188A3D73" w14:textId="77777777" w:rsidR="00E77189" w:rsidRDefault="00E77189">
      <w:pPr>
        <w:rPr>
          <w:b/>
          <w:bCs/>
          <w:sz w:val="24"/>
          <w:szCs w:val="24"/>
        </w:rPr>
      </w:pPr>
      <w:r>
        <w:rPr>
          <w:b/>
          <w:bCs/>
          <w:sz w:val="24"/>
          <w:szCs w:val="24"/>
        </w:rPr>
        <w:br w:type="page"/>
      </w:r>
    </w:p>
    <w:p w14:paraId="0D2CCCBE" w14:textId="2D9DC48E" w:rsidR="00CE38CF" w:rsidRDefault="00CE38CF" w:rsidP="007F7969">
      <w:pPr>
        <w:pStyle w:val="FootnoteText"/>
        <w:tabs>
          <w:tab w:val="left" w:pos="0"/>
        </w:tabs>
        <w:jc w:val="both"/>
        <w:rPr>
          <w:b/>
          <w:bCs/>
          <w:sz w:val="24"/>
          <w:szCs w:val="24"/>
        </w:rPr>
      </w:pPr>
      <w:r w:rsidRPr="00CE38CF">
        <w:rPr>
          <w:b/>
          <w:bCs/>
          <w:sz w:val="24"/>
          <w:szCs w:val="24"/>
        </w:rPr>
        <w:lastRenderedPageBreak/>
        <w:t>APPENDIX A</w:t>
      </w:r>
      <w:r>
        <w:rPr>
          <w:b/>
          <w:bCs/>
          <w:sz w:val="24"/>
          <w:szCs w:val="24"/>
        </w:rPr>
        <w:t>: METHODOLOGICAL FORMULATION</w:t>
      </w:r>
    </w:p>
    <w:p w14:paraId="778E850C" w14:textId="02FD16FA" w:rsidR="00CE38CF" w:rsidRPr="00A5402D" w:rsidRDefault="00CE38CF" w:rsidP="00CE38CF">
      <w:pPr>
        <w:jc w:val="both"/>
        <w:rPr>
          <w:sz w:val="24"/>
          <w:szCs w:val="24"/>
        </w:rPr>
      </w:pPr>
      <w:r w:rsidRPr="00A5402D">
        <w:rPr>
          <w:sz w:val="24"/>
          <w:szCs w:val="24"/>
        </w:rPr>
        <w:t xml:space="preserve">The presentation below develops the likelihood contribution for a single respondent, and the index for the individual is suppressed throughout for readability. Also, as noted </w:t>
      </w:r>
      <w:r w:rsidR="00D7208E">
        <w:rPr>
          <w:sz w:val="24"/>
          <w:szCs w:val="24"/>
        </w:rPr>
        <w:t>in Section 4</w:t>
      </w:r>
      <w:r w:rsidRPr="00A5402D">
        <w:rPr>
          <w:sz w:val="24"/>
          <w:szCs w:val="24"/>
        </w:rPr>
        <w:t xml:space="preserve">, the specific barrier outcomes are only available for </w:t>
      </w:r>
      <w:proofErr w:type="gramStart"/>
      <w:r w:rsidRPr="00A5402D">
        <w:rPr>
          <w:sz w:val="24"/>
          <w:szCs w:val="24"/>
        </w:rPr>
        <w:t>the non</w:t>
      </w:r>
      <w:proofErr w:type="gramEnd"/>
      <w:r w:rsidRPr="00A5402D">
        <w:rPr>
          <w:sz w:val="24"/>
          <w:szCs w:val="24"/>
        </w:rPr>
        <w:t xml:space="preserve">- and low-frequency users. Individuals who are higher-frequency users contribute only to the first ordinal outcome, and the multivariate ordered-response probit model described below collapses to a single univariate ordered probit model. Thus, we describe the formulation for an individual with a full set of ten ordinal outcomes, and the system is simply marginalized to the univariate level for these higher-frequency transit users. </w:t>
      </w:r>
    </w:p>
    <w:p w14:paraId="31930BA8" w14:textId="77777777" w:rsidR="00CE38CF" w:rsidRPr="00DE77D0" w:rsidRDefault="00CE38CF" w:rsidP="00CE38CF">
      <w:pPr>
        <w:pStyle w:val="BodyText"/>
        <w:spacing w:before="0" w:after="120"/>
        <w:ind w:firstLine="720"/>
        <w:jc w:val="both"/>
        <w:rPr>
          <w:rFonts w:ascii="Times New Roman" w:hAnsi="Times New Roman" w:cs="Times New Roman"/>
        </w:rPr>
      </w:pPr>
      <w:r w:rsidRPr="00DE77D0">
        <w:rPr>
          <w:rFonts w:ascii="Times New Roman" w:hAnsi="Times New Roman" w:cs="Times New Roman"/>
        </w:rPr>
        <w:t xml:space="preserve">Label the ordered outcomes using the index </w:t>
      </w:r>
      <w:bookmarkStart w:id="0" w:name="MTBlankEqn"/>
      <w:r w:rsidRPr="00A12FE7">
        <w:rPr>
          <w:position w:val="-6"/>
        </w:rPr>
        <w:object w:dxaOrig="139" w:dyaOrig="260" w14:anchorId="788F9D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5pt;height:13.3pt" o:ole="">
            <v:imagedata r:id="rId52" o:title=""/>
          </v:shape>
          <o:OLEObject Type="Embed" ProgID="Equation.DSMT4" ShapeID="_x0000_i1025" DrawAspect="Content" ObjectID="_1851855218" r:id="rId53"/>
        </w:object>
      </w:r>
      <w:bookmarkEnd w:id="0"/>
      <w:r w:rsidRPr="00DE77D0">
        <w:rPr>
          <w:rFonts w:ascii="Times New Roman" w:hAnsi="Times New Roman" w:cs="Times New Roman"/>
        </w:rPr>
        <w:t xml:space="preserve"> (</w:t>
      </w:r>
      <w:r w:rsidRPr="00A12FE7">
        <w:rPr>
          <w:position w:val="-10"/>
        </w:rPr>
        <w:object w:dxaOrig="1180" w:dyaOrig="320" w14:anchorId="3889304D">
          <v:shape id="_x0000_i1026" type="#_x0000_t75" style="width:58.7pt;height:16.7pt" o:ole="">
            <v:imagedata r:id="rId54" o:title=""/>
          </v:shape>
          <o:OLEObject Type="Embed" ProgID="Equation.DSMT4" ShapeID="_x0000_i1026" DrawAspect="Content" ObjectID="_1851855219" r:id="rId55"/>
        </w:object>
      </w:r>
      <w:r w:rsidRPr="00DE77D0">
        <w:rPr>
          <w:rFonts w:ascii="Times New Roman" w:hAnsi="Times New Roman" w:cs="Times New Roman"/>
        </w:rPr>
        <w:t xml:space="preserve"> with</w:t>
      </w:r>
      <w:r>
        <w:rPr>
          <w:rFonts w:ascii="Times New Roman" w:hAnsi="Times New Roman" w:cs="Times New Roman"/>
        </w:rPr>
        <w:t xml:space="preserve"> </w:t>
      </w:r>
      <w:r w:rsidRPr="00A12FE7">
        <w:rPr>
          <w:position w:val="-6"/>
        </w:rPr>
        <w:object w:dxaOrig="639" w:dyaOrig="279" w14:anchorId="020ECA86">
          <v:shape id="_x0000_i1027" type="#_x0000_t75" style="width:31.7pt;height:13.3pt" o:ole="">
            <v:imagedata r:id="rId56" o:title=""/>
          </v:shape>
          <o:OLEObject Type="Embed" ProgID="Equation.DSMT4" ShapeID="_x0000_i1027" DrawAspect="Content" ObjectID="_1851855220" r:id="rId57"/>
        </w:object>
      </w:r>
      <w:proofErr w:type="gramStart"/>
      <w:r w:rsidRPr="00DE77D0">
        <w:rPr>
          <w:rFonts w:ascii="Times New Roman" w:hAnsi="Times New Roman" w:cs="Times New Roman"/>
        </w:rPr>
        <w:t>), and</w:t>
      </w:r>
      <w:proofErr w:type="gramEnd"/>
      <w:r w:rsidRPr="00DE77D0">
        <w:rPr>
          <w:rFonts w:ascii="Times New Roman" w:hAnsi="Times New Roman" w:cs="Times New Roman"/>
        </w:rPr>
        <w:t xml:space="preserve"> let the index for the ordered levels for each outcome be </w:t>
      </w:r>
      <w:r w:rsidRPr="00A12FE7">
        <w:rPr>
          <w:position w:val="-12"/>
        </w:rPr>
        <w:object w:dxaOrig="220" w:dyaOrig="360" w14:anchorId="0C7C3446">
          <v:shape id="_x0000_i1028" type="#_x0000_t75" style="width:10.3pt;height:18.85pt" o:ole="">
            <v:imagedata r:id="rId58" o:title=""/>
          </v:shape>
          <o:OLEObject Type="Embed" ProgID="Equation.DSMT4" ShapeID="_x0000_i1028" DrawAspect="Content" ObjectID="_1851855221" r:id="rId59"/>
        </w:object>
      </w:r>
      <w:r w:rsidRPr="00DE77D0">
        <w:rPr>
          <w:rFonts w:ascii="Times New Roman" w:hAnsi="Times New Roman" w:cs="Times New Roman"/>
          <w:noProof/>
        </w:rPr>
        <w:t xml:space="preserve"> </w:t>
      </w:r>
      <w:r w:rsidRPr="00A12FE7">
        <w:rPr>
          <w:position w:val="-12"/>
        </w:rPr>
        <w:object w:dxaOrig="1520" w:dyaOrig="360" w14:anchorId="13EE20C0">
          <v:shape id="_x0000_i1029" type="#_x0000_t75" style="width:76.3pt;height:18.85pt" o:ole="">
            <v:imagedata r:id="rId60" o:title=""/>
          </v:shape>
          <o:OLEObject Type="Embed" ProgID="Equation.DSMT4" ShapeID="_x0000_i1029" DrawAspect="Content" ObjectID="_1851855222" r:id="rId61"/>
        </w:object>
      </w:r>
      <w:r w:rsidRPr="00DE77D0">
        <w:rPr>
          <w:rFonts w:ascii="Times New Roman" w:hAnsi="Times New Roman" w:cs="Times New Roman"/>
        </w:rPr>
        <w:t xml:space="preserve"> where </w:t>
      </w:r>
      <w:r w:rsidRPr="00A12FE7">
        <w:rPr>
          <w:position w:val="-12"/>
        </w:rPr>
        <w:object w:dxaOrig="300" w:dyaOrig="360" w14:anchorId="316B1C84">
          <v:shape id="_x0000_i1030" type="#_x0000_t75" style="width:15pt;height:18.85pt" o:ole="">
            <v:imagedata r:id="rId62" o:title=""/>
          </v:shape>
          <o:OLEObject Type="Embed" ProgID="Equation.DSMT4" ShapeID="_x0000_i1030" DrawAspect="Content" ObjectID="_1851855223" r:id="rId63"/>
        </w:object>
      </w:r>
      <w:r w:rsidRPr="00DE77D0">
        <w:rPr>
          <w:rFonts w:ascii="Times New Roman" w:hAnsi="Times New Roman" w:cs="Times New Roman"/>
        </w:rPr>
        <w:t xml:space="preserve"> is the number of ordered levels of outcome </w:t>
      </w:r>
      <w:r w:rsidRPr="00A12FE7">
        <w:rPr>
          <w:position w:val="-6"/>
        </w:rPr>
        <w:object w:dxaOrig="139" w:dyaOrig="260" w14:anchorId="7531B613">
          <v:shape id="_x0000_i1031" type="#_x0000_t75" style="width:6.85pt;height:13.3pt" o:ole="">
            <v:imagedata r:id="rId64" o:title=""/>
          </v:shape>
          <o:OLEObject Type="Embed" ProgID="Equation.DSMT4" ShapeID="_x0000_i1031" DrawAspect="Content" ObjectID="_1851855224" r:id="rId65"/>
        </w:object>
      </w:r>
      <w:r w:rsidRPr="00DE77D0">
        <w:rPr>
          <w:rFonts w:ascii="Times New Roman" w:hAnsi="Times New Roman" w:cs="Times New Roman"/>
        </w:rPr>
        <w:t xml:space="preserve">. The first outcome is transit usage frequency, for which </w:t>
      </w:r>
      <w:r w:rsidRPr="00A12FE7">
        <w:rPr>
          <w:position w:val="-12"/>
        </w:rPr>
        <w:object w:dxaOrig="680" w:dyaOrig="360" w14:anchorId="0F22EF5A">
          <v:shape id="_x0000_i1032" type="#_x0000_t75" style="width:33.85pt;height:18.85pt" o:ole="">
            <v:imagedata r:id="rId66" o:title=""/>
          </v:shape>
          <o:OLEObject Type="Embed" ProgID="Equation.DSMT4" ShapeID="_x0000_i1032" DrawAspect="Content" ObjectID="_1851855225" r:id="rId67"/>
        </w:object>
      </w:r>
      <w:r w:rsidRPr="00DE77D0">
        <w:rPr>
          <w:rFonts w:ascii="Times New Roman" w:hAnsi="Times New Roman" w:cs="Times New Roman"/>
        </w:rPr>
        <w:t xml:space="preserve">, and the remaining nine outcomes are the perceived barriers to public transit use, each of which </w:t>
      </w:r>
      <w:r>
        <w:rPr>
          <w:rFonts w:ascii="Times New Roman" w:hAnsi="Times New Roman" w:cs="Times New Roman"/>
        </w:rPr>
        <w:t>is</w:t>
      </w:r>
      <w:r w:rsidRPr="00DE77D0">
        <w:rPr>
          <w:rFonts w:ascii="Times New Roman" w:hAnsi="Times New Roman" w:cs="Times New Roman"/>
        </w:rPr>
        <w:t xml:space="preserve"> binary so that </w:t>
      </w:r>
      <w:r w:rsidRPr="00A12FE7">
        <w:rPr>
          <w:position w:val="-12"/>
        </w:rPr>
        <w:object w:dxaOrig="2180" w:dyaOrig="360" w14:anchorId="4A4515E7">
          <v:shape id="_x0000_i1033" type="#_x0000_t75" style="width:108.85pt;height:18.85pt" o:ole="">
            <v:imagedata r:id="rId68" o:title=""/>
          </v:shape>
          <o:OLEObject Type="Embed" ProgID="Equation.DSMT4" ShapeID="_x0000_i1033" DrawAspect="Content" ObjectID="_1851855226" r:id="rId69"/>
        </w:object>
      </w:r>
      <w:r w:rsidRPr="00DE77D0">
        <w:rPr>
          <w:rFonts w:ascii="Times New Roman" w:hAnsi="Times New Roman" w:cs="Times New Roman"/>
        </w:rPr>
        <w:t xml:space="preserve">. Each outcome </w:t>
      </w:r>
      <w:r w:rsidRPr="00A12FE7">
        <w:rPr>
          <w:position w:val="-6"/>
        </w:rPr>
        <w:object w:dxaOrig="139" w:dyaOrig="260" w14:anchorId="57662053">
          <v:shape id="_x0000_i1034" type="#_x0000_t75" style="width:6.85pt;height:13.3pt" o:ole="">
            <v:imagedata r:id="rId70" o:title=""/>
          </v:shape>
          <o:OLEObject Type="Embed" ProgID="Equation.DSMT4" ShapeID="_x0000_i1034" DrawAspect="Content" ObjectID="_1851855227" r:id="rId71"/>
        </w:object>
      </w:r>
      <w:r w:rsidRPr="00DE77D0">
        <w:rPr>
          <w:rFonts w:ascii="Times New Roman" w:hAnsi="Times New Roman" w:cs="Times New Roman"/>
        </w:rPr>
        <w:t xml:space="preserve"> arises from a latent propensity </w:t>
      </w:r>
      <w:r w:rsidRPr="00A12FE7">
        <w:rPr>
          <w:position w:val="-12"/>
        </w:rPr>
        <w:object w:dxaOrig="279" w:dyaOrig="380" w14:anchorId="03F2EF17">
          <v:shape id="_x0000_i1035" type="#_x0000_t75" style="width:13.3pt;height:18.85pt" o:ole="">
            <v:imagedata r:id="rId72" o:title=""/>
          </v:shape>
          <o:OLEObject Type="Embed" ProgID="Equation.DSMT4" ShapeID="_x0000_i1035" DrawAspect="Content" ObjectID="_1851855228" r:id="rId73"/>
        </w:object>
      </w:r>
      <w:r w:rsidRPr="00DE77D0">
        <w:rPr>
          <w:rFonts w:ascii="Times New Roman" w:hAnsi="Times New Roman" w:cs="Times New Roman"/>
        </w:rPr>
        <w:t xml:space="preserve"> that is linear in a set of covariates and is mapped to the observed level through an outcome-specific vector of thresholds: </w:t>
      </w:r>
      <w:r w:rsidRPr="00DE77D0">
        <w:rPr>
          <w:rFonts w:ascii="Times New Roman" w:hAnsi="Times New Roman" w:cs="Times New Roman"/>
          <w:i/>
          <w:iCs/>
        </w:rPr>
        <w:t xml:space="preserve">                              </w:t>
      </w:r>
      <w:r w:rsidRPr="00DE77D0">
        <w:rPr>
          <w:rFonts w:ascii="Times New Roman" w:hAnsi="Times New Roman" w:cs="Times New Roman"/>
        </w:rPr>
        <w:tab/>
      </w:r>
    </w:p>
    <w:p w14:paraId="7132EDE4" w14:textId="77E564C1" w:rsidR="00CE38CF" w:rsidRPr="00DE77D0" w:rsidRDefault="00CE38CF" w:rsidP="00CE38CF">
      <w:pPr>
        <w:pStyle w:val="MTDisplayEquation"/>
        <w:rPr>
          <w:rFonts w:cs="Times New Roman"/>
        </w:rPr>
      </w:pPr>
      <w:r w:rsidRPr="00A12FE7">
        <w:rPr>
          <w:position w:val="-12"/>
        </w:rPr>
        <w:object w:dxaOrig="4120" w:dyaOrig="380" w14:anchorId="19CAFE27">
          <v:shape id="_x0000_i1036" type="#_x0000_t75" style="width:206.15pt;height:18.85pt" o:ole="">
            <v:imagedata r:id="rId74" o:title=""/>
          </v:shape>
          <o:OLEObject Type="Embed" ProgID="Equation.DSMT4" ShapeID="_x0000_i1036" DrawAspect="Content" ObjectID="_1851855229" r:id="rId75"/>
        </w:object>
      </w:r>
      <w:r w:rsidRPr="00DE77D0">
        <w:rPr>
          <w:rFonts w:cs="Times New Roman"/>
          <w:noProof/>
          <w14:ligatures w14:val="none"/>
        </w:rPr>
        <w:tab/>
      </w:r>
      <w:r w:rsidRPr="00DE77D0">
        <w:rPr>
          <w:rFonts w:cs="Times New Roman"/>
        </w:rPr>
        <w:tab/>
      </w:r>
      <w:r w:rsidR="00DA2DC1">
        <w:rPr>
          <w:rFonts w:cs="Times New Roman"/>
        </w:rPr>
        <w:fldChar w:fldCharType="begin"/>
      </w:r>
      <w:r w:rsidR="00DA2DC1">
        <w:rPr>
          <w:rFonts w:cs="Times New Roman"/>
        </w:rPr>
        <w:instrText xml:space="preserve"> MACROBUTTON MTPlaceRef \* MERGEFORMAT </w:instrText>
      </w:r>
      <w:r w:rsidR="00DA2DC1">
        <w:rPr>
          <w:rFonts w:cs="Times New Roman"/>
        </w:rPr>
        <w:fldChar w:fldCharType="begin"/>
      </w:r>
      <w:r w:rsidR="00DA2DC1">
        <w:rPr>
          <w:rFonts w:cs="Times New Roman"/>
        </w:rPr>
        <w:instrText xml:space="preserve"> SEQ MTEqn \h \* MERGEFORMAT </w:instrText>
      </w:r>
      <w:r w:rsidR="00DA2DC1">
        <w:rPr>
          <w:rFonts w:cs="Times New Roman"/>
        </w:rPr>
        <w:fldChar w:fldCharType="end"/>
      </w:r>
      <w:r w:rsidR="00DA2DC1">
        <w:rPr>
          <w:rFonts w:cs="Times New Roman"/>
        </w:rPr>
        <w:instrText>(A.1)</w:instrText>
      </w:r>
      <w:r w:rsidR="00DA2DC1">
        <w:rPr>
          <w:rFonts w:cs="Times New Roman"/>
        </w:rPr>
        <w:fldChar w:fldCharType="end"/>
      </w:r>
    </w:p>
    <w:p w14:paraId="49DD3711" w14:textId="08F8A4F2" w:rsidR="00CE38CF" w:rsidRPr="00DE77D0" w:rsidRDefault="00CE38CF" w:rsidP="00CE38CF">
      <w:pPr>
        <w:pStyle w:val="FirstParagraph"/>
        <w:spacing w:before="120" w:after="0"/>
        <w:jc w:val="both"/>
        <w:rPr>
          <w:rFonts w:ascii="Times New Roman" w:hAnsi="Times New Roman" w:cs="Times New Roman"/>
        </w:rPr>
      </w:pPr>
      <w:r>
        <w:rPr>
          <w:rFonts w:ascii="Times New Roman" w:hAnsi="Times New Roman" w:cs="Times New Roman"/>
        </w:rPr>
        <w:t>w</w:t>
      </w:r>
      <w:r w:rsidRPr="00DE77D0">
        <w:rPr>
          <w:rFonts w:ascii="Times New Roman" w:hAnsi="Times New Roman" w:cs="Times New Roman"/>
        </w:rPr>
        <w:t>here</w:t>
      </w:r>
      <w:r w:rsidRPr="00A12FE7">
        <w:rPr>
          <w:position w:val="-10"/>
        </w:rPr>
        <w:object w:dxaOrig="279" w:dyaOrig="260" w14:anchorId="1B84EBDF">
          <v:shape id="_x0000_i1037" type="#_x0000_t75" style="width:13.3pt;height:13.3pt" o:ole="">
            <v:imagedata r:id="rId76" o:title=""/>
          </v:shape>
          <o:OLEObject Type="Embed" ProgID="Equation.DSMT4" ShapeID="_x0000_i1037" DrawAspect="Content" ObjectID="_1851855230" r:id="rId77"/>
        </w:object>
      </w:r>
      <w:r w:rsidRPr="00DE77D0">
        <w:rPr>
          <w:rFonts w:ascii="Times New Roman" w:hAnsi="Times New Roman" w:cs="Times New Roman"/>
        </w:rPr>
        <w:t xml:space="preserve">is an </w:t>
      </w:r>
      <w:r w:rsidRPr="00A12FE7">
        <w:rPr>
          <w:position w:val="-10"/>
        </w:rPr>
        <w:object w:dxaOrig="540" w:dyaOrig="320" w14:anchorId="55598B59">
          <v:shape id="_x0000_i1038" type="#_x0000_t75" style="width:27pt;height:16.7pt" o:ole="">
            <v:imagedata r:id="rId78" o:title=""/>
          </v:shape>
          <o:OLEObject Type="Embed" ProgID="Equation.DSMT4" ShapeID="_x0000_i1038" DrawAspect="Content" ObjectID="_1851855231" r:id="rId79"/>
        </w:object>
      </w:r>
      <w:r w:rsidRPr="00DE77D0">
        <w:rPr>
          <w:rFonts w:ascii="Times New Roman" w:hAnsi="Times New Roman" w:cs="Times New Roman"/>
        </w:rPr>
        <w:t xml:space="preserve"> vector of exogenous variables (without a constant) and</w:t>
      </w:r>
      <w:r>
        <w:rPr>
          <w:rFonts w:ascii="Times New Roman" w:hAnsi="Times New Roman" w:cs="Times New Roman"/>
        </w:rPr>
        <w:t xml:space="preserve"> </w:t>
      </w:r>
      <w:r w:rsidRPr="00A12FE7">
        <w:rPr>
          <w:position w:val="-12"/>
        </w:rPr>
        <w:object w:dxaOrig="240" w:dyaOrig="360" w14:anchorId="6743BE28">
          <v:shape id="_x0000_i1039" type="#_x0000_t75" style="width:12pt;height:18.85pt" o:ole="">
            <v:imagedata r:id="rId80" o:title=""/>
          </v:shape>
          <o:OLEObject Type="Embed" ProgID="Equation.DSMT4" ShapeID="_x0000_i1039" DrawAspect="Content" ObjectID="_1851855232" r:id="rId81"/>
        </w:object>
      </w:r>
      <w:r>
        <w:rPr>
          <w:rFonts w:ascii="Times New Roman" w:hAnsi="Times New Roman" w:cs="Times New Roman"/>
        </w:rPr>
        <w:t xml:space="preserve"> </w:t>
      </w:r>
      <w:r w:rsidRPr="00DE77D0">
        <w:rPr>
          <w:rFonts w:ascii="Times New Roman" w:hAnsi="Times New Roman" w:cs="Times New Roman"/>
        </w:rPr>
        <w:t xml:space="preserve">is the corresponding </w:t>
      </w:r>
      <w:r w:rsidRPr="00A12FE7">
        <w:rPr>
          <w:position w:val="-10"/>
        </w:rPr>
        <w:object w:dxaOrig="540" w:dyaOrig="320" w14:anchorId="2CE2E2CB">
          <v:shape id="_x0000_i1040" type="#_x0000_t75" style="width:27pt;height:16.7pt" o:ole="">
            <v:imagedata r:id="rId82" o:title=""/>
          </v:shape>
          <o:OLEObject Type="Embed" ProgID="Equation.DSMT4" ShapeID="_x0000_i1040" DrawAspect="Content" ObjectID="_1851855233" r:id="rId83"/>
        </w:object>
      </w:r>
      <w:r w:rsidRPr="00DE77D0">
        <w:rPr>
          <w:rFonts w:ascii="Times New Roman" w:hAnsi="Times New Roman" w:cs="Times New Roman"/>
        </w:rPr>
        <w:t xml:space="preserve"> vector of parameters carrying the effects of those variables on outcome </w:t>
      </w:r>
      <w:r w:rsidRPr="00A12FE7">
        <w:rPr>
          <w:position w:val="-6"/>
        </w:rPr>
        <w:object w:dxaOrig="139" w:dyaOrig="260" w14:anchorId="17234C8E">
          <v:shape id="_x0000_i1041" type="#_x0000_t75" style="width:6.85pt;height:13.3pt" o:ole="">
            <v:imagedata r:id="rId84" o:title=""/>
          </v:shape>
          <o:OLEObject Type="Embed" ProgID="Equation.DSMT4" ShapeID="_x0000_i1041" DrawAspect="Content" ObjectID="_1851855234" r:id="rId85"/>
        </w:object>
      </w:r>
      <w:r w:rsidRPr="00DE77D0">
        <w:rPr>
          <w:rFonts w:ascii="Times New Roman" w:hAnsi="Times New Roman" w:cs="Times New Roman"/>
        </w:rPr>
        <w:t>. Each latent propensity</w:t>
      </w:r>
      <w:r>
        <w:rPr>
          <w:rFonts w:ascii="Times New Roman" w:hAnsi="Times New Roman" w:cs="Times New Roman"/>
        </w:rPr>
        <w:t xml:space="preserve"> </w:t>
      </w:r>
      <w:r w:rsidRPr="00A12FE7">
        <w:rPr>
          <w:position w:val="-12"/>
        </w:rPr>
        <w:object w:dxaOrig="279" w:dyaOrig="380" w14:anchorId="403CB003">
          <v:shape id="_x0000_i1042" type="#_x0000_t75" style="width:13.3pt;height:18.85pt" o:ole="">
            <v:imagedata r:id="rId86" o:title=""/>
          </v:shape>
          <o:OLEObject Type="Embed" ProgID="Equation.DSMT4" ShapeID="_x0000_i1042" DrawAspect="Content" ObjectID="_1851855235" r:id="rId87"/>
        </w:object>
      </w:r>
      <w:r w:rsidRPr="00DE77D0">
        <w:rPr>
          <w:rFonts w:ascii="Times New Roman" w:hAnsi="Times New Roman" w:cs="Times New Roman"/>
        </w:rPr>
        <w:t xml:space="preserve"> is translated into the observed ordinal level</w:t>
      </w:r>
      <w:r>
        <w:rPr>
          <w:rFonts w:ascii="Times New Roman" w:hAnsi="Times New Roman" w:cs="Times New Roman"/>
        </w:rPr>
        <w:t xml:space="preserve"> </w:t>
      </w:r>
      <w:r w:rsidRPr="00ED683A">
        <w:rPr>
          <w:rFonts w:ascii="Times New Roman" w:hAnsi="Times New Roman" w:cs="Times New Roman"/>
          <w:position w:val="-12"/>
        </w:rPr>
        <w:object w:dxaOrig="240" w:dyaOrig="360" w14:anchorId="7339476B">
          <v:shape id="_x0000_i1043" type="#_x0000_t75" style="width:12pt;height:18.85pt" o:ole="">
            <v:imagedata r:id="rId88" o:title=""/>
          </v:shape>
          <o:OLEObject Type="Embed" ProgID="Equation.DSMT4" ShapeID="_x0000_i1043" DrawAspect="Content" ObjectID="_1851855236" r:id="rId89"/>
        </w:object>
      </w:r>
      <w:r w:rsidRPr="00DE77D0">
        <w:rPr>
          <w:rFonts w:ascii="Times New Roman" w:hAnsi="Times New Roman" w:cs="Times New Roman"/>
        </w:rPr>
        <w:t xml:space="preserve"> using a series of thresholds. The thresholds </w:t>
      </w:r>
      <w:r w:rsidRPr="00DE77D0">
        <w:rPr>
          <w:rFonts w:ascii="Times New Roman" w:hAnsi="Times New Roman" w:cs="Times New Roman"/>
          <w:noProof/>
        </w:rPr>
        <w:t>must be</w:t>
      </w:r>
      <w:r w:rsidRPr="00DE77D0">
        <w:rPr>
          <w:rFonts w:ascii="Times New Roman" w:hAnsi="Times New Roman" w:cs="Times New Roman"/>
        </w:rPr>
        <w:t xml:space="preserve"> strictly increasing, with </w:t>
      </w:r>
      <w:r w:rsidRPr="00A12FE7">
        <w:rPr>
          <w:position w:val="-12"/>
        </w:rPr>
        <w:object w:dxaOrig="859" w:dyaOrig="380" w14:anchorId="7775B606">
          <v:shape id="_x0000_i1044" type="#_x0000_t75" style="width:43.7pt;height:18.85pt" o:ole="">
            <v:imagedata r:id="rId90" o:title=""/>
          </v:shape>
          <o:OLEObject Type="Embed" ProgID="Equation.DSMT4" ShapeID="_x0000_i1044" DrawAspect="Content" ObjectID="_1851855237" r:id="rId91"/>
        </w:object>
      </w:r>
      <w:r w:rsidRPr="00DE77D0">
        <w:rPr>
          <w:rFonts w:ascii="Times New Roman" w:hAnsi="Times New Roman" w:cs="Times New Roman"/>
        </w:rPr>
        <w:t xml:space="preserve"> and </w:t>
      </w:r>
      <w:r w:rsidRPr="00A12FE7">
        <w:rPr>
          <w:position w:val="-12"/>
        </w:rPr>
        <w:object w:dxaOrig="940" w:dyaOrig="380" w14:anchorId="79D50295">
          <v:shape id="_x0000_i1045" type="#_x0000_t75" style="width:47.15pt;height:18.85pt" o:ole="">
            <v:imagedata r:id="rId92" o:title=""/>
          </v:shape>
          <o:OLEObject Type="Embed" ProgID="Equation.DSMT4" ShapeID="_x0000_i1045" DrawAspect="Content" ObjectID="_1851855238" r:id="rId93"/>
        </w:object>
      </w:r>
      <w:r w:rsidRPr="00DE77D0">
        <w:rPr>
          <w:rFonts w:ascii="Times New Roman" w:hAnsi="Times New Roman" w:cs="Times New Roman"/>
          <w:noProof/>
        </w:rPr>
        <w:t>, and the thre</w:t>
      </w:r>
      <w:r>
        <w:rPr>
          <w:rFonts w:ascii="Times New Roman" w:hAnsi="Times New Roman" w:cs="Times New Roman"/>
          <w:noProof/>
        </w:rPr>
        <w:t>s</w:t>
      </w:r>
      <w:r w:rsidRPr="00DE77D0">
        <w:rPr>
          <w:rFonts w:ascii="Times New Roman" w:hAnsi="Times New Roman" w:cs="Times New Roman"/>
          <w:noProof/>
        </w:rPr>
        <w:t>holds to be estimated may be stacked for each outcome into the vector</w:t>
      </w:r>
      <w:r>
        <w:rPr>
          <w:rFonts w:ascii="Times New Roman" w:hAnsi="Times New Roman" w:cs="Times New Roman"/>
          <w:noProof/>
        </w:rPr>
        <w:t xml:space="preserve"> </w:t>
      </w:r>
      <w:r w:rsidRPr="00A12FE7">
        <w:rPr>
          <w:position w:val="-12"/>
        </w:rPr>
        <w:object w:dxaOrig="2120" w:dyaOrig="380" w14:anchorId="7BD0F873">
          <v:shape id="_x0000_i1046" type="#_x0000_t75" style="width:105.85pt;height:18.85pt" o:ole="">
            <v:imagedata r:id="rId94" o:title=""/>
          </v:shape>
          <o:OLEObject Type="Embed" ProgID="Equation.DSMT4" ShapeID="_x0000_i1046" DrawAspect="Content" ObjectID="_1851855239" r:id="rId95"/>
        </w:object>
      </w:r>
      <w:r>
        <w:rPr>
          <w:rFonts w:ascii="Times New Roman" w:hAnsi="Times New Roman" w:cs="Times New Roman"/>
          <w:noProof/>
        </w:rPr>
        <w:t xml:space="preserve">. </w:t>
      </w:r>
      <w:r w:rsidRPr="00DE77D0">
        <w:rPr>
          <w:rFonts w:ascii="Times New Roman" w:hAnsi="Times New Roman" w:cs="Times New Roman"/>
        </w:rPr>
        <w:t xml:space="preserve">The usage-frequency outcome therefore </w:t>
      </w:r>
      <w:r>
        <w:rPr>
          <w:rFonts w:ascii="Times New Roman" w:hAnsi="Times New Roman" w:cs="Times New Roman"/>
        </w:rPr>
        <w:t>has</w:t>
      </w:r>
      <w:r w:rsidRPr="00DE77D0">
        <w:rPr>
          <w:rFonts w:ascii="Times New Roman" w:hAnsi="Times New Roman" w:cs="Times New Roman"/>
        </w:rPr>
        <w:t xml:space="preserve"> four finite cut-points that partition its latent propensity into five ordered levels, wh</w:t>
      </w:r>
      <w:r>
        <w:rPr>
          <w:rFonts w:ascii="Times New Roman" w:hAnsi="Times New Roman" w:cs="Times New Roman"/>
        </w:rPr>
        <w:t>ile</w:t>
      </w:r>
      <w:r w:rsidRPr="00DE77D0">
        <w:rPr>
          <w:rFonts w:ascii="Times New Roman" w:hAnsi="Times New Roman" w:cs="Times New Roman"/>
        </w:rPr>
        <w:t xml:space="preserve"> each binary barrier outcome </w:t>
      </w:r>
      <w:r>
        <w:rPr>
          <w:rFonts w:ascii="Times New Roman" w:hAnsi="Times New Roman" w:cs="Times New Roman"/>
        </w:rPr>
        <w:t>has</w:t>
      </w:r>
      <w:r w:rsidRPr="00DE77D0">
        <w:rPr>
          <w:rFonts w:ascii="Times New Roman" w:hAnsi="Times New Roman" w:cs="Times New Roman"/>
        </w:rPr>
        <w:t xml:space="preserve"> a single finite threshold. The random error terms </w:t>
      </w:r>
      <w:r w:rsidRPr="00A12FE7">
        <w:rPr>
          <w:position w:val="-12"/>
        </w:rPr>
        <w:object w:dxaOrig="240" w:dyaOrig="360" w14:anchorId="1AD84A64">
          <v:shape id="_x0000_i1047" type="#_x0000_t75" style="width:12pt;height:18.85pt" o:ole="">
            <v:imagedata r:id="rId96" o:title=""/>
          </v:shape>
          <o:OLEObject Type="Embed" ProgID="Equation.DSMT4" ShapeID="_x0000_i1047" DrawAspect="Content" ObjectID="_1851855240" r:id="rId97"/>
        </w:object>
      </w:r>
      <w:r w:rsidRPr="00DE77D0">
        <w:rPr>
          <w:rFonts w:ascii="Times New Roman" w:hAnsi="Times New Roman" w:cs="Times New Roman"/>
        </w:rPr>
        <w:t xml:space="preserve"> in Equation (</w:t>
      </w:r>
      <w:r w:rsidR="0005721B">
        <w:rPr>
          <w:rFonts w:ascii="Times New Roman" w:hAnsi="Times New Roman" w:cs="Times New Roman"/>
        </w:rPr>
        <w:t>A.</w:t>
      </w:r>
      <w:r w:rsidRPr="00DE77D0">
        <w:rPr>
          <w:rFonts w:ascii="Times New Roman" w:hAnsi="Times New Roman" w:cs="Times New Roman"/>
        </w:rPr>
        <w:t>1) are assumed to be standard normally distributed and independent and identically distributed across individuals. The random error terms may be stacked into the vector</w:t>
      </w:r>
      <w:r>
        <w:rPr>
          <w:rFonts w:ascii="Times New Roman" w:hAnsi="Times New Roman" w:cs="Times New Roman"/>
        </w:rPr>
        <w:t xml:space="preserve"> </w:t>
      </w:r>
      <w:r w:rsidRPr="00A12FE7">
        <w:rPr>
          <w:position w:val="-12"/>
        </w:rPr>
        <w:object w:dxaOrig="1640" w:dyaOrig="360" w14:anchorId="76AAA67B">
          <v:shape id="_x0000_i1048" type="#_x0000_t75" style="width:81.85pt;height:18.85pt" o:ole="">
            <v:imagedata r:id="rId98" o:title=""/>
          </v:shape>
          <o:OLEObject Type="Embed" ProgID="Equation.DSMT4" ShapeID="_x0000_i1048" DrawAspect="Content" ObjectID="_1851855241" r:id="rId99"/>
        </w:object>
      </w:r>
      <w:r w:rsidRPr="00DE77D0">
        <w:rPr>
          <w:rFonts w:ascii="Times New Roman" w:hAnsi="Times New Roman" w:cs="Times New Roman"/>
        </w:rPr>
        <w:t xml:space="preserve"> which is assumed to follow a multivariate normal distribution with an </w:t>
      </w:r>
      <w:r w:rsidRPr="00A12FE7">
        <w:rPr>
          <w:position w:val="-10"/>
        </w:rPr>
        <w:object w:dxaOrig="440" w:dyaOrig="320" w14:anchorId="0BC1B9D1">
          <v:shape id="_x0000_i1049" type="#_x0000_t75" style="width:21.85pt;height:16.7pt" o:ole="">
            <v:imagedata r:id="rId100" o:title=""/>
          </v:shape>
          <o:OLEObject Type="Embed" ProgID="Equation.DSMT4" ShapeID="_x0000_i1049" DrawAspect="Content" ObjectID="_1851855242" r:id="rId101"/>
        </w:object>
      </w:r>
      <w:r w:rsidRPr="00DE77D0">
        <w:rPr>
          <w:rFonts w:ascii="Times New Roman" w:hAnsi="Times New Roman" w:cs="Times New Roman"/>
        </w:rPr>
        <w:t xml:space="preserve"> mean vector of zeros</w:t>
      </w:r>
      <w:r>
        <w:rPr>
          <w:rFonts w:ascii="Times New Roman" w:hAnsi="Times New Roman" w:cs="Times New Roman"/>
        </w:rPr>
        <w:t xml:space="preserve"> </w:t>
      </w:r>
      <w:r w:rsidRPr="00A12FE7">
        <w:rPr>
          <w:position w:val="-12"/>
        </w:rPr>
        <w:object w:dxaOrig="260" w:dyaOrig="360" w14:anchorId="22024797">
          <v:shape id="_x0000_i1050" type="#_x0000_t75" style="width:13.3pt;height:18.85pt" o:ole="">
            <v:imagedata r:id="rId102" o:title=""/>
          </v:shape>
          <o:OLEObject Type="Embed" ProgID="Equation.DSMT4" ShapeID="_x0000_i1050" DrawAspect="Content" ObjectID="_1851855243" r:id="rId103"/>
        </w:object>
      </w:r>
      <w:r w:rsidRPr="00DE77D0">
        <w:rPr>
          <w:rFonts w:ascii="Times New Roman" w:hAnsi="Times New Roman" w:cs="Times New Roman"/>
        </w:rPr>
        <w:t xml:space="preserve"> and an </w:t>
      </w:r>
      <w:r w:rsidRPr="00A12FE7">
        <w:rPr>
          <w:position w:val="-10"/>
        </w:rPr>
        <w:object w:dxaOrig="480" w:dyaOrig="320" w14:anchorId="4C813C54">
          <v:shape id="_x0000_i1051" type="#_x0000_t75" style="width:24pt;height:16.7pt" o:ole="">
            <v:imagedata r:id="rId104" o:title=""/>
          </v:shape>
          <o:OLEObject Type="Embed" ProgID="Equation.DSMT4" ShapeID="_x0000_i1051" DrawAspect="Content" ObjectID="_1851855244" r:id="rId105"/>
        </w:object>
      </w:r>
      <w:r w:rsidRPr="00DE77D0">
        <w:rPr>
          <w:rFonts w:ascii="Times New Roman" w:hAnsi="Times New Roman" w:cs="Times New Roman"/>
        </w:rPr>
        <w:t xml:space="preserve"> correlation matrix </w:t>
      </w:r>
      <w:r w:rsidRPr="00025957">
        <w:rPr>
          <w:position w:val="-4"/>
        </w:rPr>
        <w:object w:dxaOrig="240" w:dyaOrig="260" w14:anchorId="14F43F81">
          <v:shape id="_x0000_i1052" type="#_x0000_t75" style="width:12pt;height:13.3pt" o:ole="">
            <v:imagedata r:id="rId106" o:title=""/>
          </v:shape>
          <o:OLEObject Type="Embed" ProgID="Equation.DSMT4" ShapeID="_x0000_i1052" DrawAspect="Content" ObjectID="_1851855245" r:id="rId107"/>
        </w:object>
      </w:r>
      <w:r w:rsidRPr="00DE77D0">
        <w:rPr>
          <w:rFonts w:ascii="Times New Roman" w:hAnsi="Times New Roman" w:cs="Times New Roman"/>
          <w:noProof/>
        </w:rPr>
        <w:t xml:space="preserve">. </w:t>
      </w:r>
      <w:r w:rsidRPr="00DE77D0">
        <w:rPr>
          <w:rFonts w:ascii="Times New Roman" w:hAnsi="Times New Roman" w:cs="Times New Roman"/>
        </w:rPr>
        <w:t xml:space="preserve">The diagonal elements of </w:t>
      </w:r>
      <w:r w:rsidRPr="00025957">
        <w:rPr>
          <w:position w:val="-4"/>
        </w:rPr>
        <w:object w:dxaOrig="240" w:dyaOrig="260" w14:anchorId="7934FB4C">
          <v:shape id="_x0000_i1053" type="#_x0000_t75" style="width:12pt;height:13.3pt" o:ole="">
            <v:imagedata r:id="rId108" o:title=""/>
          </v:shape>
          <o:OLEObject Type="Embed" ProgID="Equation.DSMT4" ShapeID="_x0000_i1053" DrawAspect="Content" ObjectID="_1851855246" r:id="rId109"/>
        </w:object>
      </w:r>
      <w:r w:rsidRPr="00DE77D0">
        <w:rPr>
          <w:rFonts w:ascii="Times New Roman" w:hAnsi="Times New Roman" w:cs="Times New Roman"/>
        </w:rPr>
        <w:t xml:space="preserve"> are normalized to unity for identification, and its off-diagonal elements </w:t>
      </w:r>
      <w:r w:rsidRPr="00A12FE7">
        <w:rPr>
          <w:position w:val="-14"/>
        </w:rPr>
        <w:object w:dxaOrig="300" w:dyaOrig="380" w14:anchorId="00997EBC">
          <v:shape id="_x0000_i1054" type="#_x0000_t75" style="width:15pt;height:18.85pt" o:ole="">
            <v:imagedata r:id="rId110" o:title=""/>
          </v:shape>
          <o:OLEObject Type="Embed" ProgID="Equation.DSMT4" ShapeID="_x0000_i1054" DrawAspect="Content" ObjectID="_1851855247" r:id="rId111"/>
        </w:object>
      </w:r>
      <w:r w:rsidRPr="00DE77D0">
        <w:rPr>
          <w:rFonts w:ascii="Times New Roman" w:hAnsi="Times New Roman" w:cs="Times New Roman"/>
        </w:rPr>
        <w:t xml:space="preserve"> capture the error correlations among the latent propensities for each pair of endogenous outcomes </w:t>
      </w:r>
      <w:r w:rsidRPr="00A12FE7">
        <w:rPr>
          <w:position w:val="-6"/>
        </w:rPr>
        <w:object w:dxaOrig="139" w:dyaOrig="260" w14:anchorId="1B9FA9F9">
          <v:shape id="_x0000_i1055" type="#_x0000_t75" style="width:6.85pt;height:13.3pt" o:ole="">
            <v:imagedata r:id="rId112" o:title=""/>
          </v:shape>
          <o:OLEObject Type="Embed" ProgID="Equation.DSMT4" ShapeID="_x0000_i1055" DrawAspect="Content" ObjectID="_1851855248" r:id="rId113"/>
        </w:object>
      </w:r>
      <w:r w:rsidRPr="00DE77D0">
        <w:rPr>
          <w:rFonts w:ascii="Times New Roman" w:hAnsi="Times New Roman" w:cs="Times New Roman"/>
        </w:rPr>
        <w:t xml:space="preserve"> and </w:t>
      </w:r>
      <w:r w:rsidRPr="00A12FE7">
        <w:rPr>
          <w:position w:val="-10"/>
        </w:rPr>
        <w:object w:dxaOrig="200" w:dyaOrig="300" w14:anchorId="5748675C">
          <v:shape id="_x0000_i1056" type="#_x0000_t75" style="width:9.85pt;height:15pt" o:ole="">
            <v:imagedata r:id="rId114" o:title=""/>
          </v:shape>
          <o:OLEObject Type="Embed" ProgID="Equation.DSMT4" ShapeID="_x0000_i1056" DrawAspect="Content" ObjectID="_1851855249" r:id="rId115"/>
        </w:object>
      </w:r>
      <w:r w:rsidRPr="00DE77D0">
        <w:rPr>
          <w:rFonts w:ascii="Times New Roman" w:hAnsi="Times New Roman" w:cs="Times New Roman"/>
        </w:rPr>
        <w:t xml:space="preserve">. Thus, this general correlation matrix accommodates the shared unobserved factors that tie transit usage and the individual barriers together. </w:t>
      </w:r>
      <w:r w:rsidRPr="00BE6000">
        <w:rPr>
          <w:rFonts w:ascii="Times New Roman" w:hAnsi="Times New Roman" w:cs="Times New Roman"/>
        </w:rPr>
        <w:t>Correlations that are not statistically significant are fixed to zero and dropped from</w:t>
      </w:r>
      <w:r>
        <w:rPr>
          <w:rFonts w:ascii="Times New Roman" w:hAnsi="Times New Roman" w:cs="Times New Roman"/>
        </w:rPr>
        <w:t xml:space="preserve"> </w:t>
      </w:r>
      <w:r w:rsidRPr="00025957">
        <w:rPr>
          <w:position w:val="-4"/>
        </w:rPr>
        <w:object w:dxaOrig="240" w:dyaOrig="260" w14:anchorId="0FB218B7">
          <v:shape id="_x0000_i1057" type="#_x0000_t75" style="width:12pt;height:13.3pt" o:ole="">
            <v:imagedata r:id="rId116" o:title=""/>
          </v:shape>
          <o:OLEObject Type="Embed" ProgID="Equation.DSMT4" ShapeID="_x0000_i1057" DrawAspect="Content" ObjectID="_1851855250" r:id="rId117"/>
        </w:object>
      </w:r>
      <w:r w:rsidRPr="00DE77D0">
        <w:rPr>
          <w:rFonts w:ascii="Times New Roman" w:hAnsi="Times New Roman" w:cs="Times New Roman"/>
        </w:rPr>
        <w:t>.</w:t>
      </w:r>
    </w:p>
    <w:p w14:paraId="46966F1A" w14:textId="77777777" w:rsidR="00CE38CF" w:rsidRPr="00DE77D0" w:rsidRDefault="00CE38CF" w:rsidP="00CE38CF">
      <w:pPr>
        <w:pStyle w:val="BodyText"/>
        <w:spacing w:before="0" w:after="120"/>
        <w:ind w:firstLine="720"/>
        <w:jc w:val="both"/>
        <w:rPr>
          <w:rFonts w:ascii="Times New Roman" w:hAnsi="Times New Roman" w:cs="Times New Roman"/>
        </w:rPr>
      </w:pPr>
      <w:r w:rsidRPr="00DE77D0">
        <w:rPr>
          <w:rFonts w:ascii="Times New Roman" w:hAnsi="Times New Roman" w:cs="Times New Roman"/>
        </w:rPr>
        <w:t xml:space="preserve">To write the system compactly in matrix form, stack the coefficient vectors for each outcome into the </w:t>
      </w:r>
      <w:r w:rsidRPr="00A12FE7">
        <w:rPr>
          <w:position w:val="-10"/>
        </w:rPr>
        <w:object w:dxaOrig="580" w:dyaOrig="320" w14:anchorId="3E6AF002">
          <v:shape id="_x0000_i1058" type="#_x0000_t75" style="width:28.3pt;height:16.7pt" o:ole="">
            <v:imagedata r:id="rId118" o:title=""/>
          </v:shape>
          <o:OLEObject Type="Embed" ProgID="Equation.DSMT4" ShapeID="_x0000_i1058" DrawAspect="Content" ObjectID="_1851855251" r:id="rId119"/>
        </w:object>
      </w:r>
      <w:r w:rsidRPr="00DE77D0">
        <w:rPr>
          <w:rFonts w:ascii="Times New Roman" w:hAnsi="Times New Roman" w:cs="Times New Roman"/>
        </w:rPr>
        <w:t xml:space="preserve"> matrix </w:t>
      </w:r>
      <w:r w:rsidRPr="00A12FE7">
        <w:rPr>
          <w:position w:val="-12"/>
        </w:rPr>
        <w:object w:dxaOrig="1740" w:dyaOrig="360" w14:anchorId="27865A2A">
          <v:shape id="_x0000_i1059" type="#_x0000_t75" style="width:87pt;height:18.85pt" o:ole="">
            <v:imagedata r:id="rId120" o:title=""/>
          </v:shape>
          <o:OLEObject Type="Embed" ProgID="Equation.DSMT4" ShapeID="_x0000_i1059" DrawAspect="Content" ObjectID="_1851855252" r:id="rId121"/>
        </w:object>
      </w:r>
      <w:r w:rsidRPr="00DE77D0">
        <w:rPr>
          <w:rFonts w:ascii="Times New Roman" w:hAnsi="Times New Roman" w:cs="Times New Roman"/>
        </w:rPr>
        <w:t>, and stack the outcome-specific threshold vectors into a single vector</w:t>
      </w:r>
      <w:r>
        <w:rPr>
          <w:rFonts w:ascii="Times New Roman" w:hAnsi="Times New Roman" w:cs="Times New Roman"/>
        </w:rPr>
        <w:t xml:space="preserve"> </w:t>
      </w:r>
      <w:r w:rsidRPr="00A12FE7">
        <w:rPr>
          <w:position w:val="-12"/>
        </w:rPr>
        <w:object w:dxaOrig="1719" w:dyaOrig="360" w14:anchorId="683DC423">
          <v:shape id="_x0000_i1060" type="#_x0000_t75" style="width:85.3pt;height:18.85pt" o:ole="">
            <v:imagedata r:id="rId122" o:title=""/>
          </v:shape>
          <o:OLEObject Type="Embed" ProgID="Equation.DSMT4" ShapeID="_x0000_i1060" DrawAspect="Content" ObjectID="_1851855253" r:id="rId123"/>
        </w:object>
      </w:r>
      <w:r w:rsidRPr="00DE77D0">
        <w:rPr>
          <w:rFonts w:ascii="Times New Roman" w:hAnsi="Times New Roman" w:cs="Times New Roman"/>
        </w:rPr>
        <w:t xml:space="preserve">. Next, if the respondent under consideration selects level </w:t>
      </w:r>
      <w:r w:rsidRPr="00A12FE7">
        <w:rPr>
          <w:position w:val="-12"/>
        </w:rPr>
        <w:object w:dxaOrig="279" w:dyaOrig="360" w14:anchorId="249A6C7A">
          <v:shape id="_x0000_i1061" type="#_x0000_t75" style="width:13.3pt;height:18.85pt" o:ole="">
            <v:imagedata r:id="rId124" o:title=""/>
          </v:shape>
          <o:OLEObject Type="Embed" ProgID="Equation.DSMT4" ShapeID="_x0000_i1061" DrawAspect="Content" ObjectID="_1851855254" r:id="rId125"/>
        </w:object>
      </w:r>
      <w:r w:rsidRPr="00DE77D0">
        <w:rPr>
          <w:rFonts w:ascii="Times New Roman" w:hAnsi="Times New Roman" w:cs="Times New Roman"/>
          <w:noProof/>
        </w:rPr>
        <w:t xml:space="preserve">, then the set of upper thresholds </w:t>
      </w:r>
      <w:r w:rsidRPr="00A12FE7">
        <w:rPr>
          <w:position w:val="-12"/>
        </w:rPr>
        <w:object w:dxaOrig="360" w:dyaOrig="380" w14:anchorId="53403E2A">
          <v:shape id="_x0000_i1062" type="#_x0000_t75" style="width:18.85pt;height:18.85pt" o:ole="">
            <v:imagedata r:id="rId126" o:title=""/>
          </v:shape>
          <o:OLEObject Type="Embed" ProgID="Equation.DSMT4" ShapeID="_x0000_i1062" DrawAspect="Content" ObjectID="_1851855255" r:id="rId127"/>
        </w:object>
      </w:r>
      <w:r w:rsidRPr="00DE77D0">
        <w:rPr>
          <w:rFonts w:ascii="Times New Roman" w:hAnsi="Times New Roman" w:cs="Times New Roman"/>
          <w:noProof/>
        </w:rPr>
        <w:t xml:space="preserve"> and the set of lower thresholds </w:t>
      </w:r>
      <w:r w:rsidRPr="00A12FE7">
        <w:rPr>
          <w:position w:val="-12"/>
        </w:rPr>
        <w:object w:dxaOrig="499" w:dyaOrig="380" w14:anchorId="629DB3C9">
          <v:shape id="_x0000_i1063" type="#_x0000_t75" style="width:24.85pt;height:18.85pt" o:ole="">
            <v:imagedata r:id="rId128" o:title=""/>
          </v:shape>
          <o:OLEObject Type="Embed" ProgID="Equation.DSMT4" ShapeID="_x0000_i1063" DrawAspect="Content" ObjectID="_1851855256" r:id="rId129"/>
        </w:object>
      </w:r>
      <w:r w:rsidRPr="00DE77D0">
        <w:rPr>
          <w:rFonts w:ascii="Times New Roman" w:hAnsi="Times New Roman" w:cs="Times New Roman"/>
          <w:noProof/>
        </w:rPr>
        <w:t xml:space="preserve"> for the individual may be stacked into the </w:t>
      </w:r>
      <w:r w:rsidRPr="00A12FE7">
        <w:rPr>
          <w:position w:val="-10"/>
        </w:rPr>
        <w:object w:dxaOrig="440" w:dyaOrig="320" w14:anchorId="570720C0">
          <v:shape id="_x0000_i1064" type="#_x0000_t75" style="width:21.85pt;height:16.7pt" o:ole="">
            <v:imagedata r:id="rId130" o:title=""/>
          </v:shape>
          <o:OLEObject Type="Embed" ProgID="Equation.DSMT4" ShapeID="_x0000_i1064" DrawAspect="Content" ObjectID="_1851855257" r:id="rId131"/>
        </w:object>
      </w:r>
      <w:r w:rsidRPr="00DE77D0">
        <w:rPr>
          <w:rFonts w:ascii="Times New Roman" w:hAnsi="Times New Roman" w:cs="Times New Roman"/>
        </w:rPr>
        <w:t xml:space="preserve"> </w:t>
      </w:r>
      <w:r w:rsidRPr="00DE77D0">
        <w:rPr>
          <w:rFonts w:ascii="Times New Roman" w:hAnsi="Times New Roman" w:cs="Times New Roman"/>
          <w:noProof/>
        </w:rPr>
        <w:t xml:space="preserve">vectors </w:t>
      </w:r>
      <w:r w:rsidRPr="00A12FE7">
        <w:rPr>
          <w:position w:val="-12"/>
        </w:rPr>
        <w:object w:dxaOrig="400" w:dyaOrig="360" w14:anchorId="478053D2">
          <v:shape id="_x0000_i1065" type="#_x0000_t75" style="width:20.15pt;height:18.85pt" o:ole="">
            <v:imagedata r:id="rId132" o:title=""/>
          </v:shape>
          <o:OLEObject Type="Embed" ProgID="Equation.DSMT4" ShapeID="_x0000_i1065" DrawAspect="Content" ObjectID="_1851855258" r:id="rId133"/>
        </w:object>
      </w:r>
      <w:r w:rsidRPr="00DE77D0">
        <w:rPr>
          <w:rFonts w:ascii="Times New Roman" w:hAnsi="Times New Roman" w:cs="Times New Roman"/>
        </w:rPr>
        <w:t xml:space="preserve"> and </w:t>
      </w:r>
      <w:r w:rsidRPr="00A12FE7">
        <w:rPr>
          <w:position w:val="-14"/>
        </w:rPr>
        <w:object w:dxaOrig="460" w:dyaOrig="380" w14:anchorId="211C729D">
          <v:shape id="_x0000_i1066" type="#_x0000_t75" style="width:23.15pt;height:18.85pt" o:ole="">
            <v:imagedata r:id="rId134" o:title=""/>
          </v:shape>
          <o:OLEObject Type="Embed" ProgID="Equation.DSMT4" ShapeID="_x0000_i1066" DrawAspect="Content" ObjectID="_1851855259" r:id="rId135"/>
        </w:object>
      </w:r>
      <w:r w:rsidRPr="00DE77D0">
        <w:rPr>
          <w:rFonts w:ascii="Times New Roman" w:hAnsi="Times New Roman" w:cs="Times New Roman"/>
        </w:rPr>
        <w:t xml:space="preserve">. Finally, stacking the latent propensities into the </w:t>
      </w:r>
      <w:r w:rsidRPr="00A12FE7">
        <w:rPr>
          <w:position w:val="-10"/>
        </w:rPr>
        <w:object w:dxaOrig="440" w:dyaOrig="320" w14:anchorId="5B65A3E9">
          <v:shape id="_x0000_i1067" type="#_x0000_t75" style="width:21.85pt;height:16.7pt" o:ole="">
            <v:imagedata r:id="rId136" o:title=""/>
          </v:shape>
          <o:OLEObject Type="Embed" ProgID="Equation.DSMT4" ShapeID="_x0000_i1067" DrawAspect="Content" ObjectID="_1851855260" r:id="rId137"/>
        </w:object>
      </w:r>
      <w:r w:rsidRPr="00DE77D0">
        <w:rPr>
          <w:rFonts w:ascii="Times New Roman" w:hAnsi="Times New Roman" w:cs="Times New Roman"/>
        </w:rPr>
        <w:t xml:space="preserve"> vector </w:t>
      </w:r>
      <w:r w:rsidRPr="00A12FE7">
        <w:rPr>
          <w:position w:val="-12"/>
        </w:rPr>
        <w:object w:dxaOrig="1860" w:dyaOrig="380" w14:anchorId="654E084B">
          <v:shape id="_x0000_i1068" type="#_x0000_t75" style="width:92.55pt;height:18.85pt" o:ole="">
            <v:imagedata r:id="rId138" o:title=""/>
          </v:shape>
          <o:OLEObject Type="Embed" ProgID="Equation.DSMT4" ShapeID="_x0000_i1068" DrawAspect="Content" ObjectID="_1851855261" r:id="rId139"/>
        </w:object>
      </w:r>
      <w:r w:rsidRPr="00DE77D0">
        <w:rPr>
          <w:rFonts w:ascii="Times New Roman" w:hAnsi="Times New Roman" w:cs="Times New Roman"/>
        </w:rPr>
        <w:t xml:space="preserve"> allows us to write the entire system in matrix form as: </w:t>
      </w:r>
    </w:p>
    <w:p w14:paraId="14310FD1" w14:textId="6FBC73C5" w:rsidR="00CE38CF" w:rsidRPr="00DE77D0" w:rsidRDefault="00CE38CF" w:rsidP="00CE38CF">
      <w:pPr>
        <w:pStyle w:val="MTDisplayEquation"/>
        <w:rPr>
          <w:rFonts w:cs="Times New Roman"/>
        </w:rPr>
      </w:pPr>
      <w:r w:rsidRPr="00A12FE7">
        <w:rPr>
          <w:position w:val="-14"/>
        </w:rPr>
        <w:object w:dxaOrig="6320" w:dyaOrig="400" w14:anchorId="7DA11F9A">
          <v:shape id="_x0000_i1069" type="#_x0000_t75" style="width:315.85pt;height:20.15pt" o:ole="">
            <v:imagedata r:id="rId140" o:title=""/>
          </v:shape>
          <o:OLEObject Type="Embed" ProgID="Equation.DSMT4" ShapeID="_x0000_i1069" DrawAspect="Content" ObjectID="_1851855262" r:id="rId141"/>
        </w:object>
      </w:r>
      <w:r w:rsidRPr="00DE77D0">
        <w:rPr>
          <w:rFonts w:cs="Times New Roman"/>
        </w:rPr>
        <w:tab/>
      </w:r>
      <w:r w:rsidR="00AD4BA9">
        <w:rPr>
          <w:rFonts w:cs="Times New Roman"/>
        </w:rPr>
        <w:fldChar w:fldCharType="begin"/>
      </w:r>
      <w:r w:rsidR="00AD4BA9">
        <w:rPr>
          <w:rFonts w:cs="Times New Roman"/>
        </w:rPr>
        <w:instrText xml:space="preserve"> MACROBUTTON MTPlaceRef \* MERGEFORMAT </w:instrText>
      </w:r>
      <w:r w:rsidR="00AD4BA9">
        <w:rPr>
          <w:rFonts w:cs="Times New Roman"/>
        </w:rPr>
        <w:fldChar w:fldCharType="begin"/>
      </w:r>
      <w:r w:rsidR="00AD4BA9">
        <w:rPr>
          <w:rFonts w:cs="Times New Roman"/>
        </w:rPr>
        <w:instrText xml:space="preserve"> SEQ MTEqn \h \* MERGEFORMAT </w:instrText>
      </w:r>
      <w:r w:rsidR="00AD4BA9">
        <w:rPr>
          <w:rFonts w:cs="Times New Roman"/>
        </w:rPr>
        <w:fldChar w:fldCharType="end"/>
      </w:r>
      <w:r w:rsidR="00AD4BA9">
        <w:rPr>
          <w:rFonts w:cs="Times New Roman"/>
        </w:rPr>
        <w:instrText>(</w:instrText>
      </w:r>
      <w:r w:rsidR="00AD4BA9">
        <w:rPr>
          <w:rFonts w:cs="Times New Roman"/>
        </w:rPr>
        <w:fldChar w:fldCharType="begin"/>
      </w:r>
      <w:r w:rsidR="00AD4BA9">
        <w:rPr>
          <w:rFonts w:cs="Times New Roman"/>
        </w:rPr>
        <w:instrText xml:space="preserve"> SEQ MTSec \c \* Alphabetic \* MERGEFORMAT </w:instrText>
      </w:r>
      <w:r w:rsidR="00AD4BA9">
        <w:rPr>
          <w:rFonts w:cs="Times New Roman"/>
        </w:rPr>
        <w:fldChar w:fldCharType="separate"/>
      </w:r>
      <w:r w:rsidR="007F3C4A">
        <w:rPr>
          <w:rFonts w:cs="Times New Roman"/>
          <w:noProof/>
        </w:rPr>
        <w:instrText>A</w:instrText>
      </w:r>
      <w:r w:rsidR="00AD4BA9">
        <w:rPr>
          <w:rFonts w:cs="Times New Roman"/>
        </w:rPr>
        <w:fldChar w:fldCharType="end"/>
      </w:r>
      <w:r w:rsidR="00AD4BA9">
        <w:rPr>
          <w:rFonts w:cs="Times New Roman"/>
        </w:rPr>
        <w:instrText>.</w:instrText>
      </w:r>
      <w:r w:rsidR="00AD4BA9">
        <w:rPr>
          <w:rFonts w:cs="Times New Roman"/>
        </w:rPr>
        <w:fldChar w:fldCharType="begin"/>
      </w:r>
      <w:r w:rsidR="00AD4BA9">
        <w:rPr>
          <w:rFonts w:cs="Times New Roman"/>
        </w:rPr>
        <w:instrText xml:space="preserve"> SEQ MTEqn \c \* Arabic \* MERGEFORMAT </w:instrText>
      </w:r>
      <w:r w:rsidR="00AD4BA9">
        <w:rPr>
          <w:rFonts w:cs="Times New Roman"/>
        </w:rPr>
        <w:fldChar w:fldCharType="separate"/>
      </w:r>
      <w:r w:rsidR="007F3C4A">
        <w:rPr>
          <w:rFonts w:cs="Times New Roman"/>
          <w:noProof/>
        </w:rPr>
        <w:instrText>2</w:instrText>
      </w:r>
      <w:r w:rsidR="00AD4BA9">
        <w:rPr>
          <w:rFonts w:cs="Times New Roman"/>
        </w:rPr>
        <w:fldChar w:fldCharType="end"/>
      </w:r>
      <w:r w:rsidR="00AD4BA9">
        <w:rPr>
          <w:rFonts w:cs="Times New Roman"/>
        </w:rPr>
        <w:instrText>)</w:instrText>
      </w:r>
      <w:r w:rsidR="00AD4BA9">
        <w:rPr>
          <w:rFonts w:cs="Times New Roman"/>
        </w:rPr>
        <w:fldChar w:fldCharType="end"/>
      </w:r>
    </w:p>
    <w:p w14:paraId="39387076" w14:textId="77777777" w:rsidR="00CE38CF" w:rsidRPr="00DE2AEC" w:rsidRDefault="00CE38CF" w:rsidP="00CE38CF">
      <w:pPr>
        <w:pStyle w:val="FirstParagraph"/>
        <w:spacing w:before="120" w:after="120"/>
        <w:jc w:val="both"/>
        <w:rPr>
          <w:rFonts w:ascii="Times New Roman" w:hAnsi="Times New Roman" w:cs="Times New Roman"/>
        </w:rPr>
      </w:pPr>
      <w:r>
        <w:rPr>
          <w:rFonts w:ascii="Times New Roman" w:hAnsi="Times New Roman" w:cs="Times New Roman"/>
        </w:rPr>
        <w:t>h</w:t>
      </w:r>
      <w:r w:rsidRPr="00DE77D0">
        <w:rPr>
          <w:rFonts w:ascii="Times New Roman" w:hAnsi="Times New Roman" w:cs="Times New Roman"/>
        </w:rPr>
        <w:t xml:space="preserve">ere, </w:t>
      </w:r>
      <w:r w:rsidRPr="00A12FE7">
        <w:rPr>
          <w:position w:val="-12"/>
        </w:rPr>
        <w:object w:dxaOrig="1400" w:dyaOrig="360" w14:anchorId="2946488A">
          <v:shape id="_x0000_i1070" type="#_x0000_t75" style="width:69.85pt;height:18.85pt" o:ole="">
            <v:imagedata r:id="rId142" o:title=""/>
          </v:shape>
          <o:OLEObject Type="Embed" ProgID="Equation.DSMT4" ShapeID="_x0000_i1070" DrawAspect="Content" ObjectID="_1851855263" r:id="rId143"/>
        </w:object>
      </w:r>
      <w:r w:rsidRPr="00DE77D0">
        <w:rPr>
          <w:rFonts w:ascii="Times New Roman" w:hAnsi="Times New Roman" w:cs="Times New Roman"/>
        </w:rPr>
        <w:t xml:space="preserve"> denotes the I-dimensional multivariate normal distribution with mean </w:t>
      </w:r>
      <w:r w:rsidRPr="00A12FE7">
        <w:rPr>
          <w:position w:val="-10"/>
        </w:rPr>
        <w:object w:dxaOrig="380" w:dyaOrig="320" w14:anchorId="085997B3">
          <v:shape id="_x0000_i1071" type="#_x0000_t75" style="width:18.85pt;height:16.7pt" o:ole="">
            <v:imagedata r:id="rId144" o:title=""/>
          </v:shape>
          <o:OLEObject Type="Embed" ProgID="Equation.DSMT4" ShapeID="_x0000_i1071" DrawAspect="Content" ObjectID="_1851855264" r:id="rId145"/>
        </w:object>
      </w:r>
      <w:r w:rsidRPr="00DE77D0">
        <w:rPr>
          <w:rFonts w:ascii="Times New Roman" w:hAnsi="Times New Roman" w:cs="Times New Roman"/>
        </w:rPr>
        <w:t xml:space="preserve"> and correlation matrix</w:t>
      </w:r>
      <w:r>
        <w:rPr>
          <w:rFonts w:ascii="Times New Roman" w:hAnsi="Times New Roman" w:cs="Times New Roman"/>
        </w:rPr>
        <w:t xml:space="preserve"> </w:t>
      </w:r>
      <w:r w:rsidRPr="00025957">
        <w:rPr>
          <w:position w:val="-4"/>
        </w:rPr>
        <w:object w:dxaOrig="240" w:dyaOrig="260" w14:anchorId="701D5F07">
          <v:shape id="_x0000_i1072" type="#_x0000_t75" style="width:12pt;height:13.3pt" o:ole="">
            <v:imagedata r:id="rId146" o:title=""/>
          </v:shape>
          <o:OLEObject Type="Embed" ProgID="Equation.DSMT4" ShapeID="_x0000_i1072" DrawAspect="Content" ObjectID="_1851855265" r:id="rId147"/>
        </w:object>
      </w:r>
      <w:r w:rsidRPr="00DE77D0">
        <w:rPr>
          <w:rFonts w:ascii="Times New Roman" w:hAnsi="Times New Roman" w:cs="Times New Roman"/>
        </w:rPr>
        <w:t>. Again, for respondents who do not contribute all ten outcomes (the higher-frequency users), this collapses to a single univariate ordered-response probit formulation. The collection of parameters to be estimated may then be written as</w:t>
      </w:r>
      <w:r>
        <w:rPr>
          <w:rFonts w:ascii="Times New Roman" w:hAnsi="Times New Roman" w:cs="Times New Roman"/>
        </w:rPr>
        <w:t xml:space="preserve"> </w:t>
      </w:r>
      <w:r w:rsidRPr="00A12FE7">
        <w:rPr>
          <w:position w:val="-26"/>
        </w:rPr>
        <w:object w:dxaOrig="3600" w:dyaOrig="740" w14:anchorId="31D387CE">
          <v:shape id="_x0000_i1073" type="#_x0000_t75" style="width:180.45pt;height:36.85pt" o:ole="">
            <v:imagedata r:id="rId148" o:title=""/>
          </v:shape>
          <o:OLEObject Type="Embed" ProgID="Equation.DSMT4" ShapeID="_x0000_i1073" DrawAspect="Content" ObjectID="_1851855266" r:id="rId149"/>
        </w:object>
      </w:r>
      <w:r w:rsidRPr="00DE77D0">
        <w:rPr>
          <w:rFonts w:ascii="Times New Roman" w:hAnsi="Times New Roman" w:cs="Times New Roman"/>
          <w:noProof/>
        </w:rPr>
        <w:t xml:space="preserve"> </w:t>
      </w:r>
      <w:r w:rsidRPr="00DE77D0">
        <w:rPr>
          <w:rFonts w:ascii="Times New Roman" w:hAnsi="Times New Roman" w:cs="Times New Roman"/>
        </w:rPr>
        <w:t xml:space="preserve">where the operator </w:t>
      </w:r>
      <w:proofErr w:type="spellStart"/>
      <w:r w:rsidRPr="00DE77D0">
        <w:rPr>
          <w:rFonts w:ascii="Times New Roman" w:hAnsi="Times New Roman" w:cs="Times New Roman"/>
        </w:rPr>
        <w:t>Vech</w:t>
      </w:r>
      <w:proofErr w:type="spellEnd"/>
      <w:r w:rsidRPr="00DE77D0">
        <w:rPr>
          <w:rFonts w:ascii="Times New Roman" w:hAnsi="Times New Roman" w:cs="Times New Roman"/>
        </w:rPr>
        <w:t xml:space="preserve">(.) row-vectorizes the non-zero elements of its matrix or vector argument and </w:t>
      </w:r>
      <w:proofErr w:type="spellStart"/>
      <w:r w:rsidRPr="00DE77D0">
        <w:rPr>
          <w:rFonts w:ascii="Times New Roman" w:hAnsi="Times New Roman" w:cs="Times New Roman"/>
        </w:rPr>
        <w:t>Vechup</w:t>
      </w:r>
      <w:proofErr w:type="spellEnd"/>
      <w:r w:rsidRPr="00DE77D0">
        <w:rPr>
          <w:rFonts w:ascii="Times New Roman" w:hAnsi="Times New Roman" w:cs="Times New Roman"/>
        </w:rPr>
        <w:t>(.) row-vectorizes the strictly upper-triangular elements of a square matrix</w:t>
      </w:r>
      <w:r>
        <w:rPr>
          <w:rFonts w:ascii="Times New Roman" w:hAnsi="Times New Roman" w:cs="Times New Roman"/>
        </w:rPr>
        <w:t>.</w:t>
      </w:r>
      <w:r w:rsidRPr="00DE77D0">
        <w:rPr>
          <w:rFonts w:ascii="Times New Roman" w:hAnsi="Times New Roman" w:cs="Times New Roman"/>
        </w:rPr>
        <w:t xml:space="preserve"> The likelihood contribution of a respondent may then be written as:</w:t>
      </w:r>
    </w:p>
    <w:p w14:paraId="453F26CC" w14:textId="37BEAF5F" w:rsidR="00CE38CF" w:rsidRPr="00DE77D0" w:rsidRDefault="00CE38CF" w:rsidP="00CE38CF">
      <w:pPr>
        <w:pStyle w:val="MTDisplayEquation"/>
        <w:rPr>
          <w:rFonts w:cs="Times New Roman"/>
        </w:rPr>
      </w:pPr>
      <w:r w:rsidRPr="00A12FE7">
        <w:rPr>
          <w:position w:val="-34"/>
        </w:rPr>
        <w:object w:dxaOrig="4520" w:dyaOrig="620" w14:anchorId="1B0DB1D8">
          <v:shape id="_x0000_i1074" type="#_x0000_t75" style="width:225.85pt;height:31.7pt" o:ole="">
            <v:imagedata r:id="rId150" o:title=""/>
          </v:shape>
          <o:OLEObject Type="Embed" ProgID="Equation.DSMT4" ShapeID="_x0000_i1074" DrawAspect="Content" ObjectID="_1851855267" r:id="rId151"/>
        </w:object>
      </w:r>
      <w:r>
        <w:tab/>
      </w:r>
      <w:r w:rsidRPr="00DE77D0">
        <w:rPr>
          <w:rFonts w:cs="Times New Roman"/>
        </w:rPr>
        <w:tab/>
      </w:r>
      <w:r w:rsidR="007F3C4A">
        <w:rPr>
          <w:rFonts w:cs="Times New Roman"/>
        </w:rPr>
        <w:fldChar w:fldCharType="begin"/>
      </w:r>
      <w:r w:rsidR="007F3C4A">
        <w:rPr>
          <w:rFonts w:cs="Times New Roman"/>
        </w:rPr>
        <w:instrText xml:space="preserve"> MACROBUTTON MTPlaceRef \* MERGEFORMAT </w:instrText>
      </w:r>
      <w:r w:rsidR="007F3C4A">
        <w:rPr>
          <w:rFonts w:cs="Times New Roman"/>
        </w:rPr>
        <w:fldChar w:fldCharType="begin"/>
      </w:r>
      <w:r w:rsidR="007F3C4A">
        <w:rPr>
          <w:rFonts w:cs="Times New Roman"/>
        </w:rPr>
        <w:instrText xml:space="preserve"> SEQ MTEqn \h \* MERGEFORMAT </w:instrText>
      </w:r>
      <w:r w:rsidR="007F3C4A">
        <w:rPr>
          <w:rFonts w:cs="Times New Roman"/>
        </w:rPr>
        <w:fldChar w:fldCharType="end"/>
      </w:r>
      <w:r w:rsidR="007F3C4A">
        <w:rPr>
          <w:rFonts w:cs="Times New Roman"/>
        </w:rPr>
        <w:instrText>(A.3)</w:instrText>
      </w:r>
      <w:r w:rsidR="007F3C4A">
        <w:rPr>
          <w:rFonts w:cs="Times New Roman"/>
        </w:rPr>
        <w:fldChar w:fldCharType="end"/>
      </w:r>
    </w:p>
    <w:p w14:paraId="64D0E7AE" w14:textId="076A0C3D" w:rsidR="00CE38CF" w:rsidRPr="00383DF3" w:rsidRDefault="00CE38CF" w:rsidP="00383DF3">
      <w:pPr>
        <w:spacing w:before="120"/>
        <w:ind w:firstLine="720"/>
        <w:jc w:val="both"/>
        <w:rPr>
          <w:sz w:val="24"/>
          <w:szCs w:val="24"/>
        </w:rPr>
      </w:pPr>
      <w:r>
        <w:rPr>
          <w:sz w:val="24"/>
          <w:szCs w:val="24"/>
        </w:rPr>
        <w:t>T</w:t>
      </w:r>
      <w:r w:rsidRPr="00DE77D0">
        <w:rPr>
          <w:sz w:val="24"/>
          <w:szCs w:val="24"/>
        </w:rPr>
        <w:t>he integral is evaluated over the region</w:t>
      </w:r>
      <w:r>
        <w:rPr>
          <w:sz w:val="24"/>
          <w:szCs w:val="24"/>
        </w:rPr>
        <w:t xml:space="preserve"> </w:t>
      </w:r>
      <w:r w:rsidRPr="00A12FE7">
        <w:rPr>
          <w:position w:val="-14"/>
        </w:rPr>
        <w:object w:dxaOrig="2340" w:dyaOrig="380" w14:anchorId="776C744C">
          <v:shape id="_x0000_i1075" type="#_x0000_t75" style="width:117.45pt;height:18.85pt" o:ole="">
            <v:imagedata r:id="rId152" o:title=""/>
          </v:shape>
          <o:OLEObject Type="Embed" ProgID="Equation.DSMT4" ShapeID="_x0000_i1075" DrawAspect="Content" ObjectID="_1851855268" r:id="rId153"/>
        </w:object>
      </w:r>
      <w:r>
        <w:rPr>
          <w:sz w:val="24"/>
          <w:szCs w:val="24"/>
        </w:rPr>
        <w:t xml:space="preserve"> </w:t>
      </w:r>
      <w:r w:rsidRPr="00DE77D0">
        <w:rPr>
          <w:sz w:val="24"/>
          <w:szCs w:val="24"/>
        </w:rPr>
        <w:t xml:space="preserve">which is simply the multivariate region of </w:t>
      </w:r>
      <w:r w:rsidRPr="00A12FE7">
        <w:rPr>
          <w:position w:val="-12"/>
        </w:rPr>
        <w:object w:dxaOrig="279" w:dyaOrig="380" w14:anchorId="16B676BB">
          <v:shape id="_x0000_i1076" type="#_x0000_t75" style="width:13.3pt;height:18.85pt" o:ole="">
            <v:imagedata r:id="rId154" o:title=""/>
          </v:shape>
          <o:OLEObject Type="Embed" ProgID="Equation.DSMT4" ShapeID="_x0000_i1076" DrawAspect="Content" ObjectID="_1851855269" r:id="rId155"/>
        </w:object>
      </w:r>
      <w:r w:rsidRPr="00DE77D0">
        <w:rPr>
          <w:sz w:val="24"/>
          <w:szCs w:val="24"/>
        </w:rPr>
        <w:t xml:space="preserve"> delimited by the lower and upper thresholds of the observed ordinal levels. </w:t>
      </w:r>
      <w:r w:rsidRPr="00A12FE7">
        <w:rPr>
          <w:position w:val="-12"/>
        </w:rPr>
        <w:object w:dxaOrig="1240" w:dyaOrig="360" w14:anchorId="70F5A5CB">
          <v:shape id="_x0000_i1077" type="#_x0000_t75" style="width:62.15pt;height:18.85pt" o:ole="">
            <v:imagedata r:id="rId156" o:title=""/>
          </v:shape>
          <o:OLEObject Type="Embed" ProgID="Equation.DSMT4" ShapeID="_x0000_i1077" DrawAspect="Content" ObjectID="_1851855270" r:id="rId157"/>
        </w:object>
      </w:r>
      <w:r w:rsidRPr="00DE77D0">
        <w:rPr>
          <w:sz w:val="24"/>
          <w:szCs w:val="24"/>
        </w:rPr>
        <w:t xml:space="preserve"> is the </w:t>
      </w:r>
      <w:r w:rsidRPr="00025957">
        <w:rPr>
          <w:position w:val="-4"/>
        </w:rPr>
        <w:object w:dxaOrig="200" w:dyaOrig="260" w14:anchorId="1AE64FFD">
          <v:shape id="_x0000_i1078" type="#_x0000_t75" style="width:9.85pt;height:13.3pt" o:ole="">
            <v:imagedata r:id="rId158" o:title=""/>
          </v:shape>
          <o:OLEObject Type="Embed" ProgID="Equation.DSMT4" ShapeID="_x0000_i1078" DrawAspect="Content" ObjectID="_1851855271" r:id="rId159"/>
        </w:object>
      </w:r>
      <w:r w:rsidRPr="00DE77D0">
        <w:rPr>
          <w:sz w:val="24"/>
          <w:szCs w:val="24"/>
        </w:rPr>
        <w:t xml:space="preserve">-dimensional multivariate normal density function with mean </w:t>
      </w:r>
      <w:r w:rsidRPr="00A12FE7">
        <w:rPr>
          <w:position w:val="-10"/>
        </w:rPr>
        <w:object w:dxaOrig="380" w:dyaOrig="320" w14:anchorId="10975E7A">
          <v:shape id="_x0000_i1079" type="#_x0000_t75" style="width:18.85pt;height:16.7pt" o:ole="">
            <v:imagedata r:id="rId160" o:title=""/>
          </v:shape>
          <o:OLEObject Type="Embed" ProgID="Equation.DSMT4" ShapeID="_x0000_i1079" DrawAspect="Content" ObjectID="_1851855272" r:id="rId161"/>
        </w:object>
      </w:r>
      <w:r w:rsidRPr="00DE77D0">
        <w:rPr>
          <w:sz w:val="24"/>
          <w:szCs w:val="24"/>
        </w:rPr>
        <w:t xml:space="preserve"> and correlation matrix </w:t>
      </w:r>
      <w:r w:rsidRPr="00025957">
        <w:rPr>
          <w:position w:val="-4"/>
        </w:rPr>
        <w:object w:dxaOrig="240" w:dyaOrig="260" w14:anchorId="1A101F53">
          <v:shape id="_x0000_i1080" type="#_x0000_t75" style="width:12pt;height:13.3pt" o:ole="">
            <v:imagedata r:id="rId162" o:title=""/>
          </v:shape>
          <o:OLEObject Type="Embed" ProgID="Equation.DSMT4" ShapeID="_x0000_i1080" DrawAspect="Content" ObjectID="_1851855273" r:id="rId163"/>
        </w:object>
      </w:r>
      <w:r w:rsidRPr="00DE77D0">
        <w:rPr>
          <w:sz w:val="24"/>
          <w:szCs w:val="24"/>
        </w:rPr>
        <w:t xml:space="preserve">. </w:t>
      </w:r>
      <w:r w:rsidR="0005721B" w:rsidRPr="0005721B">
        <w:rPr>
          <w:sz w:val="24"/>
          <w:szCs w:val="24"/>
        </w:rPr>
        <w:t>The model is estimated by maximum likelihood, with the full-sample log-likelihood formed as the sum of the individual contributions of the logarithm of Equation (A.3) across the sample of 3,891 respondents with ten outcomes and the logarithm corresponding to a simple univariate ordered-response probit model for the sample of 1,994 high-frequency users who contribute only the transit usage frequency dimension. Because evaluating the multivariate normal cumulative distribution function for ten dimensions, as embedded in Equation (A.3), is computationally demanding, estimation relies on the matrix-based analytic approximation referenced in Section 4.</w:t>
      </w:r>
    </w:p>
    <w:sectPr w:rsidR="00CE38CF" w:rsidRPr="00383DF3" w:rsidSect="00B9201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E2827" w14:textId="77777777" w:rsidR="00F10C9B" w:rsidRDefault="00F10C9B">
      <w:r>
        <w:separator/>
      </w:r>
    </w:p>
  </w:endnote>
  <w:endnote w:type="continuationSeparator" w:id="0">
    <w:p w14:paraId="5073C186" w14:textId="77777777" w:rsidR="00F10C9B" w:rsidRDefault="00F10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758F" w14:textId="77258331" w:rsidR="002F5B5C" w:rsidRDefault="002F5B5C">
    <w:pPr>
      <w:pStyle w:val="Footer"/>
      <w:jc w:val="right"/>
    </w:pPr>
  </w:p>
  <w:p w14:paraId="13D593E6" w14:textId="77777777" w:rsidR="002F5B5C" w:rsidRDefault="002F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032439"/>
      <w:docPartObj>
        <w:docPartGallery w:val="Page Numbers (Bottom of Page)"/>
        <w:docPartUnique/>
      </w:docPartObj>
    </w:sdtPr>
    <w:sdtEndPr>
      <w:rPr>
        <w:noProof/>
      </w:rPr>
    </w:sdtEndPr>
    <w:sdtContent>
      <w:p w14:paraId="755960C5" w14:textId="1AAF8497" w:rsidR="004247F3" w:rsidRDefault="004247F3" w:rsidP="004247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444C7" w14:textId="77777777" w:rsidR="00F10C9B" w:rsidRDefault="00F10C9B">
      <w:r>
        <w:separator/>
      </w:r>
    </w:p>
  </w:footnote>
  <w:footnote w:type="continuationSeparator" w:id="0">
    <w:p w14:paraId="7CD50B42" w14:textId="77777777" w:rsidR="00F10C9B" w:rsidRDefault="00F10C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C36"/>
    <w:multiLevelType w:val="hybridMultilevel"/>
    <w:tmpl w:val="A19C5F1E"/>
    <w:lvl w:ilvl="0" w:tplc="6A9C5A04">
      <w:start w:val="1"/>
      <w:numFmt w:val="bullet"/>
      <w:lvlText w:val="●"/>
      <w:lvlJc w:val="left"/>
      <w:pPr>
        <w:ind w:left="720" w:hanging="360"/>
      </w:pPr>
    </w:lvl>
    <w:lvl w:ilvl="1" w:tplc="D994A9B2">
      <w:start w:val="1"/>
      <w:numFmt w:val="bullet"/>
      <w:lvlText w:val="○"/>
      <w:lvlJc w:val="left"/>
      <w:pPr>
        <w:ind w:left="1440" w:hanging="360"/>
      </w:pPr>
    </w:lvl>
    <w:lvl w:ilvl="2" w:tplc="9732F8DE">
      <w:start w:val="1"/>
      <w:numFmt w:val="bullet"/>
      <w:lvlText w:val="■"/>
      <w:lvlJc w:val="left"/>
      <w:pPr>
        <w:ind w:left="2160" w:hanging="360"/>
      </w:pPr>
    </w:lvl>
    <w:lvl w:ilvl="3" w:tplc="091CEA60">
      <w:start w:val="1"/>
      <w:numFmt w:val="bullet"/>
      <w:lvlText w:val="●"/>
      <w:lvlJc w:val="left"/>
      <w:pPr>
        <w:ind w:left="2880" w:hanging="360"/>
      </w:pPr>
    </w:lvl>
    <w:lvl w:ilvl="4" w:tplc="1A4AE488">
      <w:start w:val="1"/>
      <w:numFmt w:val="bullet"/>
      <w:lvlText w:val="○"/>
      <w:lvlJc w:val="left"/>
      <w:pPr>
        <w:ind w:left="3600" w:hanging="360"/>
      </w:pPr>
    </w:lvl>
    <w:lvl w:ilvl="5" w:tplc="D108D812">
      <w:start w:val="1"/>
      <w:numFmt w:val="bullet"/>
      <w:lvlText w:val="■"/>
      <w:lvlJc w:val="left"/>
      <w:pPr>
        <w:ind w:left="4320" w:hanging="360"/>
      </w:pPr>
    </w:lvl>
    <w:lvl w:ilvl="6" w:tplc="D3F885A6">
      <w:start w:val="1"/>
      <w:numFmt w:val="bullet"/>
      <w:lvlText w:val="●"/>
      <w:lvlJc w:val="left"/>
      <w:pPr>
        <w:ind w:left="5040" w:hanging="360"/>
      </w:pPr>
    </w:lvl>
    <w:lvl w:ilvl="7" w:tplc="C75EE37E">
      <w:start w:val="1"/>
      <w:numFmt w:val="bullet"/>
      <w:lvlText w:val="●"/>
      <w:lvlJc w:val="left"/>
      <w:pPr>
        <w:ind w:left="5760" w:hanging="360"/>
      </w:pPr>
    </w:lvl>
    <w:lvl w:ilvl="8" w:tplc="0B54D15C">
      <w:start w:val="1"/>
      <w:numFmt w:val="bullet"/>
      <w:lvlText w:val="●"/>
      <w:lvlJc w:val="left"/>
      <w:pPr>
        <w:ind w:left="6480" w:hanging="360"/>
      </w:pPr>
    </w:lvl>
  </w:abstractNum>
  <w:abstractNum w:abstractNumId="1" w15:restartNumberingAfterBreak="0">
    <w:nsid w:val="09B75A8A"/>
    <w:multiLevelType w:val="hybridMultilevel"/>
    <w:tmpl w:val="5968484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04859"/>
    <w:multiLevelType w:val="multilevel"/>
    <w:tmpl w:val="9804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43C97"/>
    <w:multiLevelType w:val="hybridMultilevel"/>
    <w:tmpl w:val="6F545068"/>
    <w:lvl w:ilvl="0" w:tplc="1528F124">
      <w:start w:val="1"/>
      <w:numFmt w:val="bullet"/>
      <w:lvlText w:val="●"/>
      <w:lvlJc w:val="left"/>
      <w:pPr>
        <w:ind w:left="720" w:hanging="360"/>
      </w:pPr>
    </w:lvl>
    <w:lvl w:ilvl="1" w:tplc="AC4EB1EA">
      <w:start w:val="1"/>
      <w:numFmt w:val="bullet"/>
      <w:lvlText w:val="○"/>
      <w:lvlJc w:val="left"/>
      <w:pPr>
        <w:ind w:left="1440" w:hanging="360"/>
      </w:pPr>
    </w:lvl>
    <w:lvl w:ilvl="2" w:tplc="0A70D2B2">
      <w:start w:val="1"/>
      <w:numFmt w:val="bullet"/>
      <w:lvlText w:val="■"/>
      <w:lvlJc w:val="left"/>
      <w:pPr>
        <w:ind w:left="2160" w:hanging="360"/>
      </w:pPr>
    </w:lvl>
    <w:lvl w:ilvl="3" w:tplc="9B3CF3A4">
      <w:start w:val="1"/>
      <w:numFmt w:val="bullet"/>
      <w:lvlText w:val="●"/>
      <w:lvlJc w:val="left"/>
      <w:pPr>
        <w:ind w:left="2880" w:hanging="360"/>
      </w:pPr>
    </w:lvl>
    <w:lvl w:ilvl="4" w:tplc="67349854">
      <w:start w:val="1"/>
      <w:numFmt w:val="bullet"/>
      <w:lvlText w:val="○"/>
      <w:lvlJc w:val="left"/>
      <w:pPr>
        <w:ind w:left="3600" w:hanging="360"/>
      </w:pPr>
    </w:lvl>
    <w:lvl w:ilvl="5" w:tplc="7EC4C238">
      <w:start w:val="1"/>
      <w:numFmt w:val="bullet"/>
      <w:lvlText w:val="■"/>
      <w:lvlJc w:val="left"/>
      <w:pPr>
        <w:ind w:left="4320" w:hanging="360"/>
      </w:pPr>
    </w:lvl>
    <w:lvl w:ilvl="6" w:tplc="8670E742">
      <w:start w:val="1"/>
      <w:numFmt w:val="bullet"/>
      <w:lvlText w:val="●"/>
      <w:lvlJc w:val="left"/>
      <w:pPr>
        <w:ind w:left="5040" w:hanging="360"/>
      </w:pPr>
    </w:lvl>
    <w:lvl w:ilvl="7" w:tplc="5F34E2D8">
      <w:start w:val="1"/>
      <w:numFmt w:val="bullet"/>
      <w:lvlText w:val="●"/>
      <w:lvlJc w:val="left"/>
      <w:pPr>
        <w:ind w:left="5760" w:hanging="360"/>
      </w:pPr>
    </w:lvl>
    <w:lvl w:ilvl="8" w:tplc="FD0654FA">
      <w:start w:val="1"/>
      <w:numFmt w:val="bullet"/>
      <w:lvlText w:val="●"/>
      <w:lvlJc w:val="left"/>
      <w:pPr>
        <w:ind w:left="6480" w:hanging="360"/>
      </w:pPr>
    </w:lvl>
  </w:abstractNum>
  <w:abstractNum w:abstractNumId="4" w15:restartNumberingAfterBreak="0">
    <w:nsid w:val="1BBC23A2"/>
    <w:multiLevelType w:val="hybridMultilevel"/>
    <w:tmpl w:val="808C229A"/>
    <w:lvl w:ilvl="0" w:tplc="FA5092A6">
      <w:start w:val="1"/>
      <w:numFmt w:val="bullet"/>
      <w:lvlText w:val="●"/>
      <w:lvlJc w:val="left"/>
      <w:pPr>
        <w:ind w:left="720" w:hanging="360"/>
      </w:pPr>
    </w:lvl>
    <w:lvl w:ilvl="1" w:tplc="75EC6E26">
      <w:start w:val="1"/>
      <w:numFmt w:val="bullet"/>
      <w:lvlText w:val="○"/>
      <w:lvlJc w:val="left"/>
      <w:pPr>
        <w:ind w:left="1440" w:hanging="360"/>
      </w:pPr>
    </w:lvl>
    <w:lvl w:ilvl="2" w:tplc="0CA0A7B8">
      <w:start w:val="1"/>
      <w:numFmt w:val="bullet"/>
      <w:lvlText w:val="■"/>
      <w:lvlJc w:val="left"/>
      <w:pPr>
        <w:ind w:left="2160" w:hanging="360"/>
      </w:pPr>
    </w:lvl>
    <w:lvl w:ilvl="3" w:tplc="C3E82A7E">
      <w:start w:val="1"/>
      <w:numFmt w:val="bullet"/>
      <w:lvlText w:val="●"/>
      <w:lvlJc w:val="left"/>
      <w:pPr>
        <w:ind w:left="2880" w:hanging="360"/>
      </w:pPr>
    </w:lvl>
    <w:lvl w:ilvl="4" w:tplc="70980F12">
      <w:start w:val="1"/>
      <w:numFmt w:val="bullet"/>
      <w:lvlText w:val="○"/>
      <w:lvlJc w:val="left"/>
      <w:pPr>
        <w:ind w:left="3600" w:hanging="360"/>
      </w:pPr>
    </w:lvl>
    <w:lvl w:ilvl="5" w:tplc="6C7A16EA">
      <w:start w:val="1"/>
      <w:numFmt w:val="bullet"/>
      <w:lvlText w:val="■"/>
      <w:lvlJc w:val="left"/>
      <w:pPr>
        <w:ind w:left="4320" w:hanging="360"/>
      </w:pPr>
    </w:lvl>
    <w:lvl w:ilvl="6" w:tplc="7F9602AE">
      <w:start w:val="1"/>
      <w:numFmt w:val="bullet"/>
      <w:lvlText w:val="●"/>
      <w:lvlJc w:val="left"/>
      <w:pPr>
        <w:ind w:left="5040" w:hanging="360"/>
      </w:pPr>
    </w:lvl>
    <w:lvl w:ilvl="7" w:tplc="4E64ACE0">
      <w:start w:val="1"/>
      <w:numFmt w:val="bullet"/>
      <w:lvlText w:val="●"/>
      <w:lvlJc w:val="left"/>
      <w:pPr>
        <w:ind w:left="5760" w:hanging="360"/>
      </w:pPr>
    </w:lvl>
    <w:lvl w:ilvl="8" w:tplc="A1AEF7D2">
      <w:start w:val="1"/>
      <w:numFmt w:val="bullet"/>
      <w:lvlText w:val="●"/>
      <w:lvlJc w:val="left"/>
      <w:pPr>
        <w:ind w:left="6480" w:hanging="360"/>
      </w:pPr>
    </w:lvl>
  </w:abstractNum>
  <w:abstractNum w:abstractNumId="5" w15:restartNumberingAfterBreak="0">
    <w:nsid w:val="31204BCD"/>
    <w:multiLevelType w:val="multilevel"/>
    <w:tmpl w:val="7E26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BD63A7"/>
    <w:multiLevelType w:val="hybridMultilevel"/>
    <w:tmpl w:val="6460348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F5F98"/>
    <w:multiLevelType w:val="hybridMultilevel"/>
    <w:tmpl w:val="4F164E56"/>
    <w:lvl w:ilvl="0" w:tplc="90989432">
      <w:start w:val="1"/>
      <w:numFmt w:val="bullet"/>
      <w:lvlText w:val="●"/>
      <w:lvlJc w:val="left"/>
      <w:pPr>
        <w:ind w:left="720" w:hanging="360"/>
      </w:pPr>
    </w:lvl>
    <w:lvl w:ilvl="1" w:tplc="EFBC9122">
      <w:start w:val="1"/>
      <w:numFmt w:val="bullet"/>
      <w:lvlText w:val="○"/>
      <w:lvlJc w:val="left"/>
      <w:pPr>
        <w:ind w:left="1440" w:hanging="360"/>
      </w:pPr>
    </w:lvl>
    <w:lvl w:ilvl="2" w:tplc="3548883C">
      <w:start w:val="1"/>
      <w:numFmt w:val="bullet"/>
      <w:lvlText w:val="■"/>
      <w:lvlJc w:val="left"/>
      <w:pPr>
        <w:ind w:left="2160" w:hanging="360"/>
      </w:pPr>
    </w:lvl>
    <w:lvl w:ilvl="3" w:tplc="E4AE9E6E">
      <w:start w:val="1"/>
      <w:numFmt w:val="bullet"/>
      <w:lvlText w:val="●"/>
      <w:lvlJc w:val="left"/>
      <w:pPr>
        <w:ind w:left="2880" w:hanging="360"/>
      </w:pPr>
    </w:lvl>
    <w:lvl w:ilvl="4" w:tplc="58309AB4">
      <w:start w:val="1"/>
      <w:numFmt w:val="bullet"/>
      <w:lvlText w:val="○"/>
      <w:lvlJc w:val="left"/>
      <w:pPr>
        <w:ind w:left="3600" w:hanging="360"/>
      </w:pPr>
    </w:lvl>
    <w:lvl w:ilvl="5" w:tplc="862A7CE2">
      <w:start w:val="1"/>
      <w:numFmt w:val="bullet"/>
      <w:lvlText w:val="■"/>
      <w:lvlJc w:val="left"/>
      <w:pPr>
        <w:ind w:left="4320" w:hanging="360"/>
      </w:pPr>
    </w:lvl>
    <w:lvl w:ilvl="6" w:tplc="8EEA4C06">
      <w:start w:val="1"/>
      <w:numFmt w:val="bullet"/>
      <w:lvlText w:val="●"/>
      <w:lvlJc w:val="left"/>
      <w:pPr>
        <w:ind w:left="5040" w:hanging="360"/>
      </w:pPr>
    </w:lvl>
    <w:lvl w:ilvl="7" w:tplc="E18EC8E6">
      <w:start w:val="1"/>
      <w:numFmt w:val="bullet"/>
      <w:lvlText w:val="●"/>
      <w:lvlJc w:val="left"/>
      <w:pPr>
        <w:ind w:left="5760" w:hanging="360"/>
      </w:pPr>
    </w:lvl>
    <w:lvl w:ilvl="8" w:tplc="B40CB8AC">
      <w:start w:val="1"/>
      <w:numFmt w:val="bullet"/>
      <w:lvlText w:val="●"/>
      <w:lvlJc w:val="left"/>
      <w:pPr>
        <w:ind w:left="6480" w:hanging="360"/>
      </w:pPr>
    </w:lvl>
  </w:abstractNum>
  <w:abstractNum w:abstractNumId="8" w15:restartNumberingAfterBreak="0">
    <w:nsid w:val="3B8D62DA"/>
    <w:multiLevelType w:val="multilevel"/>
    <w:tmpl w:val="14BE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FC1051"/>
    <w:multiLevelType w:val="hybridMultilevel"/>
    <w:tmpl w:val="3B188CBE"/>
    <w:lvl w:ilvl="0" w:tplc="C9925BB0">
      <w:start w:val="1"/>
      <w:numFmt w:val="bullet"/>
      <w:lvlText w:val="●"/>
      <w:lvlJc w:val="left"/>
      <w:pPr>
        <w:ind w:left="720" w:hanging="360"/>
      </w:pPr>
    </w:lvl>
    <w:lvl w:ilvl="1" w:tplc="F5CA1030">
      <w:start w:val="1"/>
      <w:numFmt w:val="bullet"/>
      <w:lvlText w:val="○"/>
      <w:lvlJc w:val="left"/>
      <w:pPr>
        <w:ind w:left="1440" w:hanging="360"/>
      </w:pPr>
    </w:lvl>
    <w:lvl w:ilvl="2" w:tplc="7CC86222">
      <w:start w:val="1"/>
      <w:numFmt w:val="bullet"/>
      <w:lvlText w:val="■"/>
      <w:lvlJc w:val="left"/>
      <w:pPr>
        <w:ind w:left="2160" w:hanging="360"/>
      </w:pPr>
    </w:lvl>
    <w:lvl w:ilvl="3" w:tplc="46DAA384">
      <w:start w:val="1"/>
      <w:numFmt w:val="bullet"/>
      <w:lvlText w:val="●"/>
      <w:lvlJc w:val="left"/>
      <w:pPr>
        <w:ind w:left="2880" w:hanging="360"/>
      </w:pPr>
    </w:lvl>
    <w:lvl w:ilvl="4" w:tplc="963C2A82">
      <w:start w:val="1"/>
      <w:numFmt w:val="bullet"/>
      <w:lvlText w:val="○"/>
      <w:lvlJc w:val="left"/>
      <w:pPr>
        <w:ind w:left="3600" w:hanging="360"/>
      </w:pPr>
    </w:lvl>
    <w:lvl w:ilvl="5" w:tplc="2C66A472">
      <w:start w:val="1"/>
      <w:numFmt w:val="bullet"/>
      <w:lvlText w:val="■"/>
      <w:lvlJc w:val="left"/>
      <w:pPr>
        <w:ind w:left="4320" w:hanging="360"/>
      </w:pPr>
    </w:lvl>
    <w:lvl w:ilvl="6" w:tplc="558427CA">
      <w:start w:val="1"/>
      <w:numFmt w:val="bullet"/>
      <w:lvlText w:val="●"/>
      <w:lvlJc w:val="left"/>
      <w:pPr>
        <w:ind w:left="5040" w:hanging="360"/>
      </w:pPr>
    </w:lvl>
    <w:lvl w:ilvl="7" w:tplc="D02A73D8">
      <w:start w:val="1"/>
      <w:numFmt w:val="bullet"/>
      <w:lvlText w:val="●"/>
      <w:lvlJc w:val="left"/>
      <w:pPr>
        <w:ind w:left="5760" w:hanging="360"/>
      </w:pPr>
    </w:lvl>
    <w:lvl w:ilvl="8" w:tplc="A5649126">
      <w:start w:val="1"/>
      <w:numFmt w:val="bullet"/>
      <w:lvlText w:val="●"/>
      <w:lvlJc w:val="left"/>
      <w:pPr>
        <w:ind w:left="6480" w:hanging="360"/>
      </w:pPr>
    </w:lvl>
  </w:abstractNum>
  <w:abstractNum w:abstractNumId="10" w15:restartNumberingAfterBreak="0">
    <w:nsid w:val="74955634"/>
    <w:multiLevelType w:val="hybridMultilevel"/>
    <w:tmpl w:val="C2CCC630"/>
    <w:lvl w:ilvl="0" w:tplc="CD2EF81E">
      <w:start w:val="1"/>
      <w:numFmt w:val="bullet"/>
      <w:lvlText w:val="●"/>
      <w:lvlJc w:val="left"/>
      <w:pPr>
        <w:ind w:left="720" w:hanging="360"/>
      </w:pPr>
    </w:lvl>
    <w:lvl w:ilvl="1" w:tplc="2A241D86">
      <w:start w:val="1"/>
      <w:numFmt w:val="bullet"/>
      <w:lvlText w:val="○"/>
      <w:lvlJc w:val="left"/>
      <w:pPr>
        <w:ind w:left="1440" w:hanging="360"/>
      </w:pPr>
    </w:lvl>
    <w:lvl w:ilvl="2" w:tplc="EE96A9F4">
      <w:start w:val="1"/>
      <w:numFmt w:val="bullet"/>
      <w:lvlText w:val="■"/>
      <w:lvlJc w:val="left"/>
      <w:pPr>
        <w:ind w:left="2160" w:hanging="360"/>
      </w:pPr>
    </w:lvl>
    <w:lvl w:ilvl="3" w:tplc="9698CDB8">
      <w:start w:val="1"/>
      <w:numFmt w:val="bullet"/>
      <w:lvlText w:val="●"/>
      <w:lvlJc w:val="left"/>
      <w:pPr>
        <w:ind w:left="2880" w:hanging="360"/>
      </w:pPr>
    </w:lvl>
    <w:lvl w:ilvl="4" w:tplc="BA7A9320">
      <w:start w:val="1"/>
      <w:numFmt w:val="bullet"/>
      <w:lvlText w:val="○"/>
      <w:lvlJc w:val="left"/>
      <w:pPr>
        <w:ind w:left="3600" w:hanging="360"/>
      </w:pPr>
    </w:lvl>
    <w:lvl w:ilvl="5" w:tplc="B6BAACFE">
      <w:start w:val="1"/>
      <w:numFmt w:val="bullet"/>
      <w:lvlText w:val="■"/>
      <w:lvlJc w:val="left"/>
      <w:pPr>
        <w:ind w:left="4320" w:hanging="360"/>
      </w:pPr>
    </w:lvl>
    <w:lvl w:ilvl="6" w:tplc="25D4A722">
      <w:start w:val="1"/>
      <w:numFmt w:val="bullet"/>
      <w:lvlText w:val="●"/>
      <w:lvlJc w:val="left"/>
      <w:pPr>
        <w:ind w:left="5040" w:hanging="360"/>
      </w:pPr>
    </w:lvl>
    <w:lvl w:ilvl="7" w:tplc="3BCC89D0">
      <w:start w:val="1"/>
      <w:numFmt w:val="bullet"/>
      <w:lvlText w:val="●"/>
      <w:lvlJc w:val="left"/>
      <w:pPr>
        <w:ind w:left="5760" w:hanging="360"/>
      </w:pPr>
    </w:lvl>
    <w:lvl w:ilvl="8" w:tplc="680E6924">
      <w:start w:val="1"/>
      <w:numFmt w:val="bullet"/>
      <w:lvlText w:val="●"/>
      <w:lvlJc w:val="left"/>
      <w:pPr>
        <w:ind w:left="6480" w:hanging="360"/>
      </w:pPr>
    </w:lvl>
  </w:abstractNum>
  <w:abstractNum w:abstractNumId="11" w15:restartNumberingAfterBreak="0">
    <w:nsid w:val="757D0614"/>
    <w:multiLevelType w:val="hybridMultilevel"/>
    <w:tmpl w:val="9484F1D6"/>
    <w:lvl w:ilvl="0" w:tplc="58A8AE62">
      <w:start w:val="1"/>
      <w:numFmt w:val="bullet"/>
      <w:lvlText w:val="●"/>
      <w:lvlJc w:val="left"/>
      <w:pPr>
        <w:ind w:left="720" w:hanging="360"/>
      </w:pPr>
    </w:lvl>
    <w:lvl w:ilvl="1" w:tplc="8E92FF6E">
      <w:start w:val="1"/>
      <w:numFmt w:val="bullet"/>
      <w:lvlText w:val="○"/>
      <w:lvlJc w:val="left"/>
      <w:pPr>
        <w:ind w:left="1440" w:hanging="360"/>
      </w:pPr>
    </w:lvl>
    <w:lvl w:ilvl="2" w:tplc="BAE6AC12">
      <w:start w:val="1"/>
      <w:numFmt w:val="bullet"/>
      <w:lvlText w:val="■"/>
      <w:lvlJc w:val="left"/>
      <w:pPr>
        <w:ind w:left="2160" w:hanging="360"/>
      </w:pPr>
    </w:lvl>
    <w:lvl w:ilvl="3" w:tplc="D3EC8570">
      <w:start w:val="1"/>
      <w:numFmt w:val="bullet"/>
      <w:lvlText w:val="●"/>
      <w:lvlJc w:val="left"/>
      <w:pPr>
        <w:ind w:left="2880" w:hanging="360"/>
      </w:pPr>
    </w:lvl>
    <w:lvl w:ilvl="4" w:tplc="9B2667E0">
      <w:start w:val="1"/>
      <w:numFmt w:val="bullet"/>
      <w:lvlText w:val="○"/>
      <w:lvlJc w:val="left"/>
      <w:pPr>
        <w:ind w:left="3600" w:hanging="360"/>
      </w:pPr>
    </w:lvl>
    <w:lvl w:ilvl="5" w:tplc="53E053F4">
      <w:start w:val="1"/>
      <w:numFmt w:val="bullet"/>
      <w:lvlText w:val="■"/>
      <w:lvlJc w:val="left"/>
      <w:pPr>
        <w:ind w:left="4320" w:hanging="360"/>
      </w:pPr>
    </w:lvl>
    <w:lvl w:ilvl="6" w:tplc="5364AF94">
      <w:start w:val="1"/>
      <w:numFmt w:val="bullet"/>
      <w:lvlText w:val="●"/>
      <w:lvlJc w:val="left"/>
      <w:pPr>
        <w:ind w:left="5040" w:hanging="360"/>
      </w:pPr>
    </w:lvl>
    <w:lvl w:ilvl="7" w:tplc="4D285D4C">
      <w:start w:val="1"/>
      <w:numFmt w:val="bullet"/>
      <w:lvlText w:val="●"/>
      <w:lvlJc w:val="left"/>
      <w:pPr>
        <w:ind w:left="5760" w:hanging="360"/>
      </w:pPr>
    </w:lvl>
    <w:lvl w:ilvl="8" w:tplc="B30E9056">
      <w:start w:val="1"/>
      <w:numFmt w:val="bullet"/>
      <w:lvlText w:val="●"/>
      <w:lvlJc w:val="left"/>
      <w:pPr>
        <w:ind w:left="6480" w:hanging="360"/>
      </w:pPr>
    </w:lvl>
  </w:abstractNum>
  <w:abstractNum w:abstractNumId="12" w15:restartNumberingAfterBreak="0">
    <w:nsid w:val="7E205C51"/>
    <w:multiLevelType w:val="hybridMultilevel"/>
    <w:tmpl w:val="C124F6B6"/>
    <w:lvl w:ilvl="0" w:tplc="56BA7F6E">
      <w:start w:val="1"/>
      <w:numFmt w:val="bullet"/>
      <w:lvlText w:val="●"/>
      <w:lvlJc w:val="left"/>
      <w:pPr>
        <w:ind w:left="720" w:hanging="360"/>
      </w:pPr>
    </w:lvl>
    <w:lvl w:ilvl="1" w:tplc="30767BDC">
      <w:start w:val="1"/>
      <w:numFmt w:val="bullet"/>
      <w:lvlText w:val="○"/>
      <w:lvlJc w:val="left"/>
      <w:pPr>
        <w:ind w:left="1440" w:hanging="360"/>
      </w:pPr>
    </w:lvl>
    <w:lvl w:ilvl="2" w:tplc="389ACC16">
      <w:start w:val="1"/>
      <w:numFmt w:val="bullet"/>
      <w:lvlText w:val="■"/>
      <w:lvlJc w:val="left"/>
      <w:pPr>
        <w:ind w:left="2160" w:hanging="360"/>
      </w:pPr>
    </w:lvl>
    <w:lvl w:ilvl="3" w:tplc="F83A85C2">
      <w:start w:val="1"/>
      <w:numFmt w:val="bullet"/>
      <w:lvlText w:val="●"/>
      <w:lvlJc w:val="left"/>
      <w:pPr>
        <w:ind w:left="2880" w:hanging="360"/>
      </w:pPr>
    </w:lvl>
    <w:lvl w:ilvl="4" w:tplc="F1F858DA">
      <w:start w:val="1"/>
      <w:numFmt w:val="bullet"/>
      <w:lvlText w:val="○"/>
      <w:lvlJc w:val="left"/>
      <w:pPr>
        <w:ind w:left="3600" w:hanging="360"/>
      </w:pPr>
    </w:lvl>
    <w:lvl w:ilvl="5" w:tplc="3B7EC550">
      <w:start w:val="1"/>
      <w:numFmt w:val="bullet"/>
      <w:lvlText w:val="■"/>
      <w:lvlJc w:val="left"/>
      <w:pPr>
        <w:ind w:left="4320" w:hanging="360"/>
      </w:pPr>
    </w:lvl>
    <w:lvl w:ilvl="6" w:tplc="4484E770">
      <w:start w:val="1"/>
      <w:numFmt w:val="bullet"/>
      <w:lvlText w:val="●"/>
      <w:lvlJc w:val="left"/>
      <w:pPr>
        <w:ind w:left="5040" w:hanging="360"/>
      </w:pPr>
    </w:lvl>
    <w:lvl w:ilvl="7" w:tplc="4C5CC54A">
      <w:start w:val="1"/>
      <w:numFmt w:val="bullet"/>
      <w:lvlText w:val="●"/>
      <w:lvlJc w:val="left"/>
      <w:pPr>
        <w:ind w:left="5760" w:hanging="360"/>
      </w:pPr>
    </w:lvl>
    <w:lvl w:ilvl="8" w:tplc="1AA467F8">
      <w:start w:val="1"/>
      <w:numFmt w:val="bullet"/>
      <w:lvlText w:val="●"/>
      <w:lvlJc w:val="left"/>
      <w:pPr>
        <w:ind w:left="6480" w:hanging="360"/>
      </w:pPr>
    </w:lvl>
  </w:abstractNum>
  <w:abstractNum w:abstractNumId="13" w15:restartNumberingAfterBreak="0">
    <w:nsid w:val="7F066A24"/>
    <w:multiLevelType w:val="hybridMultilevel"/>
    <w:tmpl w:val="8ED63C60"/>
    <w:lvl w:ilvl="0" w:tplc="A0EACE60">
      <w:start w:val="1"/>
      <w:numFmt w:val="bullet"/>
      <w:lvlText w:val="●"/>
      <w:lvlJc w:val="left"/>
      <w:pPr>
        <w:ind w:left="720" w:hanging="360"/>
      </w:pPr>
    </w:lvl>
    <w:lvl w:ilvl="1" w:tplc="CB5074EE">
      <w:start w:val="1"/>
      <w:numFmt w:val="bullet"/>
      <w:lvlText w:val="○"/>
      <w:lvlJc w:val="left"/>
      <w:pPr>
        <w:ind w:left="1440" w:hanging="360"/>
      </w:pPr>
    </w:lvl>
    <w:lvl w:ilvl="2" w:tplc="35160AF4">
      <w:start w:val="1"/>
      <w:numFmt w:val="bullet"/>
      <w:lvlText w:val="■"/>
      <w:lvlJc w:val="left"/>
      <w:pPr>
        <w:ind w:left="2160" w:hanging="360"/>
      </w:pPr>
    </w:lvl>
    <w:lvl w:ilvl="3" w:tplc="6F9ACD44">
      <w:start w:val="1"/>
      <w:numFmt w:val="bullet"/>
      <w:lvlText w:val="●"/>
      <w:lvlJc w:val="left"/>
      <w:pPr>
        <w:ind w:left="2880" w:hanging="360"/>
      </w:pPr>
    </w:lvl>
    <w:lvl w:ilvl="4" w:tplc="34840794">
      <w:start w:val="1"/>
      <w:numFmt w:val="bullet"/>
      <w:lvlText w:val="○"/>
      <w:lvlJc w:val="left"/>
      <w:pPr>
        <w:ind w:left="3600" w:hanging="360"/>
      </w:pPr>
    </w:lvl>
    <w:lvl w:ilvl="5" w:tplc="192C35FC">
      <w:start w:val="1"/>
      <w:numFmt w:val="bullet"/>
      <w:lvlText w:val="■"/>
      <w:lvlJc w:val="left"/>
      <w:pPr>
        <w:ind w:left="4320" w:hanging="360"/>
      </w:pPr>
    </w:lvl>
    <w:lvl w:ilvl="6" w:tplc="861456CC">
      <w:start w:val="1"/>
      <w:numFmt w:val="bullet"/>
      <w:lvlText w:val="●"/>
      <w:lvlJc w:val="left"/>
      <w:pPr>
        <w:ind w:left="5040" w:hanging="360"/>
      </w:pPr>
    </w:lvl>
    <w:lvl w:ilvl="7" w:tplc="4228597A">
      <w:start w:val="1"/>
      <w:numFmt w:val="bullet"/>
      <w:lvlText w:val="●"/>
      <w:lvlJc w:val="left"/>
      <w:pPr>
        <w:ind w:left="5760" w:hanging="360"/>
      </w:pPr>
    </w:lvl>
    <w:lvl w:ilvl="8" w:tplc="26CE2FF0">
      <w:start w:val="1"/>
      <w:numFmt w:val="bullet"/>
      <w:lvlText w:val="●"/>
      <w:lvlJc w:val="left"/>
      <w:pPr>
        <w:ind w:left="6480" w:hanging="360"/>
      </w:pPr>
    </w:lvl>
  </w:abstractNum>
  <w:num w:numId="1" w16cid:durableId="1066687756">
    <w:abstractNumId w:val="9"/>
    <w:lvlOverride w:ilvl="0">
      <w:startOverride w:val="1"/>
    </w:lvlOverride>
  </w:num>
  <w:num w:numId="2" w16cid:durableId="572550861">
    <w:abstractNumId w:val="4"/>
    <w:lvlOverride w:ilvl="0">
      <w:startOverride w:val="1"/>
    </w:lvlOverride>
  </w:num>
  <w:num w:numId="3" w16cid:durableId="143472122">
    <w:abstractNumId w:val="10"/>
    <w:lvlOverride w:ilvl="0">
      <w:startOverride w:val="1"/>
    </w:lvlOverride>
  </w:num>
  <w:num w:numId="4" w16cid:durableId="1751851632">
    <w:abstractNumId w:val="7"/>
    <w:lvlOverride w:ilvl="0">
      <w:startOverride w:val="1"/>
    </w:lvlOverride>
  </w:num>
  <w:num w:numId="5" w16cid:durableId="1682974681">
    <w:abstractNumId w:val="12"/>
    <w:lvlOverride w:ilvl="0">
      <w:startOverride w:val="1"/>
    </w:lvlOverride>
  </w:num>
  <w:num w:numId="6" w16cid:durableId="959413236">
    <w:abstractNumId w:val="11"/>
    <w:lvlOverride w:ilvl="0">
      <w:startOverride w:val="1"/>
    </w:lvlOverride>
  </w:num>
  <w:num w:numId="7" w16cid:durableId="1500270120">
    <w:abstractNumId w:val="13"/>
    <w:lvlOverride w:ilvl="0">
      <w:startOverride w:val="1"/>
    </w:lvlOverride>
  </w:num>
  <w:num w:numId="8" w16cid:durableId="1797521453">
    <w:abstractNumId w:val="3"/>
    <w:lvlOverride w:ilvl="0">
      <w:startOverride w:val="1"/>
    </w:lvlOverride>
  </w:num>
  <w:num w:numId="9" w16cid:durableId="641156262">
    <w:abstractNumId w:val="0"/>
    <w:lvlOverride w:ilvl="0">
      <w:startOverride w:val="1"/>
    </w:lvlOverride>
  </w:num>
  <w:num w:numId="10" w16cid:durableId="890921038">
    <w:abstractNumId w:val="6"/>
  </w:num>
  <w:num w:numId="11" w16cid:durableId="836964218">
    <w:abstractNumId w:val="1"/>
  </w:num>
  <w:num w:numId="12" w16cid:durableId="345524771">
    <w:abstractNumId w:val="5"/>
  </w:num>
  <w:num w:numId="13" w16cid:durableId="1963151720">
    <w:abstractNumId w:val="8"/>
  </w:num>
  <w:num w:numId="14" w16cid:durableId="608702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9A1"/>
    <w:rsid w:val="0000019F"/>
    <w:rsid w:val="000002B5"/>
    <w:rsid w:val="000006AF"/>
    <w:rsid w:val="00000749"/>
    <w:rsid w:val="000009B1"/>
    <w:rsid w:val="000011F9"/>
    <w:rsid w:val="0000203B"/>
    <w:rsid w:val="000020C8"/>
    <w:rsid w:val="0000261F"/>
    <w:rsid w:val="000026CE"/>
    <w:rsid w:val="00002DE7"/>
    <w:rsid w:val="000038E1"/>
    <w:rsid w:val="000042FC"/>
    <w:rsid w:val="000044FA"/>
    <w:rsid w:val="000053E1"/>
    <w:rsid w:val="00005695"/>
    <w:rsid w:val="00005E64"/>
    <w:rsid w:val="00005EE2"/>
    <w:rsid w:val="00006556"/>
    <w:rsid w:val="000065FE"/>
    <w:rsid w:val="00006765"/>
    <w:rsid w:val="0000728C"/>
    <w:rsid w:val="00007313"/>
    <w:rsid w:val="000076CD"/>
    <w:rsid w:val="000078A5"/>
    <w:rsid w:val="00010FFB"/>
    <w:rsid w:val="0001161D"/>
    <w:rsid w:val="00011924"/>
    <w:rsid w:val="00012574"/>
    <w:rsid w:val="000125AB"/>
    <w:rsid w:val="00012769"/>
    <w:rsid w:val="000129C1"/>
    <w:rsid w:val="00013A20"/>
    <w:rsid w:val="0001479B"/>
    <w:rsid w:val="00015B33"/>
    <w:rsid w:val="00015E9A"/>
    <w:rsid w:val="000160AB"/>
    <w:rsid w:val="0001619C"/>
    <w:rsid w:val="0001757B"/>
    <w:rsid w:val="000175BA"/>
    <w:rsid w:val="000202E8"/>
    <w:rsid w:val="000203CC"/>
    <w:rsid w:val="00020439"/>
    <w:rsid w:val="00020545"/>
    <w:rsid w:val="00020BFC"/>
    <w:rsid w:val="0002160D"/>
    <w:rsid w:val="0002206B"/>
    <w:rsid w:val="000220B2"/>
    <w:rsid w:val="0002243D"/>
    <w:rsid w:val="000225E7"/>
    <w:rsid w:val="00022A8D"/>
    <w:rsid w:val="00022B8B"/>
    <w:rsid w:val="00022BEA"/>
    <w:rsid w:val="00022C87"/>
    <w:rsid w:val="00022F47"/>
    <w:rsid w:val="0002321C"/>
    <w:rsid w:val="00023CDC"/>
    <w:rsid w:val="00023D75"/>
    <w:rsid w:val="00024A45"/>
    <w:rsid w:val="00024A61"/>
    <w:rsid w:val="00025310"/>
    <w:rsid w:val="00025723"/>
    <w:rsid w:val="00025E44"/>
    <w:rsid w:val="00026472"/>
    <w:rsid w:val="00026C54"/>
    <w:rsid w:val="0002706A"/>
    <w:rsid w:val="000275EC"/>
    <w:rsid w:val="00027C9A"/>
    <w:rsid w:val="00027E1F"/>
    <w:rsid w:val="000303DF"/>
    <w:rsid w:val="0003181E"/>
    <w:rsid w:val="00031B7E"/>
    <w:rsid w:val="00032ACA"/>
    <w:rsid w:val="00032EA3"/>
    <w:rsid w:val="00033EE4"/>
    <w:rsid w:val="00033F32"/>
    <w:rsid w:val="0003434D"/>
    <w:rsid w:val="00035C45"/>
    <w:rsid w:val="0003656D"/>
    <w:rsid w:val="00036761"/>
    <w:rsid w:val="00037237"/>
    <w:rsid w:val="0004045F"/>
    <w:rsid w:val="00040E33"/>
    <w:rsid w:val="00041427"/>
    <w:rsid w:val="000418D4"/>
    <w:rsid w:val="00041965"/>
    <w:rsid w:val="00041A1F"/>
    <w:rsid w:val="00041B54"/>
    <w:rsid w:val="00041F70"/>
    <w:rsid w:val="00042017"/>
    <w:rsid w:val="000424CD"/>
    <w:rsid w:val="00042CBC"/>
    <w:rsid w:val="00042FF4"/>
    <w:rsid w:val="00043A41"/>
    <w:rsid w:val="00044058"/>
    <w:rsid w:val="0004437B"/>
    <w:rsid w:val="00044A80"/>
    <w:rsid w:val="00044F87"/>
    <w:rsid w:val="00044FC4"/>
    <w:rsid w:val="0004546E"/>
    <w:rsid w:val="00046198"/>
    <w:rsid w:val="00046FCD"/>
    <w:rsid w:val="000470B2"/>
    <w:rsid w:val="00047EC0"/>
    <w:rsid w:val="00051868"/>
    <w:rsid w:val="0005191B"/>
    <w:rsid w:val="000519B0"/>
    <w:rsid w:val="00051DFF"/>
    <w:rsid w:val="00052413"/>
    <w:rsid w:val="000524A0"/>
    <w:rsid w:val="0005286D"/>
    <w:rsid w:val="00052977"/>
    <w:rsid w:val="00053421"/>
    <w:rsid w:val="000537DA"/>
    <w:rsid w:val="00053C9E"/>
    <w:rsid w:val="000541F3"/>
    <w:rsid w:val="00054832"/>
    <w:rsid w:val="00055203"/>
    <w:rsid w:val="0005527E"/>
    <w:rsid w:val="000553AE"/>
    <w:rsid w:val="00055596"/>
    <w:rsid w:val="000556D0"/>
    <w:rsid w:val="00055D8D"/>
    <w:rsid w:val="0005615F"/>
    <w:rsid w:val="00056AD9"/>
    <w:rsid w:val="0005721B"/>
    <w:rsid w:val="00057F24"/>
    <w:rsid w:val="00061500"/>
    <w:rsid w:val="00061502"/>
    <w:rsid w:val="000615FF"/>
    <w:rsid w:val="00061D5C"/>
    <w:rsid w:val="00062E93"/>
    <w:rsid w:val="00063682"/>
    <w:rsid w:val="00063779"/>
    <w:rsid w:val="00063EAC"/>
    <w:rsid w:val="00064382"/>
    <w:rsid w:val="000643D9"/>
    <w:rsid w:val="00064414"/>
    <w:rsid w:val="00064C65"/>
    <w:rsid w:val="00064DA5"/>
    <w:rsid w:val="00065B53"/>
    <w:rsid w:val="00065E1A"/>
    <w:rsid w:val="0006634B"/>
    <w:rsid w:val="00066634"/>
    <w:rsid w:val="000666AB"/>
    <w:rsid w:val="00067864"/>
    <w:rsid w:val="000679BA"/>
    <w:rsid w:val="00067E77"/>
    <w:rsid w:val="000703E7"/>
    <w:rsid w:val="0007056F"/>
    <w:rsid w:val="00070C0B"/>
    <w:rsid w:val="00071049"/>
    <w:rsid w:val="0007181A"/>
    <w:rsid w:val="00071B0F"/>
    <w:rsid w:val="00072083"/>
    <w:rsid w:val="00072188"/>
    <w:rsid w:val="00073111"/>
    <w:rsid w:val="00073D45"/>
    <w:rsid w:val="00074316"/>
    <w:rsid w:val="0007492D"/>
    <w:rsid w:val="0007663D"/>
    <w:rsid w:val="00076D2A"/>
    <w:rsid w:val="0007700D"/>
    <w:rsid w:val="000771ED"/>
    <w:rsid w:val="000777DC"/>
    <w:rsid w:val="00077D6A"/>
    <w:rsid w:val="000815C2"/>
    <w:rsid w:val="00081639"/>
    <w:rsid w:val="00081FE4"/>
    <w:rsid w:val="000824F9"/>
    <w:rsid w:val="00082CA2"/>
    <w:rsid w:val="00083A72"/>
    <w:rsid w:val="00083CC1"/>
    <w:rsid w:val="00083DBF"/>
    <w:rsid w:val="0008433F"/>
    <w:rsid w:val="0008692A"/>
    <w:rsid w:val="00086BF6"/>
    <w:rsid w:val="000870DF"/>
    <w:rsid w:val="000875A5"/>
    <w:rsid w:val="0009031B"/>
    <w:rsid w:val="00090372"/>
    <w:rsid w:val="000905B9"/>
    <w:rsid w:val="00090A0D"/>
    <w:rsid w:val="00090D5B"/>
    <w:rsid w:val="00090DB6"/>
    <w:rsid w:val="000914EF"/>
    <w:rsid w:val="00092758"/>
    <w:rsid w:val="00093712"/>
    <w:rsid w:val="00093B0A"/>
    <w:rsid w:val="00093B75"/>
    <w:rsid w:val="00093EDE"/>
    <w:rsid w:val="00095219"/>
    <w:rsid w:val="000952C3"/>
    <w:rsid w:val="00095386"/>
    <w:rsid w:val="000953CF"/>
    <w:rsid w:val="00095E77"/>
    <w:rsid w:val="00095E85"/>
    <w:rsid w:val="000961AD"/>
    <w:rsid w:val="00096E11"/>
    <w:rsid w:val="00097396"/>
    <w:rsid w:val="000979BE"/>
    <w:rsid w:val="00097AE6"/>
    <w:rsid w:val="00097D91"/>
    <w:rsid w:val="000A0667"/>
    <w:rsid w:val="000A1131"/>
    <w:rsid w:val="000A125C"/>
    <w:rsid w:val="000A14BA"/>
    <w:rsid w:val="000A30F4"/>
    <w:rsid w:val="000A32FF"/>
    <w:rsid w:val="000A34D2"/>
    <w:rsid w:val="000A558C"/>
    <w:rsid w:val="000A5B56"/>
    <w:rsid w:val="000A5DEE"/>
    <w:rsid w:val="000A6FB6"/>
    <w:rsid w:val="000A7544"/>
    <w:rsid w:val="000A7D8B"/>
    <w:rsid w:val="000B0374"/>
    <w:rsid w:val="000B03E7"/>
    <w:rsid w:val="000B0459"/>
    <w:rsid w:val="000B0E33"/>
    <w:rsid w:val="000B1213"/>
    <w:rsid w:val="000B22EF"/>
    <w:rsid w:val="000B251A"/>
    <w:rsid w:val="000B3637"/>
    <w:rsid w:val="000B382C"/>
    <w:rsid w:val="000B38B5"/>
    <w:rsid w:val="000B4605"/>
    <w:rsid w:val="000B5AC0"/>
    <w:rsid w:val="000B5DF3"/>
    <w:rsid w:val="000B6284"/>
    <w:rsid w:val="000B68A5"/>
    <w:rsid w:val="000B6E90"/>
    <w:rsid w:val="000B7B12"/>
    <w:rsid w:val="000C0110"/>
    <w:rsid w:val="000C053A"/>
    <w:rsid w:val="000C0BA6"/>
    <w:rsid w:val="000C1B01"/>
    <w:rsid w:val="000C23C3"/>
    <w:rsid w:val="000C2547"/>
    <w:rsid w:val="000C2F78"/>
    <w:rsid w:val="000C3188"/>
    <w:rsid w:val="000C37DE"/>
    <w:rsid w:val="000C38C0"/>
    <w:rsid w:val="000C3AAE"/>
    <w:rsid w:val="000C3B91"/>
    <w:rsid w:val="000C3C60"/>
    <w:rsid w:val="000C4E29"/>
    <w:rsid w:val="000C573D"/>
    <w:rsid w:val="000C5A20"/>
    <w:rsid w:val="000C5DDA"/>
    <w:rsid w:val="000C5F9B"/>
    <w:rsid w:val="000C658C"/>
    <w:rsid w:val="000C6682"/>
    <w:rsid w:val="000C66A7"/>
    <w:rsid w:val="000C6A63"/>
    <w:rsid w:val="000C6AF1"/>
    <w:rsid w:val="000D1C8E"/>
    <w:rsid w:val="000D1DA9"/>
    <w:rsid w:val="000D1FE5"/>
    <w:rsid w:val="000D21DE"/>
    <w:rsid w:val="000D2485"/>
    <w:rsid w:val="000D28A7"/>
    <w:rsid w:val="000D3D04"/>
    <w:rsid w:val="000D45B8"/>
    <w:rsid w:val="000D4870"/>
    <w:rsid w:val="000D53F0"/>
    <w:rsid w:val="000D5999"/>
    <w:rsid w:val="000D59FF"/>
    <w:rsid w:val="000D6B42"/>
    <w:rsid w:val="000D6B6F"/>
    <w:rsid w:val="000D7001"/>
    <w:rsid w:val="000D7097"/>
    <w:rsid w:val="000D778B"/>
    <w:rsid w:val="000D7ACE"/>
    <w:rsid w:val="000E05E9"/>
    <w:rsid w:val="000E19C2"/>
    <w:rsid w:val="000E1DBC"/>
    <w:rsid w:val="000E2FEE"/>
    <w:rsid w:val="000E3167"/>
    <w:rsid w:val="000E3AF9"/>
    <w:rsid w:val="000E3D5B"/>
    <w:rsid w:val="000E4418"/>
    <w:rsid w:val="000E4507"/>
    <w:rsid w:val="000E4872"/>
    <w:rsid w:val="000E4EE6"/>
    <w:rsid w:val="000E515B"/>
    <w:rsid w:val="000E716D"/>
    <w:rsid w:val="000E7229"/>
    <w:rsid w:val="000E753F"/>
    <w:rsid w:val="000E79E3"/>
    <w:rsid w:val="000E7E50"/>
    <w:rsid w:val="000F0168"/>
    <w:rsid w:val="000F0214"/>
    <w:rsid w:val="000F06FE"/>
    <w:rsid w:val="000F1A92"/>
    <w:rsid w:val="000F2610"/>
    <w:rsid w:val="000F323F"/>
    <w:rsid w:val="000F3ADD"/>
    <w:rsid w:val="000F4B14"/>
    <w:rsid w:val="000F4E45"/>
    <w:rsid w:val="000F50FA"/>
    <w:rsid w:val="000F5869"/>
    <w:rsid w:val="000F5B0F"/>
    <w:rsid w:val="000F5DDC"/>
    <w:rsid w:val="000F6014"/>
    <w:rsid w:val="000F6439"/>
    <w:rsid w:val="000F76D3"/>
    <w:rsid w:val="000F7964"/>
    <w:rsid w:val="000F7C92"/>
    <w:rsid w:val="00100061"/>
    <w:rsid w:val="00100090"/>
    <w:rsid w:val="001009F2"/>
    <w:rsid w:val="00100A37"/>
    <w:rsid w:val="00100BF4"/>
    <w:rsid w:val="00100CDF"/>
    <w:rsid w:val="00100EE8"/>
    <w:rsid w:val="00101E76"/>
    <w:rsid w:val="00102C52"/>
    <w:rsid w:val="00102D2A"/>
    <w:rsid w:val="001036B9"/>
    <w:rsid w:val="00103EE5"/>
    <w:rsid w:val="00104891"/>
    <w:rsid w:val="00104DC9"/>
    <w:rsid w:val="00104F57"/>
    <w:rsid w:val="00105A96"/>
    <w:rsid w:val="00106331"/>
    <w:rsid w:val="0010650E"/>
    <w:rsid w:val="00106D3A"/>
    <w:rsid w:val="00106E8D"/>
    <w:rsid w:val="00107663"/>
    <w:rsid w:val="0010791B"/>
    <w:rsid w:val="00107F90"/>
    <w:rsid w:val="00110FAB"/>
    <w:rsid w:val="001112C0"/>
    <w:rsid w:val="00112718"/>
    <w:rsid w:val="00112E06"/>
    <w:rsid w:val="00112FF6"/>
    <w:rsid w:val="00113614"/>
    <w:rsid w:val="001136CF"/>
    <w:rsid w:val="00113950"/>
    <w:rsid w:val="001144AC"/>
    <w:rsid w:val="001146E6"/>
    <w:rsid w:val="00114C29"/>
    <w:rsid w:val="00115FC2"/>
    <w:rsid w:val="001166E6"/>
    <w:rsid w:val="0011747F"/>
    <w:rsid w:val="00120447"/>
    <w:rsid w:val="001205D8"/>
    <w:rsid w:val="001209CE"/>
    <w:rsid w:val="00120A68"/>
    <w:rsid w:val="0012137F"/>
    <w:rsid w:val="001214F9"/>
    <w:rsid w:val="00121D7B"/>
    <w:rsid w:val="00121FF8"/>
    <w:rsid w:val="001227FF"/>
    <w:rsid w:val="00122DCD"/>
    <w:rsid w:val="001231B7"/>
    <w:rsid w:val="001237E1"/>
    <w:rsid w:val="001239A5"/>
    <w:rsid w:val="00123CE1"/>
    <w:rsid w:val="001243A0"/>
    <w:rsid w:val="0012585F"/>
    <w:rsid w:val="00125B4E"/>
    <w:rsid w:val="00125BEA"/>
    <w:rsid w:val="00127A5B"/>
    <w:rsid w:val="00127CAE"/>
    <w:rsid w:val="00127D37"/>
    <w:rsid w:val="00127DC6"/>
    <w:rsid w:val="001300AE"/>
    <w:rsid w:val="00130A76"/>
    <w:rsid w:val="00130B26"/>
    <w:rsid w:val="00130CB8"/>
    <w:rsid w:val="00130E24"/>
    <w:rsid w:val="00130E43"/>
    <w:rsid w:val="00131078"/>
    <w:rsid w:val="001310F7"/>
    <w:rsid w:val="00131289"/>
    <w:rsid w:val="00131C09"/>
    <w:rsid w:val="00131E05"/>
    <w:rsid w:val="00132069"/>
    <w:rsid w:val="0013239D"/>
    <w:rsid w:val="00132636"/>
    <w:rsid w:val="00132F88"/>
    <w:rsid w:val="0013319A"/>
    <w:rsid w:val="00134704"/>
    <w:rsid w:val="00134B32"/>
    <w:rsid w:val="00134D97"/>
    <w:rsid w:val="0013513F"/>
    <w:rsid w:val="0013564F"/>
    <w:rsid w:val="00135964"/>
    <w:rsid w:val="00135E6E"/>
    <w:rsid w:val="001377CD"/>
    <w:rsid w:val="00137895"/>
    <w:rsid w:val="001378BA"/>
    <w:rsid w:val="001379D6"/>
    <w:rsid w:val="00137CEB"/>
    <w:rsid w:val="00140888"/>
    <w:rsid w:val="0014097A"/>
    <w:rsid w:val="00140E34"/>
    <w:rsid w:val="00141015"/>
    <w:rsid w:val="001415CA"/>
    <w:rsid w:val="00142589"/>
    <w:rsid w:val="001425F9"/>
    <w:rsid w:val="001428A9"/>
    <w:rsid w:val="00142913"/>
    <w:rsid w:val="001431ED"/>
    <w:rsid w:val="00143576"/>
    <w:rsid w:val="001440BB"/>
    <w:rsid w:val="0014418A"/>
    <w:rsid w:val="00144A2C"/>
    <w:rsid w:val="0014566A"/>
    <w:rsid w:val="00145FF4"/>
    <w:rsid w:val="0014604B"/>
    <w:rsid w:val="001461DD"/>
    <w:rsid w:val="00147429"/>
    <w:rsid w:val="00147749"/>
    <w:rsid w:val="00147C30"/>
    <w:rsid w:val="00150CEE"/>
    <w:rsid w:val="00150DAF"/>
    <w:rsid w:val="00151014"/>
    <w:rsid w:val="001512C4"/>
    <w:rsid w:val="00152610"/>
    <w:rsid w:val="00152AA4"/>
    <w:rsid w:val="00152E74"/>
    <w:rsid w:val="00153727"/>
    <w:rsid w:val="00154256"/>
    <w:rsid w:val="00154678"/>
    <w:rsid w:val="00154ED2"/>
    <w:rsid w:val="00155A40"/>
    <w:rsid w:val="00155DB8"/>
    <w:rsid w:val="00155E5A"/>
    <w:rsid w:val="001568E5"/>
    <w:rsid w:val="00157CA1"/>
    <w:rsid w:val="00157F7D"/>
    <w:rsid w:val="001602B6"/>
    <w:rsid w:val="00160724"/>
    <w:rsid w:val="001616B3"/>
    <w:rsid w:val="00161FDA"/>
    <w:rsid w:val="001621CB"/>
    <w:rsid w:val="00163378"/>
    <w:rsid w:val="00163D05"/>
    <w:rsid w:val="00165136"/>
    <w:rsid w:val="0016555C"/>
    <w:rsid w:val="0016618A"/>
    <w:rsid w:val="001669CB"/>
    <w:rsid w:val="00166AD9"/>
    <w:rsid w:val="00166ED1"/>
    <w:rsid w:val="00166F79"/>
    <w:rsid w:val="00167B78"/>
    <w:rsid w:val="00167FBD"/>
    <w:rsid w:val="001701C2"/>
    <w:rsid w:val="0017072E"/>
    <w:rsid w:val="00170909"/>
    <w:rsid w:val="00170E81"/>
    <w:rsid w:val="00170F09"/>
    <w:rsid w:val="00172771"/>
    <w:rsid w:val="00172807"/>
    <w:rsid w:val="00173285"/>
    <w:rsid w:val="00173730"/>
    <w:rsid w:val="001746CF"/>
    <w:rsid w:val="0017479A"/>
    <w:rsid w:val="00174D35"/>
    <w:rsid w:val="00175861"/>
    <w:rsid w:val="00176331"/>
    <w:rsid w:val="001763E1"/>
    <w:rsid w:val="001765BE"/>
    <w:rsid w:val="00176BD9"/>
    <w:rsid w:val="00177564"/>
    <w:rsid w:val="00177CBE"/>
    <w:rsid w:val="00180486"/>
    <w:rsid w:val="00181387"/>
    <w:rsid w:val="00181440"/>
    <w:rsid w:val="001817DF"/>
    <w:rsid w:val="001818CD"/>
    <w:rsid w:val="00181DAB"/>
    <w:rsid w:val="00182142"/>
    <w:rsid w:val="001822C0"/>
    <w:rsid w:val="00182B2B"/>
    <w:rsid w:val="001835E9"/>
    <w:rsid w:val="00183BBB"/>
    <w:rsid w:val="00183CB4"/>
    <w:rsid w:val="0018404E"/>
    <w:rsid w:val="001842C5"/>
    <w:rsid w:val="00184561"/>
    <w:rsid w:val="00184C5D"/>
    <w:rsid w:val="00184DB6"/>
    <w:rsid w:val="001851C5"/>
    <w:rsid w:val="0018527F"/>
    <w:rsid w:val="00185903"/>
    <w:rsid w:val="0018623F"/>
    <w:rsid w:val="00186297"/>
    <w:rsid w:val="0018644E"/>
    <w:rsid w:val="001871C1"/>
    <w:rsid w:val="00187529"/>
    <w:rsid w:val="00187609"/>
    <w:rsid w:val="00187A11"/>
    <w:rsid w:val="00190C2A"/>
    <w:rsid w:val="00190C7C"/>
    <w:rsid w:val="00190F87"/>
    <w:rsid w:val="001911D6"/>
    <w:rsid w:val="001917E6"/>
    <w:rsid w:val="00191E2F"/>
    <w:rsid w:val="00191F28"/>
    <w:rsid w:val="00192D2E"/>
    <w:rsid w:val="00193500"/>
    <w:rsid w:val="001935A6"/>
    <w:rsid w:val="0019395F"/>
    <w:rsid w:val="00193B2E"/>
    <w:rsid w:val="00193FCC"/>
    <w:rsid w:val="001941DD"/>
    <w:rsid w:val="0019506C"/>
    <w:rsid w:val="0019568E"/>
    <w:rsid w:val="001956A5"/>
    <w:rsid w:val="00195820"/>
    <w:rsid w:val="00196ED0"/>
    <w:rsid w:val="0019712F"/>
    <w:rsid w:val="001A0B7A"/>
    <w:rsid w:val="001A1714"/>
    <w:rsid w:val="001A206C"/>
    <w:rsid w:val="001A2B59"/>
    <w:rsid w:val="001A323D"/>
    <w:rsid w:val="001A4F41"/>
    <w:rsid w:val="001A4FD4"/>
    <w:rsid w:val="001A5BB8"/>
    <w:rsid w:val="001A5F97"/>
    <w:rsid w:val="001A76F0"/>
    <w:rsid w:val="001B047E"/>
    <w:rsid w:val="001B1213"/>
    <w:rsid w:val="001B13F6"/>
    <w:rsid w:val="001B1C51"/>
    <w:rsid w:val="001B28EE"/>
    <w:rsid w:val="001B2A07"/>
    <w:rsid w:val="001B2C2D"/>
    <w:rsid w:val="001B2DB8"/>
    <w:rsid w:val="001B3779"/>
    <w:rsid w:val="001B4F02"/>
    <w:rsid w:val="001B53E8"/>
    <w:rsid w:val="001B5FB8"/>
    <w:rsid w:val="001B6E7E"/>
    <w:rsid w:val="001B769A"/>
    <w:rsid w:val="001B7893"/>
    <w:rsid w:val="001C05F3"/>
    <w:rsid w:val="001C063F"/>
    <w:rsid w:val="001C09B7"/>
    <w:rsid w:val="001C1137"/>
    <w:rsid w:val="001C114C"/>
    <w:rsid w:val="001C255A"/>
    <w:rsid w:val="001C2879"/>
    <w:rsid w:val="001C2929"/>
    <w:rsid w:val="001C3A35"/>
    <w:rsid w:val="001C3CD2"/>
    <w:rsid w:val="001C41BF"/>
    <w:rsid w:val="001C458A"/>
    <w:rsid w:val="001C536E"/>
    <w:rsid w:val="001C71FE"/>
    <w:rsid w:val="001C7832"/>
    <w:rsid w:val="001D0DE3"/>
    <w:rsid w:val="001D3CF4"/>
    <w:rsid w:val="001D3D0C"/>
    <w:rsid w:val="001D3EF6"/>
    <w:rsid w:val="001D43CF"/>
    <w:rsid w:val="001D613A"/>
    <w:rsid w:val="001D6160"/>
    <w:rsid w:val="001D643D"/>
    <w:rsid w:val="001D6CA1"/>
    <w:rsid w:val="001D7207"/>
    <w:rsid w:val="001D7400"/>
    <w:rsid w:val="001E0043"/>
    <w:rsid w:val="001E0396"/>
    <w:rsid w:val="001E03D5"/>
    <w:rsid w:val="001E0767"/>
    <w:rsid w:val="001E1362"/>
    <w:rsid w:val="001E28E5"/>
    <w:rsid w:val="001E2B72"/>
    <w:rsid w:val="001E2CFF"/>
    <w:rsid w:val="001E2D07"/>
    <w:rsid w:val="001E2EE7"/>
    <w:rsid w:val="001E3030"/>
    <w:rsid w:val="001E3891"/>
    <w:rsid w:val="001E3931"/>
    <w:rsid w:val="001E3F19"/>
    <w:rsid w:val="001E41CF"/>
    <w:rsid w:val="001E4412"/>
    <w:rsid w:val="001E46DD"/>
    <w:rsid w:val="001E49D2"/>
    <w:rsid w:val="001E4FCB"/>
    <w:rsid w:val="001E57FC"/>
    <w:rsid w:val="001E661B"/>
    <w:rsid w:val="001E6864"/>
    <w:rsid w:val="001F00BD"/>
    <w:rsid w:val="001F0FFE"/>
    <w:rsid w:val="001F165D"/>
    <w:rsid w:val="001F278A"/>
    <w:rsid w:val="001F3899"/>
    <w:rsid w:val="001F39DB"/>
    <w:rsid w:val="001F3ABE"/>
    <w:rsid w:val="001F3DEC"/>
    <w:rsid w:val="001F4758"/>
    <w:rsid w:val="001F49D3"/>
    <w:rsid w:val="001F4A91"/>
    <w:rsid w:val="001F53F5"/>
    <w:rsid w:val="001F5D8B"/>
    <w:rsid w:val="001F7015"/>
    <w:rsid w:val="001F7B16"/>
    <w:rsid w:val="001F7DD7"/>
    <w:rsid w:val="002000EF"/>
    <w:rsid w:val="002003C5"/>
    <w:rsid w:val="00200544"/>
    <w:rsid w:val="0020069C"/>
    <w:rsid w:val="00201492"/>
    <w:rsid w:val="0020158B"/>
    <w:rsid w:val="0020160F"/>
    <w:rsid w:val="00202232"/>
    <w:rsid w:val="00202674"/>
    <w:rsid w:val="00202EE5"/>
    <w:rsid w:val="00202F01"/>
    <w:rsid w:val="0020325F"/>
    <w:rsid w:val="0020377F"/>
    <w:rsid w:val="00203796"/>
    <w:rsid w:val="00204423"/>
    <w:rsid w:val="00204589"/>
    <w:rsid w:val="00205223"/>
    <w:rsid w:val="002054EE"/>
    <w:rsid w:val="002055AE"/>
    <w:rsid w:val="00205844"/>
    <w:rsid w:val="00205DC2"/>
    <w:rsid w:val="00206083"/>
    <w:rsid w:val="002060C3"/>
    <w:rsid w:val="00206EA1"/>
    <w:rsid w:val="00207743"/>
    <w:rsid w:val="00207B9C"/>
    <w:rsid w:val="00207F73"/>
    <w:rsid w:val="00210327"/>
    <w:rsid w:val="00210983"/>
    <w:rsid w:val="002113F4"/>
    <w:rsid w:val="00211523"/>
    <w:rsid w:val="002124DE"/>
    <w:rsid w:val="0021284F"/>
    <w:rsid w:val="00212DC9"/>
    <w:rsid w:val="002130BB"/>
    <w:rsid w:val="002133DC"/>
    <w:rsid w:val="0021356A"/>
    <w:rsid w:val="002137FF"/>
    <w:rsid w:val="00213A98"/>
    <w:rsid w:val="00213CC3"/>
    <w:rsid w:val="00213E36"/>
    <w:rsid w:val="0021470D"/>
    <w:rsid w:val="00214FB0"/>
    <w:rsid w:val="0021545E"/>
    <w:rsid w:val="0021616D"/>
    <w:rsid w:val="00216282"/>
    <w:rsid w:val="00217285"/>
    <w:rsid w:val="00217826"/>
    <w:rsid w:val="00220E1A"/>
    <w:rsid w:val="002212B3"/>
    <w:rsid w:val="00221646"/>
    <w:rsid w:val="00221DF4"/>
    <w:rsid w:val="002220A4"/>
    <w:rsid w:val="00222C73"/>
    <w:rsid w:val="00222FFE"/>
    <w:rsid w:val="002232B3"/>
    <w:rsid w:val="00223355"/>
    <w:rsid w:val="002233B2"/>
    <w:rsid w:val="00223437"/>
    <w:rsid w:val="002234FC"/>
    <w:rsid w:val="00223898"/>
    <w:rsid w:val="00224054"/>
    <w:rsid w:val="002266BF"/>
    <w:rsid w:val="00227217"/>
    <w:rsid w:val="002275F5"/>
    <w:rsid w:val="00227654"/>
    <w:rsid w:val="00227B8B"/>
    <w:rsid w:val="0023006C"/>
    <w:rsid w:val="0023070B"/>
    <w:rsid w:val="00231B73"/>
    <w:rsid w:val="0023259F"/>
    <w:rsid w:val="002338AA"/>
    <w:rsid w:val="00233E60"/>
    <w:rsid w:val="00233F0E"/>
    <w:rsid w:val="00234B19"/>
    <w:rsid w:val="00236276"/>
    <w:rsid w:val="002364C5"/>
    <w:rsid w:val="00236744"/>
    <w:rsid w:val="002367C1"/>
    <w:rsid w:val="002367D3"/>
    <w:rsid w:val="002374A4"/>
    <w:rsid w:val="002374BB"/>
    <w:rsid w:val="00237C9C"/>
    <w:rsid w:val="00240550"/>
    <w:rsid w:val="00241028"/>
    <w:rsid w:val="002412E2"/>
    <w:rsid w:val="00241357"/>
    <w:rsid w:val="00241836"/>
    <w:rsid w:val="00241C30"/>
    <w:rsid w:val="0024210D"/>
    <w:rsid w:val="00244621"/>
    <w:rsid w:val="002446F1"/>
    <w:rsid w:val="0024506A"/>
    <w:rsid w:val="0024519B"/>
    <w:rsid w:val="00245B35"/>
    <w:rsid w:val="00246585"/>
    <w:rsid w:val="00246F07"/>
    <w:rsid w:val="00247A75"/>
    <w:rsid w:val="00247B81"/>
    <w:rsid w:val="00250253"/>
    <w:rsid w:val="002517C1"/>
    <w:rsid w:val="0025265A"/>
    <w:rsid w:val="00252F2D"/>
    <w:rsid w:val="0025307F"/>
    <w:rsid w:val="002532E0"/>
    <w:rsid w:val="002537DA"/>
    <w:rsid w:val="0025413B"/>
    <w:rsid w:val="00254DC9"/>
    <w:rsid w:val="00254FD4"/>
    <w:rsid w:val="002550C7"/>
    <w:rsid w:val="00255369"/>
    <w:rsid w:val="002556EA"/>
    <w:rsid w:val="00255820"/>
    <w:rsid w:val="00256804"/>
    <w:rsid w:val="0025680F"/>
    <w:rsid w:val="00256DAD"/>
    <w:rsid w:val="00257216"/>
    <w:rsid w:val="00260D66"/>
    <w:rsid w:val="00260DAE"/>
    <w:rsid w:val="00261038"/>
    <w:rsid w:val="0026123F"/>
    <w:rsid w:val="00261741"/>
    <w:rsid w:val="00262D48"/>
    <w:rsid w:val="00263457"/>
    <w:rsid w:val="0026453B"/>
    <w:rsid w:val="002647F9"/>
    <w:rsid w:val="00264D10"/>
    <w:rsid w:val="00264D45"/>
    <w:rsid w:val="0026521D"/>
    <w:rsid w:val="00265803"/>
    <w:rsid w:val="00265BCD"/>
    <w:rsid w:val="002700B8"/>
    <w:rsid w:val="00270AAC"/>
    <w:rsid w:val="00270C09"/>
    <w:rsid w:val="00270FC9"/>
    <w:rsid w:val="0027190A"/>
    <w:rsid w:val="00271B1C"/>
    <w:rsid w:val="0027208B"/>
    <w:rsid w:val="00272E0E"/>
    <w:rsid w:val="00272E6D"/>
    <w:rsid w:val="00273078"/>
    <w:rsid w:val="0027369E"/>
    <w:rsid w:val="00273965"/>
    <w:rsid w:val="002743BA"/>
    <w:rsid w:val="002745F2"/>
    <w:rsid w:val="00274AF1"/>
    <w:rsid w:val="00274D04"/>
    <w:rsid w:val="002750B4"/>
    <w:rsid w:val="0027513B"/>
    <w:rsid w:val="00275970"/>
    <w:rsid w:val="00276C9C"/>
    <w:rsid w:val="00276E66"/>
    <w:rsid w:val="00277033"/>
    <w:rsid w:val="0027742F"/>
    <w:rsid w:val="0027769D"/>
    <w:rsid w:val="00277B5C"/>
    <w:rsid w:val="00277E33"/>
    <w:rsid w:val="0028038B"/>
    <w:rsid w:val="002813C1"/>
    <w:rsid w:val="00282221"/>
    <w:rsid w:val="00282707"/>
    <w:rsid w:val="0028330A"/>
    <w:rsid w:val="002835C3"/>
    <w:rsid w:val="00283A32"/>
    <w:rsid w:val="0028488E"/>
    <w:rsid w:val="00284BD2"/>
    <w:rsid w:val="002853EB"/>
    <w:rsid w:val="00285851"/>
    <w:rsid w:val="00285E48"/>
    <w:rsid w:val="00285FD9"/>
    <w:rsid w:val="00286057"/>
    <w:rsid w:val="00286541"/>
    <w:rsid w:val="00286FB0"/>
    <w:rsid w:val="0028719D"/>
    <w:rsid w:val="002871C3"/>
    <w:rsid w:val="0028794A"/>
    <w:rsid w:val="00287FD1"/>
    <w:rsid w:val="00290F63"/>
    <w:rsid w:val="002911A8"/>
    <w:rsid w:val="00291704"/>
    <w:rsid w:val="0029173F"/>
    <w:rsid w:val="00291B53"/>
    <w:rsid w:val="0029253A"/>
    <w:rsid w:val="00292735"/>
    <w:rsid w:val="0029392F"/>
    <w:rsid w:val="0029411A"/>
    <w:rsid w:val="0029477E"/>
    <w:rsid w:val="00294DE7"/>
    <w:rsid w:val="00294EF9"/>
    <w:rsid w:val="00295176"/>
    <w:rsid w:val="0029537C"/>
    <w:rsid w:val="0029577A"/>
    <w:rsid w:val="002959A1"/>
    <w:rsid w:val="00296050"/>
    <w:rsid w:val="00296923"/>
    <w:rsid w:val="00296EB3"/>
    <w:rsid w:val="002975A2"/>
    <w:rsid w:val="002975DC"/>
    <w:rsid w:val="00297E5F"/>
    <w:rsid w:val="002A0BA7"/>
    <w:rsid w:val="002A0D4E"/>
    <w:rsid w:val="002A119D"/>
    <w:rsid w:val="002A1885"/>
    <w:rsid w:val="002A286B"/>
    <w:rsid w:val="002A2BAA"/>
    <w:rsid w:val="002A3625"/>
    <w:rsid w:val="002A399D"/>
    <w:rsid w:val="002A4389"/>
    <w:rsid w:val="002A4EA0"/>
    <w:rsid w:val="002A4F0E"/>
    <w:rsid w:val="002A54A4"/>
    <w:rsid w:val="002A54E8"/>
    <w:rsid w:val="002A562D"/>
    <w:rsid w:val="002A5B6B"/>
    <w:rsid w:val="002A6043"/>
    <w:rsid w:val="002A6596"/>
    <w:rsid w:val="002A6703"/>
    <w:rsid w:val="002A67E6"/>
    <w:rsid w:val="002A6FA6"/>
    <w:rsid w:val="002A73B1"/>
    <w:rsid w:val="002A73DE"/>
    <w:rsid w:val="002A765B"/>
    <w:rsid w:val="002A7BB2"/>
    <w:rsid w:val="002B09E8"/>
    <w:rsid w:val="002B0C60"/>
    <w:rsid w:val="002B115D"/>
    <w:rsid w:val="002B1244"/>
    <w:rsid w:val="002B1CA1"/>
    <w:rsid w:val="002B21C9"/>
    <w:rsid w:val="002B2886"/>
    <w:rsid w:val="002B3268"/>
    <w:rsid w:val="002B39E6"/>
    <w:rsid w:val="002B3A7F"/>
    <w:rsid w:val="002B3DE8"/>
    <w:rsid w:val="002B3F7D"/>
    <w:rsid w:val="002B42AC"/>
    <w:rsid w:val="002B431B"/>
    <w:rsid w:val="002B4395"/>
    <w:rsid w:val="002B4426"/>
    <w:rsid w:val="002B4539"/>
    <w:rsid w:val="002B460F"/>
    <w:rsid w:val="002B52ED"/>
    <w:rsid w:val="002B54CD"/>
    <w:rsid w:val="002B57B0"/>
    <w:rsid w:val="002B5F9E"/>
    <w:rsid w:val="002B60EE"/>
    <w:rsid w:val="002B641E"/>
    <w:rsid w:val="002B7A12"/>
    <w:rsid w:val="002B7AAE"/>
    <w:rsid w:val="002B7F6A"/>
    <w:rsid w:val="002C02CA"/>
    <w:rsid w:val="002C06A8"/>
    <w:rsid w:val="002C073B"/>
    <w:rsid w:val="002C1321"/>
    <w:rsid w:val="002C13C6"/>
    <w:rsid w:val="002C17B5"/>
    <w:rsid w:val="002C18D0"/>
    <w:rsid w:val="002C1992"/>
    <w:rsid w:val="002C1CB5"/>
    <w:rsid w:val="002C1DAB"/>
    <w:rsid w:val="002C2532"/>
    <w:rsid w:val="002C31F0"/>
    <w:rsid w:val="002C44AB"/>
    <w:rsid w:val="002C4F24"/>
    <w:rsid w:val="002C55E1"/>
    <w:rsid w:val="002C5ECC"/>
    <w:rsid w:val="002C6C81"/>
    <w:rsid w:val="002C771C"/>
    <w:rsid w:val="002C7CFB"/>
    <w:rsid w:val="002D003E"/>
    <w:rsid w:val="002D0435"/>
    <w:rsid w:val="002D0535"/>
    <w:rsid w:val="002D139B"/>
    <w:rsid w:val="002D1A14"/>
    <w:rsid w:val="002D1FAF"/>
    <w:rsid w:val="002D2F1D"/>
    <w:rsid w:val="002D3094"/>
    <w:rsid w:val="002D3440"/>
    <w:rsid w:val="002D3558"/>
    <w:rsid w:val="002D358F"/>
    <w:rsid w:val="002D3691"/>
    <w:rsid w:val="002D3D82"/>
    <w:rsid w:val="002D4604"/>
    <w:rsid w:val="002D4690"/>
    <w:rsid w:val="002D4EB5"/>
    <w:rsid w:val="002D527A"/>
    <w:rsid w:val="002D5A86"/>
    <w:rsid w:val="002D61AA"/>
    <w:rsid w:val="002D654D"/>
    <w:rsid w:val="002E01EA"/>
    <w:rsid w:val="002E0287"/>
    <w:rsid w:val="002E05B7"/>
    <w:rsid w:val="002E11EA"/>
    <w:rsid w:val="002E1842"/>
    <w:rsid w:val="002E2EBA"/>
    <w:rsid w:val="002E3329"/>
    <w:rsid w:val="002E377F"/>
    <w:rsid w:val="002E41E0"/>
    <w:rsid w:val="002E4585"/>
    <w:rsid w:val="002E4B31"/>
    <w:rsid w:val="002E4C62"/>
    <w:rsid w:val="002E4E9A"/>
    <w:rsid w:val="002E51FC"/>
    <w:rsid w:val="002E521A"/>
    <w:rsid w:val="002E53D9"/>
    <w:rsid w:val="002E5A14"/>
    <w:rsid w:val="002E6877"/>
    <w:rsid w:val="002E75B7"/>
    <w:rsid w:val="002F0601"/>
    <w:rsid w:val="002F0F20"/>
    <w:rsid w:val="002F1175"/>
    <w:rsid w:val="002F1752"/>
    <w:rsid w:val="002F1F3E"/>
    <w:rsid w:val="002F1FDC"/>
    <w:rsid w:val="002F2115"/>
    <w:rsid w:val="002F283D"/>
    <w:rsid w:val="002F4298"/>
    <w:rsid w:val="002F5164"/>
    <w:rsid w:val="002F5B24"/>
    <w:rsid w:val="002F5B2E"/>
    <w:rsid w:val="002F5B5C"/>
    <w:rsid w:val="002F66A4"/>
    <w:rsid w:val="002F6C17"/>
    <w:rsid w:val="002F6C5B"/>
    <w:rsid w:val="002F6C6A"/>
    <w:rsid w:val="002F72C3"/>
    <w:rsid w:val="002F78F9"/>
    <w:rsid w:val="002F7C39"/>
    <w:rsid w:val="003002B9"/>
    <w:rsid w:val="00300BC2"/>
    <w:rsid w:val="003013B4"/>
    <w:rsid w:val="00301639"/>
    <w:rsid w:val="00302A24"/>
    <w:rsid w:val="00302A30"/>
    <w:rsid w:val="00303864"/>
    <w:rsid w:val="0030457C"/>
    <w:rsid w:val="003047DE"/>
    <w:rsid w:val="00304B1C"/>
    <w:rsid w:val="00305836"/>
    <w:rsid w:val="00305898"/>
    <w:rsid w:val="00305B44"/>
    <w:rsid w:val="003077A6"/>
    <w:rsid w:val="00307CBE"/>
    <w:rsid w:val="003101A2"/>
    <w:rsid w:val="003101FB"/>
    <w:rsid w:val="003102B4"/>
    <w:rsid w:val="00310416"/>
    <w:rsid w:val="003106DE"/>
    <w:rsid w:val="003108D3"/>
    <w:rsid w:val="00310A2D"/>
    <w:rsid w:val="00310FA7"/>
    <w:rsid w:val="003113C8"/>
    <w:rsid w:val="0031182F"/>
    <w:rsid w:val="00311B43"/>
    <w:rsid w:val="003121F1"/>
    <w:rsid w:val="0031247A"/>
    <w:rsid w:val="00312523"/>
    <w:rsid w:val="0031252B"/>
    <w:rsid w:val="0031299F"/>
    <w:rsid w:val="00313300"/>
    <w:rsid w:val="003133E3"/>
    <w:rsid w:val="003133EB"/>
    <w:rsid w:val="00313C51"/>
    <w:rsid w:val="003142EB"/>
    <w:rsid w:val="003147F2"/>
    <w:rsid w:val="00314CBA"/>
    <w:rsid w:val="00315119"/>
    <w:rsid w:val="0031539E"/>
    <w:rsid w:val="00315545"/>
    <w:rsid w:val="00315937"/>
    <w:rsid w:val="003159D8"/>
    <w:rsid w:val="003159F9"/>
    <w:rsid w:val="00315E8D"/>
    <w:rsid w:val="00316030"/>
    <w:rsid w:val="003160DD"/>
    <w:rsid w:val="003163EB"/>
    <w:rsid w:val="00316D3A"/>
    <w:rsid w:val="00316E28"/>
    <w:rsid w:val="00316EE8"/>
    <w:rsid w:val="003172AD"/>
    <w:rsid w:val="0031735B"/>
    <w:rsid w:val="0031784E"/>
    <w:rsid w:val="00320177"/>
    <w:rsid w:val="00320B9F"/>
    <w:rsid w:val="00320C23"/>
    <w:rsid w:val="00322D03"/>
    <w:rsid w:val="00323042"/>
    <w:rsid w:val="00323063"/>
    <w:rsid w:val="003235A6"/>
    <w:rsid w:val="00323C34"/>
    <w:rsid w:val="00324812"/>
    <w:rsid w:val="00324CDF"/>
    <w:rsid w:val="003260AB"/>
    <w:rsid w:val="0032623F"/>
    <w:rsid w:val="00326286"/>
    <w:rsid w:val="00326515"/>
    <w:rsid w:val="003266C1"/>
    <w:rsid w:val="00332416"/>
    <w:rsid w:val="00332F35"/>
    <w:rsid w:val="00332FDC"/>
    <w:rsid w:val="00333088"/>
    <w:rsid w:val="0033360D"/>
    <w:rsid w:val="00333D9F"/>
    <w:rsid w:val="003344AF"/>
    <w:rsid w:val="00334BE3"/>
    <w:rsid w:val="00335496"/>
    <w:rsid w:val="003356EA"/>
    <w:rsid w:val="003356EC"/>
    <w:rsid w:val="00335D51"/>
    <w:rsid w:val="003364AA"/>
    <w:rsid w:val="00336741"/>
    <w:rsid w:val="00337333"/>
    <w:rsid w:val="00337883"/>
    <w:rsid w:val="0033793D"/>
    <w:rsid w:val="00337A63"/>
    <w:rsid w:val="00337B55"/>
    <w:rsid w:val="00340259"/>
    <w:rsid w:val="0034051C"/>
    <w:rsid w:val="00340E91"/>
    <w:rsid w:val="0034183B"/>
    <w:rsid w:val="00341E62"/>
    <w:rsid w:val="003433C1"/>
    <w:rsid w:val="00343911"/>
    <w:rsid w:val="00343BF7"/>
    <w:rsid w:val="00343CF3"/>
    <w:rsid w:val="003442AD"/>
    <w:rsid w:val="00344ADF"/>
    <w:rsid w:val="003453FC"/>
    <w:rsid w:val="00345AB3"/>
    <w:rsid w:val="00346975"/>
    <w:rsid w:val="00346B8D"/>
    <w:rsid w:val="00346E5C"/>
    <w:rsid w:val="0034721A"/>
    <w:rsid w:val="00347CD5"/>
    <w:rsid w:val="00350C86"/>
    <w:rsid w:val="00350CD8"/>
    <w:rsid w:val="003511A8"/>
    <w:rsid w:val="003512FF"/>
    <w:rsid w:val="00351B93"/>
    <w:rsid w:val="00351C6B"/>
    <w:rsid w:val="00352E2F"/>
    <w:rsid w:val="0035349D"/>
    <w:rsid w:val="00353888"/>
    <w:rsid w:val="00353E87"/>
    <w:rsid w:val="00354729"/>
    <w:rsid w:val="00355279"/>
    <w:rsid w:val="00355FA4"/>
    <w:rsid w:val="00356A09"/>
    <w:rsid w:val="00356C0C"/>
    <w:rsid w:val="00356DEF"/>
    <w:rsid w:val="003575C0"/>
    <w:rsid w:val="00357A19"/>
    <w:rsid w:val="00357C29"/>
    <w:rsid w:val="00357CCF"/>
    <w:rsid w:val="00357E1B"/>
    <w:rsid w:val="0036119D"/>
    <w:rsid w:val="003615F3"/>
    <w:rsid w:val="00361A97"/>
    <w:rsid w:val="00362464"/>
    <w:rsid w:val="0036345D"/>
    <w:rsid w:val="003637F6"/>
    <w:rsid w:val="00364104"/>
    <w:rsid w:val="00364506"/>
    <w:rsid w:val="003645B6"/>
    <w:rsid w:val="003649D6"/>
    <w:rsid w:val="00364C38"/>
    <w:rsid w:val="00365A46"/>
    <w:rsid w:val="003669C8"/>
    <w:rsid w:val="003669FE"/>
    <w:rsid w:val="00366EF2"/>
    <w:rsid w:val="00370C1A"/>
    <w:rsid w:val="00372052"/>
    <w:rsid w:val="003721AB"/>
    <w:rsid w:val="003724D1"/>
    <w:rsid w:val="00372649"/>
    <w:rsid w:val="00372DDE"/>
    <w:rsid w:val="003743F5"/>
    <w:rsid w:val="0037444C"/>
    <w:rsid w:val="00374479"/>
    <w:rsid w:val="00374655"/>
    <w:rsid w:val="003747DF"/>
    <w:rsid w:val="00374B23"/>
    <w:rsid w:val="00374F65"/>
    <w:rsid w:val="00375197"/>
    <w:rsid w:val="003754DC"/>
    <w:rsid w:val="00375B30"/>
    <w:rsid w:val="00376B76"/>
    <w:rsid w:val="003774C1"/>
    <w:rsid w:val="00377A0A"/>
    <w:rsid w:val="00377AB1"/>
    <w:rsid w:val="00377B31"/>
    <w:rsid w:val="00380110"/>
    <w:rsid w:val="00380FFF"/>
    <w:rsid w:val="0038122B"/>
    <w:rsid w:val="0038133E"/>
    <w:rsid w:val="0038159F"/>
    <w:rsid w:val="00381A89"/>
    <w:rsid w:val="003827D2"/>
    <w:rsid w:val="0038291B"/>
    <w:rsid w:val="00382C7F"/>
    <w:rsid w:val="00382DE3"/>
    <w:rsid w:val="00382FFE"/>
    <w:rsid w:val="00383323"/>
    <w:rsid w:val="00383B7F"/>
    <w:rsid w:val="00383DF3"/>
    <w:rsid w:val="00384253"/>
    <w:rsid w:val="003864B8"/>
    <w:rsid w:val="0038766A"/>
    <w:rsid w:val="003878EE"/>
    <w:rsid w:val="00390142"/>
    <w:rsid w:val="0039055D"/>
    <w:rsid w:val="00391625"/>
    <w:rsid w:val="003916F3"/>
    <w:rsid w:val="00392338"/>
    <w:rsid w:val="0039300B"/>
    <w:rsid w:val="0039326E"/>
    <w:rsid w:val="0039395C"/>
    <w:rsid w:val="00393A3F"/>
    <w:rsid w:val="00393AAF"/>
    <w:rsid w:val="003948DD"/>
    <w:rsid w:val="00395616"/>
    <w:rsid w:val="0039565E"/>
    <w:rsid w:val="003956DC"/>
    <w:rsid w:val="00395DCE"/>
    <w:rsid w:val="00396702"/>
    <w:rsid w:val="00397361"/>
    <w:rsid w:val="0039784A"/>
    <w:rsid w:val="00397F6F"/>
    <w:rsid w:val="00397F7F"/>
    <w:rsid w:val="003A0209"/>
    <w:rsid w:val="003A0319"/>
    <w:rsid w:val="003A06F9"/>
    <w:rsid w:val="003A1008"/>
    <w:rsid w:val="003A1BC3"/>
    <w:rsid w:val="003A1E2E"/>
    <w:rsid w:val="003A1F2B"/>
    <w:rsid w:val="003A2B3C"/>
    <w:rsid w:val="003A2F57"/>
    <w:rsid w:val="003A33A7"/>
    <w:rsid w:val="003A4D16"/>
    <w:rsid w:val="003A50CA"/>
    <w:rsid w:val="003A52E8"/>
    <w:rsid w:val="003A5483"/>
    <w:rsid w:val="003A5787"/>
    <w:rsid w:val="003A5A93"/>
    <w:rsid w:val="003A6B46"/>
    <w:rsid w:val="003A74DC"/>
    <w:rsid w:val="003A7EC5"/>
    <w:rsid w:val="003B0886"/>
    <w:rsid w:val="003B0AE2"/>
    <w:rsid w:val="003B0C3A"/>
    <w:rsid w:val="003B138C"/>
    <w:rsid w:val="003B1D00"/>
    <w:rsid w:val="003B3028"/>
    <w:rsid w:val="003B3CE0"/>
    <w:rsid w:val="003B4635"/>
    <w:rsid w:val="003B543B"/>
    <w:rsid w:val="003B55D0"/>
    <w:rsid w:val="003B5E9F"/>
    <w:rsid w:val="003B6B13"/>
    <w:rsid w:val="003B706F"/>
    <w:rsid w:val="003B7CF1"/>
    <w:rsid w:val="003C0A3C"/>
    <w:rsid w:val="003C22DA"/>
    <w:rsid w:val="003C2D29"/>
    <w:rsid w:val="003C31EC"/>
    <w:rsid w:val="003C353E"/>
    <w:rsid w:val="003C387F"/>
    <w:rsid w:val="003C44AD"/>
    <w:rsid w:val="003C518F"/>
    <w:rsid w:val="003C5663"/>
    <w:rsid w:val="003C5B11"/>
    <w:rsid w:val="003C5CA6"/>
    <w:rsid w:val="003C7120"/>
    <w:rsid w:val="003C7400"/>
    <w:rsid w:val="003C7FF3"/>
    <w:rsid w:val="003D03F5"/>
    <w:rsid w:val="003D0A0E"/>
    <w:rsid w:val="003D1D64"/>
    <w:rsid w:val="003D2ADC"/>
    <w:rsid w:val="003D38EC"/>
    <w:rsid w:val="003D451D"/>
    <w:rsid w:val="003D49B6"/>
    <w:rsid w:val="003D515B"/>
    <w:rsid w:val="003D537C"/>
    <w:rsid w:val="003D6B2B"/>
    <w:rsid w:val="003D7130"/>
    <w:rsid w:val="003D782C"/>
    <w:rsid w:val="003D7901"/>
    <w:rsid w:val="003D7BA2"/>
    <w:rsid w:val="003E0763"/>
    <w:rsid w:val="003E1940"/>
    <w:rsid w:val="003E33B0"/>
    <w:rsid w:val="003E33C1"/>
    <w:rsid w:val="003E36B1"/>
    <w:rsid w:val="003E37C8"/>
    <w:rsid w:val="003E38F4"/>
    <w:rsid w:val="003E3D50"/>
    <w:rsid w:val="003E4AF0"/>
    <w:rsid w:val="003E4D67"/>
    <w:rsid w:val="003E51D3"/>
    <w:rsid w:val="003E5455"/>
    <w:rsid w:val="003E5C2D"/>
    <w:rsid w:val="003E630E"/>
    <w:rsid w:val="003E77C6"/>
    <w:rsid w:val="003F0669"/>
    <w:rsid w:val="003F0C29"/>
    <w:rsid w:val="003F1294"/>
    <w:rsid w:val="003F1889"/>
    <w:rsid w:val="003F2AF3"/>
    <w:rsid w:val="003F2EBE"/>
    <w:rsid w:val="003F345F"/>
    <w:rsid w:val="003F374B"/>
    <w:rsid w:val="003F3987"/>
    <w:rsid w:val="003F570B"/>
    <w:rsid w:val="003F5C12"/>
    <w:rsid w:val="003F60B6"/>
    <w:rsid w:val="003F6278"/>
    <w:rsid w:val="003F6567"/>
    <w:rsid w:val="003F6A9B"/>
    <w:rsid w:val="003F6C47"/>
    <w:rsid w:val="003F7BAD"/>
    <w:rsid w:val="003F7C78"/>
    <w:rsid w:val="00400022"/>
    <w:rsid w:val="00400833"/>
    <w:rsid w:val="00401304"/>
    <w:rsid w:val="004014D9"/>
    <w:rsid w:val="00401517"/>
    <w:rsid w:val="004017C1"/>
    <w:rsid w:val="00402ED9"/>
    <w:rsid w:val="0040433E"/>
    <w:rsid w:val="004046F0"/>
    <w:rsid w:val="004049E2"/>
    <w:rsid w:val="00405C1A"/>
    <w:rsid w:val="00406F42"/>
    <w:rsid w:val="004070B4"/>
    <w:rsid w:val="0040743D"/>
    <w:rsid w:val="00407CC5"/>
    <w:rsid w:val="00411254"/>
    <w:rsid w:val="00412CAE"/>
    <w:rsid w:val="00413A1F"/>
    <w:rsid w:val="0041490C"/>
    <w:rsid w:val="00415146"/>
    <w:rsid w:val="004153C1"/>
    <w:rsid w:val="00415425"/>
    <w:rsid w:val="004154F7"/>
    <w:rsid w:val="00415E95"/>
    <w:rsid w:val="00415F21"/>
    <w:rsid w:val="00416357"/>
    <w:rsid w:val="00416529"/>
    <w:rsid w:val="0041680D"/>
    <w:rsid w:val="00416ED8"/>
    <w:rsid w:val="00416F4B"/>
    <w:rsid w:val="00420286"/>
    <w:rsid w:val="00421B7A"/>
    <w:rsid w:val="00421D71"/>
    <w:rsid w:val="00422BFC"/>
    <w:rsid w:val="00423299"/>
    <w:rsid w:val="004234E8"/>
    <w:rsid w:val="0042366C"/>
    <w:rsid w:val="00423D8F"/>
    <w:rsid w:val="004247F3"/>
    <w:rsid w:val="00424F95"/>
    <w:rsid w:val="00425117"/>
    <w:rsid w:val="00425373"/>
    <w:rsid w:val="00425383"/>
    <w:rsid w:val="004266C8"/>
    <w:rsid w:val="00426A50"/>
    <w:rsid w:val="00426AAA"/>
    <w:rsid w:val="004273FA"/>
    <w:rsid w:val="00427CA7"/>
    <w:rsid w:val="0043066D"/>
    <w:rsid w:val="00431F86"/>
    <w:rsid w:val="00432103"/>
    <w:rsid w:val="004322EC"/>
    <w:rsid w:val="004328BF"/>
    <w:rsid w:val="00432BF4"/>
    <w:rsid w:val="004337CA"/>
    <w:rsid w:val="00434082"/>
    <w:rsid w:val="0043497E"/>
    <w:rsid w:val="00434EE0"/>
    <w:rsid w:val="00435782"/>
    <w:rsid w:val="00435899"/>
    <w:rsid w:val="00435B08"/>
    <w:rsid w:val="0043604F"/>
    <w:rsid w:val="00436981"/>
    <w:rsid w:val="00436C24"/>
    <w:rsid w:val="0043743C"/>
    <w:rsid w:val="00437505"/>
    <w:rsid w:val="00437645"/>
    <w:rsid w:val="00440310"/>
    <w:rsid w:val="0044094D"/>
    <w:rsid w:val="00440F35"/>
    <w:rsid w:val="004419EF"/>
    <w:rsid w:val="00441EF0"/>
    <w:rsid w:val="00441F86"/>
    <w:rsid w:val="0044209D"/>
    <w:rsid w:val="00442BA3"/>
    <w:rsid w:val="004430AE"/>
    <w:rsid w:val="0044377D"/>
    <w:rsid w:val="004442FB"/>
    <w:rsid w:val="0044475E"/>
    <w:rsid w:val="004448BD"/>
    <w:rsid w:val="00444ACB"/>
    <w:rsid w:val="004452DA"/>
    <w:rsid w:val="004456B5"/>
    <w:rsid w:val="00445B5F"/>
    <w:rsid w:val="00445C62"/>
    <w:rsid w:val="0044604A"/>
    <w:rsid w:val="00446299"/>
    <w:rsid w:val="0044681C"/>
    <w:rsid w:val="004469F6"/>
    <w:rsid w:val="00446AE3"/>
    <w:rsid w:val="00446F76"/>
    <w:rsid w:val="00447971"/>
    <w:rsid w:val="004504D7"/>
    <w:rsid w:val="00450D59"/>
    <w:rsid w:val="004510BE"/>
    <w:rsid w:val="00451545"/>
    <w:rsid w:val="0045197A"/>
    <w:rsid w:val="00451C69"/>
    <w:rsid w:val="0045221C"/>
    <w:rsid w:val="00453739"/>
    <w:rsid w:val="00453AED"/>
    <w:rsid w:val="00453D55"/>
    <w:rsid w:val="00453EB9"/>
    <w:rsid w:val="00453FF4"/>
    <w:rsid w:val="00454ABF"/>
    <w:rsid w:val="00454F88"/>
    <w:rsid w:val="00454FB8"/>
    <w:rsid w:val="004561A6"/>
    <w:rsid w:val="004566D7"/>
    <w:rsid w:val="004601D0"/>
    <w:rsid w:val="004605E6"/>
    <w:rsid w:val="00460DC2"/>
    <w:rsid w:val="004610F4"/>
    <w:rsid w:val="0046194D"/>
    <w:rsid w:val="00461F28"/>
    <w:rsid w:val="00462CB7"/>
    <w:rsid w:val="00463143"/>
    <w:rsid w:val="004637BF"/>
    <w:rsid w:val="0046388F"/>
    <w:rsid w:val="00463D23"/>
    <w:rsid w:val="00463F7A"/>
    <w:rsid w:val="00463FFE"/>
    <w:rsid w:val="00464634"/>
    <w:rsid w:val="00464CBF"/>
    <w:rsid w:val="00464D17"/>
    <w:rsid w:val="00465363"/>
    <w:rsid w:val="0046584B"/>
    <w:rsid w:val="00465908"/>
    <w:rsid w:val="00465FB0"/>
    <w:rsid w:val="0046601F"/>
    <w:rsid w:val="00466C43"/>
    <w:rsid w:val="00470E55"/>
    <w:rsid w:val="004712FD"/>
    <w:rsid w:val="00471917"/>
    <w:rsid w:val="00471D82"/>
    <w:rsid w:val="004723E6"/>
    <w:rsid w:val="004724CC"/>
    <w:rsid w:val="00472A7E"/>
    <w:rsid w:val="004739BE"/>
    <w:rsid w:val="00474298"/>
    <w:rsid w:val="004744EB"/>
    <w:rsid w:val="004748CE"/>
    <w:rsid w:val="004749B7"/>
    <w:rsid w:val="00475567"/>
    <w:rsid w:val="004757B0"/>
    <w:rsid w:val="004758E3"/>
    <w:rsid w:val="00475A43"/>
    <w:rsid w:val="00476287"/>
    <w:rsid w:val="00476817"/>
    <w:rsid w:val="00477E50"/>
    <w:rsid w:val="00480190"/>
    <w:rsid w:val="00480D4C"/>
    <w:rsid w:val="004812DF"/>
    <w:rsid w:val="0048190B"/>
    <w:rsid w:val="00481C4B"/>
    <w:rsid w:val="004820E9"/>
    <w:rsid w:val="004824B4"/>
    <w:rsid w:val="00482673"/>
    <w:rsid w:val="00482B24"/>
    <w:rsid w:val="00482BBD"/>
    <w:rsid w:val="00483507"/>
    <w:rsid w:val="0048362F"/>
    <w:rsid w:val="004838A6"/>
    <w:rsid w:val="00483AED"/>
    <w:rsid w:val="00484A86"/>
    <w:rsid w:val="00484B1C"/>
    <w:rsid w:val="00485324"/>
    <w:rsid w:val="004854F1"/>
    <w:rsid w:val="00485599"/>
    <w:rsid w:val="004857B1"/>
    <w:rsid w:val="00486C66"/>
    <w:rsid w:val="00487620"/>
    <w:rsid w:val="00487F41"/>
    <w:rsid w:val="00491A4B"/>
    <w:rsid w:val="00491F65"/>
    <w:rsid w:val="00492628"/>
    <w:rsid w:val="0049293E"/>
    <w:rsid w:val="00493F26"/>
    <w:rsid w:val="004954B0"/>
    <w:rsid w:val="00495B79"/>
    <w:rsid w:val="00496380"/>
    <w:rsid w:val="004963DC"/>
    <w:rsid w:val="00496844"/>
    <w:rsid w:val="0049684F"/>
    <w:rsid w:val="004969BA"/>
    <w:rsid w:val="00496C4E"/>
    <w:rsid w:val="004970C2"/>
    <w:rsid w:val="004972D3"/>
    <w:rsid w:val="004A0003"/>
    <w:rsid w:val="004A0451"/>
    <w:rsid w:val="004A0A0D"/>
    <w:rsid w:val="004A0B4F"/>
    <w:rsid w:val="004A0D1D"/>
    <w:rsid w:val="004A0D53"/>
    <w:rsid w:val="004A11E2"/>
    <w:rsid w:val="004A150D"/>
    <w:rsid w:val="004A151A"/>
    <w:rsid w:val="004A1994"/>
    <w:rsid w:val="004A2343"/>
    <w:rsid w:val="004A307F"/>
    <w:rsid w:val="004A3482"/>
    <w:rsid w:val="004A376B"/>
    <w:rsid w:val="004A382D"/>
    <w:rsid w:val="004A3A2D"/>
    <w:rsid w:val="004A3AAE"/>
    <w:rsid w:val="004A46ED"/>
    <w:rsid w:val="004A5235"/>
    <w:rsid w:val="004A554E"/>
    <w:rsid w:val="004A5750"/>
    <w:rsid w:val="004A601E"/>
    <w:rsid w:val="004A6831"/>
    <w:rsid w:val="004A6E76"/>
    <w:rsid w:val="004A7E72"/>
    <w:rsid w:val="004B0738"/>
    <w:rsid w:val="004B09FA"/>
    <w:rsid w:val="004B0C72"/>
    <w:rsid w:val="004B13AD"/>
    <w:rsid w:val="004B2002"/>
    <w:rsid w:val="004B2624"/>
    <w:rsid w:val="004B2B70"/>
    <w:rsid w:val="004B2B73"/>
    <w:rsid w:val="004B321D"/>
    <w:rsid w:val="004B35BF"/>
    <w:rsid w:val="004B3FF1"/>
    <w:rsid w:val="004B4053"/>
    <w:rsid w:val="004B4425"/>
    <w:rsid w:val="004B4BA4"/>
    <w:rsid w:val="004B4C14"/>
    <w:rsid w:val="004B50F8"/>
    <w:rsid w:val="004B5E17"/>
    <w:rsid w:val="004B669E"/>
    <w:rsid w:val="004B678E"/>
    <w:rsid w:val="004B6B04"/>
    <w:rsid w:val="004B7299"/>
    <w:rsid w:val="004B7346"/>
    <w:rsid w:val="004C0689"/>
    <w:rsid w:val="004C0C84"/>
    <w:rsid w:val="004C1287"/>
    <w:rsid w:val="004C13D4"/>
    <w:rsid w:val="004C1AD1"/>
    <w:rsid w:val="004C2C18"/>
    <w:rsid w:val="004C2CA5"/>
    <w:rsid w:val="004C3225"/>
    <w:rsid w:val="004C3890"/>
    <w:rsid w:val="004C39E2"/>
    <w:rsid w:val="004C3C6B"/>
    <w:rsid w:val="004C40C9"/>
    <w:rsid w:val="004C4473"/>
    <w:rsid w:val="004C5616"/>
    <w:rsid w:val="004C5A2C"/>
    <w:rsid w:val="004C5BE4"/>
    <w:rsid w:val="004C668B"/>
    <w:rsid w:val="004C66E7"/>
    <w:rsid w:val="004C68AF"/>
    <w:rsid w:val="004C7AB6"/>
    <w:rsid w:val="004D0C59"/>
    <w:rsid w:val="004D0D68"/>
    <w:rsid w:val="004D234D"/>
    <w:rsid w:val="004D24B0"/>
    <w:rsid w:val="004D2D48"/>
    <w:rsid w:val="004D37BC"/>
    <w:rsid w:val="004D4133"/>
    <w:rsid w:val="004D4156"/>
    <w:rsid w:val="004D4D37"/>
    <w:rsid w:val="004D5E0D"/>
    <w:rsid w:val="004D5F30"/>
    <w:rsid w:val="004D6092"/>
    <w:rsid w:val="004D6635"/>
    <w:rsid w:val="004D6B82"/>
    <w:rsid w:val="004D6D11"/>
    <w:rsid w:val="004D6DB6"/>
    <w:rsid w:val="004D6DF8"/>
    <w:rsid w:val="004D73A2"/>
    <w:rsid w:val="004D7B63"/>
    <w:rsid w:val="004D7D43"/>
    <w:rsid w:val="004E088E"/>
    <w:rsid w:val="004E0B3B"/>
    <w:rsid w:val="004E10AA"/>
    <w:rsid w:val="004E11A0"/>
    <w:rsid w:val="004E1553"/>
    <w:rsid w:val="004E175F"/>
    <w:rsid w:val="004E1FFD"/>
    <w:rsid w:val="004E2833"/>
    <w:rsid w:val="004E2F50"/>
    <w:rsid w:val="004E3319"/>
    <w:rsid w:val="004E34A2"/>
    <w:rsid w:val="004E373F"/>
    <w:rsid w:val="004E387A"/>
    <w:rsid w:val="004E4397"/>
    <w:rsid w:val="004E459B"/>
    <w:rsid w:val="004E5261"/>
    <w:rsid w:val="004E5A11"/>
    <w:rsid w:val="004E5B8B"/>
    <w:rsid w:val="004E5C67"/>
    <w:rsid w:val="004E6402"/>
    <w:rsid w:val="004E699E"/>
    <w:rsid w:val="004E70FF"/>
    <w:rsid w:val="004E71A0"/>
    <w:rsid w:val="004E7278"/>
    <w:rsid w:val="004E73F0"/>
    <w:rsid w:val="004F013F"/>
    <w:rsid w:val="004F0B8A"/>
    <w:rsid w:val="004F1073"/>
    <w:rsid w:val="004F1340"/>
    <w:rsid w:val="004F149F"/>
    <w:rsid w:val="004F1E8B"/>
    <w:rsid w:val="004F206F"/>
    <w:rsid w:val="004F30EE"/>
    <w:rsid w:val="004F30F0"/>
    <w:rsid w:val="004F317E"/>
    <w:rsid w:val="004F3629"/>
    <w:rsid w:val="004F40B5"/>
    <w:rsid w:val="004F4BCD"/>
    <w:rsid w:val="004F5AB1"/>
    <w:rsid w:val="004F6655"/>
    <w:rsid w:val="004F6CC9"/>
    <w:rsid w:val="004F7468"/>
    <w:rsid w:val="004F7661"/>
    <w:rsid w:val="004F77C1"/>
    <w:rsid w:val="004F7B1C"/>
    <w:rsid w:val="005009D9"/>
    <w:rsid w:val="00500AD7"/>
    <w:rsid w:val="00501531"/>
    <w:rsid w:val="0050204F"/>
    <w:rsid w:val="00502D28"/>
    <w:rsid w:val="0050498E"/>
    <w:rsid w:val="00504D8C"/>
    <w:rsid w:val="00504EC6"/>
    <w:rsid w:val="00505567"/>
    <w:rsid w:val="0050581F"/>
    <w:rsid w:val="00505863"/>
    <w:rsid w:val="00506101"/>
    <w:rsid w:val="005072D8"/>
    <w:rsid w:val="005076B9"/>
    <w:rsid w:val="00510201"/>
    <w:rsid w:val="0051115E"/>
    <w:rsid w:val="00511173"/>
    <w:rsid w:val="00511226"/>
    <w:rsid w:val="00511599"/>
    <w:rsid w:val="005127A8"/>
    <w:rsid w:val="00512FC2"/>
    <w:rsid w:val="0051381E"/>
    <w:rsid w:val="00513BC3"/>
    <w:rsid w:val="00513DBE"/>
    <w:rsid w:val="00513EEC"/>
    <w:rsid w:val="00514353"/>
    <w:rsid w:val="00514938"/>
    <w:rsid w:val="0051527E"/>
    <w:rsid w:val="00516503"/>
    <w:rsid w:val="00517369"/>
    <w:rsid w:val="00517E7F"/>
    <w:rsid w:val="0052047E"/>
    <w:rsid w:val="005207C7"/>
    <w:rsid w:val="00520D6F"/>
    <w:rsid w:val="00520E6A"/>
    <w:rsid w:val="0052140B"/>
    <w:rsid w:val="00521834"/>
    <w:rsid w:val="005222FB"/>
    <w:rsid w:val="005227D5"/>
    <w:rsid w:val="00522976"/>
    <w:rsid w:val="00522D1A"/>
    <w:rsid w:val="005237C5"/>
    <w:rsid w:val="00523A19"/>
    <w:rsid w:val="00524393"/>
    <w:rsid w:val="0052500F"/>
    <w:rsid w:val="00525061"/>
    <w:rsid w:val="005250D9"/>
    <w:rsid w:val="005253C3"/>
    <w:rsid w:val="00525EBC"/>
    <w:rsid w:val="00526997"/>
    <w:rsid w:val="00526DF2"/>
    <w:rsid w:val="005274B4"/>
    <w:rsid w:val="00527C2E"/>
    <w:rsid w:val="00531184"/>
    <w:rsid w:val="005313E8"/>
    <w:rsid w:val="00531E3A"/>
    <w:rsid w:val="00531FB2"/>
    <w:rsid w:val="00532119"/>
    <w:rsid w:val="005327B8"/>
    <w:rsid w:val="00532E3F"/>
    <w:rsid w:val="0053371C"/>
    <w:rsid w:val="0053479B"/>
    <w:rsid w:val="005349A8"/>
    <w:rsid w:val="00534C80"/>
    <w:rsid w:val="00534C84"/>
    <w:rsid w:val="00535011"/>
    <w:rsid w:val="00535D6C"/>
    <w:rsid w:val="00535F70"/>
    <w:rsid w:val="00535F84"/>
    <w:rsid w:val="0053658F"/>
    <w:rsid w:val="00536914"/>
    <w:rsid w:val="00536ADB"/>
    <w:rsid w:val="00536B48"/>
    <w:rsid w:val="00536B5C"/>
    <w:rsid w:val="00536DC1"/>
    <w:rsid w:val="00537150"/>
    <w:rsid w:val="0053738B"/>
    <w:rsid w:val="005377B7"/>
    <w:rsid w:val="00537B66"/>
    <w:rsid w:val="00537CA3"/>
    <w:rsid w:val="0054119E"/>
    <w:rsid w:val="00541522"/>
    <w:rsid w:val="00541D2D"/>
    <w:rsid w:val="005425A1"/>
    <w:rsid w:val="00542A31"/>
    <w:rsid w:val="00542FE2"/>
    <w:rsid w:val="00543118"/>
    <w:rsid w:val="0054356E"/>
    <w:rsid w:val="0054392C"/>
    <w:rsid w:val="005458EB"/>
    <w:rsid w:val="00546072"/>
    <w:rsid w:val="00546B0E"/>
    <w:rsid w:val="005474B9"/>
    <w:rsid w:val="005477ED"/>
    <w:rsid w:val="005478B4"/>
    <w:rsid w:val="005479F0"/>
    <w:rsid w:val="00550C8A"/>
    <w:rsid w:val="00551B09"/>
    <w:rsid w:val="00551CF0"/>
    <w:rsid w:val="00553BC2"/>
    <w:rsid w:val="00554650"/>
    <w:rsid w:val="005546CC"/>
    <w:rsid w:val="005550A3"/>
    <w:rsid w:val="0055520A"/>
    <w:rsid w:val="00555771"/>
    <w:rsid w:val="00556536"/>
    <w:rsid w:val="00556C43"/>
    <w:rsid w:val="005574BF"/>
    <w:rsid w:val="0056169E"/>
    <w:rsid w:val="00561F37"/>
    <w:rsid w:val="00562ABD"/>
    <w:rsid w:val="00562CFE"/>
    <w:rsid w:val="00563949"/>
    <w:rsid w:val="00563D5E"/>
    <w:rsid w:val="0056457C"/>
    <w:rsid w:val="00564E18"/>
    <w:rsid w:val="00565585"/>
    <w:rsid w:val="0056604B"/>
    <w:rsid w:val="00567AAD"/>
    <w:rsid w:val="00567AC9"/>
    <w:rsid w:val="00567F62"/>
    <w:rsid w:val="00570428"/>
    <w:rsid w:val="00570B76"/>
    <w:rsid w:val="00570BDC"/>
    <w:rsid w:val="00570DFB"/>
    <w:rsid w:val="005711FD"/>
    <w:rsid w:val="00573FA2"/>
    <w:rsid w:val="005745FE"/>
    <w:rsid w:val="00575A06"/>
    <w:rsid w:val="00576557"/>
    <w:rsid w:val="0057734F"/>
    <w:rsid w:val="0057737C"/>
    <w:rsid w:val="00577681"/>
    <w:rsid w:val="0057785A"/>
    <w:rsid w:val="0058059D"/>
    <w:rsid w:val="005806A6"/>
    <w:rsid w:val="005807D7"/>
    <w:rsid w:val="00580C77"/>
    <w:rsid w:val="005812EA"/>
    <w:rsid w:val="005817C2"/>
    <w:rsid w:val="00581A7A"/>
    <w:rsid w:val="00581AD8"/>
    <w:rsid w:val="00581E4E"/>
    <w:rsid w:val="00582DA9"/>
    <w:rsid w:val="00582E1F"/>
    <w:rsid w:val="00582F38"/>
    <w:rsid w:val="00583C4D"/>
    <w:rsid w:val="005841AB"/>
    <w:rsid w:val="005842FE"/>
    <w:rsid w:val="005843D3"/>
    <w:rsid w:val="0058458B"/>
    <w:rsid w:val="00584E48"/>
    <w:rsid w:val="00585191"/>
    <w:rsid w:val="00585293"/>
    <w:rsid w:val="00586B85"/>
    <w:rsid w:val="0058728D"/>
    <w:rsid w:val="00587CA7"/>
    <w:rsid w:val="00590015"/>
    <w:rsid w:val="00590A50"/>
    <w:rsid w:val="00591140"/>
    <w:rsid w:val="005914DB"/>
    <w:rsid w:val="00591B5F"/>
    <w:rsid w:val="00592270"/>
    <w:rsid w:val="00592575"/>
    <w:rsid w:val="0059299D"/>
    <w:rsid w:val="00592B11"/>
    <w:rsid w:val="005930B0"/>
    <w:rsid w:val="005948F8"/>
    <w:rsid w:val="005962AD"/>
    <w:rsid w:val="0059641A"/>
    <w:rsid w:val="005974F0"/>
    <w:rsid w:val="0059767D"/>
    <w:rsid w:val="00597B2A"/>
    <w:rsid w:val="005A14B0"/>
    <w:rsid w:val="005A157F"/>
    <w:rsid w:val="005A1728"/>
    <w:rsid w:val="005A1AD1"/>
    <w:rsid w:val="005A243D"/>
    <w:rsid w:val="005A2612"/>
    <w:rsid w:val="005A3EEC"/>
    <w:rsid w:val="005A440B"/>
    <w:rsid w:val="005A4986"/>
    <w:rsid w:val="005A5F22"/>
    <w:rsid w:val="005A5FE8"/>
    <w:rsid w:val="005A62B2"/>
    <w:rsid w:val="005A6F22"/>
    <w:rsid w:val="005A768B"/>
    <w:rsid w:val="005A76C7"/>
    <w:rsid w:val="005A779B"/>
    <w:rsid w:val="005A7AC4"/>
    <w:rsid w:val="005A7FDF"/>
    <w:rsid w:val="005B0114"/>
    <w:rsid w:val="005B024D"/>
    <w:rsid w:val="005B0D55"/>
    <w:rsid w:val="005B0DBA"/>
    <w:rsid w:val="005B0E94"/>
    <w:rsid w:val="005B11F2"/>
    <w:rsid w:val="005B1B79"/>
    <w:rsid w:val="005B282B"/>
    <w:rsid w:val="005B389B"/>
    <w:rsid w:val="005B3C50"/>
    <w:rsid w:val="005B3DDF"/>
    <w:rsid w:val="005B4B2E"/>
    <w:rsid w:val="005B4D5E"/>
    <w:rsid w:val="005B4DB9"/>
    <w:rsid w:val="005B5207"/>
    <w:rsid w:val="005B59AD"/>
    <w:rsid w:val="005B5FDA"/>
    <w:rsid w:val="005B7101"/>
    <w:rsid w:val="005C021A"/>
    <w:rsid w:val="005C021E"/>
    <w:rsid w:val="005C09DA"/>
    <w:rsid w:val="005C1CAD"/>
    <w:rsid w:val="005C25C2"/>
    <w:rsid w:val="005C35C7"/>
    <w:rsid w:val="005C445F"/>
    <w:rsid w:val="005C5925"/>
    <w:rsid w:val="005C60E6"/>
    <w:rsid w:val="005C6DB8"/>
    <w:rsid w:val="005C72EF"/>
    <w:rsid w:val="005C762C"/>
    <w:rsid w:val="005D01E8"/>
    <w:rsid w:val="005D054E"/>
    <w:rsid w:val="005D08CF"/>
    <w:rsid w:val="005D132D"/>
    <w:rsid w:val="005D167A"/>
    <w:rsid w:val="005D16D1"/>
    <w:rsid w:val="005D1D84"/>
    <w:rsid w:val="005D1E83"/>
    <w:rsid w:val="005D295F"/>
    <w:rsid w:val="005D29AE"/>
    <w:rsid w:val="005D2CF1"/>
    <w:rsid w:val="005D2E1C"/>
    <w:rsid w:val="005D2F2F"/>
    <w:rsid w:val="005D2FC9"/>
    <w:rsid w:val="005D37AA"/>
    <w:rsid w:val="005D471D"/>
    <w:rsid w:val="005D47C6"/>
    <w:rsid w:val="005D4BBE"/>
    <w:rsid w:val="005D51BA"/>
    <w:rsid w:val="005D53A5"/>
    <w:rsid w:val="005D6052"/>
    <w:rsid w:val="005D6432"/>
    <w:rsid w:val="005D6D7C"/>
    <w:rsid w:val="005D6D88"/>
    <w:rsid w:val="005D7581"/>
    <w:rsid w:val="005D7A10"/>
    <w:rsid w:val="005E0EE4"/>
    <w:rsid w:val="005E1821"/>
    <w:rsid w:val="005E2016"/>
    <w:rsid w:val="005E2D05"/>
    <w:rsid w:val="005E2EEE"/>
    <w:rsid w:val="005E44C7"/>
    <w:rsid w:val="005E5F2E"/>
    <w:rsid w:val="005E5FB0"/>
    <w:rsid w:val="005E6DF1"/>
    <w:rsid w:val="005E78D5"/>
    <w:rsid w:val="005F0139"/>
    <w:rsid w:val="005F06A6"/>
    <w:rsid w:val="005F0B43"/>
    <w:rsid w:val="005F1031"/>
    <w:rsid w:val="005F10CC"/>
    <w:rsid w:val="005F110F"/>
    <w:rsid w:val="005F1967"/>
    <w:rsid w:val="005F22FB"/>
    <w:rsid w:val="005F256F"/>
    <w:rsid w:val="005F3A9D"/>
    <w:rsid w:val="005F519A"/>
    <w:rsid w:val="005F54B5"/>
    <w:rsid w:val="005F6420"/>
    <w:rsid w:val="005F6E71"/>
    <w:rsid w:val="005F71C3"/>
    <w:rsid w:val="005F7483"/>
    <w:rsid w:val="005F74DA"/>
    <w:rsid w:val="00600137"/>
    <w:rsid w:val="00600830"/>
    <w:rsid w:val="006023AB"/>
    <w:rsid w:val="00603324"/>
    <w:rsid w:val="00603439"/>
    <w:rsid w:val="0060343B"/>
    <w:rsid w:val="0060396B"/>
    <w:rsid w:val="006046E0"/>
    <w:rsid w:val="00604D5A"/>
    <w:rsid w:val="0060538D"/>
    <w:rsid w:val="00605FD9"/>
    <w:rsid w:val="006061E7"/>
    <w:rsid w:val="006063D5"/>
    <w:rsid w:val="00606B3F"/>
    <w:rsid w:val="00606EBA"/>
    <w:rsid w:val="006109BA"/>
    <w:rsid w:val="00610ACA"/>
    <w:rsid w:val="00611BC6"/>
    <w:rsid w:val="00612FB6"/>
    <w:rsid w:val="00614093"/>
    <w:rsid w:val="0061475D"/>
    <w:rsid w:val="00615604"/>
    <w:rsid w:val="00615BA3"/>
    <w:rsid w:val="00615FBE"/>
    <w:rsid w:val="00616129"/>
    <w:rsid w:val="00616735"/>
    <w:rsid w:val="00616744"/>
    <w:rsid w:val="00617841"/>
    <w:rsid w:val="00617873"/>
    <w:rsid w:val="00617C13"/>
    <w:rsid w:val="006209C8"/>
    <w:rsid w:val="00620E92"/>
    <w:rsid w:val="00621B8F"/>
    <w:rsid w:val="00621C58"/>
    <w:rsid w:val="00621E9D"/>
    <w:rsid w:val="00621EF9"/>
    <w:rsid w:val="0062251B"/>
    <w:rsid w:val="00622AA9"/>
    <w:rsid w:val="00623857"/>
    <w:rsid w:val="006239AC"/>
    <w:rsid w:val="00623B70"/>
    <w:rsid w:val="00624316"/>
    <w:rsid w:val="00624BEA"/>
    <w:rsid w:val="00626962"/>
    <w:rsid w:val="0062713E"/>
    <w:rsid w:val="0062744F"/>
    <w:rsid w:val="006274C5"/>
    <w:rsid w:val="00630077"/>
    <w:rsid w:val="00630B01"/>
    <w:rsid w:val="0063134C"/>
    <w:rsid w:val="00631665"/>
    <w:rsid w:val="00631B5C"/>
    <w:rsid w:val="00631FFD"/>
    <w:rsid w:val="0063308B"/>
    <w:rsid w:val="006334C4"/>
    <w:rsid w:val="006338AC"/>
    <w:rsid w:val="00633F53"/>
    <w:rsid w:val="006354F5"/>
    <w:rsid w:val="006369F9"/>
    <w:rsid w:val="006372AD"/>
    <w:rsid w:val="00637399"/>
    <w:rsid w:val="00637BBC"/>
    <w:rsid w:val="006406E4"/>
    <w:rsid w:val="00640A65"/>
    <w:rsid w:val="006419A2"/>
    <w:rsid w:val="006422B5"/>
    <w:rsid w:val="0064256D"/>
    <w:rsid w:val="00642F7A"/>
    <w:rsid w:val="006438BA"/>
    <w:rsid w:val="00643C57"/>
    <w:rsid w:val="006443B1"/>
    <w:rsid w:val="00645074"/>
    <w:rsid w:val="006451BA"/>
    <w:rsid w:val="00645460"/>
    <w:rsid w:val="00645707"/>
    <w:rsid w:val="00645AA6"/>
    <w:rsid w:val="00645E65"/>
    <w:rsid w:val="00646239"/>
    <w:rsid w:val="006465F3"/>
    <w:rsid w:val="00647070"/>
    <w:rsid w:val="00647930"/>
    <w:rsid w:val="00647B35"/>
    <w:rsid w:val="00650644"/>
    <w:rsid w:val="00650681"/>
    <w:rsid w:val="006507C4"/>
    <w:rsid w:val="00650DF1"/>
    <w:rsid w:val="00650DFE"/>
    <w:rsid w:val="0065166B"/>
    <w:rsid w:val="00652929"/>
    <w:rsid w:val="00652B80"/>
    <w:rsid w:val="00653CA8"/>
    <w:rsid w:val="00654062"/>
    <w:rsid w:val="006543B7"/>
    <w:rsid w:val="006549AA"/>
    <w:rsid w:val="00654AD2"/>
    <w:rsid w:val="00654CE6"/>
    <w:rsid w:val="0065528C"/>
    <w:rsid w:val="006554B2"/>
    <w:rsid w:val="006556DB"/>
    <w:rsid w:val="006556EA"/>
    <w:rsid w:val="00655D0F"/>
    <w:rsid w:val="00657463"/>
    <w:rsid w:val="0065777C"/>
    <w:rsid w:val="00657BF2"/>
    <w:rsid w:val="00657E7E"/>
    <w:rsid w:val="00660503"/>
    <w:rsid w:val="006607E7"/>
    <w:rsid w:val="0066083C"/>
    <w:rsid w:val="00660EDB"/>
    <w:rsid w:val="00661BD4"/>
    <w:rsid w:val="00661EFA"/>
    <w:rsid w:val="00662CC0"/>
    <w:rsid w:val="00662F62"/>
    <w:rsid w:val="0066402E"/>
    <w:rsid w:val="006641F7"/>
    <w:rsid w:val="006645FA"/>
    <w:rsid w:val="00664CDD"/>
    <w:rsid w:val="00665234"/>
    <w:rsid w:val="0066535B"/>
    <w:rsid w:val="00665931"/>
    <w:rsid w:val="00666335"/>
    <w:rsid w:val="0066686F"/>
    <w:rsid w:val="00666A27"/>
    <w:rsid w:val="00666A53"/>
    <w:rsid w:val="00666A82"/>
    <w:rsid w:val="00666EAD"/>
    <w:rsid w:val="006706F0"/>
    <w:rsid w:val="00670A82"/>
    <w:rsid w:val="0067280E"/>
    <w:rsid w:val="00673FE4"/>
    <w:rsid w:val="00675472"/>
    <w:rsid w:val="006757F0"/>
    <w:rsid w:val="00675FA8"/>
    <w:rsid w:val="006767B4"/>
    <w:rsid w:val="00676AC0"/>
    <w:rsid w:val="00676CAF"/>
    <w:rsid w:val="00677860"/>
    <w:rsid w:val="00680CBF"/>
    <w:rsid w:val="00680D75"/>
    <w:rsid w:val="00680DB2"/>
    <w:rsid w:val="00680F43"/>
    <w:rsid w:val="00681D4B"/>
    <w:rsid w:val="00682394"/>
    <w:rsid w:val="0068239D"/>
    <w:rsid w:val="00682922"/>
    <w:rsid w:val="00682939"/>
    <w:rsid w:val="00682B1E"/>
    <w:rsid w:val="006831D7"/>
    <w:rsid w:val="006832E1"/>
    <w:rsid w:val="00684905"/>
    <w:rsid w:val="006854B5"/>
    <w:rsid w:val="006855EC"/>
    <w:rsid w:val="006858FB"/>
    <w:rsid w:val="00685AE6"/>
    <w:rsid w:val="00685D3D"/>
    <w:rsid w:val="00686211"/>
    <w:rsid w:val="0068656B"/>
    <w:rsid w:val="0068656F"/>
    <w:rsid w:val="00686BC6"/>
    <w:rsid w:val="00686C71"/>
    <w:rsid w:val="00687725"/>
    <w:rsid w:val="006903A7"/>
    <w:rsid w:val="00690667"/>
    <w:rsid w:val="006906EB"/>
    <w:rsid w:val="0069168D"/>
    <w:rsid w:val="00692D87"/>
    <w:rsid w:val="00692EFB"/>
    <w:rsid w:val="00693FB5"/>
    <w:rsid w:val="00694495"/>
    <w:rsid w:val="00694CC1"/>
    <w:rsid w:val="00695B31"/>
    <w:rsid w:val="00695CB4"/>
    <w:rsid w:val="00696013"/>
    <w:rsid w:val="006961AC"/>
    <w:rsid w:val="00696251"/>
    <w:rsid w:val="00696802"/>
    <w:rsid w:val="006979DF"/>
    <w:rsid w:val="006A04B8"/>
    <w:rsid w:val="006A0630"/>
    <w:rsid w:val="006A0CDC"/>
    <w:rsid w:val="006A14DE"/>
    <w:rsid w:val="006A2B3F"/>
    <w:rsid w:val="006A3312"/>
    <w:rsid w:val="006A37E8"/>
    <w:rsid w:val="006A3B03"/>
    <w:rsid w:val="006A3B3F"/>
    <w:rsid w:val="006A450E"/>
    <w:rsid w:val="006A4AD4"/>
    <w:rsid w:val="006A5E3B"/>
    <w:rsid w:val="006A66D0"/>
    <w:rsid w:val="006A66E8"/>
    <w:rsid w:val="006A683B"/>
    <w:rsid w:val="006A76F2"/>
    <w:rsid w:val="006A7934"/>
    <w:rsid w:val="006A79AC"/>
    <w:rsid w:val="006B0147"/>
    <w:rsid w:val="006B0284"/>
    <w:rsid w:val="006B25CF"/>
    <w:rsid w:val="006B2734"/>
    <w:rsid w:val="006B2770"/>
    <w:rsid w:val="006B27E4"/>
    <w:rsid w:val="006B2837"/>
    <w:rsid w:val="006B32D1"/>
    <w:rsid w:val="006B401A"/>
    <w:rsid w:val="006B433D"/>
    <w:rsid w:val="006B56B9"/>
    <w:rsid w:val="006B63AC"/>
    <w:rsid w:val="006B72F5"/>
    <w:rsid w:val="006B7836"/>
    <w:rsid w:val="006B7B9E"/>
    <w:rsid w:val="006B7CBB"/>
    <w:rsid w:val="006C014D"/>
    <w:rsid w:val="006C03E9"/>
    <w:rsid w:val="006C0D02"/>
    <w:rsid w:val="006C14D6"/>
    <w:rsid w:val="006C17CD"/>
    <w:rsid w:val="006C3511"/>
    <w:rsid w:val="006C35B5"/>
    <w:rsid w:val="006C39BD"/>
    <w:rsid w:val="006C3A26"/>
    <w:rsid w:val="006C4DDA"/>
    <w:rsid w:val="006C50C0"/>
    <w:rsid w:val="006C562E"/>
    <w:rsid w:val="006C5942"/>
    <w:rsid w:val="006C6010"/>
    <w:rsid w:val="006C65C1"/>
    <w:rsid w:val="006C6F61"/>
    <w:rsid w:val="006C7914"/>
    <w:rsid w:val="006D00D5"/>
    <w:rsid w:val="006D12A3"/>
    <w:rsid w:val="006D13C7"/>
    <w:rsid w:val="006D22BC"/>
    <w:rsid w:val="006D25AD"/>
    <w:rsid w:val="006D2F8B"/>
    <w:rsid w:val="006D4604"/>
    <w:rsid w:val="006D4B35"/>
    <w:rsid w:val="006D4D97"/>
    <w:rsid w:val="006D6B61"/>
    <w:rsid w:val="006D75D3"/>
    <w:rsid w:val="006D7D17"/>
    <w:rsid w:val="006D7F75"/>
    <w:rsid w:val="006E02DD"/>
    <w:rsid w:val="006E06ED"/>
    <w:rsid w:val="006E15B1"/>
    <w:rsid w:val="006E2671"/>
    <w:rsid w:val="006E356A"/>
    <w:rsid w:val="006E3865"/>
    <w:rsid w:val="006E4226"/>
    <w:rsid w:val="006E42A0"/>
    <w:rsid w:val="006E4559"/>
    <w:rsid w:val="006E4DAD"/>
    <w:rsid w:val="006E50E2"/>
    <w:rsid w:val="006E520E"/>
    <w:rsid w:val="006E56BC"/>
    <w:rsid w:val="006E674B"/>
    <w:rsid w:val="006E68F0"/>
    <w:rsid w:val="006E6C8C"/>
    <w:rsid w:val="006E72F9"/>
    <w:rsid w:val="006E739E"/>
    <w:rsid w:val="006E7503"/>
    <w:rsid w:val="006E7C67"/>
    <w:rsid w:val="006E7D50"/>
    <w:rsid w:val="006F0221"/>
    <w:rsid w:val="006F097B"/>
    <w:rsid w:val="006F0D61"/>
    <w:rsid w:val="006F1882"/>
    <w:rsid w:val="006F1A53"/>
    <w:rsid w:val="006F1F60"/>
    <w:rsid w:val="006F338E"/>
    <w:rsid w:val="006F3BFA"/>
    <w:rsid w:val="006F4101"/>
    <w:rsid w:val="006F4AD8"/>
    <w:rsid w:val="006F4BE9"/>
    <w:rsid w:val="006F4CF6"/>
    <w:rsid w:val="006F4D56"/>
    <w:rsid w:val="006F58D9"/>
    <w:rsid w:val="006F5EB7"/>
    <w:rsid w:val="006F5F88"/>
    <w:rsid w:val="006F612B"/>
    <w:rsid w:val="006F632F"/>
    <w:rsid w:val="006F6429"/>
    <w:rsid w:val="006F662F"/>
    <w:rsid w:val="006F72EC"/>
    <w:rsid w:val="006F7EEC"/>
    <w:rsid w:val="007009D9"/>
    <w:rsid w:val="0070138D"/>
    <w:rsid w:val="007014B8"/>
    <w:rsid w:val="00702385"/>
    <w:rsid w:val="00702550"/>
    <w:rsid w:val="007029F5"/>
    <w:rsid w:val="007032C1"/>
    <w:rsid w:val="00703EE6"/>
    <w:rsid w:val="00703F6B"/>
    <w:rsid w:val="007040F9"/>
    <w:rsid w:val="0070443E"/>
    <w:rsid w:val="00704A82"/>
    <w:rsid w:val="00705133"/>
    <w:rsid w:val="0070589F"/>
    <w:rsid w:val="007059AD"/>
    <w:rsid w:val="00705DF0"/>
    <w:rsid w:val="007065CE"/>
    <w:rsid w:val="007065FE"/>
    <w:rsid w:val="007068A8"/>
    <w:rsid w:val="007068DC"/>
    <w:rsid w:val="00706F96"/>
    <w:rsid w:val="007078B5"/>
    <w:rsid w:val="007101A1"/>
    <w:rsid w:val="0071026B"/>
    <w:rsid w:val="00711068"/>
    <w:rsid w:val="007117E7"/>
    <w:rsid w:val="00711B66"/>
    <w:rsid w:val="00712112"/>
    <w:rsid w:val="007123E9"/>
    <w:rsid w:val="0071249C"/>
    <w:rsid w:val="007128BA"/>
    <w:rsid w:val="00713969"/>
    <w:rsid w:val="007141F3"/>
    <w:rsid w:val="00714930"/>
    <w:rsid w:val="00714A78"/>
    <w:rsid w:val="00715799"/>
    <w:rsid w:val="00715C12"/>
    <w:rsid w:val="00715C96"/>
    <w:rsid w:val="00715F6A"/>
    <w:rsid w:val="0071653C"/>
    <w:rsid w:val="00716C55"/>
    <w:rsid w:val="00716D23"/>
    <w:rsid w:val="007170B0"/>
    <w:rsid w:val="0072002C"/>
    <w:rsid w:val="0072019F"/>
    <w:rsid w:val="007202AD"/>
    <w:rsid w:val="00720386"/>
    <w:rsid w:val="00720DDA"/>
    <w:rsid w:val="00721D21"/>
    <w:rsid w:val="00721DC8"/>
    <w:rsid w:val="007227DA"/>
    <w:rsid w:val="00722EA2"/>
    <w:rsid w:val="00722F8D"/>
    <w:rsid w:val="00722F8F"/>
    <w:rsid w:val="00723326"/>
    <w:rsid w:val="007237A1"/>
    <w:rsid w:val="007239F0"/>
    <w:rsid w:val="00723B50"/>
    <w:rsid w:val="00723BA7"/>
    <w:rsid w:val="00724485"/>
    <w:rsid w:val="00724644"/>
    <w:rsid w:val="007249CE"/>
    <w:rsid w:val="00724D11"/>
    <w:rsid w:val="00724F1B"/>
    <w:rsid w:val="00725326"/>
    <w:rsid w:val="00725838"/>
    <w:rsid w:val="00725D65"/>
    <w:rsid w:val="007269A7"/>
    <w:rsid w:val="00726FEC"/>
    <w:rsid w:val="007270CC"/>
    <w:rsid w:val="0072716A"/>
    <w:rsid w:val="007279B1"/>
    <w:rsid w:val="00727F85"/>
    <w:rsid w:val="0073019B"/>
    <w:rsid w:val="0073044D"/>
    <w:rsid w:val="00730CC3"/>
    <w:rsid w:val="00730EB5"/>
    <w:rsid w:val="00731627"/>
    <w:rsid w:val="00731837"/>
    <w:rsid w:val="00732055"/>
    <w:rsid w:val="0073207F"/>
    <w:rsid w:val="00732A66"/>
    <w:rsid w:val="0073356C"/>
    <w:rsid w:val="007339F1"/>
    <w:rsid w:val="00733C86"/>
    <w:rsid w:val="00734E3B"/>
    <w:rsid w:val="0073624E"/>
    <w:rsid w:val="007366EE"/>
    <w:rsid w:val="007374F8"/>
    <w:rsid w:val="0074017B"/>
    <w:rsid w:val="0074058B"/>
    <w:rsid w:val="007414D6"/>
    <w:rsid w:val="00742181"/>
    <w:rsid w:val="007432AF"/>
    <w:rsid w:val="00743D38"/>
    <w:rsid w:val="00743E9B"/>
    <w:rsid w:val="0074441A"/>
    <w:rsid w:val="00744E58"/>
    <w:rsid w:val="00744FDD"/>
    <w:rsid w:val="007459D8"/>
    <w:rsid w:val="00745B1B"/>
    <w:rsid w:val="00745CC8"/>
    <w:rsid w:val="00746160"/>
    <w:rsid w:val="007503A8"/>
    <w:rsid w:val="007503B7"/>
    <w:rsid w:val="007508E3"/>
    <w:rsid w:val="00750A96"/>
    <w:rsid w:val="00751C42"/>
    <w:rsid w:val="00752A00"/>
    <w:rsid w:val="00752FB9"/>
    <w:rsid w:val="0075351F"/>
    <w:rsid w:val="00753748"/>
    <w:rsid w:val="007538A0"/>
    <w:rsid w:val="00753BA2"/>
    <w:rsid w:val="007544A5"/>
    <w:rsid w:val="00754AEC"/>
    <w:rsid w:val="00754DD3"/>
    <w:rsid w:val="007552C6"/>
    <w:rsid w:val="00755499"/>
    <w:rsid w:val="00755656"/>
    <w:rsid w:val="00755EC7"/>
    <w:rsid w:val="00755F40"/>
    <w:rsid w:val="00756211"/>
    <w:rsid w:val="00756306"/>
    <w:rsid w:val="0075644A"/>
    <w:rsid w:val="00756669"/>
    <w:rsid w:val="0075717A"/>
    <w:rsid w:val="00757BFF"/>
    <w:rsid w:val="00757E48"/>
    <w:rsid w:val="00760672"/>
    <w:rsid w:val="00760FB4"/>
    <w:rsid w:val="007624C3"/>
    <w:rsid w:val="00763E76"/>
    <w:rsid w:val="00764080"/>
    <w:rsid w:val="007648E6"/>
    <w:rsid w:val="00764946"/>
    <w:rsid w:val="007653AC"/>
    <w:rsid w:val="00766FD3"/>
    <w:rsid w:val="007671AD"/>
    <w:rsid w:val="00767400"/>
    <w:rsid w:val="00767CF2"/>
    <w:rsid w:val="0077008F"/>
    <w:rsid w:val="00770231"/>
    <w:rsid w:val="007712F3"/>
    <w:rsid w:val="00771D6B"/>
    <w:rsid w:val="00771DF9"/>
    <w:rsid w:val="0077260C"/>
    <w:rsid w:val="00773493"/>
    <w:rsid w:val="0077391C"/>
    <w:rsid w:val="00773BFE"/>
    <w:rsid w:val="00773D0B"/>
    <w:rsid w:val="007741C0"/>
    <w:rsid w:val="007758E5"/>
    <w:rsid w:val="00775DDD"/>
    <w:rsid w:val="007761D9"/>
    <w:rsid w:val="00776499"/>
    <w:rsid w:val="00776CC9"/>
    <w:rsid w:val="00776EC6"/>
    <w:rsid w:val="0077795A"/>
    <w:rsid w:val="00777F29"/>
    <w:rsid w:val="00780375"/>
    <w:rsid w:val="00780410"/>
    <w:rsid w:val="007806EE"/>
    <w:rsid w:val="00780BD0"/>
    <w:rsid w:val="00780ECE"/>
    <w:rsid w:val="00780F7F"/>
    <w:rsid w:val="00780FF4"/>
    <w:rsid w:val="007822BF"/>
    <w:rsid w:val="007822F9"/>
    <w:rsid w:val="007825D7"/>
    <w:rsid w:val="00782924"/>
    <w:rsid w:val="00782B9B"/>
    <w:rsid w:val="007833DC"/>
    <w:rsid w:val="00783840"/>
    <w:rsid w:val="007847CB"/>
    <w:rsid w:val="00784997"/>
    <w:rsid w:val="00784EEA"/>
    <w:rsid w:val="00785A8C"/>
    <w:rsid w:val="00785E16"/>
    <w:rsid w:val="007861F0"/>
    <w:rsid w:val="0078650A"/>
    <w:rsid w:val="0078680B"/>
    <w:rsid w:val="007869C6"/>
    <w:rsid w:val="00786C75"/>
    <w:rsid w:val="00786D6D"/>
    <w:rsid w:val="00786E13"/>
    <w:rsid w:val="00786F47"/>
    <w:rsid w:val="00787FAB"/>
    <w:rsid w:val="007900B7"/>
    <w:rsid w:val="00790DF7"/>
    <w:rsid w:val="007913AB"/>
    <w:rsid w:val="00791780"/>
    <w:rsid w:val="007918A3"/>
    <w:rsid w:val="00791FAC"/>
    <w:rsid w:val="00792217"/>
    <w:rsid w:val="0079247C"/>
    <w:rsid w:val="007924DA"/>
    <w:rsid w:val="007925AF"/>
    <w:rsid w:val="007927C0"/>
    <w:rsid w:val="00793E70"/>
    <w:rsid w:val="00793F5A"/>
    <w:rsid w:val="007947D4"/>
    <w:rsid w:val="007949EB"/>
    <w:rsid w:val="00794C6D"/>
    <w:rsid w:val="00794CF4"/>
    <w:rsid w:val="00794E6F"/>
    <w:rsid w:val="007951D4"/>
    <w:rsid w:val="0079537F"/>
    <w:rsid w:val="00795DF7"/>
    <w:rsid w:val="0079623B"/>
    <w:rsid w:val="007968BB"/>
    <w:rsid w:val="00796A19"/>
    <w:rsid w:val="00796CD9"/>
    <w:rsid w:val="00796E1D"/>
    <w:rsid w:val="00796F32"/>
    <w:rsid w:val="0079725F"/>
    <w:rsid w:val="00797694"/>
    <w:rsid w:val="007978D5"/>
    <w:rsid w:val="00797ADB"/>
    <w:rsid w:val="007A00B2"/>
    <w:rsid w:val="007A00D7"/>
    <w:rsid w:val="007A0391"/>
    <w:rsid w:val="007A09EE"/>
    <w:rsid w:val="007A0C03"/>
    <w:rsid w:val="007A1B81"/>
    <w:rsid w:val="007A2323"/>
    <w:rsid w:val="007A2D11"/>
    <w:rsid w:val="007A31AB"/>
    <w:rsid w:val="007A3418"/>
    <w:rsid w:val="007A385D"/>
    <w:rsid w:val="007A41A4"/>
    <w:rsid w:val="007A4D82"/>
    <w:rsid w:val="007A5B0D"/>
    <w:rsid w:val="007A62C7"/>
    <w:rsid w:val="007A6EF1"/>
    <w:rsid w:val="007A713B"/>
    <w:rsid w:val="007A7177"/>
    <w:rsid w:val="007A7D5D"/>
    <w:rsid w:val="007B00F1"/>
    <w:rsid w:val="007B0125"/>
    <w:rsid w:val="007B012B"/>
    <w:rsid w:val="007B0180"/>
    <w:rsid w:val="007B0671"/>
    <w:rsid w:val="007B0AB3"/>
    <w:rsid w:val="007B0B1D"/>
    <w:rsid w:val="007B0BE7"/>
    <w:rsid w:val="007B14F3"/>
    <w:rsid w:val="007B1631"/>
    <w:rsid w:val="007B1C8A"/>
    <w:rsid w:val="007B1FBE"/>
    <w:rsid w:val="007B2DA1"/>
    <w:rsid w:val="007B3553"/>
    <w:rsid w:val="007B38E6"/>
    <w:rsid w:val="007B44DD"/>
    <w:rsid w:val="007B46B8"/>
    <w:rsid w:val="007B46F1"/>
    <w:rsid w:val="007B47F7"/>
    <w:rsid w:val="007B5388"/>
    <w:rsid w:val="007B55C7"/>
    <w:rsid w:val="007B6195"/>
    <w:rsid w:val="007B6D64"/>
    <w:rsid w:val="007B7961"/>
    <w:rsid w:val="007B7A8E"/>
    <w:rsid w:val="007B7BAC"/>
    <w:rsid w:val="007C0292"/>
    <w:rsid w:val="007C06AC"/>
    <w:rsid w:val="007C0C2D"/>
    <w:rsid w:val="007C0D32"/>
    <w:rsid w:val="007C1D87"/>
    <w:rsid w:val="007C2297"/>
    <w:rsid w:val="007C2813"/>
    <w:rsid w:val="007C32E0"/>
    <w:rsid w:val="007C368F"/>
    <w:rsid w:val="007C3B6B"/>
    <w:rsid w:val="007C4193"/>
    <w:rsid w:val="007C4284"/>
    <w:rsid w:val="007C4658"/>
    <w:rsid w:val="007C581E"/>
    <w:rsid w:val="007C5AA2"/>
    <w:rsid w:val="007C6142"/>
    <w:rsid w:val="007C6439"/>
    <w:rsid w:val="007C6E81"/>
    <w:rsid w:val="007C70E6"/>
    <w:rsid w:val="007C74C0"/>
    <w:rsid w:val="007C775F"/>
    <w:rsid w:val="007C77EC"/>
    <w:rsid w:val="007D059D"/>
    <w:rsid w:val="007D083E"/>
    <w:rsid w:val="007D0F1D"/>
    <w:rsid w:val="007D1335"/>
    <w:rsid w:val="007D1B81"/>
    <w:rsid w:val="007D1FE8"/>
    <w:rsid w:val="007D2296"/>
    <w:rsid w:val="007D24A3"/>
    <w:rsid w:val="007D28AA"/>
    <w:rsid w:val="007D4547"/>
    <w:rsid w:val="007D4663"/>
    <w:rsid w:val="007D4D56"/>
    <w:rsid w:val="007D52B6"/>
    <w:rsid w:val="007D55C2"/>
    <w:rsid w:val="007D5933"/>
    <w:rsid w:val="007D5A30"/>
    <w:rsid w:val="007D60F9"/>
    <w:rsid w:val="007D6244"/>
    <w:rsid w:val="007D62F1"/>
    <w:rsid w:val="007D6622"/>
    <w:rsid w:val="007D69D6"/>
    <w:rsid w:val="007D6D09"/>
    <w:rsid w:val="007D6D36"/>
    <w:rsid w:val="007D7838"/>
    <w:rsid w:val="007E02A3"/>
    <w:rsid w:val="007E0AAF"/>
    <w:rsid w:val="007E10E1"/>
    <w:rsid w:val="007E1BEB"/>
    <w:rsid w:val="007E2234"/>
    <w:rsid w:val="007E23E2"/>
    <w:rsid w:val="007E287D"/>
    <w:rsid w:val="007E35F2"/>
    <w:rsid w:val="007E3C29"/>
    <w:rsid w:val="007E44C6"/>
    <w:rsid w:val="007E48C1"/>
    <w:rsid w:val="007E53FD"/>
    <w:rsid w:val="007E5EC8"/>
    <w:rsid w:val="007E5EF2"/>
    <w:rsid w:val="007E61AA"/>
    <w:rsid w:val="007E6F33"/>
    <w:rsid w:val="007E711D"/>
    <w:rsid w:val="007E7792"/>
    <w:rsid w:val="007E792C"/>
    <w:rsid w:val="007F04D9"/>
    <w:rsid w:val="007F08F0"/>
    <w:rsid w:val="007F0CFB"/>
    <w:rsid w:val="007F0EE2"/>
    <w:rsid w:val="007F11D4"/>
    <w:rsid w:val="007F129C"/>
    <w:rsid w:val="007F136B"/>
    <w:rsid w:val="007F222B"/>
    <w:rsid w:val="007F3C4A"/>
    <w:rsid w:val="007F3CAF"/>
    <w:rsid w:val="007F40DC"/>
    <w:rsid w:val="007F43B1"/>
    <w:rsid w:val="007F45E4"/>
    <w:rsid w:val="007F48AB"/>
    <w:rsid w:val="007F5745"/>
    <w:rsid w:val="007F5E8B"/>
    <w:rsid w:val="007F66BF"/>
    <w:rsid w:val="007F6816"/>
    <w:rsid w:val="007F6A96"/>
    <w:rsid w:val="007F6FEC"/>
    <w:rsid w:val="007F7336"/>
    <w:rsid w:val="007F75D8"/>
    <w:rsid w:val="007F7641"/>
    <w:rsid w:val="007F7969"/>
    <w:rsid w:val="007F7AC0"/>
    <w:rsid w:val="008009CB"/>
    <w:rsid w:val="008020EF"/>
    <w:rsid w:val="0080267E"/>
    <w:rsid w:val="008027BB"/>
    <w:rsid w:val="00802901"/>
    <w:rsid w:val="00802BAE"/>
    <w:rsid w:val="00803268"/>
    <w:rsid w:val="00804ED9"/>
    <w:rsid w:val="00805B9D"/>
    <w:rsid w:val="00806416"/>
    <w:rsid w:val="0080648C"/>
    <w:rsid w:val="00806E89"/>
    <w:rsid w:val="00807262"/>
    <w:rsid w:val="00807874"/>
    <w:rsid w:val="008078B6"/>
    <w:rsid w:val="00807C71"/>
    <w:rsid w:val="008100C9"/>
    <w:rsid w:val="008103E6"/>
    <w:rsid w:val="008104D5"/>
    <w:rsid w:val="008104F9"/>
    <w:rsid w:val="008113DB"/>
    <w:rsid w:val="00812BC4"/>
    <w:rsid w:val="008137B6"/>
    <w:rsid w:val="00814302"/>
    <w:rsid w:val="0081515E"/>
    <w:rsid w:val="00815256"/>
    <w:rsid w:val="008154AA"/>
    <w:rsid w:val="00815542"/>
    <w:rsid w:val="00815B22"/>
    <w:rsid w:val="00815C3C"/>
    <w:rsid w:val="00815EF5"/>
    <w:rsid w:val="00816916"/>
    <w:rsid w:val="00817D08"/>
    <w:rsid w:val="008201EE"/>
    <w:rsid w:val="008206B1"/>
    <w:rsid w:val="00820A2D"/>
    <w:rsid w:val="00821234"/>
    <w:rsid w:val="00821DE0"/>
    <w:rsid w:val="008220FA"/>
    <w:rsid w:val="00822E92"/>
    <w:rsid w:val="00822F97"/>
    <w:rsid w:val="00823756"/>
    <w:rsid w:val="008240FC"/>
    <w:rsid w:val="008244E9"/>
    <w:rsid w:val="00824A2A"/>
    <w:rsid w:val="00824BDE"/>
    <w:rsid w:val="00824CE1"/>
    <w:rsid w:val="00824F3B"/>
    <w:rsid w:val="008262A6"/>
    <w:rsid w:val="00826564"/>
    <w:rsid w:val="00826AD1"/>
    <w:rsid w:val="008305DD"/>
    <w:rsid w:val="00830E0A"/>
    <w:rsid w:val="00830FFC"/>
    <w:rsid w:val="008310FF"/>
    <w:rsid w:val="008319AC"/>
    <w:rsid w:val="00832C12"/>
    <w:rsid w:val="00833E1F"/>
    <w:rsid w:val="0083436B"/>
    <w:rsid w:val="00834916"/>
    <w:rsid w:val="00834E96"/>
    <w:rsid w:val="008353B9"/>
    <w:rsid w:val="008356D0"/>
    <w:rsid w:val="008356E5"/>
    <w:rsid w:val="00835757"/>
    <w:rsid w:val="008362F6"/>
    <w:rsid w:val="00836A14"/>
    <w:rsid w:val="00836F3E"/>
    <w:rsid w:val="0083795A"/>
    <w:rsid w:val="00837B3F"/>
    <w:rsid w:val="008404F8"/>
    <w:rsid w:val="008405E1"/>
    <w:rsid w:val="008408C3"/>
    <w:rsid w:val="00841BB8"/>
    <w:rsid w:val="00842B24"/>
    <w:rsid w:val="0084341E"/>
    <w:rsid w:val="008434EF"/>
    <w:rsid w:val="008437A5"/>
    <w:rsid w:val="0084458E"/>
    <w:rsid w:val="0084488D"/>
    <w:rsid w:val="00844AE5"/>
    <w:rsid w:val="00845443"/>
    <w:rsid w:val="00845AD4"/>
    <w:rsid w:val="00845F38"/>
    <w:rsid w:val="00846065"/>
    <w:rsid w:val="00846E6B"/>
    <w:rsid w:val="008476C9"/>
    <w:rsid w:val="00850628"/>
    <w:rsid w:val="0085091D"/>
    <w:rsid w:val="00850B54"/>
    <w:rsid w:val="00851DAB"/>
    <w:rsid w:val="008529C3"/>
    <w:rsid w:val="00852FCE"/>
    <w:rsid w:val="00853834"/>
    <w:rsid w:val="0085442A"/>
    <w:rsid w:val="00854AAF"/>
    <w:rsid w:val="00854DC8"/>
    <w:rsid w:val="00854E68"/>
    <w:rsid w:val="0085538F"/>
    <w:rsid w:val="00855813"/>
    <w:rsid w:val="00855A01"/>
    <w:rsid w:val="00855A6F"/>
    <w:rsid w:val="008566DC"/>
    <w:rsid w:val="008566F7"/>
    <w:rsid w:val="00856B6C"/>
    <w:rsid w:val="00856DDD"/>
    <w:rsid w:val="0085732A"/>
    <w:rsid w:val="00857EFD"/>
    <w:rsid w:val="00857FF3"/>
    <w:rsid w:val="0086010A"/>
    <w:rsid w:val="0086040A"/>
    <w:rsid w:val="00860F7A"/>
    <w:rsid w:val="008613F3"/>
    <w:rsid w:val="0086245A"/>
    <w:rsid w:val="00862928"/>
    <w:rsid w:val="00862A03"/>
    <w:rsid w:val="00862B72"/>
    <w:rsid w:val="00862C61"/>
    <w:rsid w:val="00862CF2"/>
    <w:rsid w:val="00863AA1"/>
    <w:rsid w:val="00864DB7"/>
    <w:rsid w:val="00865276"/>
    <w:rsid w:val="00865C06"/>
    <w:rsid w:val="008665CB"/>
    <w:rsid w:val="00866D39"/>
    <w:rsid w:val="00866E21"/>
    <w:rsid w:val="00867000"/>
    <w:rsid w:val="00870764"/>
    <w:rsid w:val="00870B47"/>
    <w:rsid w:val="00871277"/>
    <w:rsid w:val="00871B41"/>
    <w:rsid w:val="00872DE0"/>
    <w:rsid w:val="00873893"/>
    <w:rsid w:val="00873C56"/>
    <w:rsid w:val="00873FD1"/>
    <w:rsid w:val="008744DD"/>
    <w:rsid w:val="00874952"/>
    <w:rsid w:val="00874E8E"/>
    <w:rsid w:val="0087533F"/>
    <w:rsid w:val="008754B4"/>
    <w:rsid w:val="00875791"/>
    <w:rsid w:val="008758CA"/>
    <w:rsid w:val="008762B3"/>
    <w:rsid w:val="008762C1"/>
    <w:rsid w:val="00877632"/>
    <w:rsid w:val="0087789D"/>
    <w:rsid w:val="00877C8A"/>
    <w:rsid w:val="00877CBC"/>
    <w:rsid w:val="00877E4B"/>
    <w:rsid w:val="00877FEF"/>
    <w:rsid w:val="00881387"/>
    <w:rsid w:val="008814E4"/>
    <w:rsid w:val="00882A42"/>
    <w:rsid w:val="008836AB"/>
    <w:rsid w:val="00883826"/>
    <w:rsid w:val="00883A9F"/>
    <w:rsid w:val="00884B0F"/>
    <w:rsid w:val="00884BFE"/>
    <w:rsid w:val="00884C29"/>
    <w:rsid w:val="00884C65"/>
    <w:rsid w:val="008850A5"/>
    <w:rsid w:val="008850FA"/>
    <w:rsid w:val="0088536E"/>
    <w:rsid w:val="008856D4"/>
    <w:rsid w:val="00886045"/>
    <w:rsid w:val="00886226"/>
    <w:rsid w:val="008919C9"/>
    <w:rsid w:val="00893180"/>
    <w:rsid w:val="008939F3"/>
    <w:rsid w:val="00893AAE"/>
    <w:rsid w:val="00894263"/>
    <w:rsid w:val="008942D3"/>
    <w:rsid w:val="008957E3"/>
    <w:rsid w:val="00897879"/>
    <w:rsid w:val="008A0D6B"/>
    <w:rsid w:val="008A1154"/>
    <w:rsid w:val="008A138C"/>
    <w:rsid w:val="008A1473"/>
    <w:rsid w:val="008A209D"/>
    <w:rsid w:val="008A21CF"/>
    <w:rsid w:val="008A283F"/>
    <w:rsid w:val="008A2BC3"/>
    <w:rsid w:val="008A31B9"/>
    <w:rsid w:val="008A4B14"/>
    <w:rsid w:val="008A56AA"/>
    <w:rsid w:val="008A67E5"/>
    <w:rsid w:val="008A6958"/>
    <w:rsid w:val="008A6D0B"/>
    <w:rsid w:val="008A6EF0"/>
    <w:rsid w:val="008A744B"/>
    <w:rsid w:val="008A78B9"/>
    <w:rsid w:val="008B0D8F"/>
    <w:rsid w:val="008B1787"/>
    <w:rsid w:val="008B19B0"/>
    <w:rsid w:val="008B1DBD"/>
    <w:rsid w:val="008B2231"/>
    <w:rsid w:val="008B289C"/>
    <w:rsid w:val="008B2E2E"/>
    <w:rsid w:val="008B4262"/>
    <w:rsid w:val="008B565C"/>
    <w:rsid w:val="008B5908"/>
    <w:rsid w:val="008B5BD0"/>
    <w:rsid w:val="008B64FF"/>
    <w:rsid w:val="008B7422"/>
    <w:rsid w:val="008B75FF"/>
    <w:rsid w:val="008B7E2D"/>
    <w:rsid w:val="008C0EE0"/>
    <w:rsid w:val="008C11EC"/>
    <w:rsid w:val="008C1482"/>
    <w:rsid w:val="008C183F"/>
    <w:rsid w:val="008C204E"/>
    <w:rsid w:val="008C287D"/>
    <w:rsid w:val="008C2FCE"/>
    <w:rsid w:val="008C3186"/>
    <w:rsid w:val="008C3869"/>
    <w:rsid w:val="008C4ADD"/>
    <w:rsid w:val="008C4CB5"/>
    <w:rsid w:val="008C4FEF"/>
    <w:rsid w:val="008C5375"/>
    <w:rsid w:val="008C55AF"/>
    <w:rsid w:val="008C5FE0"/>
    <w:rsid w:val="008C5FFB"/>
    <w:rsid w:val="008C6A94"/>
    <w:rsid w:val="008C7170"/>
    <w:rsid w:val="008C71E4"/>
    <w:rsid w:val="008C730F"/>
    <w:rsid w:val="008C7AA0"/>
    <w:rsid w:val="008C7AAD"/>
    <w:rsid w:val="008D0466"/>
    <w:rsid w:val="008D0C0F"/>
    <w:rsid w:val="008D0E59"/>
    <w:rsid w:val="008D0EA1"/>
    <w:rsid w:val="008D10AC"/>
    <w:rsid w:val="008D222A"/>
    <w:rsid w:val="008D3050"/>
    <w:rsid w:val="008D305E"/>
    <w:rsid w:val="008D35F8"/>
    <w:rsid w:val="008D3691"/>
    <w:rsid w:val="008D3CDC"/>
    <w:rsid w:val="008D4085"/>
    <w:rsid w:val="008D4EF5"/>
    <w:rsid w:val="008D55CE"/>
    <w:rsid w:val="008D55EC"/>
    <w:rsid w:val="008D5659"/>
    <w:rsid w:val="008D6870"/>
    <w:rsid w:val="008D6CD7"/>
    <w:rsid w:val="008D6D23"/>
    <w:rsid w:val="008D7050"/>
    <w:rsid w:val="008D7681"/>
    <w:rsid w:val="008D7AEB"/>
    <w:rsid w:val="008D7DEB"/>
    <w:rsid w:val="008E08D6"/>
    <w:rsid w:val="008E0DF1"/>
    <w:rsid w:val="008E1BDF"/>
    <w:rsid w:val="008E1EC1"/>
    <w:rsid w:val="008E2917"/>
    <w:rsid w:val="008E2BB8"/>
    <w:rsid w:val="008E36CD"/>
    <w:rsid w:val="008E3C9E"/>
    <w:rsid w:val="008E4BB6"/>
    <w:rsid w:val="008E5714"/>
    <w:rsid w:val="008E61B9"/>
    <w:rsid w:val="008E63A4"/>
    <w:rsid w:val="008E666D"/>
    <w:rsid w:val="008E66A6"/>
    <w:rsid w:val="008E6DF4"/>
    <w:rsid w:val="008E7163"/>
    <w:rsid w:val="008E723A"/>
    <w:rsid w:val="008E7E5F"/>
    <w:rsid w:val="008E7FF2"/>
    <w:rsid w:val="008F04DA"/>
    <w:rsid w:val="008F070B"/>
    <w:rsid w:val="008F0B2A"/>
    <w:rsid w:val="008F1446"/>
    <w:rsid w:val="008F1638"/>
    <w:rsid w:val="008F25B9"/>
    <w:rsid w:val="008F29F9"/>
    <w:rsid w:val="008F2DF6"/>
    <w:rsid w:val="008F3D49"/>
    <w:rsid w:val="008F3D99"/>
    <w:rsid w:val="008F41B8"/>
    <w:rsid w:val="008F46D3"/>
    <w:rsid w:val="008F50FD"/>
    <w:rsid w:val="008F70D3"/>
    <w:rsid w:val="008F719D"/>
    <w:rsid w:val="00900209"/>
    <w:rsid w:val="00900C90"/>
    <w:rsid w:val="00901468"/>
    <w:rsid w:val="009014C7"/>
    <w:rsid w:val="00901CAE"/>
    <w:rsid w:val="00901E43"/>
    <w:rsid w:val="00901EA3"/>
    <w:rsid w:val="00902674"/>
    <w:rsid w:val="0090344A"/>
    <w:rsid w:val="00903E28"/>
    <w:rsid w:val="009046B4"/>
    <w:rsid w:val="00904845"/>
    <w:rsid w:val="00904C53"/>
    <w:rsid w:val="00904F9D"/>
    <w:rsid w:val="0090556B"/>
    <w:rsid w:val="00905595"/>
    <w:rsid w:val="00905910"/>
    <w:rsid w:val="00905BC2"/>
    <w:rsid w:val="00905E59"/>
    <w:rsid w:val="00907CF5"/>
    <w:rsid w:val="009105CE"/>
    <w:rsid w:val="0091087E"/>
    <w:rsid w:val="00911944"/>
    <w:rsid w:val="00911A16"/>
    <w:rsid w:val="00912B21"/>
    <w:rsid w:val="00912BE9"/>
    <w:rsid w:val="009131EC"/>
    <w:rsid w:val="00913253"/>
    <w:rsid w:val="00913844"/>
    <w:rsid w:val="0091393F"/>
    <w:rsid w:val="00914F06"/>
    <w:rsid w:val="00915086"/>
    <w:rsid w:val="009151B5"/>
    <w:rsid w:val="00915A7C"/>
    <w:rsid w:val="00916BD5"/>
    <w:rsid w:val="00916EA6"/>
    <w:rsid w:val="009170A2"/>
    <w:rsid w:val="0091731A"/>
    <w:rsid w:val="00920185"/>
    <w:rsid w:val="009208D5"/>
    <w:rsid w:val="00920BC6"/>
    <w:rsid w:val="00920D1D"/>
    <w:rsid w:val="00920D87"/>
    <w:rsid w:val="00920F62"/>
    <w:rsid w:val="009213AA"/>
    <w:rsid w:val="00921A66"/>
    <w:rsid w:val="00921D13"/>
    <w:rsid w:val="0092247C"/>
    <w:rsid w:val="009227A8"/>
    <w:rsid w:val="00922E64"/>
    <w:rsid w:val="00923672"/>
    <w:rsid w:val="00923994"/>
    <w:rsid w:val="00923C4B"/>
    <w:rsid w:val="00923D7E"/>
    <w:rsid w:val="0092444B"/>
    <w:rsid w:val="0092460E"/>
    <w:rsid w:val="009253FE"/>
    <w:rsid w:val="00925B96"/>
    <w:rsid w:val="00925F05"/>
    <w:rsid w:val="0092647A"/>
    <w:rsid w:val="00926CBE"/>
    <w:rsid w:val="00927344"/>
    <w:rsid w:val="0092743A"/>
    <w:rsid w:val="00927771"/>
    <w:rsid w:val="00927C9E"/>
    <w:rsid w:val="00927CAE"/>
    <w:rsid w:val="00930ADF"/>
    <w:rsid w:val="00930F78"/>
    <w:rsid w:val="009313C3"/>
    <w:rsid w:val="00931504"/>
    <w:rsid w:val="00931AD8"/>
    <w:rsid w:val="00932567"/>
    <w:rsid w:val="009330FC"/>
    <w:rsid w:val="009336E9"/>
    <w:rsid w:val="009337ED"/>
    <w:rsid w:val="009343FD"/>
    <w:rsid w:val="00934D3A"/>
    <w:rsid w:val="0093518D"/>
    <w:rsid w:val="00935523"/>
    <w:rsid w:val="00935D1F"/>
    <w:rsid w:val="0093697E"/>
    <w:rsid w:val="00937FA3"/>
    <w:rsid w:val="0094140B"/>
    <w:rsid w:val="009417DC"/>
    <w:rsid w:val="009418FC"/>
    <w:rsid w:val="00941D33"/>
    <w:rsid w:val="009420C6"/>
    <w:rsid w:val="0094254C"/>
    <w:rsid w:val="00942556"/>
    <w:rsid w:val="00943B91"/>
    <w:rsid w:val="00943B97"/>
    <w:rsid w:val="00943D11"/>
    <w:rsid w:val="00944C71"/>
    <w:rsid w:val="00944DBF"/>
    <w:rsid w:val="00945001"/>
    <w:rsid w:val="0094535E"/>
    <w:rsid w:val="0094570B"/>
    <w:rsid w:val="009459BB"/>
    <w:rsid w:val="00946334"/>
    <w:rsid w:val="00946BD5"/>
    <w:rsid w:val="00947726"/>
    <w:rsid w:val="00947A6D"/>
    <w:rsid w:val="009503FD"/>
    <w:rsid w:val="00950C0A"/>
    <w:rsid w:val="00950E73"/>
    <w:rsid w:val="0095107E"/>
    <w:rsid w:val="00951AFF"/>
    <w:rsid w:val="00951D62"/>
    <w:rsid w:val="00951FCE"/>
    <w:rsid w:val="0095258D"/>
    <w:rsid w:val="0095309E"/>
    <w:rsid w:val="009530C4"/>
    <w:rsid w:val="0095358B"/>
    <w:rsid w:val="00953E44"/>
    <w:rsid w:val="00954926"/>
    <w:rsid w:val="00954A4D"/>
    <w:rsid w:val="00954A8F"/>
    <w:rsid w:val="009555CA"/>
    <w:rsid w:val="00955602"/>
    <w:rsid w:val="0095596B"/>
    <w:rsid w:val="00955A9E"/>
    <w:rsid w:val="00955AC6"/>
    <w:rsid w:val="0095719E"/>
    <w:rsid w:val="009578D3"/>
    <w:rsid w:val="00957F99"/>
    <w:rsid w:val="009613FD"/>
    <w:rsid w:val="009621CA"/>
    <w:rsid w:val="009624A2"/>
    <w:rsid w:val="00962807"/>
    <w:rsid w:val="00962B93"/>
    <w:rsid w:val="0096345E"/>
    <w:rsid w:val="00963AF4"/>
    <w:rsid w:val="00964212"/>
    <w:rsid w:val="00964E67"/>
    <w:rsid w:val="009659B9"/>
    <w:rsid w:val="00965EA9"/>
    <w:rsid w:val="009663D8"/>
    <w:rsid w:val="009666B7"/>
    <w:rsid w:val="00967821"/>
    <w:rsid w:val="009701EF"/>
    <w:rsid w:val="00970274"/>
    <w:rsid w:val="0097039F"/>
    <w:rsid w:val="009705D7"/>
    <w:rsid w:val="00972715"/>
    <w:rsid w:val="0097283F"/>
    <w:rsid w:val="00972B20"/>
    <w:rsid w:val="009730F0"/>
    <w:rsid w:val="009739F7"/>
    <w:rsid w:val="00973EF5"/>
    <w:rsid w:val="00974667"/>
    <w:rsid w:val="009747AB"/>
    <w:rsid w:val="0097487F"/>
    <w:rsid w:val="00975891"/>
    <w:rsid w:val="009759AC"/>
    <w:rsid w:val="009761C9"/>
    <w:rsid w:val="00976231"/>
    <w:rsid w:val="00976E81"/>
    <w:rsid w:val="00977AA4"/>
    <w:rsid w:val="00977B04"/>
    <w:rsid w:val="00980DFF"/>
    <w:rsid w:val="00981D2C"/>
    <w:rsid w:val="00982A70"/>
    <w:rsid w:val="00982C1D"/>
    <w:rsid w:val="00983013"/>
    <w:rsid w:val="00983741"/>
    <w:rsid w:val="00983968"/>
    <w:rsid w:val="00983C4B"/>
    <w:rsid w:val="00984845"/>
    <w:rsid w:val="00984FA9"/>
    <w:rsid w:val="0098518C"/>
    <w:rsid w:val="009851C0"/>
    <w:rsid w:val="009859C2"/>
    <w:rsid w:val="00985E48"/>
    <w:rsid w:val="0098756F"/>
    <w:rsid w:val="00987E7A"/>
    <w:rsid w:val="00990206"/>
    <w:rsid w:val="00991109"/>
    <w:rsid w:val="009911E7"/>
    <w:rsid w:val="0099155E"/>
    <w:rsid w:val="00991705"/>
    <w:rsid w:val="009919DC"/>
    <w:rsid w:val="00991B30"/>
    <w:rsid w:val="00991E85"/>
    <w:rsid w:val="00992322"/>
    <w:rsid w:val="009927CC"/>
    <w:rsid w:val="00992DB4"/>
    <w:rsid w:val="009932D4"/>
    <w:rsid w:val="00993718"/>
    <w:rsid w:val="00993D54"/>
    <w:rsid w:val="00994B75"/>
    <w:rsid w:val="00994BF5"/>
    <w:rsid w:val="0099588E"/>
    <w:rsid w:val="00996122"/>
    <w:rsid w:val="009961AC"/>
    <w:rsid w:val="009965EC"/>
    <w:rsid w:val="009966C7"/>
    <w:rsid w:val="00996765"/>
    <w:rsid w:val="00996942"/>
    <w:rsid w:val="00996CD2"/>
    <w:rsid w:val="009974E9"/>
    <w:rsid w:val="009A04C1"/>
    <w:rsid w:val="009A0564"/>
    <w:rsid w:val="009A1CEA"/>
    <w:rsid w:val="009A1D2B"/>
    <w:rsid w:val="009A1E25"/>
    <w:rsid w:val="009A266B"/>
    <w:rsid w:val="009A29BA"/>
    <w:rsid w:val="009A2C2D"/>
    <w:rsid w:val="009A4BDD"/>
    <w:rsid w:val="009A5374"/>
    <w:rsid w:val="009A55E9"/>
    <w:rsid w:val="009A5C21"/>
    <w:rsid w:val="009A5FF0"/>
    <w:rsid w:val="009A60F8"/>
    <w:rsid w:val="009A66FB"/>
    <w:rsid w:val="009A694F"/>
    <w:rsid w:val="009A69BB"/>
    <w:rsid w:val="009A7961"/>
    <w:rsid w:val="009A7A96"/>
    <w:rsid w:val="009A7B91"/>
    <w:rsid w:val="009A7F8F"/>
    <w:rsid w:val="009B0467"/>
    <w:rsid w:val="009B1804"/>
    <w:rsid w:val="009B196B"/>
    <w:rsid w:val="009B2370"/>
    <w:rsid w:val="009B2BB4"/>
    <w:rsid w:val="009B2D87"/>
    <w:rsid w:val="009B2E97"/>
    <w:rsid w:val="009B3151"/>
    <w:rsid w:val="009B3514"/>
    <w:rsid w:val="009B36DD"/>
    <w:rsid w:val="009B3700"/>
    <w:rsid w:val="009B3ECE"/>
    <w:rsid w:val="009B41C5"/>
    <w:rsid w:val="009B47B5"/>
    <w:rsid w:val="009B51CC"/>
    <w:rsid w:val="009B5D9E"/>
    <w:rsid w:val="009B6226"/>
    <w:rsid w:val="009B6417"/>
    <w:rsid w:val="009B6777"/>
    <w:rsid w:val="009B6D01"/>
    <w:rsid w:val="009B6D13"/>
    <w:rsid w:val="009B7678"/>
    <w:rsid w:val="009C0522"/>
    <w:rsid w:val="009C1D8A"/>
    <w:rsid w:val="009C2289"/>
    <w:rsid w:val="009C320F"/>
    <w:rsid w:val="009C345A"/>
    <w:rsid w:val="009C3AAF"/>
    <w:rsid w:val="009C4EC2"/>
    <w:rsid w:val="009C537C"/>
    <w:rsid w:val="009C5DD7"/>
    <w:rsid w:val="009C64EF"/>
    <w:rsid w:val="009C6E73"/>
    <w:rsid w:val="009C6F37"/>
    <w:rsid w:val="009C7094"/>
    <w:rsid w:val="009C7424"/>
    <w:rsid w:val="009C7F72"/>
    <w:rsid w:val="009D103D"/>
    <w:rsid w:val="009D1512"/>
    <w:rsid w:val="009D22B9"/>
    <w:rsid w:val="009D286C"/>
    <w:rsid w:val="009D2B0E"/>
    <w:rsid w:val="009D31DA"/>
    <w:rsid w:val="009D32D2"/>
    <w:rsid w:val="009D36E2"/>
    <w:rsid w:val="009D3E3E"/>
    <w:rsid w:val="009D4BB7"/>
    <w:rsid w:val="009D4E37"/>
    <w:rsid w:val="009D5C80"/>
    <w:rsid w:val="009D636E"/>
    <w:rsid w:val="009D6EAA"/>
    <w:rsid w:val="009D7A1E"/>
    <w:rsid w:val="009D7DF0"/>
    <w:rsid w:val="009E15AB"/>
    <w:rsid w:val="009E18EA"/>
    <w:rsid w:val="009E1C43"/>
    <w:rsid w:val="009E206A"/>
    <w:rsid w:val="009E25A5"/>
    <w:rsid w:val="009E35A5"/>
    <w:rsid w:val="009E36C6"/>
    <w:rsid w:val="009E39E0"/>
    <w:rsid w:val="009E3A5A"/>
    <w:rsid w:val="009E4367"/>
    <w:rsid w:val="009E56EC"/>
    <w:rsid w:val="009E5B4E"/>
    <w:rsid w:val="009E5C13"/>
    <w:rsid w:val="009E6462"/>
    <w:rsid w:val="009E7042"/>
    <w:rsid w:val="009F007F"/>
    <w:rsid w:val="009F04E4"/>
    <w:rsid w:val="009F0E73"/>
    <w:rsid w:val="009F16D9"/>
    <w:rsid w:val="009F18A4"/>
    <w:rsid w:val="009F18B4"/>
    <w:rsid w:val="009F19B5"/>
    <w:rsid w:val="009F1A5E"/>
    <w:rsid w:val="009F22D5"/>
    <w:rsid w:val="009F3350"/>
    <w:rsid w:val="009F33C9"/>
    <w:rsid w:val="009F3928"/>
    <w:rsid w:val="009F3EEC"/>
    <w:rsid w:val="009F3F87"/>
    <w:rsid w:val="009F4E9A"/>
    <w:rsid w:val="009F4F7F"/>
    <w:rsid w:val="009F5537"/>
    <w:rsid w:val="009F5914"/>
    <w:rsid w:val="009F5998"/>
    <w:rsid w:val="009F59BB"/>
    <w:rsid w:val="009F6798"/>
    <w:rsid w:val="009F680F"/>
    <w:rsid w:val="009F7057"/>
    <w:rsid w:val="009F7CF1"/>
    <w:rsid w:val="00A00309"/>
    <w:rsid w:val="00A00991"/>
    <w:rsid w:val="00A0117C"/>
    <w:rsid w:val="00A01718"/>
    <w:rsid w:val="00A01866"/>
    <w:rsid w:val="00A01A48"/>
    <w:rsid w:val="00A01E1A"/>
    <w:rsid w:val="00A032E9"/>
    <w:rsid w:val="00A033F9"/>
    <w:rsid w:val="00A04B42"/>
    <w:rsid w:val="00A053A4"/>
    <w:rsid w:val="00A05E06"/>
    <w:rsid w:val="00A06D76"/>
    <w:rsid w:val="00A06F95"/>
    <w:rsid w:val="00A070C7"/>
    <w:rsid w:val="00A07A3A"/>
    <w:rsid w:val="00A10234"/>
    <w:rsid w:val="00A103AC"/>
    <w:rsid w:val="00A1128A"/>
    <w:rsid w:val="00A11DA4"/>
    <w:rsid w:val="00A12FE7"/>
    <w:rsid w:val="00A13EE2"/>
    <w:rsid w:val="00A14170"/>
    <w:rsid w:val="00A141AA"/>
    <w:rsid w:val="00A14926"/>
    <w:rsid w:val="00A14D73"/>
    <w:rsid w:val="00A155EB"/>
    <w:rsid w:val="00A15DFA"/>
    <w:rsid w:val="00A17030"/>
    <w:rsid w:val="00A171EC"/>
    <w:rsid w:val="00A172A9"/>
    <w:rsid w:val="00A1735B"/>
    <w:rsid w:val="00A177B9"/>
    <w:rsid w:val="00A204E8"/>
    <w:rsid w:val="00A20A2D"/>
    <w:rsid w:val="00A215B8"/>
    <w:rsid w:val="00A21737"/>
    <w:rsid w:val="00A21A19"/>
    <w:rsid w:val="00A221A9"/>
    <w:rsid w:val="00A223F8"/>
    <w:rsid w:val="00A22469"/>
    <w:rsid w:val="00A22645"/>
    <w:rsid w:val="00A238E5"/>
    <w:rsid w:val="00A23C2E"/>
    <w:rsid w:val="00A241F0"/>
    <w:rsid w:val="00A244B2"/>
    <w:rsid w:val="00A246B7"/>
    <w:rsid w:val="00A247E6"/>
    <w:rsid w:val="00A255E3"/>
    <w:rsid w:val="00A2578C"/>
    <w:rsid w:val="00A258BE"/>
    <w:rsid w:val="00A25FFE"/>
    <w:rsid w:val="00A2678A"/>
    <w:rsid w:val="00A26842"/>
    <w:rsid w:val="00A27FB1"/>
    <w:rsid w:val="00A3049B"/>
    <w:rsid w:val="00A31393"/>
    <w:rsid w:val="00A31B32"/>
    <w:rsid w:val="00A32876"/>
    <w:rsid w:val="00A32B02"/>
    <w:rsid w:val="00A32DA0"/>
    <w:rsid w:val="00A32E20"/>
    <w:rsid w:val="00A33E38"/>
    <w:rsid w:val="00A3455C"/>
    <w:rsid w:val="00A3472D"/>
    <w:rsid w:val="00A34BB7"/>
    <w:rsid w:val="00A3503A"/>
    <w:rsid w:val="00A3548D"/>
    <w:rsid w:val="00A35FF1"/>
    <w:rsid w:val="00A36AAA"/>
    <w:rsid w:val="00A36D83"/>
    <w:rsid w:val="00A36E8B"/>
    <w:rsid w:val="00A37380"/>
    <w:rsid w:val="00A3768F"/>
    <w:rsid w:val="00A3784D"/>
    <w:rsid w:val="00A37DFF"/>
    <w:rsid w:val="00A40296"/>
    <w:rsid w:val="00A404B8"/>
    <w:rsid w:val="00A407DD"/>
    <w:rsid w:val="00A40BFB"/>
    <w:rsid w:val="00A415C7"/>
    <w:rsid w:val="00A42E78"/>
    <w:rsid w:val="00A43203"/>
    <w:rsid w:val="00A43693"/>
    <w:rsid w:val="00A43A32"/>
    <w:rsid w:val="00A43F99"/>
    <w:rsid w:val="00A45162"/>
    <w:rsid w:val="00A45439"/>
    <w:rsid w:val="00A4550B"/>
    <w:rsid w:val="00A4564C"/>
    <w:rsid w:val="00A45C56"/>
    <w:rsid w:val="00A46045"/>
    <w:rsid w:val="00A4621F"/>
    <w:rsid w:val="00A46967"/>
    <w:rsid w:val="00A47EAF"/>
    <w:rsid w:val="00A50513"/>
    <w:rsid w:val="00A50CF7"/>
    <w:rsid w:val="00A52297"/>
    <w:rsid w:val="00A52510"/>
    <w:rsid w:val="00A529C5"/>
    <w:rsid w:val="00A53244"/>
    <w:rsid w:val="00A535CA"/>
    <w:rsid w:val="00A53693"/>
    <w:rsid w:val="00A53860"/>
    <w:rsid w:val="00A53ED0"/>
    <w:rsid w:val="00A5402D"/>
    <w:rsid w:val="00A54E33"/>
    <w:rsid w:val="00A54F2D"/>
    <w:rsid w:val="00A55808"/>
    <w:rsid w:val="00A55ADF"/>
    <w:rsid w:val="00A55B37"/>
    <w:rsid w:val="00A565B2"/>
    <w:rsid w:val="00A56EA6"/>
    <w:rsid w:val="00A57203"/>
    <w:rsid w:val="00A57417"/>
    <w:rsid w:val="00A57635"/>
    <w:rsid w:val="00A5766A"/>
    <w:rsid w:val="00A57E36"/>
    <w:rsid w:val="00A6008C"/>
    <w:rsid w:val="00A60461"/>
    <w:rsid w:val="00A60880"/>
    <w:rsid w:val="00A6130C"/>
    <w:rsid w:val="00A61485"/>
    <w:rsid w:val="00A61A62"/>
    <w:rsid w:val="00A62783"/>
    <w:rsid w:val="00A644E6"/>
    <w:rsid w:val="00A64823"/>
    <w:rsid w:val="00A648C6"/>
    <w:rsid w:val="00A64BFB"/>
    <w:rsid w:val="00A64ECB"/>
    <w:rsid w:val="00A6508D"/>
    <w:rsid w:val="00A65122"/>
    <w:rsid w:val="00A658F7"/>
    <w:rsid w:val="00A66AE3"/>
    <w:rsid w:val="00A66EB5"/>
    <w:rsid w:val="00A67739"/>
    <w:rsid w:val="00A70730"/>
    <w:rsid w:val="00A70F53"/>
    <w:rsid w:val="00A714A7"/>
    <w:rsid w:val="00A71731"/>
    <w:rsid w:val="00A719D8"/>
    <w:rsid w:val="00A7234E"/>
    <w:rsid w:val="00A72BE8"/>
    <w:rsid w:val="00A75722"/>
    <w:rsid w:val="00A75F96"/>
    <w:rsid w:val="00A761DD"/>
    <w:rsid w:val="00A77711"/>
    <w:rsid w:val="00A77AD8"/>
    <w:rsid w:val="00A80BA4"/>
    <w:rsid w:val="00A81118"/>
    <w:rsid w:val="00A81241"/>
    <w:rsid w:val="00A81A07"/>
    <w:rsid w:val="00A8287D"/>
    <w:rsid w:val="00A82A8D"/>
    <w:rsid w:val="00A83796"/>
    <w:rsid w:val="00A83D3E"/>
    <w:rsid w:val="00A85162"/>
    <w:rsid w:val="00A85F7B"/>
    <w:rsid w:val="00A86880"/>
    <w:rsid w:val="00A870CC"/>
    <w:rsid w:val="00A872C6"/>
    <w:rsid w:val="00A87885"/>
    <w:rsid w:val="00A87F12"/>
    <w:rsid w:val="00A90356"/>
    <w:rsid w:val="00A90F57"/>
    <w:rsid w:val="00A922F2"/>
    <w:rsid w:val="00A923C0"/>
    <w:rsid w:val="00A92B21"/>
    <w:rsid w:val="00A93226"/>
    <w:rsid w:val="00A93B3F"/>
    <w:rsid w:val="00A93ECC"/>
    <w:rsid w:val="00A943EB"/>
    <w:rsid w:val="00A94C10"/>
    <w:rsid w:val="00A95589"/>
    <w:rsid w:val="00A956F3"/>
    <w:rsid w:val="00A960DB"/>
    <w:rsid w:val="00A96154"/>
    <w:rsid w:val="00A966B9"/>
    <w:rsid w:val="00A97650"/>
    <w:rsid w:val="00A977EA"/>
    <w:rsid w:val="00A97E58"/>
    <w:rsid w:val="00AA01EC"/>
    <w:rsid w:val="00AA03FF"/>
    <w:rsid w:val="00AA0766"/>
    <w:rsid w:val="00AA0B9A"/>
    <w:rsid w:val="00AA0C62"/>
    <w:rsid w:val="00AA147A"/>
    <w:rsid w:val="00AA1891"/>
    <w:rsid w:val="00AA1CEF"/>
    <w:rsid w:val="00AA1D2D"/>
    <w:rsid w:val="00AA1F3E"/>
    <w:rsid w:val="00AA2265"/>
    <w:rsid w:val="00AA31D2"/>
    <w:rsid w:val="00AA33B1"/>
    <w:rsid w:val="00AA45C8"/>
    <w:rsid w:val="00AA4AD5"/>
    <w:rsid w:val="00AA69AC"/>
    <w:rsid w:val="00AA6F86"/>
    <w:rsid w:val="00AA73E8"/>
    <w:rsid w:val="00AA75E4"/>
    <w:rsid w:val="00AA764D"/>
    <w:rsid w:val="00AB0547"/>
    <w:rsid w:val="00AB0720"/>
    <w:rsid w:val="00AB0DA1"/>
    <w:rsid w:val="00AB1949"/>
    <w:rsid w:val="00AB2B30"/>
    <w:rsid w:val="00AB2F71"/>
    <w:rsid w:val="00AB3056"/>
    <w:rsid w:val="00AB30BE"/>
    <w:rsid w:val="00AB4A27"/>
    <w:rsid w:val="00AB4E32"/>
    <w:rsid w:val="00AB512D"/>
    <w:rsid w:val="00AB51DD"/>
    <w:rsid w:val="00AB5AE1"/>
    <w:rsid w:val="00AB6E51"/>
    <w:rsid w:val="00AB6FA1"/>
    <w:rsid w:val="00AB7743"/>
    <w:rsid w:val="00AB7AA8"/>
    <w:rsid w:val="00AC06C7"/>
    <w:rsid w:val="00AC1023"/>
    <w:rsid w:val="00AC2231"/>
    <w:rsid w:val="00AC23F7"/>
    <w:rsid w:val="00AC2F41"/>
    <w:rsid w:val="00AC35C5"/>
    <w:rsid w:val="00AC3745"/>
    <w:rsid w:val="00AC3D99"/>
    <w:rsid w:val="00AC42AE"/>
    <w:rsid w:val="00AC46EB"/>
    <w:rsid w:val="00AC46EF"/>
    <w:rsid w:val="00AC49CC"/>
    <w:rsid w:val="00AC4F0F"/>
    <w:rsid w:val="00AC5108"/>
    <w:rsid w:val="00AC59C3"/>
    <w:rsid w:val="00AC6471"/>
    <w:rsid w:val="00AC74F6"/>
    <w:rsid w:val="00AD1AAF"/>
    <w:rsid w:val="00AD1B14"/>
    <w:rsid w:val="00AD1C1C"/>
    <w:rsid w:val="00AD2B1C"/>
    <w:rsid w:val="00AD2D65"/>
    <w:rsid w:val="00AD2D86"/>
    <w:rsid w:val="00AD2DE6"/>
    <w:rsid w:val="00AD30D1"/>
    <w:rsid w:val="00AD3182"/>
    <w:rsid w:val="00AD343E"/>
    <w:rsid w:val="00AD46B2"/>
    <w:rsid w:val="00AD4A73"/>
    <w:rsid w:val="00AD4BA9"/>
    <w:rsid w:val="00AD618E"/>
    <w:rsid w:val="00AD6847"/>
    <w:rsid w:val="00AD69F8"/>
    <w:rsid w:val="00AD74ED"/>
    <w:rsid w:val="00AD7588"/>
    <w:rsid w:val="00AD79F7"/>
    <w:rsid w:val="00AD7C50"/>
    <w:rsid w:val="00AE13DE"/>
    <w:rsid w:val="00AE19AB"/>
    <w:rsid w:val="00AE1EF2"/>
    <w:rsid w:val="00AE2290"/>
    <w:rsid w:val="00AE29D2"/>
    <w:rsid w:val="00AE2DBD"/>
    <w:rsid w:val="00AE2E75"/>
    <w:rsid w:val="00AE2EBB"/>
    <w:rsid w:val="00AE3972"/>
    <w:rsid w:val="00AE3C76"/>
    <w:rsid w:val="00AE40F1"/>
    <w:rsid w:val="00AE4202"/>
    <w:rsid w:val="00AE43FB"/>
    <w:rsid w:val="00AE5BC2"/>
    <w:rsid w:val="00AE66E9"/>
    <w:rsid w:val="00AE6734"/>
    <w:rsid w:val="00AE707B"/>
    <w:rsid w:val="00AE7D83"/>
    <w:rsid w:val="00AF0014"/>
    <w:rsid w:val="00AF075B"/>
    <w:rsid w:val="00AF1160"/>
    <w:rsid w:val="00AF203F"/>
    <w:rsid w:val="00AF20D3"/>
    <w:rsid w:val="00AF2298"/>
    <w:rsid w:val="00AF23F3"/>
    <w:rsid w:val="00AF26EA"/>
    <w:rsid w:val="00AF2896"/>
    <w:rsid w:val="00AF45F3"/>
    <w:rsid w:val="00AF4EE8"/>
    <w:rsid w:val="00AF4FEC"/>
    <w:rsid w:val="00AF53C8"/>
    <w:rsid w:val="00AF5814"/>
    <w:rsid w:val="00AF5A98"/>
    <w:rsid w:val="00AF6632"/>
    <w:rsid w:val="00AF6E72"/>
    <w:rsid w:val="00AF7208"/>
    <w:rsid w:val="00B00887"/>
    <w:rsid w:val="00B01351"/>
    <w:rsid w:val="00B01630"/>
    <w:rsid w:val="00B018D2"/>
    <w:rsid w:val="00B01EEC"/>
    <w:rsid w:val="00B02A5C"/>
    <w:rsid w:val="00B02E83"/>
    <w:rsid w:val="00B0344C"/>
    <w:rsid w:val="00B04329"/>
    <w:rsid w:val="00B05513"/>
    <w:rsid w:val="00B05A58"/>
    <w:rsid w:val="00B06408"/>
    <w:rsid w:val="00B06560"/>
    <w:rsid w:val="00B072A9"/>
    <w:rsid w:val="00B10459"/>
    <w:rsid w:val="00B10F6B"/>
    <w:rsid w:val="00B11059"/>
    <w:rsid w:val="00B11A97"/>
    <w:rsid w:val="00B11B42"/>
    <w:rsid w:val="00B11F7B"/>
    <w:rsid w:val="00B12354"/>
    <w:rsid w:val="00B13ACF"/>
    <w:rsid w:val="00B13C73"/>
    <w:rsid w:val="00B13EB2"/>
    <w:rsid w:val="00B13FF7"/>
    <w:rsid w:val="00B14237"/>
    <w:rsid w:val="00B144FC"/>
    <w:rsid w:val="00B1538C"/>
    <w:rsid w:val="00B1565B"/>
    <w:rsid w:val="00B15D57"/>
    <w:rsid w:val="00B16625"/>
    <w:rsid w:val="00B166BD"/>
    <w:rsid w:val="00B16700"/>
    <w:rsid w:val="00B17311"/>
    <w:rsid w:val="00B1760B"/>
    <w:rsid w:val="00B17A8D"/>
    <w:rsid w:val="00B17C46"/>
    <w:rsid w:val="00B17D97"/>
    <w:rsid w:val="00B200D9"/>
    <w:rsid w:val="00B203BE"/>
    <w:rsid w:val="00B2104E"/>
    <w:rsid w:val="00B21178"/>
    <w:rsid w:val="00B21A02"/>
    <w:rsid w:val="00B221E7"/>
    <w:rsid w:val="00B222A0"/>
    <w:rsid w:val="00B22805"/>
    <w:rsid w:val="00B2309E"/>
    <w:rsid w:val="00B23638"/>
    <w:rsid w:val="00B23B40"/>
    <w:rsid w:val="00B246B7"/>
    <w:rsid w:val="00B247EC"/>
    <w:rsid w:val="00B24A6B"/>
    <w:rsid w:val="00B24B04"/>
    <w:rsid w:val="00B25269"/>
    <w:rsid w:val="00B252F6"/>
    <w:rsid w:val="00B255A5"/>
    <w:rsid w:val="00B2582E"/>
    <w:rsid w:val="00B259AF"/>
    <w:rsid w:val="00B2614E"/>
    <w:rsid w:val="00B26615"/>
    <w:rsid w:val="00B26BC1"/>
    <w:rsid w:val="00B26C21"/>
    <w:rsid w:val="00B273D3"/>
    <w:rsid w:val="00B31211"/>
    <w:rsid w:val="00B31E4E"/>
    <w:rsid w:val="00B326E3"/>
    <w:rsid w:val="00B32AB1"/>
    <w:rsid w:val="00B32CA6"/>
    <w:rsid w:val="00B3326C"/>
    <w:rsid w:val="00B33A90"/>
    <w:rsid w:val="00B33B89"/>
    <w:rsid w:val="00B341C8"/>
    <w:rsid w:val="00B34302"/>
    <w:rsid w:val="00B343D0"/>
    <w:rsid w:val="00B348C5"/>
    <w:rsid w:val="00B34CA0"/>
    <w:rsid w:val="00B352BC"/>
    <w:rsid w:val="00B3536D"/>
    <w:rsid w:val="00B3546E"/>
    <w:rsid w:val="00B3565D"/>
    <w:rsid w:val="00B3567F"/>
    <w:rsid w:val="00B35942"/>
    <w:rsid w:val="00B36CE3"/>
    <w:rsid w:val="00B36DF4"/>
    <w:rsid w:val="00B37FF2"/>
    <w:rsid w:val="00B419B5"/>
    <w:rsid w:val="00B41C2F"/>
    <w:rsid w:val="00B41C9C"/>
    <w:rsid w:val="00B424D0"/>
    <w:rsid w:val="00B42D8F"/>
    <w:rsid w:val="00B431C2"/>
    <w:rsid w:val="00B4344F"/>
    <w:rsid w:val="00B438BB"/>
    <w:rsid w:val="00B43B68"/>
    <w:rsid w:val="00B4476F"/>
    <w:rsid w:val="00B44CFD"/>
    <w:rsid w:val="00B44E59"/>
    <w:rsid w:val="00B44EBB"/>
    <w:rsid w:val="00B453B1"/>
    <w:rsid w:val="00B453F2"/>
    <w:rsid w:val="00B454FE"/>
    <w:rsid w:val="00B45A8D"/>
    <w:rsid w:val="00B45A97"/>
    <w:rsid w:val="00B46982"/>
    <w:rsid w:val="00B46B78"/>
    <w:rsid w:val="00B46BD6"/>
    <w:rsid w:val="00B46C9B"/>
    <w:rsid w:val="00B470B9"/>
    <w:rsid w:val="00B477C4"/>
    <w:rsid w:val="00B47EF7"/>
    <w:rsid w:val="00B47F00"/>
    <w:rsid w:val="00B50169"/>
    <w:rsid w:val="00B51B4A"/>
    <w:rsid w:val="00B51DC0"/>
    <w:rsid w:val="00B52FA9"/>
    <w:rsid w:val="00B5314B"/>
    <w:rsid w:val="00B533ED"/>
    <w:rsid w:val="00B536C1"/>
    <w:rsid w:val="00B538D4"/>
    <w:rsid w:val="00B53B71"/>
    <w:rsid w:val="00B53F9B"/>
    <w:rsid w:val="00B548E4"/>
    <w:rsid w:val="00B54A65"/>
    <w:rsid w:val="00B54B0A"/>
    <w:rsid w:val="00B54B30"/>
    <w:rsid w:val="00B54F17"/>
    <w:rsid w:val="00B55FAD"/>
    <w:rsid w:val="00B5615E"/>
    <w:rsid w:val="00B56DC5"/>
    <w:rsid w:val="00B57056"/>
    <w:rsid w:val="00B57652"/>
    <w:rsid w:val="00B57945"/>
    <w:rsid w:val="00B57C29"/>
    <w:rsid w:val="00B57E0E"/>
    <w:rsid w:val="00B57E85"/>
    <w:rsid w:val="00B61075"/>
    <w:rsid w:val="00B611DD"/>
    <w:rsid w:val="00B612B5"/>
    <w:rsid w:val="00B617D6"/>
    <w:rsid w:val="00B619FA"/>
    <w:rsid w:val="00B61C01"/>
    <w:rsid w:val="00B61D05"/>
    <w:rsid w:val="00B621FD"/>
    <w:rsid w:val="00B62497"/>
    <w:rsid w:val="00B62520"/>
    <w:rsid w:val="00B627D9"/>
    <w:rsid w:val="00B62A20"/>
    <w:rsid w:val="00B62B66"/>
    <w:rsid w:val="00B62EB1"/>
    <w:rsid w:val="00B6305F"/>
    <w:rsid w:val="00B63546"/>
    <w:rsid w:val="00B637E6"/>
    <w:rsid w:val="00B646DA"/>
    <w:rsid w:val="00B6481E"/>
    <w:rsid w:val="00B64EDA"/>
    <w:rsid w:val="00B65218"/>
    <w:rsid w:val="00B65630"/>
    <w:rsid w:val="00B65996"/>
    <w:rsid w:val="00B65BA2"/>
    <w:rsid w:val="00B65E66"/>
    <w:rsid w:val="00B65FD3"/>
    <w:rsid w:val="00B661BD"/>
    <w:rsid w:val="00B6711E"/>
    <w:rsid w:val="00B67954"/>
    <w:rsid w:val="00B679BC"/>
    <w:rsid w:val="00B67C41"/>
    <w:rsid w:val="00B7000A"/>
    <w:rsid w:val="00B701C1"/>
    <w:rsid w:val="00B705C5"/>
    <w:rsid w:val="00B70FDD"/>
    <w:rsid w:val="00B71B4F"/>
    <w:rsid w:val="00B71C6B"/>
    <w:rsid w:val="00B71FCD"/>
    <w:rsid w:val="00B72633"/>
    <w:rsid w:val="00B7282C"/>
    <w:rsid w:val="00B72870"/>
    <w:rsid w:val="00B74079"/>
    <w:rsid w:val="00B7495D"/>
    <w:rsid w:val="00B74981"/>
    <w:rsid w:val="00B749F3"/>
    <w:rsid w:val="00B7537F"/>
    <w:rsid w:val="00B75FBF"/>
    <w:rsid w:val="00B76189"/>
    <w:rsid w:val="00B779F0"/>
    <w:rsid w:val="00B77A54"/>
    <w:rsid w:val="00B801C3"/>
    <w:rsid w:val="00B809BE"/>
    <w:rsid w:val="00B80F08"/>
    <w:rsid w:val="00B8195F"/>
    <w:rsid w:val="00B82D65"/>
    <w:rsid w:val="00B8368B"/>
    <w:rsid w:val="00B843F6"/>
    <w:rsid w:val="00B84CAC"/>
    <w:rsid w:val="00B8554D"/>
    <w:rsid w:val="00B86853"/>
    <w:rsid w:val="00B8776D"/>
    <w:rsid w:val="00B878A7"/>
    <w:rsid w:val="00B87E71"/>
    <w:rsid w:val="00B9028F"/>
    <w:rsid w:val="00B908C8"/>
    <w:rsid w:val="00B90CCD"/>
    <w:rsid w:val="00B910C8"/>
    <w:rsid w:val="00B9196A"/>
    <w:rsid w:val="00B91C1B"/>
    <w:rsid w:val="00B9201B"/>
    <w:rsid w:val="00B925FA"/>
    <w:rsid w:val="00B92F30"/>
    <w:rsid w:val="00B937F0"/>
    <w:rsid w:val="00B93B0D"/>
    <w:rsid w:val="00B93BCB"/>
    <w:rsid w:val="00B94A7F"/>
    <w:rsid w:val="00B95669"/>
    <w:rsid w:val="00B9580E"/>
    <w:rsid w:val="00B96051"/>
    <w:rsid w:val="00B96858"/>
    <w:rsid w:val="00B97444"/>
    <w:rsid w:val="00B979D7"/>
    <w:rsid w:val="00BA00A7"/>
    <w:rsid w:val="00BA045E"/>
    <w:rsid w:val="00BA04D1"/>
    <w:rsid w:val="00BA123F"/>
    <w:rsid w:val="00BA24D8"/>
    <w:rsid w:val="00BA3481"/>
    <w:rsid w:val="00BA3794"/>
    <w:rsid w:val="00BA3882"/>
    <w:rsid w:val="00BA461F"/>
    <w:rsid w:val="00BA4792"/>
    <w:rsid w:val="00BA4DAF"/>
    <w:rsid w:val="00BA5B09"/>
    <w:rsid w:val="00BA6965"/>
    <w:rsid w:val="00BA7949"/>
    <w:rsid w:val="00BA7A85"/>
    <w:rsid w:val="00BA7F0E"/>
    <w:rsid w:val="00BB0024"/>
    <w:rsid w:val="00BB021B"/>
    <w:rsid w:val="00BB09DD"/>
    <w:rsid w:val="00BB0CE9"/>
    <w:rsid w:val="00BB0F82"/>
    <w:rsid w:val="00BB1419"/>
    <w:rsid w:val="00BB14FD"/>
    <w:rsid w:val="00BB1AEB"/>
    <w:rsid w:val="00BB272F"/>
    <w:rsid w:val="00BB32E8"/>
    <w:rsid w:val="00BB3A84"/>
    <w:rsid w:val="00BB432D"/>
    <w:rsid w:val="00BB46D4"/>
    <w:rsid w:val="00BB4828"/>
    <w:rsid w:val="00BB4B2F"/>
    <w:rsid w:val="00BB56CC"/>
    <w:rsid w:val="00BB7B09"/>
    <w:rsid w:val="00BC00F6"/>
    <w:rsid w:val="00BC0FE3"/>
    <w:rsid w:val="00BC1E40"/>
    <w:rsid w:val="00BC202A"/>
    <w:rsid w:val="00BC250B"/>
    <w:rsid w:val="00BC2D71"/>
    <w:rsid w:val="00BC3345"/>
    <w:rsid w:val="00BC48B3"/>
    <w:rsid w:val="00BC49E9"/>
    <w:rsid w:val="00BC5CDA"/>
    <w:rsid w:val="00BC6326"/>
    <w:rsid w:val="00BC6A15"/>
    <w:rsid w:val="00BC6DD6"/>
    <w:rsid w:val="00BC741F"/>
    <w:rsid w:val="00BC75C0"/>
    <w:rsid w:val="00BC79D7"/>
    <w:rsid w:val="00BC7F89"/>
    <w:rsid w:val="00BD0760"/>
    <w:rsid w:val="00BD0CEC"/>
    <w:rsid w:val="00BD0F59"/>
    <w:rsid w:val="00BD13B3"/>
    <w:rsid w:val="00BD1628"/>
    <w:rsid w:val="00BD1A57"/>
    <w:rsid w:val="00BD1E2D"/>
    <w:rsid w:val="00BD28FA"/>
    <w:rsid w:val="00BD39F2"/>
    <w:rsid w:val="00BD3AFC"/>
    <w:rsid w:val="00BD40BB"/>
    <w:rsid w:val="00BD4BA2"/>
    <w:rsid w:val="00BD4C1C"/>
    <w:rsid w:val="00BD514E"/>
    <w:rsid w:val="00BD661E"/>
    <w:rsid w:val="00BD6929"/>
    <w:rsid w:val="00BD7B65"/>
    <w:rsid w:val="00BE09F1"/>
    <w:rsid w:val="00BE112E"/>
    <w:rsid w:val="00BE1130"/>
    <w:rsid w:val="00BE1870"/>
    <w:rsid w:val="00BE1BC1"/>
    <w:rsid w:val="00BE230C"/>
    <w:rsid w:val="00BE23FE"/>
    <w:rsid w:val="00BE25E3"/>
    <w:rsid w:val="00BE2AC1"/>
    <w:rsid w:val="00BE307A"/>
    <w:rsid w:val="00BE39FB"/>
    <w:rsid w:val="00BE3C26"/>
    <w:rsid w:val="00BE4607"/>
    <w:rsid w:val="00BE48F5"/>
    <w:rsid w:val="00BE54AD"/>
    <w:rsid w:val="00BE5634"/>
    <w:rsid w:val="00BE58FC"/>
    <w:rsid w:val="00BE5D44"/>
    <w:rsid w:val="00BE6000"/>
    <w:rsid w:val="00BE6CBE"/>
    <w:rsid w:val="00BE7262"/>
    <w:rsid w:val="00BE7BBB"/>
    <w:rsid w:val="00BE7CBE"/>
    <w:rsid w:val="00BE7F6B"/>
    <w:rsid w:val="00BF060C"/>
    <w:rsid w:val="00BF095A"/>
    <w:rsid w:val="00BF0CF3"/>
    <w:rsid w:val="00BF0E4F"/>
    <w:rsid w:val="00BF137A"/>
    <w:rsid w:val="00BF2047"/>
    <w:rsid w:val="00BF2386"/>
    <w:rsid w:val="00BF2400"/>
    <w:rsid w:val="00BF281F"/>
    <w:rsid w:val="00BF2EDE"/>
    <w:rsid w:val="00BF378E"/>
    <w:rsid w:val="00BF3A66"/>
    <w:rsid w:val="00BF3C0D"/>
    <w:rsid w:val="00BF3D04"/>
    <w:rsid w:val="00BF4076"/>
    <w:rsid w:val="00BF4367"/>
    <w:rsid w:val="00BF4D97"/>
    <w:rsid w:val="00BF62DE"/>
    <w:rsid w:val="00BF63FB"/>
    <w:rsid w:val="00BF68A7"/>
    <w:rsid w:val="00BF6BAB"/>
    <w:rsid w:val="00BF75DF"/>
    <w:rsid w:val="00BF77E0"/>
    <w:rsid w:val="00C00027"/>
    <w:rsid w:val="00C00F85"/>
    <w:rsid w:val="00C01B0A"/>
    <w:rsid w:val="00C0349B"/>
    <w:rsid w:val="00C03CB6"/>
    <w:rsid w:val="00C0538C"/>
    <w:rsid w:val="00C055BB"/>
    <w:rsid w:val="00C056D7"/>
    <w:rsid w:val="00C05706"/>
    <w:rsid w:val="00C05F9D"/>
    <w:rsid w:val="00C0740F"/>
    <w:rsid w:val="00C07A43"/>
    <w:rsid w:val="00C10DB5"/>
    <w:rsid w:val="00C113FD"/>
    <w:rsid w:val="00C11869"/>
    <w:rsid w:val="00C11C27"/>
    <w:rsid w:val="00C12741"/>
    <w:rsid w:val="00C13F6E"/>
    <w:rsid w:val="00C1448E"/>
    <w:rsid w:val="00C14629"/>
    <w:rsid w:val="00C147B2"/>
    <w:rsid w:val="00C15F2E"/>
    <w:rsid w:val="00C16067"/>
    <w:rsid w:val="00C161D3"/>
    <w:rsid w:val="00C165E4"/>
    <w:rsid w:val="00C16708"/>
    <w:rsid w:val="00C16832"/>
    <w:rsid w:val="00C16A01"/>
    <w:rsid w:val="00C16A41"/>
    <w:rsid w:val="00C16BB2"/>
    <w:rsid w:val="00C16CB7"/>
    <w:rsid w:val="00C16ECF"/>
    <w:rsid w:val="00C17713"/>
    <w:rsid w:val="00C20494"/>
    <w:rsid w:val="00C207CC"/>
    <w:rsid w:val="00C2095C"/>
    <w:rsid w:val="00C20CF3"/>
    <w:rsid w:val="00C21666"/>
    <w:rsid w:val="00C22279"/>
    <w:rsid w:val="00C228C7"/>
    <w:rsid w:val="00C23591"/>
    <w:rsid w:val="00C2381C"/>
    <w:rsid w:val="00C23EF4"/>
    <w:rsid w:val="00C24A5A"/>
    <w:rsid w:val="00C24AA7"/>
    <w:rsid w:val="00C258F0"/>
    <w:rsid w:val="00C25E83"/>
    <w:rsid w:val="00C25F45"/>
    <w:rsid w:val="00C260A4"/>
    <w:rsid w:val="00C26502"/>
    <w:rsid w:val="00C26ABA"/>
    <w:rsid w:val="00C26AE8"/>
    <w:rsid w:val="00C30118"/>
    <w:rsid w:val="00C31EA5"/>
    <w:rsid w:val="00C321A1"/>
    <w:rsid w:val="00C32262"/>
    <w:rsid w:val="00C32536"/>
    <w:rsid w:val="00C328C6"/>
    <w:rsid w:val="00C32ADC"/>
    <w:rsid w:val="00C32EE7"/>
    <w:rsid w:val="00C33CE3"/>
    <w:rsid w:val="00C34273"/>
    <w:rsid w:val="00C34609"/>
    <w:rsid w:val="00C34B03"/>
    <w:rsid w:val="00C34C68"/>
    <w:rsid w:val="00C355AC"/>
    <w:rsid w:val="00C35990"/>
    <w:rsid w:val="00C35B56"/>
    <w:rsid w:val="00C363BD"/>
    <w:rsid w:val="00C36F01"/>
    <w:rsid w:val="00C3750F"/>
    <w:rsid w:val="00C379F0"/>
    <w:rsid w:val="00C40325"/>
    <w:rsid w:val="00C40364"/>
    <w:rsid w:val="00C40854"/>
    <w:rsid w:val="00C412A7"/>
    <w:rsid w:val="00C416F2"/>
    <w:rsid w:val="00C41FD7"/>
    <w:rsid w:val="00C42038"/>
    <w:rsid w:val="00C42347"/>
    <w:rsid w:val="00C42B2E"/>
    <w:rsid w:val="00C43207"/>
    <w:rsid w:val="00C4351C"/>
    <w:rsid w:val="00C43E4A"/>
    <w:rsid w:val="00C4455A"/>
    <w:rsid w:val="00C44852"/>
    <w:rsid w:val="00C44CEB"/>
    <w:rsid w:val="00C45273"/>
    <w:rsid w:val="00C45A98"/>
    <w:rsid w:val="00C45BC5"/>
    <w:rsid w:val="00C46210"/>
    <w:rsid w:val="00C46239"/>
    <w:rsid w:val="00C47051"/>
    <w:rsid w:val="00C475A8"/>
    <w:rsid w:val="00C47E30"/>
    <w:rsid w:val="00C507C5"/>
    <w:rsid w:val="00C51036"/>
    <w:rsid w:val="00C5137F"/>
    <w:rsid w:val="00C515CB"/>
    <w:rsid w:val="00C51B6C"/>
    <w:rsid w:val="00C51C07"/>
    <w:rsid w:val="00C527FA"/>
    <w:rsid w:val="00C53713"/>
    <w:rsid w:val="00C53EDF"/>
    <w:rsid w:val="00C5463B"/>
    <w:rsid w:val="00C54D2D"/>
    <w:rsid w:val="00C550B1"/>
    <w:rsid w:val="00C55D4F"/>
    <w:rsid w:val="00C56DB0"/>
    <w:rsid w:val="00C57485"/>
    <w:rsid w:val="00C6009F"/>
    <w:rsid w:val="00C600FD"/>
    <w:rsid w:val="00C6062B"/>
    <w:rsid w:val="00C60FAC"/>
    <w:rsid w:val="00C6171B"/>
    <w:rsid w:val="00C6243E"/>
    <w:rsid w:val="00C64073"/>
    <w:rsid w:val="00C64444"/>
    <w:rsid w:val="00C645EF"/>
    <w:rsid w:val="00C64AD0"/>
    <w:rsid w:val="00C64D73"/>
    <w:rsid w:val="00C6512F"/>
    <w:rsid w:val="00C6526B"/>
    <w:rsid w:val="00C6544B"/>
    <w:rsid w:val="00C66509"/>
    <w:rsid w:val="00C6668D"/>
    <w:rsid w:val="00C666A7"/>
    <w:rsid w:val="00C66809"/>
    <w:rsid w:val="00C67E5C"/>
    <w:rsid w:val="00C70C52"/>
    <w:rsid w:val="00C7243A"/>
    <w:rsid w:val="00C725C7"/>
    <w:rsid w:val="00C748A0"/>
    <w:rsid w:val="00C74C9D"/>
    <w:rsid w:val="00C74D07"/>
    <w:rsid w:val="00C75ACB"/>
    <w:rsid w:val="00C75BF2"/>
    <w:rsid w:val="00C807B6"/>
    <w:rsid w:val="00C81694"/>
    <w:rsid w:val="00C81A06"/>
    <w:rsid w:val="00C81DA7"/>
    <w:rsid w:val="00C8210A"/>
    <w:rsid w:val="00C82C7A"/>
    <w:rsid w:val="00C82E5E"/>
    <w:rsid w:val="00C82E6B"/>
    <w:rsid w:val="00C82FCB"/>
    <w:rsid w:val="00C8326A"/>
    <w:rsid w:val="00C8581C"/>
    <w:rsid w:val="00C8699F"/>
    <w:rsid w:val="00C872E4"/>
    <w:rsid w:val="00C877A4"/>
    <w:rsid w:val="00C87A83"/>
    <w:rsid w:val="00C87B4B"/>
    <w:rsid w:val="00C87F09"/>
    <w:rsid w:val="00C90511"/>
    <w:rsid w:val="00C907E5"/>
    <w:rsid w:val="00C909A4"/>
    <w:rsid w:val="00C90DFF"/>
    <w:rsid w:val="00C9122E"/>
    <w:rsid w:val="00C91F6B"/>
    <w:rsid w:val="00C921FB"/>
    <w:rsid w:val="00C92BA7"/>
    <w:rsid w:val="00C92CC2"/>
    <w:rsid w:val="00C949B5"/>
    <w:rsid w:val="00C94A71"/>
    <w:rsid w:val="00C94F19"/>
    <w:rsid w:val="00C96FAD"/>
    <w:rsid w:val="00C976AA"/>
    <w:rsid w:val="00C9794E"/>
    <w:rsid w:val="00C97C3D"/>
    <w:rsid w:val="00CA03E6"/>
    <w:rsid w:val="00CA06A8"/>
    <w:rsid w:val="00CA1275"/>
    <w:rsid w:val="00CA16C6"/>
    <w:rsid w:val="00CA194A"/>
    <w:rsid w:val="00CA1A5A"/>
    <w:rsid w:val="00CA1ED0"/>
    <w:rsid w:val="00CA241F"/>
    <w:rsid w:val="00CA25BA"/>
    <w:rsid w:val="00CA270F"/>
    <w:rsid w:val="00CA30F6"/>
    <w:rsid w:val="00CA3175"/>
    <w:rsid w:val="00CA5540"/>
    <w:rsid w:val="00CA5A2D"/>
    <w:rsid w:val="00CA6044"/>
    <w:rsid w:val="00CA6413"/>
    <w:rsid w:val="00CA6A01"/>
    <w:rsid w:val="00CA729E"/>
    <w:rsid w:val="00CA76DD"/>
    <w:rsid w:val="00CB0B55"/>
    <w:rsid w:val="00CB0FFF"/>
    <w:rsid w:val="00CB1872"/>
    <w:rsid w:val="00CB1BFE"/>
    <w:rsid w:val="00CB22C8"/>
    <w:rsid w:val="00CB269D"/>
    <w:rsid w:val="00CB2BE4"/>
    <w:rsid w:val="00CB4747"/>
    <w:rsid w:val="00CB4BE5"/>
    <w:rsid w:val="00CB53D5"/>
    <w:rsid w:val="00CB66EF"/>
    <w:rsid w:val="00CB69C7"/>
    <w:rsid w:val="00CB6EFE"/>
    <w:rsid w:val="00CB7B9A"/>
    <w:rsid w:val="00CC0467"/>
    <w:rsid w:val="00CC0CFD"/>
    <w:rsid w:val="00CC125D"/>
    <w:rsid w:val="00CC1A3D"/>
    <w:rsid w:val="00CC1BE2"/>
    <w:rsid w:val="00CC21CE"/>
    <w:rsid w:val="00CC2C2F"/>
    <w:rsid w:val="00CC3BB8"/>
    <w:rsid w:val="00CC4B25"/>
    <w:rsid w:val="00CC5E50"/>
    <w:rsid w:val="00CC6674"/>
    <w:rsid w:val="00CC6901"/>
    <w:rsid w:val="00CC74B4"/>
    <w:rsid w:val="00CC7B66"/>
    <w:rsid w:val="00CD103A"/>
    <w:rsid w:val="00CD126A"/>
    <w:rsid w:val="00CD1B5A"/>
    <w:rsid w:val="00CD1C5B"/>
    <w:rsid w:val="00CD25E0"/>
    <w:rsid w:val="00CD410E"/>
    <w:rsid w:val="00CD41A9"/>
    <w:rsid w:val="00CD490C"/>
    <w:rsid w:val="00CD4C51"/>
    <w:rsid w:val="00CD5234"/>
    <w:rsid w:val="00CD52E9"/>
    <w:rsid w:val="00CD5766"/>
    <w:rsid w:val="00CD5AD4"/>
    <w:rsid w:val="00CD5D31"/>
    <w:rsid w:val="00CD5FB9"/>
    <w:rsid w:val="00CD79D5"/>
    <w:rsid w:val="00CE0235"/>
    <w:rsid w:val="00CE0557"/>
    <w:rsid w:val="00CE0D53"/>
    <w:rsid w:val="00CE1D0F"/>
    <w:rsid w:val="00CE2172"/>
    <w:rsid w:val="00CE372F"/>
    <w:rsid w:val="00CE38CF"/>
    <w:rsid w:val="00CE39C4"/>
    <w:rsid w:val="00CE551F"/>
    <w:rsid w:val="00CE64B8"/>
    <w:rsid w:val="00CE6863"/>
    <w:rsid w:val="00CE73C9"/>
    <w:rsid w:val="00CE76D9"/>
    <w:rsid w:val="00CF00D7"/>
    <w:rsid w:val="00CF07F7"/>
    <w:rsid w:val="00CF1236"/>
    <w:rsid w:val="00CF128C"/>
    <w:rsid w:val="00CF22C4"/>
    <w:rsid w:val="00CF279F"/>
    <w:rsid w:val="00CF2BE6"/>
    <w:rsid w:val="00CF3345"/>
    <w:rsid w:val="00CF3853"/>
    <w:rsid w:val="00CF47BE"/>
    <w:rsid w:val="00CF4803"/>
    <w:rsid w:val="00CF4E5E"/>
    <w:rsid w:val="00CF4F7B"/>
    <w:rsid w:val="00CF5068"/>
    <w:rsid w:val="00CF5A33"/>
    <w:rsid w:val="00CF6187"/>
    <w:rsid w:val="00CF6CEB"/>
    <w:rsid w:val="00CF6D6D"/>
    <w:rsid w:val="00CF6DEE"/>
    <w:rsid w:val="00D00231"/>
    <w:rsid w:val="00D004F5"/>
    <w:rsid w:val="00D00FCA"/>
    <w:rsid w:val="00D01083"/>
    <w:rsid w:val="00D01938"/>
    <w:rsid w:val="00D02BC6"/>
    <w:rsid w:val="00D03AED"/>
    <w:rsid w:val="00D03BAA"/>
    <w:rsid w:val="00D03C50"/>
    <w:rsid w:val="00D03EEE"/>
    <w:rsid w:val="00D0477D"/>
    <w:rsid w:val="00D049A4"/>
    <w:rsid w:val="00D049A6"/>
    <w:rsid w:val="00D04B15"/>
    <w:rsid w:val="00D04CA3"/>
    <w:rsid w:val="00D05106"/>
    <w:rsid w:val="00D05CFB"/>
    <w:rsid w:val="00D05DDE"/>
    <w:rsid w:val="00D06287"/>
    <w:rsid w:val="00D06376"/>
    <w:rsid w:val="00D065B6"/>
    <w:rsid w:val="00D11E0E"/>
    <w:rsid w:val="00D12658"/>
    <w:rsid w:val="00D12A3D"/>
    <w:rsid w:val="00D13001"/>
    <w:rsid w:val="00D135A6"/>
    <w:rsid w:val="00D13C0D"/>
    <w:rsid w:val="00D149D2"/>
    <w:rsid w:val="00D14BA3"/>
    <w:rsid w:val="00D15411"/>
    <w:rsid w:val="00D159F1"/>
    <w:rsid w:val="00D15A78"/>
    <w:rsid w:val="00D15AB2"/>
    <w:rsid w:val="00D15F5E"/>
    <w:rsid w:val="00D160BB"/>
    <w:rsid w:val="00D16B88"/>
    <w:rsid w:val="00D16D51"/>
    <w:rsid w:val="00D170A1"/>
    <w:rsid w:val="00D17922"/>
    <w:rsid w:val="00D17A7E"/>
    <w:rsid w:val="00D17B56"/>
    <w:rsid w:val="00D20800"/>
    <w:rsid w:val="00D2129A"/>
    <w:rsid w:val="00D227BB"/>
    <w:rsid w:val="00D22ECE"/>
    <w:rsid w:val="00D236AE"/>
    <w:rsid w:val="00D242CE"/>
    <w:rsid w:val="00D25484"/>
    <w:rsid w:val="00D254AA"/>
    <w:rsid w:val="00D25CB9"/>
    <w:rsid w:val="00D25DCF"/>
    <w:rsid w:val="00D25FB0"/>
    <w:rsid w:val="00D261B8"/>
    <w:rsid w:val="00D26CC2"/>
    <w:rsid w:val="00D30B5B"/>
    <w:rsid w:val="00D312D6"/>
    <w:rsid w:val="00D314F9"/>
    <w:rsid w:val="00D3195F"/>
    <w:rsid w:val="00D31CE3"/>
    <w:rsid w:val="00D324DB"/>
    <w:rsid w:val="00D32565"/>
    <w:rsid w:val="00D329E2"/>
    <w:rsid w:val="00D32CF4"/>
    <w:rsid w:val="00D32D9F"/>
    <w:rsid w:val="00D32F27"/>
    <w:rsid w:val="00D334D3"/>
    <w:rsid w:val="00D34FD9"/>
    <w:rsid w:val="00D3519C"/>
    <w:rsid w:val="00D353DF"/>
    <w:rsid w:val="00D35510"/>
    <w:rsid w:val="00D3581D"/>
    <w:rsid w:val="00D35D55"/>
    <w:rsid w:val="00D35DB2"/>
    <w:rsid w:val="00D35E71"/>
    <w:rsid w:val="00D35F59"/>
    <w:rsid w:val="00D366DC"/>
    <w:rsid w:val="00D37A75"/>
    <w:rsid w:val="00D37B30"/>
    <w:rsid w:val="00D408F7"/>
    <w:rsid w:val="00D40BED"/>
    <w:rsid w:val="00D40C0A"/>
    <w:rsid w:val="00D4172A"/>
    <w:rsid w:val="00D41B24"/>
    <w:rsid w:val="00D42719"/>
    <w:rsid w:val="00D427EE"/>
    <w:rsid w:val="00D42A09"/>
    <w:rsid w:val="00D42A4E"/>
    <w:rsid w:val="00D42ABA"/>
    <w:rsid w:val="00D42AC0"/>
    <w:rsid w:val="00D42D88"/>
    <w:rsid w:val="00D431C5"/>
    <w:rsid w:val="00D431C9"/>
    <w:rsid w:val="00D43BB2"/>
    <w:rsid w:val="00D4420B"/>
    <w:rsid w:val="00D451D0"/>
    <w:rsid w:val="00D45558"/>
    <w:rsid w:val="00D45743"/>
    <w:rsid w:val="00D45763"/>
    <w:rsid w:val="00D45D5F"/>
    <w:rsid w:val="00D46467"/>
    <w:rsid w:val="00D5006E"/>
    <w:rsid w:val="00D5074E"/>
    <w:rsid w:val="00D508EA"/>
    <w:rsid w:val="00D514EB"/>
    <w:rsid w:val="00D51F99"/>
    <w:rsid w:val="00D52090"/>
    <w:rsid w:val="00D52A97"/>
    <w:rsid w:val="00D535FB"/>
    <w:rsid w:val="00D53648"/>
    <w:rsid w:val="00D53F9F"/>
    <w:rsid w:val="00D5440B"/>
    <w:rsid w:val="00D54CEC"/>
    <w:rsid w:val="00D55F07"/>
    <w:rsid w:val="00D564CD"/>
    <w:rsid w:val="00D5681A"/>
    <w:rsid w:val="00D56CB7"/>
    <w:rsid w:val="00D5715C"/>
    <w:rsid w:val="00D571CF"/>
    <w:rsid w:val="00D57291"/>
    <w:rsid w:val="00D573BF"/>
    <w:rsid w:val="00D577C9"/>
    <w:rsid w:val="00D57D3A"/>
    <w:rsid w:val="00D60B6A"/>
    <w:rsid w:val="00D60F22"/>
    <w:rsid w:val="00D61146"/>
    <w:rsid w:val="00D620E7"/>
    <w:rsid w:val="00D6280E"/>
    <w:rsid w:val="00D63F85"/>
    <w:rsid w:val="00D646AB"/>
    <w:rsid w:val="00D6494A"/>
    <w:rsid w:val="00D64D10"/>
    <w:rsid w:val="00D65A24"/>
    <w:rsid w:val="00D65B0E"/>
    <w:rsid w:val="00D676AB"/>
    <w:rsid w:val="00D7111A"/>
    <w:rsid w:val="00D7160A"/>
    <w:rsid w:val="00D718C9"/>
    <w:rsid w:val="00D7208E"/>
    <w:rsid w:val="00D731B6"/>
    <w:rsid w:val="00D74B92"/>
    <w:rsid w:val="00D74F67"/>
    <w:rsid w:val="00D75652"/>
    <w:rsid w:val="00D75858"/>
    <w:rsid w:val="00D765F8"/>
    <w:rsid w:val="00D76A23"/>
    <w:rsid w:val="00D775F8"/>
    <w:rsid w:val="00D7770F"/>
    <w:rsid w:val="00D80172"/>
    <w:rsid w:val="00D802EF"/>
    <w:rsid w:val="00D80480"/>
    <w:rsid w:val="00D80794"/>
    <w:rsid w:val="00D80ED7"/>
    <w:rsid w:val="00D80FEC"/>
    <w:rsid w:val="00D81239"/>
    <w:rsid w:val="00D81367"/>
    <w:rsid w:val="00D813CD"/>
    <w:rsid w:val="00D82A00"/>
    <w:rsid w:val="00D82BE5"/>
    <w:rsid w:val="00D82F52"/>
    <w:rsid w:val="00D832F0"/>
    <w:rsid w:val="00D8352C"/>
    <w:rsid w:val="00D85468"/>
    <w:rsid w:val="00D85FFD"/>
    <w:rsid w:val="00D86393"/>
    <w:rsid w:val="00D86E18"/>
    <w:rsid w:val="00D8709A"/>
    <w:rsid w:val="00D87135"/>
    <w:rsid w:val="00D871A1"/>
    <w:rsid w:val="00D87969"/>
    <w:rsid w:val="00D9087F"/>
    <w:rsid w:val="00D90AD6"/>
    <w:rsid w:val="00D915BB"/>
    <w:rsid w:val="00D91EF2"/>
    <w:rsid w:val="00D9244E"/>
    <w:rsid w:val="00D92870"/>
    <w:rsid w:val="00D92C8C"/>
    <w:rsid w:val="00D92D6F"/>
    <w:rsid w:val="00D93146"/>
    <w:rsid w:val="00D941CE"/>
    <w:rsid w:val="00D95D11"/>
    <w:rsid w:val="00D95D87"/>
    <w:rsid w:val="00D96701"/>
    <w:rsid w:val="00D9740A"/>
    <w:rsid w:val="00D97892"/>
    <w:rsid w:val="00DA0703"/>
    <w:rsid w:val="00DA09A2"/>
    <w:rsid w:val="00DA09E1"/>
    <w:rsid w:val="00DA1B10"/>
    <w:rsid w:val="00DA1F59"/>
    <w:rsid w:val="00DA2C1B"/>
    <w:rsid w:val="00DA2DC1"/>
    <w:rsid w:val="00DA38E2"/>
    <w:rsid w:val="00DA3C49"/>
    <w:rsid w:val="00DA3F38"/>
    <w:rsid w:val="00DA42AD"/>
    <w:rsid w:val="00DA4AE2"/>
    <w:rsid w:val="00DA5E15"/>
    <w:rsid w:val="00DA5FC5"/>
    <w:rsid w:val="00DA627C"/>
    <w:rsid w:val="00DA6A28"/>
    <w:rsid w:val="00DA7043"/>
    <w:rsid w:val="00DA7A20"/>
    <w:rsid w:val="00DB03C5"/>
    <w:rsid w:val="00DB0A2C"/>
    <w:rsid w:val="00DB0D70"/>
    <w:rsid w:val="00DB101A"/>
    <w:rsid w:val="00DB1412"/>
    <w:rsid w:val="00DB2C5B"/>
    <w:rsid w:val="00DB3371"/>
    <w:rsid w:val="00DB3ED3"/>
    <w:rsid w:val="00DB40C2"/>
    <w:rsid w:val="00DB488A"/>
    <w:rsid w:val="00DB4B10"/>
    <w:rsid w:val="00DB5652"/>
    <w:rsid w:val="00DB64C8"/>
    <w:rsid w:val="00DB6CE7"/>
    <w:rsid w:val="00DB76CC"/>
    <w:rsid w:val="00DC02F9"/>
    <w:rsid w:val="00DC03E4"/>
    <w:rsid w:val="00DC0B6F"/>
    <w:rsid w:val="00DC1091"/>
    <w:rsid w:val="00DC14DF"/>
    <w:rsid w:val="00DC1BBB"/>
    <w:rsid w:val="00DC2834"/>
    <w:rsid w:val="00DC2D5D"/>
    <w:rsid w:val="00DC30A1"/>
    <w:rsid w:val="00DC31C3"/>
    <w:rsid w:val="00DC3C80"/>
    <w:rsid w:val="00DC465F"/>
    <w:rsid w:val="00DC4FBE"/>
    <w:rsid w:val="00DC51B0"/>
    <w:rsid w:val="00DC51D8"/>
    <w:rsid w:val="00DC5506"/>
    <w:rsid w:val="00DC573F"/>
    <w:rsid w:val="00DC5D58"/>
    <w:rsid w:val="00DC6A13"/>
    <w:rsid w:val="00DC6D0E"/>
    <w:rsid w:val="00DC7020"/>
    <w:rsid w:val="00DC719E"/>
    <w:rsid w:val="00DC7640"/>
    <w:rsid w:val="00DC7D8F"/>
    <w:rsid w:val="00DD0567"/>
    <w:rsid w:val="00DD0C63"/>
    <w:rsid w:val="00DD0DBB"/>
    <w:rsid w:val="00DD0E6E"/>
    <w:rsid w:val="00DD1150"/>
    <w:rsid w:val="00DD140C"/>
    <w:rsid w:val="00DD1BF7"/>
    <w:rsid w:val="00DD1FCF"/>
    <w:rsid w:val="00DD213A"/>
    <w:rsid w:val="00DD23B4"/>
    <w:rsid w:val="00DD363D"/>
    <w:rsid w:val="00DD39E5"/>
    <w:rsid w:val="00DD3EA3"/>
    <w:rsid w:val="00DD4385"/>
    <w:rsid w:val="00DD45F4"/>
    <w:rsid w:val="00DD4D6A"/>
    <w:rsid w:val="00DD5224"/>
    <w:rsid w:val="00DD5308"/>
    <w:rsid w:val="00DD58C7"/>
    <w:rsid w:val="00DD5C8A"/>
    <w:rsid w:val="00DD5DD6"/>
    <w:rsid w:val="00DD60B1"/>
    <w:rsid w:val="00DD6A18"/>
    <w:rsid w:val="00DD6E1C"/>
    <w:rsid w:val="00DD6E34"/>
    <w:rsid w:val="00DD7910"/>
    <w:rsid w:val="00DD7F73"/>
    <w:rsid w:val="00DE0B12"/>
    <w:rsid w:val="00DE0B25"/>
    <w:rsid w:val="00DE20EC"/>
    <w:rsid w:val="00DE2358"/>
    <w:rsid w:val="00DE26EB"/>
    <w:rsid w:val="00DE29F6"/>
    <w:rsid w:val="00DE2AEC"/>
    <w:rsid w:val="00DE3021"/>
    <w:rsid w:val="00DE3341"/>
    <w:rsid w:val="00DE3CAC"/>
    <w:rsid w:val="00DE3F28"/>
    <w:rsid w:val="00DE3FC9"/>
    <w:rsid w:val="00DE4432"/>
    <w:rsid w:val="00DE483A"/>
    <w:rsid w:val="00DE493B"/>
    <w:rsid w:val="00DE4BC8"/>
    <w:rsid w:val="00DE4D12"/>
    <w:rsid w:val="00DE5081"/>
    <w:rsid w:val="00DE50A1"/>
    <w:rsid w:val="00DE57CF"/>
    <w:rsid w:val="00DE6297"/>
    <w:rsid w:val="00DE6377"/>
    <w:rsid w:val="00DE6702"/>
    <w:rsid w:val="00DE6B54"/>
    <w:rsid w:val="00DE6BD3"/>
    <w:rsid w:val="00DE6DF7"/>
    <w:rsid w:val="00DE77D0"/>
    <w:rsid w:val="00DE7AF1"/>
    <w:rsid w:val="00DF0143"/>
    <w:rsid w:val="00DF0381"/>
    <w:rsid w:val="00DF0D14"/>
    <w:rsid w:val="00DF17D5"/>
    <w:rsid w:val="00DF2203"/>
    <w:rsid w:val="00DF2A98"/>
    <w:rsid w:val="00DF2C10"/>
    <w:rsid w:val="00DF3248"/>
    <w:rsid w:val="00DF3532"/>
    <w:rsid w:val="00DF387A"/>
    <w:rsid w:val="00DF395E"/>
    <w:rsid w:val="00DF3A34"/>
    <w:rsid w:val="00DF3B81"/>
    <w:rsid w:val="00DF3C49"/>
    <w:rsid w:val="00DF3C89"/>
    <w:rsid w:val="00DF45D9"/>
    <w:rsid w:val="00DF4D3B"/>
    <w:rsid w:val="00DF5A35"/>
    <w:rsid w:val="00DF62B7"/>
    <w:rsid w:val="00DF6462"/>
    <w:rsid w:val="00DF6636"/>
    <w:rsid w:val="00DF679C"/>
    <w:rsid w:val="00DF7AE3"/>
    <w:rsid w:val="00DF7F19"/>
    <w:rsid w:val="00E00396"/>
    <w:rsid w:val="00E00899"/>
    <w:rsid w:val="00E00964"/>
    <w:rsid w:val="00E0097A"/>
    <w:rsid w:val="00E00A31"/>
    <w:rsid w:val="00E00AFB"/>
    <w:rsid w:val="00E010F4"/>
    <w:rsid w:val="00E013F7"/>
    <w:rsid w:val="00E01483"/>
    <w:rsid w:val="00E01E15"/>
    <w:rsid w:val="00E026AA"/>
    <w:rsid w:val="00E03164"/>
    <w:rsid w:val="00E03FE3"/>
    <w:rsid w:val="00E040BE"/>
    <w:rsid w:val="00E04B1F"/>
    <w:rsid w:val="00E04C9F"/>
    <w:rsid w:val="00E05307"/>
    <w:rsid w:val="00E0547F"/>
    <w:rsid w:val="00E05553"/>
    <w:rsid w:val="00E060C2"/>
    <w:rsid w:val="00E06584"/>
    <w:rsid w:val="00E07BDA"/>
    <w:rsid w:val="00E07E57"/>
    <w:rsid w:val="00E10252"/>
    <w:rsid w:val="00E111FC"/>
    <w:rsid w:val="00E11A8A"/>
    <w:rsid w:val="00E11C33"/>
    <w:rsid w:val="00E123E8"/>
    <w:rsid w:val="00E1256C"/>
    <w:rsid w:val="00E12EBF"/>
    <w:rsid w:val="00E13195"/>
    <w:rsid w:val="00E13817"/>
    <w:rsid w:val="00E1438F"/>
    <w:rsid w:val="00E1450B"/>
    <w:rsid w:val="00E14890"/>
    <w:rsid w:val="00E1497E"/>
    <w:rsid w:val="00E15460"/>
    <w:rsid w:val="00E156DE"/>
    <w:rsid w:val="00E15953"/>
    <w:rsid w:val="00E15CAE"/>
    <w:rsid w:val="00E15CDD"/>
    <w:rsid w:val="00E161A5"/>
    <w:rsid w:val="00E16D2C"/>
    <w:rsid w:val="00E17229"/>
    <w:rsid w:val="00E17629"/>
    <w:rsid w:val="00E20C2E"/>
    <w:rsid w:val="00E20FA6"/>
    <w:rsid w:val="00E21304"/>
    <w:rsid w:val="00E21753"/>
    <w:rsid w:val="00E21CBD"/>
    <w:rsid w:val="00E22012"/>
    <w:rsid w:val="00E22B50"/>
    <w:rsid w:val="00E2331C"/>
    <w:rsid w:val="00E234DB"/>
    <w:rsid w:val="00E23FBC"/>
    <w:rsid w:val="00E2407B"/>
    <w:rsid w:val="00E2547D"/>
    <w:rsid w:val="00E26089"/>
    <w:rsid w:val="00E2608A"/>
    <w:rsid w:val="00E260EF"/>
    <w:rsid w:val="00E262BC"/>
    <w:rsid w:val="00E26638"/>
    <w:rsid w:val="00E26E18"/>
    <w:rsid w:val="00E2726E"/>
    <w:rsid w:val="00E27A60"/>
    <w:rsid w:val="00E27B6F"/>
    <w:rsid w:val="00E300E2"/>
    <w:rsid w:val="00E306B8"/>
    <w:rsid w:val="00E30718"/>
    <w:rsid w:val="00E3094F"/>
    <w:rsid w:val="00E30970"/>
    <w:rsid w:val="00E31054"/>
    <w:rsid w:val="00E31C02"/>
    <w:rsid w:val="00E320AE"/>
    <w:rsid w:val="00E324A0"/>
    <w:rsid w:val="00E32BE0"/>
    <w:rsid w:val="00E33109"/>
    <w:rsid w:val="00E33C2C"/>
    <w:rsid w:val="00E34010"/>
    <w:rsid w:val="00E34475"/>
    <w:rsid w:val="00E34F78"/>
    <w:rsid w:val="00E35CB5"/>
    <w:rsid w:val="00E3669E"/>
    <w:rsid w:val="00E373B2"/>
    <w:rsid w:val="00E379AE"/>
    <w:rsid w:val="00E37F16"/>
    <w:rsid w:val="00E40309"/>
    <w:rsid w:val="00E41E6B"/>
    <w:rsid w:val="00E41F9A"/>
    <w:rsid w:val="00E42411"/>
    <w:rsid w:val="00E43D17"/>
    <w:rsid w:val="00E44BD3"/>
    <w:rsid w:val="00E44F26"/>
    <w:rsid w:val="00E45F10"/>
    <w:rsid w:val="00E4601F"/>
    <w:rsid w:val="00E46469"/>
    <w:rsid w:val="00E469F1"/>
    <w:rsid w:val="00E47C8C"/>
    <w:rsid w:val="00E504E9"/>
    <w:rsid w:val="00E50836"/>
    <w:rsid w:val="00E51107"/>
    <w:rsid w:val="00E5147A"/>
    <w:rsid w:val="00E518D1"/>
    <w:rsid w:val="00E518F6"/>
    <w:rsid w:val="00E51D13"/>
    <w:rsid w:val="00E5212D"/>
    <w:rsid w:val="00E52478"/>
    <w:rsid w:val="00E52578"/>
    <w:rsid w:val="00E5298F"/>
    <w:rsid w:val="00E533A3"/>
    <w:rsid w:val="00E53458"/>
    <w:rsid w:val="00E53B3B"/>
    <w:rsid w:val="00E54116"/>
    <w:rsid w:val="00E5482F"/>
    <w:rsid w:val="00E5486D"/>
    <w:rsid w:val="00E54CB8"/>
    <w:rsid w:val="00E54F4B"/>
    <w:rsid w:val="00E55365"/>
    <w:rsid w:val="00E560D8"/>
    <w:rsid w:val="00E56294"/>
    <w:rsid w:val="00E567B7"/>
    <w:rsid w:val="00E56B48"/>
    <w:rsid w:val="00E57993"/>
    <w:rsid w:val="00E579E8"/>
    <w:rsid w:val="00E60104"/>
    <w:rsid w:val="00E606FF"/>
    <w:rsid w:val="00E60868"/>
    <w:rsid w:val="00E609E8"/>
    <w:rsid w:val="00E60D8D"/>
    <w:rsid w:val="00E613EC"/>
    <w:rsid w:val="00E618CD"/>
    <w:rsid w:val="00E61EF9"/>
    <w:rsid w:val="00E62268"/>
    <w:rsid w:val="00E62D32"/>
    <w:rsid w:val="00E63661"/>
    <w:rsid w:val="00E63771"/>
    <w:rsid w:val="00E63957"/>
    <w:rsid w:val="00E64075"/>
    <w:rsid w:val="00E6497F"/>
    <w:rsid w:val="00E65E52"/>
    <w:rsid w:val="00E66634"/>
    <w:rsid w:val="00E66B38"/>
    <w:rsid w:val="00E66CBA"/>
    <w:rsid w:val="00E67742"/>
    <w:rsid w:val="00E705F1"/>
    <w:rsid w:val="00E7079B"/>
    <w:rsid w:val="00E716AC"/>
    <w:rsid w:val="00E71BDE"/>
    <w:rsid w:val="00E71C12"/>
    <w:rsid w:val="00E724A9"/>
    <w:rsid w:val="00E72B4C"/>
    <w:rsid w:val="00E7308B"/>
    <w:rsid w:val="00E731DC"/>
    <w:rsid w:val="00E735E9"/>
    <w:rsid w:val="00E73860"/>
    <w:rsid w:val="00E73A76"/>
    <w:rsid w:val="00E73D58"/>
    <w:rsid w:val="00E74605"/>
    <w:rsid w:val="00E74611"/>
    <w:rsid w:val="00E7476B"/>
    <w:rsid w:val="00E74D9C"/>
    <w:rsid w:val="00E75CC9"/>
    <w:rsid w:val="00E765BA"/>
    <w:rsid w:val="00E76842"/>
    <w:rsid w:val="00E76950"/>
    <w:rsid w:val="00E76F8E"/>
    <w:rsid w:val="00E77189"/>
    <w:rsid w:val="00E775C6"/>
    <w:rsid w:val="00E77CBF"/>
    <w:rsid w:val="00E80061"/>
    <w:rsid w:val="00E8017E"/>
    <w:rsid w:val="00E8045E"/>
    <w:rsid w:val="00E8093C"/>
    <w:rsid w:val="00E80B1B"/>
    <w:rsid w:val="00E81012"/>
    <w:rsid w:val="00E81766"/>
    <w:rsid w:val="00E81BAA"/>
    <w:rsid w:val="00E820B2"/>
    <w:rsid w:val="00E82697"/>
    <w:rsid w:val="00E82D92"/>
    <w:rsid w:val="00E83171"/>
    <w:rsid w:val="00E83399"/>
    <w:rsid w:val="00E837EE"/>
    <w:rsid w:val="00E85030"/>
    <w:rsid w:val="00E859B3"/>
    <w:rsid w:val="00E86249"/>
    <w:rsid w:val="00E8671F"/>
    <w:rsid w:val="00E8675A"/>
    <w:rsid w:val="00E86999"/>
    <w:rsid w:val="00E86DEA"/>
    <w:rsid w:val="00E87CDF"/>
    <w:rsid w:val="00E9031A"/>
    <w:rsid w:val="00E90585"/>
    <w:rsid w:val="00E9103C"/>
    <w:rsid w:val="00E91078"/>
    <w:rsid w:val="00E913A4"/>
    <w:rsid w:val="00E91571"/>
    <w:rsid w:val="00E9219D"/>
    <w:rsid w:val="00E92A58"/>
    <w:rsid w:val="00E92CDA"/>
    <w:rsid w:val="00E92D6B"/>
    <w:rsid w:val="00E94A83"/>
    <w:rsid w:val="00E95B80"/>
    <w:rsid w:val="00E966F1"/>
    <w:rsid w:val="00EA01A6"/>
    <w:rsid w:val="00EA0BF9"/>
    <w:rsid w:val="00EA0EAC"/>
    <w:rsid w:val="00EA2646"/>
    <w:rsid w:val="00EA26B1"/>
    <w:rsid w:val="00EA2754"/>
    <w:rsid w:val="00EA4C09"/>
    <w:rsid w:val="00EA4E60"/>
    <w:rsid w:val="00EA5195"/>
    <w:rsid w:val="00EA5963"/>
    <w:rsid w:val="00EA5FE1"/>
    <w:rsid w:val="00EA67FE"/>
    <w:rsid w:val="00EA6865"/>
    <w:rsid w:val="00EA6D47"/>
    <w:rsid w:val="00EA7C02"/>
    <w:rsid w:val="00EB0218"/>
    <w:rsid w:val="00EB0751"/>
    <w:rsid w:val="00EB09FF"/>
    <w:rsid w:val="00EB165E"/>
    <w:rsid w:val="00EB1B21"/>
    <w:rsid w:val="00EB218E"/>
    <w:rsid w:val="00EB225A"/>
    <w:rsid w:val="00EB24BE"/>
    <w:rsid w:val="00EB2DD5"/>
    <w:rsid w:val="00EB2E49"/>
    <w:rsid w:val="00EB33E1"/>
    <w:rsid w:val="00EB3643"/>
    <w:rsid w:val="00EB3B42"/>
    <w:rsid w:val="00EB406D"/>
    <w:rsid w:val="00EB431C"/>
    <w:rsid w:val="00EB4596"/>
    <w:rsid w:val="00EB4F52"/>
    <w:rsid w:val="00EB51C0"/>
    <w:rsid w:val="00EB5B1C"/>
    <w:rsid w:val="00EB5CA3"/>
    <w:rsid w:val="00EB6DF6"/>
    <w:rsid w:val="00EB6FEB"/>
    <w:rsid w:val="00EB79AE"/>
    <w:rsid w:val="00EB7F78"/>
    <w:rsid w:val="00EC0A3D"/>
    <w:rsid w:val="00EC0DBD"/>
    <w:rsid w:val="00EC1259"/>
    <w:rsid w:val="00EC12EF"/>
    <w:rsid w:val="00EC2054"/>
    <w:rsid w:val="00EC22B1"/>
    <w:rsid w:val="00EC26BC"/>
    <w:rsid w:val="00EC2A66"/>
    <w:rsid w:val="00EC3AD6"/>
    <w:rsid w:val="00EC3B84"/>
    <w:rsid w:val="00EC41F8"/>
    <w:rsid w:val="00EC421A"/>
    <w:rsid w:val="00EC573E"/>
    <w:rsid w:val="00EC5B78"/>
    <w:rsid w:val="00EC6029"/>
    <w:rsid w:val="00EC6724"/>
    <w:rsid w:val="00EC7278"/>
    <w:rsid w:val="00ED0AB0"/>
    <w:rsid w:val="00ED0C7B"/>
    <w:rsid w:val="00ED0DCC"/>
    <w:rsid w:val="00ED16A9"/>
    <w:rsid w:val="00ED20F0"/>
    <w:rsid w:val="00ED2FCE"/>
    <w:rsid w:val="00ED3A26"/>
    <w:rsid w:val="00ED4B5E"/>
    <w:rsid w:val="00ED4B80"/>
    <w:rsid w:val="00ED5EDB"/>
    <w:rsid w:val="00ED6059"/>
    <w:rsid w:val="00ED683A"/>
    <w:rsid w:val="00ED72A2"/>
    <w:rsid w:val="00ED74AF"/>
    <w:rsid w:val="00EE0100"/>
    <w:rsid w:val="00EE0ACD"/>
    <w:rsid w:val="00EE0D46"/>
    <w:rsid w:val="00EE14EE"/>
    <w:rsid w:val="00EE1A02"/>
    <w:rsid w:val="00EE21D2"/>
    <w:rsid w:val="00EE280E"/>
    <w:rsid w:val="00EE2A83"/>
    <w:rsid w:val="00EE40F1"/>
    <w:rsid w:val="00EE488A"/>
    <w:rsid w:val="00EE4FD1"/>
    <w:rsid w:val="00EE5ACB"/>
    <w:rsid w:val="00EE626A"/>
    <w:rsid w:val="00EE68DB"/>
    <w:rsid w:val="00EE6AB0"/>
    <w:rsid w:val="00EE6BD8"/>
    <w:rsid w:val="00EE6D8C"/>
    <w:rsid w:val="00EE7533"/>
    <w:rsid w:val="00EE785B"/>
    <w:rsid w:val="00EF02AF"/>
    <w:rsid w:val="00EF06E5"/>
    <w:rsid w:val="00EF12F9"/>
    <w:rsid w:val="00EF158C"/>
    <w:rsid w:val="00EF1709"/>
    <w:rsid w:val="00EF17FB"/>
    <w:rsid w:val="00EF19DF"/>
    <w:rsid w:val="00EF1D5B"/>
    <w:rsid w:val="00EF28CF"/>
    <w:rsid w:val="00EF3630"/>
    <w:rsid w:val="00EF3DD3"/>
    <w:rsid w:val="00EF4A08"/>
    <w:rsid w:val="00EF4F07"/>
    <w:rsid w:val="00EF526F"/>
    <w:rsid w:val="00EF5340"/>
    <w:rsid w:val="00EF55FE"/>
    <w:rsid w:val="00EF5A03"/>
    <w:rsid w:val="00EF633E"/>
    <w:rsid w:val="00EF6DF0"/>
    <w:rsid w:val="00F015F1"/>
    <w:rsid w:val="00F01C13"/>
    <w:rsid w:val="00F01ECE"/>
    <w:rsid w:val="00F02016"/>
    <w:rsid w:val="00F0218C"/>
    <w:rsid w:val="00F0249C"/>
    <w:rsid w:val="00F02BCF"/>
    <w:rsid w:val="00F02E6D"/>
    <w:rsid w:val="00F030C2"/>
    <w:rsid w:val="00F04400"/>
    <w:rsid w:val="00F04766"/>
    <w:rsid w:val="00F05088"/>
    <w:rsid w:val="00F05363"/>
    <w:rsid w:val="00F057C1"/>
    <w:rsid w:val="00F058A0"/>
    <w:rsid w:val="00F059D9"/>
    <w:rsid w:val="00F05D54"/>
    <w:rsid w:val="00F065A8"/>
    <w:rsid w:val="00F06A4E"/>
    <w:rsid w:val="00F07140"/>
    <w:rsid w:val="00F0720C"/>
    <w:rsid w:val="00F07A79"/>
    <w:rsid w:val="00F1031B"/>
    <w:rsid w:val="00F106ED"/>
    <w:rsid w:val="00F10AE8"/>
    <w:rsid w:val="00F10C9B"/>
    <w:rsid w:val="00F110E8"/>
    <w:rsid w:val="00F1128F"/>
    <w:rsid w:val="00F118A0"/>
    <w:rsid w:val="00F11C30"/>
    <w:rsid w:val="00F12121"/>
    <w:rsid w:val="00F1235C"/>
    <w:rsid w:val="00F1283A"/>
    <w:rsid w:val="00F12BE6"/>
    <w:rsid w:val="00F131E2"/>
    <w:rsid w:val="00F1353A"/>
    <w:rsid w:val="00F13C39"/>
    <w:rsid w:val="00F13C92"/>
    <w:rsid w:val="00F14841"/>
    <w:rsid w:val="00F1526C"/>
    <w:rsid w:val="00F15609"/>
    <w:rsid w:val="00F158C3"/>
    <w:rsid w:val="00F158EB"/>
    <w:rsid w:val="00F15B3E"/>
    <w:rsid w:val="00F15CBD"/>
    <w:rsid w:val="00F15D40"/>
    <w:rsid w:val="00F16088"/>
    <w:rsid w:val="00F16E02"/>
    <w:rsid w:val="00F17348"/>
    <w:rsid w:val="00F17479"/>
    <w:rsid w:val="00F20FC7"/>
    <w:rsid w:val="00F21528"/>
    <w:rsid w:val="00F2296F"/>
    <w:rsid w:val="00F2299D"/>
    <w:rsid w:val="00F23425"/>
    <w:rsid w:val="00F237E6"/>
    <w:rsid w:val="00F23E2D"/>
    <w:rsid w:val="00F2420B"/>
    <w:rsid w:val="00F2464C"/>
    <w:rsid w:val="00F24E56"/>
    <w:rsid w:val="00F2500B"/>
    <w:rsid w:val="00F252B9"/>
    <w:rsid w:val="00F25AFF"/>
    <w:rsid w:val="00F25BD7"/>
    <w:rsid w:val="00F2620C"/>
    <w:rsid w:val="00F2668E"/>
    <w:rsid w:val="00F26752"/>
    <w:rsid w:val="00F26C4A"/>
    <w:rsid w:val="00F26D86"/>
    <w:rsid w:val="00F26E11"/>
    <w:rsid w:val="00F273AC"/>
    <w:rsid w:val="00F27599"/>
    <w:rsid w:val="00F305FC"/>
    <w:rsid w:val="00F30AF6"/>
    <w:rsid w:val="00F30B1F"/>
    <w:rsid w:val="00F31098"/>
    <w:rsid w:val="00F3187A"/>
    <w:rsid w:val="00F333D4"/>
    <w:rsid w:val="00F335BE"/>
    <w:rsid w:val="00F33943"/>
    <w:rsid w:val="00F33BA4"/>
    <w:rsid w:val="00F33CBA"/>
    <w:rsid w:val="00F3518C"/>
    <w:rsid w:val="00F35283"/>
    <w:rsid w:val="00F367FF"/>
    <w:rsid w:val="00F36EAC"/>
    <w:rsid w:val="00F36EBB"/>
    <w:rsid w:val="00F37BAD"/>
    <w:rsid w:val="00F408D3"/>
    <w:rsid w:val="00F40A87"/>
    <w:rsid w:val="00F411E4"/>
    <w:rsid w:val="00F41B5C"/>
    <w:rsid w:val="00F43196"/>
    <w:rsid w:val="00F43D3C"/>
    <w:rsid w:val="00F448D3"/>
    <w:rsid w:val="00F44A7A"/>
    <w:rsid w:val="00F4614A"/>
    <w:rsid w:val="00F46300"/>
    <w:rsid w:val="00F47346"/>
    <w:rsid w:val="00F47835"/>
    <w:rsid w:val="00F47886"/>
    <w:rsid w:val="00F47AD7"/>
    <w:rsid w:val="00F5001D"/>
    <w:rsid w:val="00F50644"/>
    <w:rsid w:val="00F5091F"/>
    <w:rsid w:val="00F51DE7"/>
    <w:rsid w:val="00F52348"/>
    <w:rsid w:val="00F527B3"/>
    <w:rsid w:val="00F52D01"/>
    <w:rsid w:val="00F52FBF"/>
    <w:rsid w:val="00F530F9"/>
    <w:rsid w:val="00F5353D"/>
    <w:rsid w:val="00F53AB3"/>
    <w:rsid w:val="00F53EF9"/>
    <w:rsid w:val="00F53FB4"/>
    <w:rsid w:val="00F545B8"/>
    <w:rsid w:val="00F54EB6"/>
    <w:rsid w:val="00F55342"/>
    <w:rsid w:val="00F55704"/>
    <w:rsid w:val="00F55CD4"/>
    <w:rsid w:val="00F561E7"/>
    <w:rsid w:val="00F56641"/>
    <w:rsid w:val="00F5673D"/>
    <w:rsid w:val="00F56855"/>
    <w:rsid w:val="00F56934"/>
    <w:rsid w:val="00F56A2F"/>
    <w:rsid w:val="00F56DB1"/>
    <w:rsid w:val="00F578A1"/>
    <w:rsid w:val="00F62791"/>
    <w:rsid w:val="00F629D1"/>
    <w:rsid w:val="00F62AD6"/>
    <w:rsid w:val="00F62F15"/>
    <w:rsid w:val="00F64910"/>
    <w:rsid w:val="00F652CF"/>
    <w:rsid w:val="00F656C7"/>
    <w:rsid w:val="00F657DA"/>
    <w:rsid w:val="00F663FE"/>
    <w:rsid w:val="00F66C1F"/>
    <w:rsid w:val="00F66FE0"/>
    <w:rsid w:val="00F670FB"/>
    <w:rsid w:val="00F674FD"/>
    <w:rsid w:val="00F67559"/>
    <w:rsid w:val="00F67835"/>
    <w:rsid w:val="00F700FD"/>
    <w:rsid w:val="00F70A65"/>
    <w:rsid w:val="00F70EF4"/>
    <w:rsid w:val="00F7220D"/>
    <w:rsid w:val="00F72BB2"/>
    <w:rsid w:val="00F72ECB"/>
    <w:rsid w:val="00F72EF0"/>
    <w:rsid w:val="00F73468"/>
    <w:rsid w:val="00F73995"/>
    <w:rsid w:val="00F739C2"/>
    <w:rsid w:val="00F73BF4"/>
    <w:rsid w:val="00F7408B"/>
    <w:rsid w:val="00F748BE"/>
    <w:rsid w:val="00F74AE3"/>
    <w:rsid w:val="00F74DEC"/>
    <w:rsid w:val="00F75922"/>
    <w:rsid w:val="00F75FF0"/>
    <w:rsid w:val="00F761C3"/>
    <w:rsid w:val="00F7621A"/>
    <w:rsid w:val="00F764B9"/>
    <w:rsid w:val="00F764DE"/>
    <w:rsid w:val="00F7662E"/>
    <w:rsid w:val="00F76B7C"/>
    <w:rsid w:val="00F772A7"/>
    <w:rsid w:val="00F773AD"/>
    <w:rsid w:val="00F77FF8"/>
    <w:rsid w:val="00F802F2"/>
    <w:rsid w:val="00F80463"/>
    <w:rsid w:val="00F8136A"/>
    <w:rsid w:val="00F81560"/>
    <w:rsid w:val="00F81743"/>
    <w:rsid w:val="00F81E10"/>
    <w:rsid w:val="00F8259F"/>
    <w:rsid w:val="00F826E7"/>
    <w:rsid w:val="00F8306D"/>
    <w:rsid w:val="00F833F0"/>
    <w:rsid w:val="00F840DD"/>
    <w:rsid w:val="00F84334"/>
    <w:rsid w:val="00F84A08"/>
    <w:rsid w:val="00F85475"/>
    <w:rsid w:val="00F858C9"/>
    <w:rsid w:val="00F860D8"/>
    <w:rsid w:val="00F86461"/>
    <w:rsid w:val="00F86DFF"/>
    <w:rsid w:val="00F87998"/>
    <w:rsid w:val="00F87AFC"/>
    <w:rsid w:val="00F91564"/>
    <w:rsid w:val="00F92A00"/>
    <w:rsid w:val="00F92F77"/>
    <w:rsid w:val="00F932D6"/>
    <w:rsid w:val="00F93746"/>
    <w:rsid w:val="00F9374D"/>
    <w:rsid w:val="00F94346"/>
    <w:rsid w:val="00F94BDB"/>
    <w:rsid w:val="00F94DD0"/>
    <w:rsid w:val="00F95483"/>
    <w:rsid w:val="00F9549B"/>
    <w:rsid w:val="00F95563"/>
    <w:rsid w:val="00F962AF"/>
    <w:rsid w:val="00F967D0"/>
    <w:rsid w:val="00F96B79"/>
    <w:rsid w:val="00F96D90"/>
    <w:rsid w:val="00F96F01"/>
    <w:rsid w:val="00F97200"/>
    <w:rsid w:val="00F979E1"/>
    <w:rsid w:val="00F97E1F"/>
    <w:rsid w:val="00FA0125"/>
    <w:rsid w:val="00FA05B8"/>
    <w:rsid w:val="00FA0FE8"/>
    <w:rsid w:val="00FA165B"/>
    <w:rsid w:val="00FA1805"/>
    <w:rsid w:val="00FA1A24"/>
    <w:rsid w:val="00FA1B3F"/>
    <w:rsid w:val="00FA223B"/>
    <w:rsid w:val="00FA3A2E"/>
    <w:rsid w:val="00FA3FF2"/>
    <w:rsid w:val="00FA432F"/>
    <w:rsid w:val="00FA4870"/>
    <w:rsid w:val="00FA51D4"/>
    <w:rsid w:val="00FA538A"/>
    <w:rsid w:val="00FA560D"/>
    <w:rsid w:val="00FA6330"/>
    <w:rsid w:val="00FA749C"/>
    <w:rsid w:val="00FA7B71"/>
    <w:rsid w:val="00FA7BA3"/>
    <w:rsid w:val="00FB0C16"/>
    <w:rsid w:val="00FB1B7A"/>
    <w:rsid w:val="00FB2396"/>
    <w:rsid w:val="00FB2C4F"/>
    <w:rsid w:val="00FB2F75"/>
    <w:rsid w:val="00FB3B0B"/>
    <w:rsid w:val="00FB5230"/>
    <w:rsid w:val="00FB5825"/>
    <w:rsid w:val="00FB5ADE"/>
    <w:rsid w:val="00FB6312"/>
    <w:rsid w:val="00FB66DD"/>
    <w:rsid w:val="00FB6C76"/>
    <w:rsid w:val="00FB6DDB"/>
    <w:rsid w:val="00FB6E30"/>
    <w:rsid w:val="00FC0266"/>
    <w:rsid w:val="00FC0A13"/>
    <w:rsid w:val="00FC1FB2"/>
    <w:rsid w:val="00FC27B1"/>
    <w:rsid w:val="00FC2EEC"/>
    <w:rsid w:val="00FC34DE"/>
    <w:rsid w:val="00FC3C86"/>
    <w:rsid w:val="00FC4028"/>
    <w:rsid w:val="00FC447D"/>
    <w:rsid w:val="00FC4945"/>
    <w:rsid w:val="00FC59B1"/>
    <w:rsid w:val="00FC6315"/>
    <w:rsid w:val="00FC6653"/>
    <w:rsid w:val="00FC6AA4"/>
    <w:rsid w:val="00FC713D"/>
    <w:rsid w:val="00FC719A"/>
    <w:rsid w:val="00FD01BE"/>
    <w:rsid w:val="00FD02A5"/>
    <w:rsid w:val="00FD04A4"/>
    <w:rsid w:val="00FD04E4"/>
    <w:rsid w:val="00FD0605"/>
    <w:rsid w:val="00FD0790"/>
    <w:rsid w:val="00FD0EE7"/>
    <w:rsid w:val="00FD0F56"/>
    <w:rsid w:val="00FD1154"/>
    <w:rsid w:val="00FD1B06"/>
    <w:rsid w:val="00FD1D41"/>
    <w:rsid w:val="00FD2CA3"/>
    <w:rsid w:val="00FD3002"/>
    <w:rsid w:val="00FD346B"/>
    <w:rsid w:val="00FD37D3"/>
    <w:rsid w:val="00FD4347"/>
    <w:rsid w:val="00FD43E6"/>
    <w:rsid w:val="00FD54D3"/>
    <w:rsid w:val="00FD57F3"/>
    <w:rsid w:val="00FD5A94"/>
    <w:rsid w:val="00FD6187"/>
    <w:rsid w:val="00FD69D5"/>
    <w:rsid w:val="00FD7199"/>
    <w:rsid w:val="00FD767B"/>
    <w:rsid w:val="00FD7878"/>
    <w:rsid w:val="00FD7908"/>
    <w:rsid w:val="00FE015C"/>
    <w:rsid w:val="00FE07AF"/>
    <w:rsid w:val="00FE0958"/>
    <w:rsid w:val="00FE0BDB"/>
    <w:rsid w:val="00FE0EF2"/>
    <w:rsid w:val="00FE11D0"/>
    <w:rsid w:val="00FE165D"/>
    <w:rsid w:val="00FE18FE"/>
    <w:rsid w:val="00FE2875"/>
    <w:rsid w:val="00FE2F77"/>
    <w:rsid w:val="00FE3317"/>
    <w:rsid w:val="00FE472A"/>
    <w:rsid w:val="00FE47E7"/>
    <w:rsid w:val="00FE4BBA"/>
    <w:rsid w:val="00FE4D1F"/>
    <w:rsid w:val="00FE4DB8"/>
    <w:rsid w:val="00FE4EB0"/>
    <w:rsid w:val="00FE5B08"/>
    <w:rsid w:val="00FE5C18"/>
    <w:rsid w:val="00FE6FC2"/>
    <w:rsid w:val="00FE7461"/>
    <w:rsid w:val="00FE7832"/>
    <w:rsid w:val="00FF0980"/>
    <w:rsid w:val="00FF0EC8"/>
    <w:rsid w:val="00FF1159"/>
    <w:rsid w:val="00FF185B"/>
    <w:rsid w:val="00FF195C"/>
    <w:rsid w:val="00FF201C"/>
    <w:rsid w:val="00FF21B9"/>
    <w:rsid w:val="00FF273E"/>
    <w:rsid w:val="00FF2DA5"/>
    <w:rsid w:val="00FF32B9"/>
    <w:rsid w:val="00FF37E1"/>
    <w:rsid w:val="00FF4AD9"/>
    <w:rsid w:val="00FF4FF1"/>
    <w:rsid w:val="00FF542B"/>
    <w:rsid w:val="00FF6185"/>
    <w:rsid w:val="00FF6670"/>
    <w:rsid w:val="00FF67AD"/>
    <w:rsid w:val="00FF7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B3C16"/>
  <w15:docId w15:val="{3A771C61-FD8E-413C-8F1F-A46E8618A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semiHidden/>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031B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B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B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unhideWhenUsed/>
    <w:rPr>
      <w:sz w:val="20"/>
      <w:szCs w:val="20"/>
    </w:rPr>
  </w:style>
  <w:style w:type="character" w:customStyle="1" w:styleId="FootnoteTextChar">
    <w:name w:val="Footnote Text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364AA"/>
    <w:pPr>
      <w:tabs>
        <w:tab w:val="center" w:pos="4680"/>
        <w:tab w:val="right" w:pos="9360"/>
      </w:tabs>
    </w:pPr>
  </w:style>
  <w:style w:type="character" w:customStyle="1" w:styleId="HeaderChar">
    <w:name w:val="Header Char"/>
    <w:basedOn w:val="DefaultParagraphFont"/>
    <w:link w:val="Header"/>
    <w:uiPriority w:val="99"/>
    <w:rsid w:val="003364AA"/>
  </w:style>
  <w:style w:type="paragraph" w:styleId="Footer">
    <w:name w:val="footer"/>
    <w:basedOn w:val="Normal"/>
    <w:link w:val="FooterChar"/>
    <w:uiPriority w:val="99"/>
    <w:unhideWhenUsed/>
    <w:rsid w:val="003364AA"/>
    <w:pPr>
      <w:tabs>
        <w:tab w:val="center" w:pos="4680"/>
        <w:tab w:val="right" w:pos="9360"/>
      </w:tabs>
    </w:pPr>
  </w:style>
  <w:style w:type="character" w:customStyle="1" w:styleId="FooterChar">
    <w:name w:val="Footer Char"/>
    <w:basedOn w:val="DefaultParagraphFont"/>
    <w:link w:val="Footer"/>
    <w:uiPriority w:val="99"/>
    <w:rsid w:val="003364AA"/>
  </w:style>
  <w:style w:type="character" w:styleId="PlaceholderText">
    <w:name w:val="Placeholder Text"/>
    <w:basedOn w:val="DefaultParagraphFont"/>
    <w:uiPriority w:val="99"/>
    <w:semiHidden/>
    <w:rsid w:val="008566F7"/>
    <w:rPr>
      <w:color w:val="666666"/>
    </w:rPr>
  </w:style>
  <w:style w:type="table" w:styleId="TableGrid">
    <w:name w:val="Table Grid"/>
    <w:basedOn w:val="TableNormal"/>
    <w:uiPriority w:val="39"/>
    <w:rsid w:val="007B1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4F5AB1"/>
    <w:pPr>
      <w:spacing w:before="180" w:after="180"/>
    </w:pPr>
    <w:rPr>
      <w:rFonts w:asciiTheme="minorHAnsi" w:eastAsiaTheme="minorHAnsi" w:hAnsiTheme="minorHAnsi" w:cstheme="minorBidi"/>
      <w:sz w:val="24"/>
      <w:szCs w:val="24"/>
    </w:rPr>
  </w:style>
  <w:style w:type="character" w:customStyle="1" w:styleId="BodyTextChar">
    <w:name w:val="Body Text Char"/>
    <w:basedOn w:val="DefaultParagraphFont"/>
    <w:link w:val="BodyText"/>
    <w:rsid w:val="004F5AB1"/>
    <w:rPr>
      <w:rFonts w:asciiTheme="minorHAnsi" w:eastAsiaTheme="minorHAnsi" w:hAnsiTheme="minorHAnsi" w:cstheme="minorBidi"/>
      <w:sz w:val="24"/>
      <w:szCs w:val="24"/>
    </w:rPr>
  </w:style>
  <w:style w:type="paragraph" w:customStyle="1" w:styleId="FirstParagraph">
    <w:name w:val="First Paragraph"/>
    <w:basedOn w:val="BodyText"/>
    <w:next w:val="BodyText"/>
    <w:qFormat/>
    <w:rsid w:val="004F5AB1"/>
  </w:style>
  <w:style w:type="character" w:styleId="UnresolvedMention">
    <w:name w:val="Unresolved Mention"/>
    <w:basedOn w:val="DefaultParagraphFont"/>
    <w:uiPriority w:val="99"/>
    <w:semiHidden/>
    <w:unhideWhenUsed/>
    <w:rsid w:val="004A3AAE"/>
    <w:rPr>
      <w:color w:val="605E5C"/>
      <w:shd w:val="clear" w:color="auto" w:fill="E1DFDD"/>
    </w:rPr>
  </w:style>
  <w:style w:type="paragraph" w:styleId="Revision">
    <w:name w:val="Revision"/>
    <w:hidden/>
    <w:uiPriority w:val="99"/>
    <w:semiHidden/>
    <w:rsid w:val="00B65996"/>
  </w:style>
  <w:style w:type="character" w:styleId="CommentReference">
    <w:name w:val="annotation reference"/>
    <w:basedOn w:val="DefaultParagraphFont"/>
    <w:uiPriority w:val="99"/>
    <w:semiHidden/>
    <w:unhideWhenUsed/>
    <w:rsid w:val="002A0BA7"/>
    <w:rPr>
      <w:sz w:val="16"/>
      <w:szCs w:val="16"/>
    </w:rPr>
  </w:style>
  <w:style w:type="paragraph" w:styleId="CommentText">
    <w:name w:val="annotation text"/>
    <w:basedOn w:val="Normal"/>
    <w:link w:val="CommentTextChar"/>
    <w:uiPriority w:val="99"/>
    <w:unhideWhenUsed/>
    <w:rsid w:val="002A0BA7"/>
    <w:rPr>
      <w:sz w:val="20"/>
      <w:szCs w:val="20"/>
    </w:rPr>
  </w:style>
  <w:style w:type="character" w:customStyle="1" w:styleId="CommentTextChar">
    <w:name w:val="Comment Text Char"/>
    <w:basedOn w:val="DefaultParagraphFont"/>
    <w:link w:val="CommentText"/>
    <w:uiPriority w:val="99"/>
    <w:rsid w:val="002A0BA7"/>
    <w:rPr>
      <w:sz w:val="20"/>
      <w:szCs w:val="20"/>
    </w:rPr>
  </w:style>
  <w:style w:type="paragraph" w:styleId="CommentSubject">
    <w:name w:val="annotation subject"/>
    <w:basedOn w:val="CommentText"/>
    <w:next w:val="CommentText"/>
    <w:link w:val="CommentSubjectChar"/>
    <w:uiPriority w:val="99"/>
    <w:semiHidden/>
    <w:unhideWhenUsed/>
    <w:rsid w:val="002A0BA7"/>
    <w:rPr>
      <w:b/>
      <w:bCs/>
    </w:rPr>
  </w:style>
  <w:style w:type="character" w:customStyle="1" w:styleId="CommentSubjectChar">
    <w:name w:val="Comment Subject Char"/>
    <w:basedOn w:val="CommentTextChar"/>
    <w:link w:val="CommentSubject"/>
    <w:uiPriority w:val="99"/>
    <w:semiHidden/>
    <w:rsid w:val="002A0BA7"/>
    <w:rPr>
      <w:b/>
      <w:bCs/>
      <w:sz w:val="20"/>
      <w:szCs w:val="20"/>
    </w:rPr>
  </w:style>
  <w:style w:type="paragraph" w:customStyle="1" w:styleId="MTDisplayEquation">
    <w:name w:val="MTDisplayEquation"/>
    <w:basedOn w:val="Normal"/>
    <w:next w:val="Normal"/>
    <w:link w:val="MTDisplayEquationChar"/>
    <w:rsid w:val="00623B70"/>
    <w:pPr>
      <w:shd w:val="clear" w:color="auto" w:fill="FFFFFF"/>
      <w:tabs>
        <w:tab w:val="center" w:pos="4680"/>
        <w:tab w:val="right" w:pos="9360"/>
      </w:tabs>
      <w:jc w:val="both"/>
    </w:pPr>
    <w:rPr>
      <w:rFonts w:eastAsiaTheme="minorHAnsi" w:cstheme="minorBidi"/>
      <w:kern w:val="2"/>
      <w:sz w:val="24"/>
      <w:szCs w:val="24"/>
      <w14:ligatures w14:val="standardContextual"/>
    </w:rPr>
  </w:style>
  <w:style w:type="character" w:customStyle="1" w:styleId="MTDisplayEquationChar">
    <w:name w:val="MTDisplayEquation Char"/>
    <w:basedOn w:val="DefaultParagraphFont"/>
    <w:link w:val="MTDisplayEquation"/>
    <w:rsid w:val="00623B70"/>
    <w:rPr>
      <w:rFonts w:eastAsiaTheme="minorHAnsi" w:cstheme="minorBidi"/>
      <w:kern w:val="2"/>
      <w:sz w:val="24"/>
      <w:szCs w:val="24"/>
      <w:shd w:val="clear" w:color="auto" w:fill="FFFFFF"/>
      <w14:ligatures w14:val="standardContextual"/>
    </w:rPr>
  </w:style>
  <w:style w:type="character" w:customStyle="1" w:styleId="MTConvertedEquation">
    <w:name w:val="MTConvertedEquation"/>
    <w:basedOn w:val="DefaultParagraphFont"/>
    <w:rsid w:val="00623B70"/>
    <w:rPr>
      <w:rFonts w:ascii="Cambria Math" w:hAnsi="Cambria Math"/>
      <w:color w:val="000000"/>
      <w:sz w:val="24"/>
      <w:szCs w:val="24"/>
    </w:rPr>
  </w:style>
  <w:style w:type="paragraph" w:styleId="NormalWeb">
    <w:name w:val="Normal (Web)"/>
    <w:basedOn w:val="Normal"/>
    <w:uiPriority w:val="99"/>
    <w:unhideWhenUsed/>
    <w:rsid w:val="000C38C0"/>
    <w:pPr>
      <w:spacing w:before="100" w:beforeAutospacing="1" w:after="100" w:afterAutospacing="1"/>
    </w:pPr>
    <w:rPr>
      <w:sz w:val="24"/>
      <w:szCs w:val="24"/>
    </w:rPr>
  </w:style>
  <w:style w:type="character" w:customStyle="1" w:styleId="Heading7Char">
    <w:name w:val="Heading 7 Char"/>
    <w:basedOn w:val="DefaultParagraphFont"/>
    <w:link w:val="Heading7"/>
    <w:uiPriority w:val="9"/>
    <w:semiHidden/>
    <w:rsid w:val="00031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B7E"/>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031B7E"/>
    <w:rPr>
      <w:color w:val="2E74B5"/>
      <w:sz w:val="32"/>
      <w:szCs w:val="32"/>
    </w:rPr>
  </w:style>
  <w:style w:type="character" w:customStyle="1" w:styleId="Heading2Char">
    <w:name w:val="Heading 2 Char"/>
    <w:basedOn w:val="DefaultParagraphFont"/>
    <w:link w:val="Heading2"/>
    <w:uiPriority w:val="9"/>
    <w:semiHidden/>
    <w:rsid w:val="00031B7E"/>
    <w:rPr>
      <w:color w:val="2E74B5"/>
      <w:sz w:val="26"/>
      <w:szCs w:val="26"/>
    </w:rPr>
  </w:style>
  <w:style w:type="character" w:customStyle="1" w:styleId="Heading3Char">
    <w:name w:val="Heading 3 Char"/>
    <w:basedOn w:val="DefaultParagraphFont"/>
    <w:link w:val="Heading3"/>
    <w:uiPriority w:val="9"/>
    <w:semiHidden/>
    <w:rsid w:val="00031B7E"/>
    <w:rPr>
      <w:color w:val="1F4D78"/>
      <w:sz w:val="24"/>
      <w:szCs w:val="24"/>
    </w:rPr>
  </w:style>
  <w:style w:type="character" w:customStyle="1" w:styleId="Heading4Char">
    <w:name w:val="Heading 4 Char"/>
    <w:basedOn w:val="DefaultParagraphFont"/>
    <w:link w:val="Heading4"/>
    <w:uiPriority w:val="9"/>
    <w:semiHidden/>
    <w:rsid w:val="00031B7E"/>
    <w:rPr>
      <w:i/>
      <w:iCs/>
      <w:color w:val="2E74B5"/>
    </w:rPr>
  </w:style>
  <w:style w:type="character" w:customStyle="1" w:styleId="Heading5Char">
    <w:name w:val="Heading 5 Char"/>
    <w:basedOn w:val="DefaultParagraphFont"/>
    <w:link w:val="Heading5"/>
    <w:uiPriority w:val="9"/>
    <w:semiHidden/>
    <w:rsid w:val="00031B7E"/>
    <w:rPr>
      <w:color w:val="2E74B5"/>
    </w:rPr>
  </w:style>
  <w:style w:type="character" w:customStyle="1" w:styleId="Heading6Char">
    <w:name w:val="Heading 6 Char"/>
    <w:basedOn w:val="DefaultParagraphFont"/>
    <w:link w:val="Heading6"/>
    <w:uiPriority w:val="9"/>
    <w:semiHidden/>
    <w:rsid w:val="00031B7E"/>
    <w:rPr>
      <w:color w:val="1F4D78"/>
    </w:rPr>
  </w:style>
  <w:style w:type="character" w:customStyle="1" w:styleId="TitleChar">
    <w:name w:val="Title Char"/>
    <w:basedOn w:val="DefaultParagraphFont"/>
    <w:link w:val="Title"/>
    <w:uiPriority w:val="10"/>
    <w:rsid w:val="00031B7E"/>
    <w:rPr>
      <w:sz w:val="56"/>
      <w:szCs w:val="56"/>
    </w:rPr>
  </w:style>
  <w:style w:type="paragraph" w:styleId="Subtitle">
    <w:name w:val="Subtitle"/>
    <w:basedOn w:val="Normal"/>
    <w:next w:val="Normal"/>
    <w:link w:val="SubtitleChar"/>
    <w:uiPriority w:val="11"/>
    <w:qFormat/>
    <w:rsid w:val="00031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B7E"/>
    <w:pPr>
      <w:spacing w:before="160"/>
      <w:jc w:val="center"/>
    </w:pPr>
    <w:rPr>
      <w:i/>
      <w:iCs/>
      <w:color w:val="404040" w:themeColor="text1" w:themeTint="BF"/>
    </w:rPr>
  </w:style>
  <w:style w:type="character" w:customStyle="1" w:styleId="QuoteChar">
    <w:name w:val="Quote Char"/>
    <w:basedOn w:val="DefaultParagraphFont"/>
    <w:link w:val="Quote"/>
    <w:uiPriority w:val="29"/>
    <w:rsid w:val="00031B7E"/>
    <w:rPr>
      <w:i/>
      <w:iCs/>
      <w:color w:val="404040" w:themeColor="text1" w:themeTint="BF"/>
    </w:rPr>
  </w:style>
  <w:style w:type="character" w:styleId="IntenseEmphasis">
    <w:name w:val="Intense Emphasis"/>
    <w:basedOn w:val="DefaultParagraphFont"/>
    <w:uiPriority w:val="21"/>
    <w:qFormat/>
    <w:rsid w:val="00031B7E"/>
    <w:rPr>
      <w:i/>
      <w:iCs/>
      <w:color w:val="0F4761" w:themeColor="accent1" w:themeShade="BF"/>
    </w:rPr>
  </w:style>
  <w:style w:type="paragraph" w:styleId="IntenseQuote">
    <w:name w:val="Intense Quote"/>
    <w:basedOn w:val="Normal"/>
    <w:next w:val="Normal"/>
    <w:link w:val="IntenseQuoteChar"/>
    <w:uiPriority w:val="30"/>
    <w:qFormat/>
    <w:rsid w:val="00031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B7E"/>
    <w:rPr>
      <w:i/>
      <w:iCs/>
      <w:color w:val="0F4761" w:themeColor="accent1" w:themeShade="BF"/>
    </w:rPr>
  </w:style>
  <w:style w:type="character" w:styleId="IntenseReference">
    <w:name w:val="Intense Reference"/>
    <w:basedOn w:val="DefaultParagraphFont"/>
    <w:uiPriority w:val="32"/>
    <w:qFormat/>
    <w:rsid w:val="00031B7E"/>
    <w:rPr>
      <w:b/>
      <w:bCs/>
      <w:smallCaps/>
      <w:color w:val="0F4761" w:themeColor="accent1" w:themeShade="BF"/>
      <w:spacing w:val="5"/>
    </w:rPr>
  </w:style>
  <w:style w:type="paragraph" w:customStyle="1" w:styleId="pdq2pgselectionanchorcontainer">
    <w:name w:val="pdq2pg_selectionanchorcontainer"/>
    <w:basedOn w:val="Normal"/>
    <w:rsid w:val="002234FC"/>
    <w:pPr>
      <w:spacing w:before="100" w:beforeAutospacing="1" w:after="100" w:afterAutospacing="1"/>
    </w:pPr>
    <w:rPr>
      <w:sz w:val="24"/>
      <w:szCs w:val="24"/>
    </w:rPr>
  </w:style>
  <w:style w:type="character" w:styleId="Strong">
    <w:name w:val="Strong"/>
    <w:basedOn w:val="DefaultParagraphFont"/>
    <w:uiPriority w:val="22"/>
    <w:qFormat/>
    <w:rsid w:val="00780ECE"/>
    <w:rPr>
      <w:b/>
      <w:bCs/>
    </w:rPr>
  </w:style>
  <w:style w:type="character" w:styleId="FollowedHyperlink">
    <w:name w:val="FollowedHyperlink"/>
    <w:basedOn w:val="DefaultParagraphFont"/>
    <w:uiPriority w:val="99"/>
    <w:semiHidden/>
    <w:unhideWhenUsed/>
    <w:rsid w:val="007C74C0"/>
    <w:rPr>
      <w:color w:val="96607D" w:themeColor="followedHyperlink"/>
      <w:u w:val="single"/>
    </w:rPr>
  </w:style>
  <w:style w:type="character" w:customStyle="1" w:styleId="MTEquationSection">
    <w:name w:val="MTEquationSection"/>
    <w:basedOn w:val="DefaultParagraphFont"/>
    <w:rsid w:val="00AD4BA9"/>
    <w:rPr>
      <w:b/>
      <w:bCs/>
      <w:vanish/>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297">
      <w:marLeft w:val="480"/>
      <w:marRight w:val="0"/>
      <w:marTop w:val="0"/>
      <w:marBottom w:val="0"/>
      <w:divBdr>
        <w:top w:val="none" w:sz="0" w:space="0" w:color="auto"/>
        <w:left w:val="none" w:sz="0" w:space="0" w:color="auto"/>
        <w:bottom w:val="none" w:sz="0" w:space="0" w:color="auto"/>
        <w:right w:val="none" w:sz="0" w:space="0" w:color="auto"/>
      </w:divBdr>
    </w:div>
    <w:div w:id="5906740">
      <w:marLeft w:val="480"/>
      <w:marRight w:val="0"/>
      <w:marTop w:val="0"/>
      <w:marBottom w:val="0"/>
      <w:divBdr>
        <w:top w:val="none" w:sz="0" w:space="0" w:color="auto"/>
        <w:left w:val="none" w:sz="0" w:space="0" w:color="auto"/>
        <w:bottom w:val="none" w:sz="0" w:space="0" w:color="auto"/>
        <w:right w:val="none" w:sz="0" w:space="0" w:color="auto"/>
      </w:divBdr>
    </w:div>
    <w:div w:id="6294941">
      <w:marLeft w:val="480"/>
      <w:marRight w:val="0"/>
      <w:marTop w:val="0"/>
      <w:marBottom w:val="0"/>
      <w:divBdr>
        <w:top w:val="none" w:sz="0" w:space="0" w:color="auto"/>
        <w:left w:val="none" w:sz="0" w:space="0" w:color="auto"/>
        <w:bottom w:val="none" w:sz="0" w:space="0" w:color="auto"/>
        <w:right w:val="none" w:sz="0" w:space="0" w:color="auto"/>
      </w:divBdr>
    </w:div>
    <w:div w:id="6491360">
      <w:marLeft w:val="480"/>
      <w:marRight w:val="0"/>
      <w:marTop w:val="0"/>
      <w:marBottom w:val="0"/>
      <w:divBdr>
        <w:top w:val="none" w:sz="0" w:space="0" w:color="auto"/>
        <w:left w:val="none" w:sz="0" w:space="0" w:color="auto"/>
        <w:bottom w:val="none" w:sz="0" w:space="0" w:color="auto"/>
        <w:right w:val="none" w:sz="0" w:space="0" w:color="auto"/>
      </w:divBdr>
    </w:div>
    <w:div w:id="7602327">
      <w:marLeft w:val="480"/>
      <w:marRight w:val="0"/>
      <w:marTop w:val="0"/>
      <w:marBottom w:val="0"/>
      <w:divBdr>
        <w:top w:val="none" w:sz="0" w:space="0" w:color="auto"/>
        <w:left w:val="none" w:sz="0" w:space="0" w:color="auto"/>
        <w:bottom w:val="none" w:sz="0" w:space="0" w:color="auto"/>
        <w:right w:val="none" w:sz="0" w:space="0" w:color="auto"/>
      </w:divBdr>
    </w:div>
    <w:div w:id="9725983">
      <w:marLeft w:val="480"/>
      <w:marRight w:val="0"/>
      <w:marTop w:val="0"/>
      <w:marBottom w:val="0"/>
      <w:divBdr>
        <w:top w:val="none" w:sz="0" w:space="0" w:color="auto"/>
        <w:left w:val="none" w:sz="0" w:space="0" w:color="auto"/>
        <w:bottom w:val="none" w:sz="0" w:space="0" w:color="auto"/>
        <w:right w:val="none" w:sz="0" w:space="0" w:color="auto"/>
      </w:divBdr>
    </w:div>
    <w:div w:id="12273129">
      <w:marLeft w:val="480"/>
      <w:marRight w:val="0"/>
      <w:marTop w:val="0"/>
      <w:marBottom w:val="0"/>
      <w:divBdr>
        <w:top w:val="none" w:sz="0" w:space="0" w:color="auto"/>
        <w:left w:val="none" w:sz="0" w:space="0" w:color="auto"/>
        <w:bottom w:val="none" w:sz="0" w:space="0" w:color="auto"/>
        <w:right w:val="none" w:sz="0" w:space="0" w:color="auto"/>
      </w:divBdr>
    </w:div>
    <w:div w:id="12851509">
      <w:marLeft w:val="480"/>
      <w:marRight w:val="0"/>
      <w:marTop w:val="0"/>
      <w:marBottom w:val="0"/>
      <w:divBdr>
        <w:top w:val="none" w:sz="0" w:space="0" w:color="auto"/>
        <w:left w:val="none" w:sz="0" w:space="0" w:color="auto"/>
        <w:bottom w:val="none" w:sz="0" w:space="0" w:color="auto"/>
        <w:right w:val="none" w:sz="0" w:space="0" w:color="auto"/>
      </w:divBdr>
    </w:div>
    <w:div w:id="13044402">
      <w:marLeft w:val="480"/>
      <w:marRight w:val="0"/>
      <w:marTop w:val="0"/>
      <w:marBottom w:val="0"/>
      <w:divBdr>
        <w:top w:val="none" w:sz="0" w:space="0" w:color="auto"/>
        <w:left w:val="none" w:sz="0" w:space="0" w:color="auto"/>
        <w:bottom w:val="none" w:sz="0" w:space="0" w:color="auto"/>
        <w:right w:val="none" w:sz="0" w:space="0" w:color="auto"/>
      </w:divBdr>
    </w:div>
    <w:div w:id="13769963">
      <w:marLeft w:val="480"/>
      <w:marRight w:val="0"/>
      <w:marTop w:val="0"/>
      <w:marBottom w:val="0"/>
      <w:divBdr>
        <w:top w:val="none" w:sz="0" w:space="0" w:color="auto"/>
        <w:left w:val="none" w:sz="0" w:space="0" w:color="auto"/>
        <w:bottom w:val="none" w:sz="0" w:space="0" w:color="auto"/>
        <w:right w:val="none" w:sz="0" w:space="0" w:color="auto"/>
      </w:divBdr>
    </w:div>
    <w:div w:id="17200704">
      <w:marLeft w:val="480"/>
      <w:marRight w:val="0"/>
      <w:marTop w:val="0"/>
      <w:marBottom w:val="0"/>
      <w:divBdr>
        <w:top w:val="none" w:sz="0" w:space="0" w:color="auto"/>
        <w:left w:val="none" w:sz="0" w:space="0" w:color="auto"/>
        <w:bottom w:val="none" w:sz="0" w:space="0" w:color="auto"/>
        <w:right w:val="none" w:sz="0" w:space="0" w:color="auto"/>
      </w:divBdr>
    </w:div>
    <w:div w:id="20472611">
      <w:marLeft w:val="480"/>
      <w:marRight w:val="0"/>
      <w:marTop w:val="0"/>
      <w:marBottom w:val="0"/>
      <w:divBdr>
        <w:top w:val="none" w:sz="0" w:space="0" w:color="auto"/>
        <w:left w:val="none" w:sz="0" w:space="0" w:color="auto"/>
        <w:bottom w:val="none" w:sz="0" w:space="0" w:color="auto"/>
        <w:right w:val="none" w:sz="0" w:space="0" w:color="auto"/>
      </w:divBdr>
    </w:div>
    <w:div w:id="22675990">
      <w:marLeft w:val="480"/>
      <w:marRight w:val="0"/>
      <w:marTop w:val="0"/>
      <w:marBottom w:val="0"/>
      <w:divBdr>
        <w:top w:val="none" w:sz="0" w:space="0" w:color="auto"/>
        <w:left w:val="none" w:sz="0" w:space="0" w:color="auto"/>
        <w:bottom w:val="none" w:sz="0" w:space="0" w:color="auto"/>
        <w:right w:val="none" w:sz="0" w:space="0" w:color="auto"/>
      </w:divBdr>
    </w:div>
    <w:div w:id="31274138">
      <w:marLeft w:val="480"/>
      <w:marRight w:val="0"/>
      <w:marTop w:val="0"/>
      <w:marBottom w:val="0"/>
      <w:divBdr>
        <w:top w:val="none" w:sz="0" w:space="0" w:color="auto"/>
        <w:left w:val="none" w:sz="0" w:space="0" w:color="auto"/>
        <w:bottom w:val="none" w:sz="0" w:space="0" w:color="auto"/>
        <w:right w:val="none" w:sz="0" w:space="0" w:color="auto"/>
      </w:divBdr>
    </w:div>
    <w:div w:id="32970656">
      <w:marLeft w:val="480"/>
      <w:marRight w:val="0"/>
      <w:marTop w:val="0"/>
      <w:marBottom w:val="0"/>
      <w:divBdr>
        <w:top w:val="none" w:sz="0" w:space="0" w:color="auto"/>
        <w:left w:val="none" w:sz="0" w:space="0" w:color="auto"/>
        <w:bottom w:val="none" w:sz="0" w:space="0" w:color="auto"/>
        <w:right w:val="none" w:sz="0" w:space="0" w:color="auto"/>
      </w:divBdr>
    </w:div>
    <w:div w:id="34937180">
      <w:marLeft w:val="480"/>
      <w:marRight w:val="0"/>
      <w:marTop w:val="0"/>
      <w:marBottom w:val="0"/>
      <w:divBdr>
        <w:top w:val="none" w:sz="0" w:space="0" w:color="auto"/>
        <w:left w:val="none" w:sz="0" w:space="0" w:color="auto"/>
        <w:bottom w:val="none" w:sz="0" w:space="0" w:color="auto"/>
        <w:right w:val="none" w:sz="0" w:space="0" w:color="auto"/>
      </w:divBdr>
    </w:div>
    <w:div w:id="40135827">
      <w:marLeft w:val="480"/>
      <w:marRight w:val="0"/>
      <w:marTop w:val="0"/>
      <w:marBottom w:val="0"/>
      <w:divBdr>
        <w:top w:val="none" w:sz="0" w:space="0" w:color="auto"/>
        <w:left w:val="none" w:sz="0" w:space="0" w:color="auto"/>
        <w:bottom w:val="none" w:sz="0" w:space="0" w:color="auto"/>
        <w:right w:val="none" w:sz="0" w:space="0" w:color="auto"/>
      </w:divBdr>
    </w:div>
    <w:div w:id="40643238">
      <w:marLeft w:val="480"/>
      <w:marRight w:val="0"/>
      <w:marTop w:val="0"/>
      <w:marBottom w:val="0"/>
      <w:divBdr>
        <w:top w:val="none" w:sz="0" w:space="0" w:color="auto"/>
        <w:left w:val="none" w:sz="0" w:space="0" w:color="auto"/>
        <w:bottom w:val="none" w:sz="0" w:space="0" w:color="auto"/>
        <w:right w:val="none" w:sz="0" w:space="0" w:color="auto"/>
      </w:divBdr>
    </w:div>
    <w:div w:id="41366137">
      <w:marLeft w:val="480"/>
      <w:marRight w:val="0"/>
      <w:marTop w:val="0"/>
      <w:marBottom w:val="0"/>
      <w:divBdr>
        <w:top w:val="none" w:sz="0" w:space="0" w:color="auto"/>
        <w:left w:val="none" w:sz="0" w:space="0" w:color="auto"/>
        <w:bottom w:val="none" w:sz="0" w:space="0" w:color="auto"/>
        <w:right w:val="none" w:sz="0" w:space="0" w:color="auto"/>
      </w:divBdr>
    </w:div>
    <w:div w:id="42608992">
      <w:marLeft w:val="480"/>
      <w:marRight w:val="0"/>
      <w:marTop w:val="0"/>
      <w:marBottom w:val="0"/>
      <w:divBdr>
        <w:top w:val="none" w:sz="0" w:space="0" w:color="auto"/>
        <w:left w:val="none" w:sz="0" w:space="0" w:color="auto"/>
        <w:bottom w:val="none" w:sz="0" w:space="0" w:color="auto"/>
        <w:right w:val="none" w:sz="0" w:space="0" w:color="auto"/>
      </w:divBdr>
    </w:div>
    <w:div w:id="46153742">
      <w:marLeft w:val="480"/>
      <w:marRight w:val="0"/>
      <w:marTop w:val="0"/>
      <w:marBottom w:val="0"/>
      <w:divBdr>
        <w:top w:val="none" w:sz="0" w:space="0" w:color="auto"/>
        <w:left w:val="none" w:sz="0" w:space="0" w:color="auto"/>
        <w:bottom w:val="none" w:sz="0" w:space="0" w:color="auto"/>
        <w:right w:val="none" w:sz="0" w:space="0" w:color="auto"/>
      </w:divBdr>
    </w:div>
    <w:div w:id="46538869">
      <w:marLeft w:val="480"/>
      <w:marRight w:val="0"/>
      <w:marTop w:val="0"/>
      <w:marBottom w:val="0"/>
      <w:divBdr>
        <w:top w:val="none" w:sz="0" w:space="0" w:color="auto"/>
        <w:left w:val="none" w:sz="0" w:space="0" w:color="auto"/>
        <w:bottom w:val="none" w:sz="0" w:space="0" w:color="auto"/>
        <w:right w:val="none" w:sz="0" w:space="0" w:color="auto"/>
      </w:divBdr>
    </w:div>
    <w:div w:id="49153887">
      <w:marLeft w:val="480"/>
      <w:marRight w:val="0"/>
      <w:marTop w:val="0"/>
      <w:marBottom w:val="0"/>
      <w:divBdr>
        <w:top w:val="none" w:sz="0" w:space="0" w:color="auto"/>
        <w:left w:val="none" w:sz="0" w:space="0" w:color="auto"/>
        <w:bottom w:val="none" w:sz="0" w:space="0" w:color="auto"/>
        <w:right w:val="none" w:sz="0" w:space="0" w:color="auto"/>
      </w:divBdr>
    </w:div>
    <w:div w:id="49504993">
      <w:marLeft w:val="480"/>
      <w:marRight w:val="0"/>
      <w:marTop w:val="0"/>
      <w:marBottom w:val="0"/>
      <w:divBdr>
        <w:top w:val="none" w:sz="0" w:space="0" w:color="auto"/>
        <w:left w:val="none" w:sz="0" w:space="0" w:color="auto"/>
        <w:bottom w:val="none" w:sz="0" w:space="0" w:color="auto"/>
        <w:right w:val="none" w:sz="0" w:space="0" w:color="auto"/>
      </w:divBdr>
    </w:div>
    <w:div w:id="50540856">
      <w:marLeft w:val="480"/>
      <w:marRight w:val="0"/>
      <w:marTop w:val="0"/>
      <w:marBottom w:val="0"/>
      <w:divBdr>
        <w:top w:val="none" w:sz="0" w:space="0" w:color="auto"/>
        <w:left w:val="none" w:sz="0" w:space="0" w:color="auto"/>
        <w:bottom w:val="none" w:sz="0" w:space="0" w:color="auto"/>
        <w:right w:val="none" w:sz="0" w:space="0" w:color="auto"/>
      </w:divBdr>
    </w:div>
    <w:div w:id="51078822">
      <w:marLeft w:val="480"/>
      <w:marRight w:val="0"/>
      <w:marTop w:val="0"/>
      <w:marBottom w:val="0"/>
      <w:divBdr>
        <w:top w:val="none" w:sz="0" w:space="0" w:color="auto"/>
        <w:left w:val="none" w:sz="0" w:space="0" w:color="auto"/>
        <w:bottom w:val="none" w:sz="0" w:space="0" w:color="auto"/>
        <w:right w:val="none" w:sz="0" w:space="0" w:color="auto"/>
      </w:divBdr>
    </w:div>
    <w:div w:id="51395437">
      <w:marLeft w:val="480"/>
      <w:marRight w:val="0"/>
      <w:marTop w:val="0"/>
      <w:marBottom w:val="0"/>
      <w:divBdr>
        <w:top w:val="none" w:sz="0" w:space="0" w:color="auto"/>
        <w:left w:val="none" w:sz="0" w:space="0" w:color="auto"/>
        <w:bottom w:val="none" w:sz="0" w:space="0" w:color="auto"/>
        <w:right w:val="none" w:sz="0" w:space="0" w:color="auto"/>
      </w:divBdr>
    </w:div>
    <w:div w:id="53771779">
      <w:marLeft w:val="480"/>
      <w:marRight w:val="0"/>
      <w:marTop w:val="0"/>
      <w:marBottom w:val="0"/>
      <w:divBdr>
        <w:top w:val="none" w:sz="0" w:space="0" w:color="auto"/>
        <w:left w:val="none" w:sz="0" w:space="0" w:color="auto"/>
        <w:bottom w:val="none" w:sz="0" w:space="0" w:color="auto"/>
        <w:right w:val="none" w:sz="0" w:space="0" w:color="auto"/>
      </w:divBdr>
    </w:div>
    <w:div w:id="55709308">
      <w:marLeft w:val="480"/>
      <w:marRight w:val="0"/>
      <w:marTop w:val="0"/>
      <w:marBottom w:val="0"/>
      <w:divBdr>
        <w:top w:val="none" w:sz="0" w:space="0" w:color="auto"/>
        <w:left w:val="none" w:sz="0" w:space="0" w:color="auto"/>
        <w:bottom w:val="none" w:sz="0" w:space="0" w:color="auto"/>
        <w:right w:val="none" w:sz="0" w:space="0" w:color="auto"/>
      </w:divBdr>
    </w:div>
    <w:div w:id="57439965">
      <w:marLeft w:val="480"/>
      <w:marRight w:val="0"/>
      <w:marTop w:val="0"/>
      <w:marBottom w:val="0"/>
      <w:divBdr>
        <w:top w:val="none" w:sz="0" w:space="0" w:color="auto"/>
        <w:left w:val="none" w:sz="0" w:space="0" w:color="auto"/>
        <w:bottom w:val="none" w:sz="0" w:space="0" w:color="auto"/>
        <w:right w:val="none" w:sz="0" w:space="0" w:color="auto"/>
      </w:divBdr>
    </w:div>
    <w:div w:id="60837720">
      <w:marLeft w:val="480"/>
      <w:marRight w:val="0"/>
      <w:marTop w:val="0"/>
      <w:marBottom w:val="0"/>
      <w:divBdr>
        <w:top w:val="none" w:sz="0" w:space="0" w:color="auto"/>
        <w:left w:val="none" w:sz="0" w:space="0" w:color="auto"/>
        <w:bottom w:val="none" w:sz="0" w:space="0" w:color="auto"/>
        <w:right w:val="none" w:sz="0" w:space="0" w:color="auto"/>
      </w:divBdr>
    </w:div>
    <w:div w:id="61832637">
      <w:marLeft w:val="480"/>
      <w:marRight w:val="0"/>
      <w:marTop w:val="0"/>
      <w:marBottom w:val="0"/>
      <w:divBdr>
        <w:top w:val="none" w:sz="0" w:space="0" w:color="auto"/>
        <w:left w:val="none" w:sz="0" w:space="0" w:color="auto"/>
        <w:bottom w:val="none" w:sz="0" w:space="0" w:color="auto"/>
        <w:right w:val="none" w:sz="0" w:space="0" w:color="auto"/>
      </w:divBdr>
    </w:div>
    <w:div w:id="62066039">
      <w:marLeft w:val="480"/>
      <w:marRight w:val="0"/>
      <w:marTop w:val="0"/>
      <w:marBottom w:val="0"/>
      <w:divBdr>
        <w:top w:val="none" w:sz="0" w:space="0" w:color="auto"/>
        <w:left w:val="none" w:sz="0" w:space="0" w:color="auto"/>
        <w:bottom w:val="none" w:sz="0" w:space="0" w:color="auto"/>
        <w:right w:val="none" w:sz="0" w:space="0" w:color="auto"/>
      </w:divBdr>
    </w:div>
    <w:div w:id="65500854">
      <w:marLeft w:val="480"/>
      <w:marRight w:val="0"/>
      <w:marTop w:val="0"/>
      <w:marBottom w:val="0"/>
      <w:divBdr>
        <w:top w:val="none" w:sz="0" w:space="0" w:color="auto"/>
        <w:left w:val="none" w:sz="0" w:space="0" w:color="auto"/>
        <w:bottom w:val="none" w:sz="0" w:space="0" w:color="auto"/>
        <w:right w:val="none" w:sz="0" w:space="0" w:color="auto"/>
      </w:divBdr>
    </w:div>
    <w:div w:id="66923519">
      <w:marLeft w:val="480"/>
      <w:marRight w:val="0"/>
      <w:marTop w:val="0"/>
      <w:marBottom w:val="0"/>
      <w:divBdr>
        <w:top w:val="none" w:sz="0" w:space="0" w:color="auto"/>
        <w:left w:val="none" w:sz="0" w:space="0" w:color="auto"/>
        <w:bottom w:val="none" w:sz="0" w:space="0" w:color="auto"/>
        <w:right w:val="none" w:sz="0" w:space="0" w:color="auto"/>
      </w:divBdr>
    </w:div>
    <w:div w:id="69273890">
      <w:marLeft w:val="480"/>
      <w:marRight w:val="0"/>
      <w:marTop w:val="0"/>
      <w:marBottom w:val="0"/>
      <w:divBdr>
        <w:top w:val="none" w:sz="0" w:space="0" w:color="auto"/>
        <w:left w:val="none" w:sz="0" w:space="0" w:color="auto"/>
        <w:bottom w:val="none" w:sz="0" w:space="0" w:color="auto"/>
        <w:right w:val="none" w:sz="0" w:space="0" w:color="auto"/>
      </w:divBdr>
    </w:div>
    <w:div w:id="69931326">
      <w:marLeft w:val="480"/>
      <w:marRight w:val="0"/>
      <w:marTop w:val="0"/>
      <w:marBottom w:val="0"/>
      <w:divBdr>
        <w:top w:val="none" w:sz="0" w:space="0" w:color="auto"/>
        <w:left w:val="none" w:sz="0" w:space="0" w:color="auto"/>
        <w:bottom w:val="none" w:sz="0" w:space="0" w:color="auto"/>
        <w:right w:val="none" w:sz="0" w:space="0" w:color="auto"/>
      </w:divBdr>
    </w:div>
    <w:div w:id="71586044">
      <w:marLeft w:val="480"/>
      <w:marRight w:val="0"/>
      <w:marTop w:val="0"/>
      <w:marBottom w:val="0"/>
      <w:divBdr>
        <w:top w:val="none" w:sz="0" w:space="0" w:color="auto"/>
        <w:left w:val="none" w:sz="0" w:space="0" w:color="auto"/>
        <w:bottom w:val="none" w:sz="0" w:space="0" w:color="auto"/>
        <w:right w:val="none" w:sz="0" w:space="0" w:color="auto"/>
      </w:divBdr>
    </w:div>
    <w:div w:id="73206436">
      <w:marLeft w:val="480"/>
      <w:marRight w:val="0"/>
      <w:marTop w:val="0"/>
      <w:marBottom w:val="0"/>
      <w:divBdr>
        <w:top w:val="none" w:sz="0" w:space="0" w:color="auto"/>
        <w:left w:val="none" w:sz="0" w:space="0" w:color="auto"/>
        <w:bottom w:val="none" w:sz="0" w:space="0" w:color="auto"/>
        <w:right w:val="none" w:sz="0" w:space="0" w:color="auto"/>
      </w:divBdr>
    </w:div>
    <w:div w:id="76099454">
      <w:marLeft w:val="480"/>
      <w:marRight w:val="0"/>
      <w:marTop w:val="0"/>
      <w:marBottom w:val="0"/>
      <w:divBdr>
        <w:top w:val="none" w:sz="0" w:space="0" w:color="auto"/>
        <w:left w:val="none" w:sz="0" w:space="0" w:color="auto"/>
        <w:bottom w:val="none" w:sz="0" w:space="0" w:color="auto"/>
        <w:right w:val="none" w:sz="0" w:space="0" w:color="auto"/>
      </w:divBdr>
    </w:div>
    <w:div w:id="76753927">
      <w:marLeft w:val="480"/>
      <w:marRight w:val="0"/>
      <w:marTop w:val="0"/>
      <w:marBottom w:val="0"/>
      <w:divBdr>
        <w:top w:val="none" w:sz="0" w:space="0" w:color="auto"/>
        <w:left w:val="none" w:sz="0" w:space="0" w:color="auto"/>
        <w:bottom w:val="none" w:sz="0" w:space="0" w:color="auto"/>
        <w:right w:val="none" w:sz="0" w:space="0" w:color="auto"/>
      </w:divBdr>
    </w:div>
    <w:div w:id="85348155">
      <w:marLeft w:val="480"/>
      <w:marRight w:val="0"/>
      <w:marTop w:val="0"/>
      <w:marBottom w:val="0"/>
      <w:divBdr>
        <w:top w:val="none" w:sz="0" w:space="0" w:color="auto"/>
        <w:left w:val="none" w:sz="0" w:space="0" w:color="auto"/>
        <w:bottom w:val="none" w:sz="0" w:space="0" w:color="auto"/>
        <w:right w:val="none" w:sz="0" w:space="0" w:color="auto"/>
      </w:divBdr>
    </w:div>
    <w:div w:id="86467155">
      <w:marLeft w:val="480"/>
      <w:marRight w:val="0"/>
      <w:marTop w:val="0"/>
      <w:marBottom w:val="0"/>
      <w:divBdr>
        <w:top w:val="none" w:sz="0" w:space="0" w:color="auto"/>
        <w:left w:val="none" w:sz="0" w:space="0" w:color="auto"/>
        <w:bottom w:val="none" w:sz="0" w:space="0" w:color="auto"/>
        <w:right w:val="none" w:sz="0" w:space="0" w:color="auto"/>
      </w:divBdr>
    </w:div>
    <w:div w:id="89351066">
      <w:marLeft w:val="480"/>
      <w:marRight w:val="0"/>
      <w:marTop w:val="0"/>
      <w:marBottom w:val="0"/>
      <w:divBdr>
        <w:top w:val="none" w:sz="0" w:space="0" w:color="auto"/>
        <w:left w:val="none" w:sz="0" w:space="0" w:color="auto"/>
        <w:bottom w:val="none" w:sz="0" w:space="0" w:color="auto"/>
        <w:right w:val="none" w:sz="0" w:space="0" w:color="auto"/>
      </w:divBdr>
    </w:div>
    <w:div w:id="89353870">
      <w:marLeft w:val="480"/>
      <w:marRight w:val="0"/>
      <w:marTop w:val="0"/>
      <w:marBottom w:val="0"/>
      <w:divBdr>
        <w:top w:val="none" w:sz="0" w:space="0" w:color="auto"/>
        <w:left w:val="none" w:sz="0" w:space="0" w:color="auto"/>
        <w:bottom w:val="none" w:sz="0" w:space="0" w:color="auto"/>
        <w:right w:val="none" w:sz="0" w:space="0" w:color="auto"/>
      </w:divBdr>
    </w:div>
    <w:div w:id="97263405">
      <w:marLeft w:val="480"/>
      <w:marRight w:val="0"/>
      <w:marTop w:val="0"/>
      <w:marBottom w:val="0"/>
      <w:divBdr>
        <w:top w:val="none" w:sz="0" w:space="0" w:color="auto"/>
        <w:left w:val="none" w:sz="0" w:space="0" w:color="auto"/>
        <w:bottom w:val="none" w:sz="0" w:space="0" w:color="auto"/>
        <w:right w:val="none" w:sz="0" w:space="0" w:color="auto"/>
      </w:divBdr>
    </w:div>
    <w:div w:id="97720622">
      <w:marLeft w:val="480"/>
      <w:marRight w:val="0"/>
      <w:marTop w:val="0"/>
      <w:marBottom w:val="0"/>
      <w:divBdr>
        <w:top w:val="none" w:sz="0" w:space="0" w:color="auto"/>
        <w:left w:val="none" w:sz="0" w:space="0" w:color="auto"/>
        <w:bottom w:val="none" w:sz="0" w:space="0" w:color="auto"/>
        <w:right w:val="none" w:sz="0" w:space="0" w:color="auto"/>
      </w:divBdr>
    </w:div>
    <w:div w:id="100882148">
      <w:marLeft w:val="480"/>
      <w:marRight w:val="0"/>
      <w:marTop w:val="0"/>
      <w:marBottom w:val="0"/>
      <w:divBdr>
        <w:top w:val="none" w:sz="0" w:space="0" w:color="auto"/>
        <w:left w:val="none" w:sz="0" w:space="0" w:color="auto"/>
        <w:bottom w:val="none" w:sz="0" w:space="0" w:color="auto"/>
        <w:right w:val="none" w:sz="0" w:space="0" w:color="auto"/>
      </w:divBdr>
    </w:div>
    <w:div w:id="101339489">
      <w:marLeft w:val="480"/>
      <w:marRight w:val="0"/>
      <w:marTop w:val="0"/>
      <w:marBottom w:val="0"/>
      <w:divBdr>
        <w:top w:val="none" w:sz="0" w:space="0" w:color="auto"/>
        <w:left w:val="none" w:sz="0" w:space="0" w:color="auto"/>
        <w:bottom w:val="none" w:sz="0" w:space="0" w:color="auto"/>
        <w:right w:val="none" w:sz="0" w:space="0" w:color="auto"/>
      </w:divBdr>
    </w:div>
    <w:div w:id="101801089">
      <w:marLeft w:val="480"/>
      <w:marRight w:val="0"/>
      <w:marTop w:val="0"/>
      <w:marBottom w:val="0"/>
      <w:divBdr>
        <w:top w:val="none" w:sz="0" w:space="0" w:color="auto"/>
        <w:left w:val="none" w:sz="0" w:space="0" w:color="auto"/>
        <w:bottom w:val="none" w:sz="0" w:space="0" w:color="auto"/>
        <w:right w:val="none" w:sz="0" w:space="0" w:color="auto"/>
      </w:divBdr>
    </w:div>
    <w:div w:id="104271439">
      <w:marLeft w:val="480"/>
      <w:marRight w:val="0"/>
      <w:marTop w:val="0"/>
      <w:marBottom w:val="0"/>
      <w:divBdr>
        <w:top w:val="none" w:sz="0" w:space="0" w:color="auto"/>
        <w:left w:val="none" w:sz="0" w:space="0" w:color="auto"/>
        <w:bottom w:val="none" w:sz="0" w:space="0" w:color="auto"/>
        <w:right w:val="none" w:sz="0" w:space="0" w:color="auto"/>
      </w:divBdr>
    </w:div>
    <w:div w:id="107242221">
      <w:marLeft w:val="480"/>
      <w:marRight w:val="0"/>
      <w:marTop w:val="0"/>
      <w:marBottom w:val="0"/>
      <w:divBdr>
        <w:top w:val="none" w:sz="0" w:space="0" w:color="auto"/>
        <w:left w:val="none" w:sz="0" w:space="0" w:color="auto"/>
        <w:bottom w:val="none" w:sz="0" w:space="0" w:color="auto"/>
        <w:right w:val="none" w:sz="0" w:space="0" w:color="auto"/>
      </w:divBdr>
    </w:div>
    <w:div w:id="108008370">
      <w:marLeft w:val="480"/>
      <w:marRight w:val="0"/>
      <w:marTop w:val="0"/>
      <w:marBottom w:val="0"/>
      <w:divBdr>
        <w:top w:val="none" w:sz="0" w:space="0" w:color="auto"/>
        <w:left w:val="none" w:sz="0" w:space="0" w:color="auto"/>
        <w:bottom w:val="none" w:sz="0" w:space="0" w:color="auto"/>
        <w:right w:val="none" w:sz="0" w:space="0" w:color="auto"/>
      </w:divBdr>
    </w:div>
    <w:div w:id="108427977">
      <w:marLeft w:val="480"/>
      <w:marRight w:val="0"/>
      <w:marTop w:val="0"/>
      <w:marBottom w:val="0"/>
      <w:divBdr>
        <w:top w:val="none" w:sz="0" w:space="0" w:color="auto"/>
        <w:left w:val="none" w:sz="0" w:space="0" w:color="auto"/>
        <w:bottom w:val="none" w:sz="0" w:space="0" w:color="auto"/>
        <w:right w:val="none" w:sz="0" w:space="0" w:color="auto"/>
      </w:divBdr>
    </w:div>
    <w:div w:id="109445887">
      <w:marLeft w:val="480"/>
      <w:marRight w:val="0"/>
      <w:marTop w:val="0"/>
      <w:marBottom w:val="0"/>
      <w:divBdr>
        <w:top w:val="none" w:sz="0" w:space="0" w:color="auto"/>
        <w:left w:val="none" w:sz="0" w:space="0" w:color="auto"/>
        <w:bottom w:val="none" w:sz="0" w:space="0" w:color="auto"/>
        <w:right w:val="none" w:sz="0" w:space="0" w:color="auto"/>
      </w:divBdr>
    </w:div>
    <w:div w:id="110320997">
      <w:marLeft w:val="480"/>
      <w:marRight w:val="0"/>
      <w:marTop w:val="0"/>
      <w:marBottom w:val="0"/>
      <w:divBdr>
        <w:top w:val="none" w:sz="0" w:space="0" w:color="auto"/>
        <w:left w:val="none" w:sz="0" w:space="0" w:color="auto"/>
        <w:bottom w:val="none" w:sz="0" w:space="0" w:color="auto"/>
        <w:right w:val="none" w:sz="0" w:space="0" w:color="auto"/>
      </w:divBdr>
    </w:div>
    <w:div w:id="112210058">
      <w:marLeft w:val="480"/>
      <w:marRight w:val="0"/>
      <w:marTop w:val="0"/>
      <w:marBottom w:val="0"/>
      <w:divBdr>
        <w:top w:val="none" w:sz="0" w:space="0" w:color="auto"/>
        <w:left w:val="none" w:sz="0" w:space="0" w:color="auto"/>
        <w:bottom w:val="none" w:sz="0" w:space="0" w:color="auto"/>
        <w:right w:val="none" w:sz="0" w:space="0" w:color="auto"/>
      </w:divBdr>
    </w:div>
    <w:div w:id="113526830">
      <w:marLeft w:val="480"/>
      <w:marRight w:val="0"/>
      <w:marTop w:val="0"/>
      <w:marBottom w:val="0"/>
      <w:divBdr>
        <w:top w:val="none" w:sz="0" w:space="0" w:color="auto"/>
        <w:left w:val="none" w:sz="0" w:space="0" w:color="auto"/>
        <w:bottom w:val="none" w:sz="0" w:space="0" w:color="auto"/>
        <w:right w:val="none" w:sz="0" w:space="0" w:color="auto"/>
      </w:divBdr>
    </w:div>
    <w:div w:id="113865784">
      <w:marLeft w:val="480"/>
      <w:marRight w:val="0"/>
      <w:marTop w:val="0"/>
      <w:marBottom w:val="0"/>
      <w:divBdr>
        <w:top w:val="none" w:sz="0" w:space="0" w:color="auto"/>
        <w:left w:val="none" w:sz="0" w:space="0" w:color="auto"/>
        <w:bottom w:val="none" w:sz="0" w:space="0" w:color="auto"/>
        <w:right w:val="none" w:sz="0" w:space="0" w:color="auto"/>
      </w:divBdr>
    </w:div>
    <w:div w:id="115178174">
      <w:marLeft w:val="480"/>
      <w:marRight w:val="0"/>
      <w:marTop w:val="0"/>
      <w:marBottom w:val="0"/>
      <w:divBdr>
        <w:top w:val="none" w:sz="0" w:space="0" w:color="auto"/>
        <w:left w:val="none" w:sz="0" w:space="0" w:color="auto"/>
        <w:bottom w:val="none" w:sz="0" w:space="0" w:color="auto"/>
        <w:right w:val="none" w:sz="0" w:space="0" w:color="auto"/>
      </w:divBdr>
    </w:div>
    <w:div w:id="115610434">
      <w:marLeft w:val="480"/>
      <w:marRight w:val="0"/>
      <w:marTop w:val="0"/>
      <w:marBottom w:val="0"/>
      <w:divBdr>
        <w:top w:val="none" w:sz="0" w:space="0" w:color="auto"/>
        <w:left w:val="none" w:sz="0" w:space="0" w:color="auto"/>
        <w:bottom w:val="none" w:sz="0" w:space="0" w:color="auto"/>
        <w:right w:val="none" w:sz="0" w:space="0" w:color="auto"/>
      </w:divBdr>
    </w:div>
    <w:div w:id="115755394">
      <w:marLeft w:val="480"/>
      <w:marRight w:val="0"/>
      <w:marTop w:val="0"/>
      <w:marBottom w:val="0"/>
      <w:divBdr>
        <w:top w:val="none" w:sz="0" w:space="0" w:color="auto"/>
        <w:left w:val="none" w:sz="0" w:space="0" w:color="auto"/>
        <w:bottom w:val="none" w:sz="0" w:space="0" w:color="auto"/>
        <w:right w:val="none" w:sz="0" w:space="0" w:color="auto"/>
      </w:divBdr>
    </w:div>
    <w:div w:id="115830972">
      <w:marLeft w:val="480"/>
      <w:marRight w:val="0"/>
      <w:marTop w:val="0"/>
      <w:marBottom w:val="0"/>
      <w:divBdr>
        <w:top w:val="none" w:sz="0" w:space="0" w:color="auto"/>
        <w:left w:val="none" w:sz="0" w:space="0" w:color="auto"/>
        <w:bottom w:val="none" w:sz="0" w:space="0" w:color="auto"/>
        <w:right w:val="none" w:sz="0" w:space="0" w:color="auto"/>
      </w:divBdr>
    </w:div>
    <w:div w:id="116224417">
      <w:marLeft w:val="480"/>
      <w:marRight w:val="0"/>
      <w:marTop w:val="0"/>
      <w:marBottom w:val="0"/>
      <w:divBdr>
        <w:top w:val="none" w:sz="0" w:space="0" w:color="auto"/>
        <w:left w:val="none" w:sz="0" w:space="0" w:color="auto"/>
        <w:bottom w:val="none" w:sz="0" w:space="0" w:color="auto"/>
        <w:right w:val="none" w:sz="0" w:space="0" w:color="auto"/>
      </w:divBdr>
    </w:div>
    <w:div w:id="117187846">
      <w:marLeft w:val="480"/>
      <w:marRight w:val="0"/>
      <w:marTop w:val="0"/>
      <w:marBottom w:val="0"/>
      <w:divBdr>
        <w:top w:val="none" w:sz="0" w:space="0" w:color="auto"/>
        <w:left w:val="none" w:sz="0" w:space="0" w:color="auto"/>
        <w:bottom w:val="none" w:sz="0" w:space="0" w:color="auto"/>
        <w:right w:val="none" w:sz="0" w:space="0" w:color="auto"/>
      </w:divBdr>
    </w:div>
    <w:div w:id="117796068">
      <w:marLeft w:val="480"/>
      <w:marRight w:val="0"/>
      <w:marTop w:val="0"/>
      <w:marBottom w:val="0"/>
      <w:divBdr>
        <w:top w:val="none" w:sz="0" w:space="0" w:color="auto"/>
        <w:left w:val="none" w:sz="0" w:space="0" w:color="auto"/>
        <w:bottom w:val="none" w:sz="0" w:space="0" w:color="auto"/>
        <w:right w:val="none" w:sz="0" w:space="0" w:color="auto"/>
      </w:divBdr>
    </w:div>
    <w:div w:id="121198415">
      <w:marLeft w:val="480"/>
      <w:marRight w:val="0"/>
      <w:marTop w:val="0"/>
      <w:marBottom w:val="0"/>
      <w:divBdr>
        <w:top w:val="none" w:sz="0" w:space="0" w:color="auto"/>
        <w:left w:val="none" w:sz="0" w:space="0" w:color="auto"/>
        <w:bottom w:val="none" w:sz="0" w:space="0" w:color="auto"/>
        <w:right w:val="none" w:sz="0" w:space="0" w:color="auto"/>
      </w:divBdr>
    </w:div>
    <w:div w:id="130364846">
      <w:marLeft w:val="480"/>
      <w:marRight w:val="0"/>
      <w:marTop w:val="0"/>
      <w:marBottom w:val="0"/>
      <w:divBdr>
        <w:top w:val="none" w:sz="0" w:space="0" w:color="auto"/>
        <w:left w:val="none" w:sz="0" w:space="0" w:color="auto"/>
        <w:bottom w:val="none" w:sz="0" w:space="0" w:color="auto"/>
        <w:right w:val="none" w:sz="0" w:space="0" w:color="auto"/>
      </w:divBdr>
    </w:div>
    <w:div w:id="130556733">
      <w:marLeft w:val="480"/>
      <w:marRight w:val="0"/>
      <w:marTop w:val="0"/>
      <w:marBottom w:val="0"/>
      <w:divBdr>
        <w:top w:val="none" w:sz="0" w:space="0" w:color="auto"/>
        <w:left w:val="none" w:sz="0" w:space="0" w:color="auto"/>
        <w:bottom w:val="none" w:sz="0" w:space="0" w:color="auto"/>
        <w:right w:val="none" w:sz="0" w:space="0" w:color="auto"/>
      </w:divBdr>
    </w:div>
    <w:div w:id="135345076">
      <w:marLeft w:val="480"/>
      <w:marRight w:val="0"/>
      <w:marTop w:val="0"/>
      <w:marBottom w:val="0"/>
      <w:divBdr>
        <w:top w:val="none" w:sz="0" w:space="0" w:color="auto"/>
        <w:left w:val="none" w:sz="0" w:space="0" w:color="auto"/>
        <w:bottom w:val="none" w:sz="0" w:space="0" w:color="auto"/>
        <w:right w:val="none" w:sz="0" w:space="0" w:color="auto"/>
      </w:divBdr>
      <w:divsChild>
        <w:div w:id="7027167">
          <w:marLeft w:val="480"/>
          <w:marRight w:val="0"/>
          <w:marTop w:val="0"/>
          <w:marBottom w:val="0"/>
          <w:divBdr>
            <w:top w:val="none" w:sz="0" w:space="0" w:color="auto"/>
            <w:left w:val="none" w:sz="0" w:space="0" w:color="auto"/>
            <w:bottom w:val="none" w:sz="0" w:space="0" w:color="auto"/>
            <w:right w:val="none" w:sz="0" w:space="0" w:color="auto"/>
          </w:divBdr>
        </w:div>
        <w:div w:id="15230545">
          <w:marLeft w:val="480"/>
          <w:marRight w:val="0"/>
          <w:marTop w:val="0"/>
          <w:marBottom w:val="0"/>
          <w:divBdr>
            <w:top w:val="none" w:sz="0" w:space="0" w:color="auto"/>
            <w:left w:val="none" w:sz="0" w:space="0" w:color="auto"/>
            <w:bottom w:val="none" w:sz="0" w:space="0" w:color="auto"/>
            <w:right w:val="none" w:sz="0" w:space="0" w:color="auto"/>
          </w:divBdr>
        </w:div>
        <w:div w:id="21638272">
          <w:marLeft w:val="480"/>
          <w:marRight w:val="0"/>
          <w:marTop w:val="0"/>
          <w:marBottom w:val="0"/>
          <w:divBdr>
            <w:top w:val="none" w:sz="0" w:space="0" w:color="auto"/>
            <w:left w:val="none" w:sz="0" w:space="0" w:color="auto"/>
            <w:bottom w:val="none" w:sz="0" w:space="0" w:color="auto"/>
            <w:right w:val="none" w:sz="0" w:space="0" w:color="auto"/>
          </w:divBdr>
        </w:div>
        <w:div w:id="27149606">
          <w:marLeft w:val="480"/>
          <w:marRight w:val="0"/>
          <w:marTop w:val="0"/>
          <w:marBottom w:val="0"/>
          <w:divBdr>
            <w:top w:val="none" w:sz="0" w:space="0" w:color="auto"/>
            <w:left w:val="none" w:sz="0" w:space="0" w:color="auto"/>
            <w:bottom w:val="none" w:sz="0" w:space="0" w:color="auto"/>
            <w:right w:val="none" w:sz="0" w:space="0" w:color="auto"/>
          </w:divBdr>
        </w:div>
        <w:div w:id="28989663">
          <w:marLeft w:val="480"/>
          <w:marRight w:val="0"/>
          <w:marTop w:val="0"/>
          <w:marBottom w:val="0"/>
          <w:divBdr>
            <w:top w:val="none" w:sz="0" w:space="0" w:color="auto"/>
            <w:left w:val="none" w:sz="0" w:space="0" w:color="auto"/>
            <w:bottom w:val="none" w:sz="0" w:space="0" w:color="auto"/>
            <w:right w:val="none" w:sz="0" w:space="0" w:color="auto"/>
          </w:divBdr>
        </w:div>
        <w:div w:id="29498438">
          <w:marLeft w:val="480"/>
          <w:marRight w:val="0"/>
          <w:marTop w:val="0"/>
          <w:marBottom w:val="0"/>
          <w:divBdr>
            <w:top w:val="none" w:sz="0" w:space="0" w:color="auto"/>
            <w:left w:val="none" w:sz="0" w:space="0" w:color="auto"/>
            <w:bottom w:val="none" w:sz="0" w:space="0" w:color="auto"/>
            <w:right w:val="none" w:sz="0" w:space="0" w:color="auto"/>
          </w:divBdr>
        </w:div>
        <w:div w:id="31005038">
          <w:marLeft w:val="480"/>
          <w:marRight w:val="0"/>
          <w:marTop w:val="0"/>
          <w:marBottom w:val="0"/>
          <w:divBdr>
            <w:top w:val="none" w:sz="0" w:space="0" w:color="auto"/>
            <w:left w:val="none" w:sz="0" w:space="0" w:color="auto"/>
            <w:bottom w:val="none" w:sz="0" w:space="0" w:color="auto"/>
            <w:right w:val="none" w:sz="0" w:space="0" w:color="auto"/>
          </w:divBdr>
        </w:div>
        <w:div w:id="31080034">
          <w:marLeft w:val="480"/>
          <w:marRight w:val="0"/>
          <w:marTop w:val="0"/>
          <w:marBottom w:val="0"/>
          <w:divBdr>
            <w:top w:val="none" w:sz="0" w:space="0" w:color="auto"/>
            <w:left w:val="none" w:sz="0" w:space="0" w:color="auto"/>
            <w:bottom w:val="none" w:sz="0" w:space="0" w:color="auto"/>
            <w:right w:val="none" w:sz="0" w:space="0" w:color="auto"/>
          </w:divBdr>
        </w:div>
        <w:div w:id="37433196">
          <w:marLeft w:val="480"/>
          <w:marRight w:val="0"/>
          <w:marTop w:val="0"/>
          <w:marBottom w:val="0"/>
          <w:divBdr>
            <w:top w:val="none" w:sz="0" w:space="0" w:color="auto"/>
            <w:left w:val="none" w:sz="0" w:space="0" w:color="auto"/>
            <w:bottom w:val="none" w:sz="0" w:space="0" w:color="auto"/>
            <w:right w:val="none" w:sz="0" w:space="0" w:color="auto"/>
          </w:divBdr>
        </w:div>
        <w:div w:id="41953864">
          <w:marLeft w:val="480"/>
          <w:marRight w:val="0"/>
          <w:marTop w:val="0"/>
          <w:marBottom w:val="0"/>
          <w:divBdr>
            <w:top w:val="none" w:sz="0" w:space="0" w:color="auto"/>
            <w:left w:val="none" w:sz="0" w:space="0" w:color="auto"/>
            <w:bottom w:val="none" w:sz="0" w:space="0" w:color="auto"/>
            <w:right w:val="none" w:sz="0" w:space="0" w:color="auto"/>
          </w:divBdr>
        </w:div>
        <w:div w:id="42029279">
          <w:marLeft w:val="480"/>
          <w:marRight w:val="0"/>
          <w:marTop w:val="0"/>
          <w:marBottom w:val="0"/>
          <w:divBdr>
            <w:top w:val="none" w:sz="0" w:space="0" w:color="auto"/>
            <w:left w:val="none" w:sz="0" w:space="0" w:color="auto"/>
            <w:bottom w:val="none" w:sz="0" w:space="0" w:color="auto"/>
            <w:right w:val="none" w:sz="0" w:space="0" w:color="auto"/>
          </w:divBdr>
        </w:div>
        <w:div w:id="43650166">
          <w:marLeft w:val="480"/>
          <w:marRight w:val="0"/>
          <w:marTop w:val="0"/>
          <w:marBottom w:val="0"/>
          <w:divBdr>
            <w:top w:val="none" w:sz="0" w:space="0" w:color="auto"/>
            <w:left w:val="none" w:sz="0" w:space="0" w:color="auto"/>
            <w:bottom w:val="none" w:sz="0" w:space="0" w:color="auto"/>
            <w:right w:val="none" w:sz="0" w:space="0" w:color="auto"/>
          </w:divBdr>
        </w:div>
        <w:div w:id="44649549">
          <w:marLeft w:val="480"/>
          <w:marRight w:val="0"/>
          <w:marTop w:val="0"/>
          <w:marBottom w:val="0"/>
          <w:divBdr>
            <w:top w:val="none" w:sz="0" w:space="0" w:color="auto"/>
            <w:left w:val="none" w:sz="0" w:space="0" w:color="auto"/>
            <w:bottom w:val="none" w:sz="0" w:space="0" w:color="auto"/>
            <w:right w:val="none" w:sz="0" w:space="0" w:color="auto"/>
          </w:divBdr>
        </w:div>
        <w:div w:id="45036789">
          <w:marLeft w:val="480"/>
          <w:marRight w:val="0"/>
          <w:marTop w:val="0"/>
          <w:marBottom w:val="0"/>
          <w:divBdr>
            <w:top w:val="none" w:sz="0" w:space="0" w:color="auto"/>
            <w:left w:val="none" w:sz="0" w:space="0" w:color="auto"/>
            <w:bottom w:val="none" w:sz="0" w:space="0" w:color="auto"/>
            <w:right w:val="none" w:sz="0" w:space="0" w:color="auto"/>
          </w:divBdr>
        </w:div>
        <w:div w:id="51002147">
          <w:marLeft w:val="480"/>
          <w:marRight w:val="0"/>
          <w:marTop w:val="0"/>
          <w:marBottom w:val="0"/>
          <w:divBdr>
            <w:top w:val="none" w:sz="0" w:space="0" w:color="auto"/>
            <w:left w:val="none" w:sz="0" w:space="0" w:color="auto"/>
            <w:bottom w:val="none" w:sz="0" w:space="0" w:color="auto"/>
            <w:right w:val="none" w:sz="0" w:space="0" w:color="auto"/>
          </w:divBdr>
        </w:div>
        <w:div w:id="51663106">
          <w:marLeft w:val="480"/>
          <w:marRight w:val="0"/>
          <w:marTop w:val="0"/>
          <w:marBottom w:val="0"/>
          <w:divBdr>
            <w:top w:val="none" w:sz="0" w:space="0" w:color="auto"/>
            <w:left w:val="none" w:sz="0" w:space="0" w:color="auto"/>
            <w:bottom w:val="none" w:sz="0" w:space="0" w:color="auto"/>
            <w:right w:val="none" w:sz="0" w:space="0" w:color="auto"/>
          </w:divBdr>
        </w:div>
        <w:div w:id="61678244">
          <w:marLeft w:val="480"/>
          <w:marRight w:val="0"/>
          <w:marTop w:val="0"/>
          <w:marBottom w:val="0"/>
          <w:divBdr>
            <w:top w:val="none" w:sz="0" w:space="0" w:color="auto"/>
            <w:left w:val="none" w:sz="0" w:space="0" w:color="auto"/>
            <w:bottom w:val="none" w:sz="0" w:space="0" w:color="auto"/>
            <w:right w:val="none" w:sz="0" w:space="0" w:color="auto"/>
          </w:divBdr>
        </w:div>
        <w:div w:id="66998095">
          <w:marLeft w:val="480"/>
          <w:marRight w:val="0"/>
          <w:marTop w:val="0"/>
          <w:marBottom w:val="0"/>
          <w:divBdr>
            <w:top w:val="none" w:sz="0" w:space="0" w:color="auto"/>
            <w:left w:val="none" w:sz="0" w:space="0" w:color="auto"/>
            <w:bottom w:val="none" w:sz="0" w:space="0" w:color="auto"/>
            <w:right w:val="none" w:sz="0" w:space="0" w:color="auto"/>
          </w:divBdr>
        </w:div>
        <w:div w:id="67046326">
          <w:marLeft w:val="480"/>
          <w:marRight w:val="0"/>
          <w:marTop w:val="0"/>
          <w:marBottom w:val="0"/>
          <w:divBdr>
            <w:top w:val="none" w:sz="0" w:space="0" w:color="auto"/>
            <w:left w:val="none" w:sz="0" w:space="0" w:color="auto"/>
            <w:bottom w:val="none" w:sz="0" w:space="0" w:color="auto"/>
            <w:right w:val="none" w:sz="0" w:space="0" w:color="auto"/>
          </w:divBdr>
        </w:div>
        <w:div w:id="68776672">
          <w:marLeft w:val="480"/>
          <w:marRight w:val="0"/>
          <w:marTop w:val="0"/>
          <w:marBottom w:val="0"/>
          <w:divBdr>
            <w:top w:val="none" w:sz="0" w:space="0" w:color="auto"/>
            <w:left w:val="none" w:sz="0" w:space="0" w:color="auto"/>
            <w:bottom w:val="none" w:sz="0" w:space="0" w:color="auto"/>
            <w:right w:val="none" w:sz="0" w:space="0" w:color="auto"/>
          </w:divBdr>
        </w:div>
        <w:div w:id="87889046">
          <w:marLeft w:val="480"/>
          <w:marRight w:val="0"/>
          <w:marTop w:val="0"/>
          <w:marBottom w:val="0"/>
          <w:divBdr>
            <w:top w:val="none" w:sz="0" w:space="0" w:color="auto"/>
            <w:left w:val="none" w:sz="0" w:space="0" w:color="auto"/>
            <w:bottom w:val="none" w:sz="0" w:space="0" w:color="auto"/>
            <w:right w:val="none" w:sz="0" w:space="0" w:color="auto"/>
          </w:divBdr>
        </w:div>
        <w:div w:id="88699047">
          <w:marLeft w:val="480"/>
          <w:marRight w:val="0"/>
          <w:marTop w:val="0"/>
          <w:marBottom w:val="0"/>
          <w:divBdr>
            <w:top w:val="none" w:sz="0" w:space="0" w:color="auto"/>
            <w:left w:val="none" w:sz="0" w:space="0" w:color="auto"/>
            <w:bottom w:val="none" w:sz="0" w:space="0" w:color="auto"/>
            <w:right w:val="none" w:sz="0" w:space="0" w:color="auto"/>
          </w:divBdr>
        </w:div>
        <w:div w:id="92018047">
          <w:marLeft w:val="480"/>
          <w:marRight w:val="0"/>
          <w:marTop w:val="0"/>
          <w:marBottom w:val="0"/>
          <w:divBdr>
            <w:top w:val="none" w:sz="0" w:space="0" w:color="auto"/>
            <w:left w:val="none" w:sz="0" w:space="0" w:color="auto"/>
            <w:bottom w:val="none" w:sz="0" w:space="0" w:color="auto"/>
            <w:right w:val="none" w:sz="0" w:space="0" w:color="auto"/>
          </w:divBdr>
        </w:div>
        <w:div w:id="94790954">
          <w:marLeft w:val="480"/>
          <w:marRight w:val="0"/>
          <w:marTop w:val="0"/>
          <w:marBottom w:val="0"/>
          <w:divBdr>
            <w:top w:val="none" w:sz="0" w:space="0" w:color="auto"/>
            <w:left w:val="none" w:sz="0" w:space="0" w:color="auto"/>
            <w:bottom w:val="none" w:sz="0" w:space="0" w:color="auto"/>
            <w:right w:val="none" w:sz="0" w:space="0" w:color="auto"/>
          </w:divBdr>
        </w:div>
        <w:div w:id="96757405">
          <w:marLeft w:val="480"/>
          <w:marRight w:val="0"/>
          <w:marTop w:val="0"/>
          <w:marBottom w:val="0"/>
          <w:divBdr>
            <w:top w:val="none" w:sz="0" w:space="0" w:color="auto"/>
            <w:left w:val="none" w:sz="0" w:space="0" w:color="auto"/>
            <w:bottom w:val="none" w:sz="0" w:space="0" w:color="auto"/>
            <w:right w:val="none" w:sz="0" w:space="0" w:color="auto"/>
          </w:divBdr>
        </w:div>
        <w:div w:id="100420912">
          <w:marLeft w:val="480"/>
          <w:marRight w:val="0"/>
          <w:marTop w:val="0"/>
          <w:marBottom w:val="0"/>
          <w:divBdr>
            <w:top w:val="none" w:sz="0" w:space="0" w:color="auto"/>
            <w:left w:val="none" w:sz="0" w:space="0" w:color="auto"/>
            <w:bottom w:val="none" w:sz="0" w:space="0" w:color="auto"/>
            <w:right w:val="none" w:sz="0" w:space="0" w:color="auto"/>
          </w:divBdr>
        </w:div>
        <w:div w:id="106707304">
          <w:marLeft w:val="480"/>
          <w:marRight w:val="0"/>
          <w:marTop w:val="0"/>
          <w:marBottom w:val="0"/>
          <w:divBdr>
            <w:top w:val="none" w:sz="0" w:space="0" w:color="auto"/>
            <w:left w:val="none" w:sz="0" w:space="0" w:color="auto"/>
            <w:bottom w:val="none" w:sz="0" w:space="0" w:color="auto"/>
            <w:right w:val="none" w:sz="0" w:space="0" w:color="auto"/>
          </w:divBdr>
        </w:div>
        <w:div w:id="107047191">
          <w:marLeft w:val="480"/>
          <w:marRight w:val="0"/>
          <w:marTop w:val="0"/>
          <w:marBottom w:val="0"/>
          <w:divBdr>
            <w:top w:val="none" w:sz="0" w:space="0" w:color="auto"/>
            <w:left w:val="none" w:sz="0" w:space="0" w:color="auto"/>
            <w:bottom w:val="none" w:sz="0" w:space="0" w:color="auto"/>
            <w:right w:val="none" w:sz="0" w:space="0" w:color="auto"/>
          </w:divBdr>
        </w:div>
        <w:div w:id="110440977">
          <w:marLeft w:val="480"/>
          <w:marRight w:val="0"/>
          <w:marTop w:val="0"/>
          <w:marBottom w:val="0"/>
          <w:divBdr>
            <w:top w:val="none" w:sz="0" w:space="0" w:color="auto"/>
            <w:left w:val="none" w:sz="0" w:space="0" w:color="auto"/>
            <w:bottom w:val="none" w:sz="0" w:space="0" w:color="auto"/>
            <w:right w:val="none" w:sz="0" w:space="0" w:color="auto"/>
          </w:divBdr>
        </w:div>
        <w:div w:id="112604558">
          <w:marLeft w:val="480"/>
          <w:marRight w:val="0"/>
          <w:marTop w:val="0"/>
          <w:marBottom w:val="0"/>
          <w:divBdr>
            <w:top w:val="none" w:sz="0" w:space="0" w:color="auto"/>
            <w:left w:val="none" w:sz="0" w:space="0" w:color="auto"/>
            <w:bottom w:val="none" w:sz="0" w:space="0" w:color="auto"/>
            <w:right w:val="none" w:sz="0" w:space="0" w:color="auto"/>
          </w:divBdr>
        </w:div>
        <w:div w:id="114644818">
          <w:marLeft w:val="480"/>
          <w:marRight w:val="0"/>
          <w:marTop w:val="0"/>
          <w:marBottom w:val="0"/>
          <w:divBdr>
            <w:top w:val="none" w:sz="0" w:space="0" w:color="auto"/>
            <w:left w:val="none" w:sz="0" w:space="0" w:color="auto"/>
            <w:bottom w:val="none" w:sz="0" w:space="0" w:color="auto"/>
            <w:right w:val="none" w:sz="0" w:space="0" w:color="auto"/>
          </w:divBdr>
        </w:div>
        <w:div w:id="115293322">
          <w:marLeft w:val="480"/>
          <w:marRight w:val="0"/>
          <w:marTop w:val="0"/>
          <w:marBottom w:val="0"/>
          <w:divBdr>
            <w:top w:val="none" w:sz="0" w:space="0" w:color="auto"/>
            <w:left w:val="none" w:sz="0" w:space="0" w:color="auto"/>
            <w:bottom w:val="none" w:sz="0" w:space="0" w:color="auto"/>
            <w:right w:val="none" w:sz="0" w:space="0" w:color="auto"/>
          </w:divBdr>
        </w:div>
        <w:div w:id="117721300">
          <w:marLeft w:val="480"/>
          <w:marRight w:val="0"/>
          <w:marTop w:val="0"/>
          <w:marBottom w:val="0"/>
          <w:divBdr>
            <w:top w:val="none" w:sz="0" w:space="0" w:color="auto"/>
            <w:left w:val="none" w:sz="0" w:space="0" w:color="auto"/>
            <w:bottom w:val="none" w:sz="0" w:space="0" w:color="auto"/>
            <w:right w:val="none" w:sz="0" w:space="0" w:color="auto"/>
          </w:divBdr>
        </w:div>
        <w:div w:id="121047214">
          <w:marLeft w:val="480"/>
          <w:marRight w:val="0"/>
          <w:marTop w:val="0"/>
          <w:marBottom w:val="0"/>
          <w:divBdr>
            <w:top w:val="none" w:sz="0" w:space="0" w:color="auto"/>
            <w:left w:val="none" w:sz="0" w:space="0" w:color="auto"/>
            <w:bottom w:val="none" w:sz="0" w:space="0" w:color="auto"/>
            <w:right w:val="none" w:sz="0" w:space="0" w:color="auto"/>
          </w:divBdr>
        </w:div>
        <w:div w:id="126507474">
          <w:marLeft w:val="480"/>
          <w:marRight w:val="0"/>
          <w:marTop w:val="0"/>
          <w:marBottom w:val="0"/>
          <w:divBdr>
            <w:top w:val="none" w:sz="0" w:space="0" w:color="auto"/>
            <w:left w:val="none" w:sz="0" w:space="0" w:color="auto"/>
            <w:bottom w:val="none" w:sz="0" w:space="0" w:color="auto"/>
            <w:right w:val="none" w:sz="0" w:space="0" w:color="auto"/>
          </w:divBdr>
        </w:div>
        <w:div w:id="129397539">
          <w:marLeft w:val="480"/>
          <w:marRight w:val="0"/>
          <w:marTop w:val="0"/>
          <w:marBottom w:val="0"/>
          <w:divBdr>
            <w:top w:val="none" w:sz="0" w:space="0" w:color="auto"/>
            <w:left w:val="none" w:sz="0" w:space="0" w:color="auto"/>
            <w:bottom w:val="none" w:sz="0" w:space="0" w:color="auto"/>
            <w:right w:val="none" w:sz="0" w:space="0" w:color="auto"/>
          </w:divBdr>
        </w:div>
        <w:div w:id="140927599">
          <w:marLeft w:val="480"/>
          <w:marRight w:val="0"/>
          <w:marTop w:val="0"/>
          <w:marBottom w:val="0"/>
          <w:divBdr>
            <w:top w:val="none" w:sz="0" w:space="0" w:color="auto"/>
            <w:left w:val="none" w:sz="0" w:space="0" w:color="auto"/>
            <w:bottom w:val="none" w:sz="0" w:space="0" w:color="auto"/>
            <w:right w:val="none" w:sz="0" w:space="0" w:color="auto"/>
          </w:divBdr>
        </w:div>
        <w:div w:id="144397930">
          <w:marLeft w:val="480"/>
          <w:marRight w:val="0"/>
          <w:marTop w:val="0"/>
          <w:marBottom w:val="0"/>
          <w:divBdr>
            <w:top w:val="none" w:sz="0" w:space="0" w:color="auto"/>
            <w:left w:val="none" w:sz="0" w:space="0" w:color="auto"/>
            <w:bottom w:val="none" w:sz="0" w:space="0" w:color="auto"/>
            <w:right w:val="none" w:sz="0" w:space="0" w:color="auto"/>
          </w:divBdr>
        </w:div>
        <w:div w:id="147481405">
          <w:marLeft w:val="480"/>
          <w:marRight w:val="0"/>
          <w:marTop w:val="0"/>
          <w:marBottom w:val="0"/>
          <w:divBdr>
            <w:top w:val="none" w:sz="0" w:space="0" w:color="auto"/>
            <w:left w:val="none" w:sz="0" w:space="0" w:color="auto"/>
            <w:bottom w:val="none" w:sz="0" w:space="0" w:color="auto"/>
            <w:right w:val="none" w:sz="0" w:space="0" w:color="auto"/>
          </w:divBdr>
        </w:div>
        <w:div w:id="149291264">
          <w:marLeft w:val="480"/>
          <w:marRight w:val="0"/>
          <w:marTop w:val="0"/>
          <w:marBottom w:val="0"/>
          <w:divBdr>
            <w:top w:val="none" w:sz="0" w:space="0" w:color="auto"/>
            <w:left w:val="none" w:sz="0" w:space="0" w:color="auto"/>
            <w:bottom w:val="none" w:sz="0" w:space="0" w:color="auto"/>
            <w:right w:val="none" w:sz="0" w:space="0" w:color="auto"/>
          </w:divBdr>
        </w:div>
        <w:div w:id="153570093">
          <w:marLeft w:val="480"/>
          <w:marRight w:val="0"/>
          <w:marTop w:val="0"/>
          <w:marBottom w:val="0"/>
          <w:divBdr>
            <w:top w:val="none" w:sz="0" w:space="0" w:color="auto"/>
            <w:left w:val="none" w:sz="0" w:space="0" w:color="auto"/>
            <w:bottom w:val="none" w:sz="0" w:space="0" w:color="auto"/>
            <w:right w:val="none" w:sz="0" w:space="0" w:color="auto"/>
          </w:divBdr>
        </w:div>
        <w:div w:id="155196145">
          <w:marLeft w:val="480"/>
          <w:marRight w:val="0"/>
          <w:marTop w:val="0"/>
          <w:marBottom w:val="0"/>
          <w:divBdr>
            <w:top w:val="none" w:sz="0" w:space="0" w:color="auto"/>
            <w:left w:val="none" w:sz="0" w:space="0" w:color="auto"/>
            <w:bottom w:val="none" w:sz="0" w:space="0" w:color="auto"/>
            <w:right w:val="none" w:sz="0" w:space="0" w:color="auto"/>
          </w:divBdr>
        </w:div>
        <w:div w:id="158817858">
          <w:marLeft w:val="480"/>
          <w:marRight w:val="0"/>
          <w:marTop w:val="0"/>
          <w:marBottom w:val="0"/>
          <w:divBdr>
            <w:top w:val="none" w:sz="0" w:space="0" w:color="auto"/>
            <w:left w:val="none" w:sz="0" w:space="0" w:color="auto"/>
            <w:bottom w:val="none" w:sz="0" w:space="0" w:color="auto"/>
            <w:right w:val="none" w:sz="0" w:space="0" w:color="auto"/>
          </w:divBdr>
        </w:div>
        <w:div w:id="160245540">
          <w:marLeft w:val="480"/>
          <w:marRight w:val="0"/>
          <w:marTop w:val="0"/>
          <w:marBottom w:val="0"/>
          <w:divBdr>
            <w:top w:val="none" w:sz="0" w:space="0" w:color="auto"/>
            <w:left w:val="none" w:sz="0" w:space="0" w:color="auto"/>
            <w:bottom w:val="none" w:sz="0" w:space="0" w:color="auto"/>
            <w:right w:val="none" w:sz="0" w:space="0" w:color="auto"/>
          </w:divBdr>
        </w:div>
        <w:div w:id="181668582">
          <w:marLeft w:val="480"/>
          <w:marRight w:val="0"/>
          <w:marTop w:val="0"/>
          <w:marBottom w:val="0"/>
          <w:divBdr>
            <w:top w:val="none" w:sz="0" w:space="0" w:color="auto"/>
            <w:left w:val="none" w:sz="0" w:space="0" w:color="auto"/>
            <w:bottom w:val="none" w:sz="0" w:space="0" w:color="auto"/>
            <w:right w:val="none" w:sz="0" w:space="0" w:color="auto"/>
          </w:divBdr>
        </w:div>
        <w:div w:id="182330531">
          <w:marLeft w:val="480"/>
          <w:marRight w:val="0"/>
          <w:marTop w:val="0"/>
          <w:marBottom w:val="0"/>
          <w:divBdr>
            <w:top w:val="none" w:sz="0" w:space="0" w:color="auto"/>
            <w:left w:val="none" w:sz="0" w:space="0" w:color="auto"/>
            <w:bottom w:val="none" w:sz="0" w:space="0" w:color="auto"/>
            <w:right w:val="none" w:sz="0" w:space="0" w:color="auto"/>
          </w:divBdr>
        </w:div>
        <w:div w:id="186674790">
          <w:marLeft w:val="480"/>
          <w:marRight w:val="0"/>
          <w:marTop w:val="0"/>
          <w:marBottom w:val="0"/>
          <w:divBdr>
            <w:top w:val="none" w:sz="0" w:space="0" w:color="auto"/>
            <w:left w:val="none" w:sz="0" w:space="0" w:color="auto"/>
            <w:bottom w:val="none" w:sz="0" w:space="0" w:color="auto"/>
            <w:right w:val="none" w:sz="0" w:space="0" w:color="auto"/>
          </w:divBdr>
        </w:div>
        <w:div w:id="191579863">
          <w:marLeft w:val="480"/>
          <w:marRight w:val="0"/>
          <w:marTop w:val="0"/>
          <w:marBottom w:val="0"/>
          <w:divBdr>
            <w:top w:val="none" w:sz="0" w:space="0" w:color="auto"/>
            <w:left w:val="none" w:sz="0" w:space="0" w:color="auto"/>
            <w:bottom w:val="none" w:sz="0" w:space="0" w:color="auto"/>
            <w:right w:val="none" w:sz="0" w:space="0" w:color="auto"/>
          </w:divBdr>
        </w:div>
        <w:div w:id="195432231">
          <w:marLeft w:val="480"/>
          <w:marRight w:val="0"/>
          <w:marTop w:val="0"/>
          <w:marBottom w:val="0"/>
          <w:divBdr>
            <w:top w:val="none" w:sz="0" w:space="0" w:color="auto"/>
            <w:left w:val="none" w:sz="0" w:space="0" w:color="auto"/>
            <w:bottom w:val="none" w:sz="0" w:space="0" w:color="auto"/>
            <w:right w:val="none" w:sz="0" w:space="0" w:color="auto"/>
          </w:divBdr>
        </w:div>
        <w:div w:id="201327375">
          <w:marLeft w:val="480"/>
          <w:marRight w:val="0"/>
          <w:marTop w:val="0"/>
          <w:marBottom w:val="0"/>
          <w:divBdr>
            <w:top w:val="none" w:sz="0" w:space="0" w:color="auto"/>
            <w:left w:val="none" w:sz="0" w:space="0" w:color="auto"/>
            <w:bottom w:val="none" w:sz="0" w:space="0" w:color="auto"/>
            <w:right w:val="none" w:sz="0" w:space="0" w:color="auto"/>
          </w:divBdr>
        </w:div>
        <w:div w:id="203179079">
          <w:marLeft w:val="480"/>
          <w:marRight w:val="0"/>
          <w:marTop w:val="0"/>
          <w:marBottom w:val="0"/>
          <w:divBdr>
            <w:top w:val="none" w:sz="0" w:space="0" w:color="auto"/>
            <w:left w:val="none" w:sz="0" w:space="0" w:color="auto"/>
            <w:bottom w:val="none" w:sz="0" w:space="0" w:color="auto"/>
            <w:right w:val="none" w:sz="0" w:space="0" w:color="auto"/>
          </w:divBdr>
        </w:div>
        <w:div w:id="216667225">
          <w:marLeft w:val="480"/>
          <w:marRight w:val="0"/>
          <w:marTop w:val="0"/>
          <w:marBottom w:val="0"/>
          <w:divBdr>
            <w:top w:val="none" w:sz="0" w:space="0" w:color="auto"/>
            <w:left w:val="none" w:sz="0" w:space="0" w:color="auto"/>
            <w:bottom w:val="none" w:sz="0" w:space="0" w:color="auto"/>
            <w:right w:val="none" w:sz="0" w:space="0" w:color="auto"/>
          </w:divBdr>
        </w:div>
        <w:div w:id="218176494">
          <w:marLeft w:val="480"/>
          <w:marRight w:val="0"/>
          <w:marTop w:val="0"/>
          <w:marBottom w:val="0"/>
          <w:divBdr>
            <w:top w:val="none" w:sz="0" w:space="0" w:color="auto"/>
            <w:left w:val="none" w:sz="0" w:space="0" w:color="auto"/>
            <w:bottom w:val="none" w:sz="0" w:space="0" w:color="auto"/>
            <w:right w:val="none" w:sz="0" w:space="0" w:color="auto"/>
          </w:divBdr>
        </w:div>
        <w:div w:id="219249564">
          <w:marLeft w:val="480"/>
          <w:marRight w:val="0"/>
          <w:marTop w:val="0"/>
          <w:marBottom w:val="0"/>
          <w:divBdr>
            <w:top w:val="none" w:sz="0" w:space="0" w:color="auto"/>
            <w:left w:val="none" w:sz="0" w:space="0" w:color="auto"/>
            <w:bottom w:val="none" w:sz="0" w:space="0" w:color="auto"/>
            <w:right w:val="none" w:sz="0" w:space="0" w:color="auto"/>
          </w:divBdr>
        </w:div>
        <w:div w:id="225383469">
          <w:marLeft w:val="480"/>
          <w:marRight w:val="0"/>
          <w:marTop w:val="0"/>
          <w:marBottom w:val="0"/>
          <w:divBdr>
            <w:top w:val="none" w:sz="0" w:space="0" w:color="auto"/>
            <w:left w:val="none" w:sz="0" w:space="0" w:color="auto"/>
            <w:bottom w:val="none" w:sz="0" w:space="0" w:color="auto"/>
            <w:right w:val="none" w:sz="0" w:space="0" w:color="auto"/>
          </w:divBdr>
        </w:div>
        <w:div w:id="227301372">
          <w:marLeft w:val="480"/>
          <w:marRight w:val="0"/>
          <w:marTop w:val="0"/>
          <w:marBottom w:val="0"/>
          <w:divBdr>
            <w:top w:val="none" w:sz="0" w:space="0" w:color="auto"/>
            <w:left w:val="none" w:sz="0" w:space="0" w:color="auto"/>
            <w:bottom w:val="none" w:sz="0" w:space="0" w:color="auto"/>
            <w:right w:val="none" w:sz="0" w:space="0" w:color="auto"/>
          </w:divBdr>
        </w:div>
        <w:div w:id="234780648">
          <w:marLeft w:val="480"/>
          <w:marRight w:val="0"/>
          <w:marTop w:val="0"/>
          <w:marBottom w:val="0"/>
          <w:divBdr>
            <w:top w:val="none" w:sz="0" w:space="0" w:color="auto"/>
            <w:left w:val="none" w:sz="0" w:space="0" w:color="auto"/>
            <w:bottom w:val="none" w:sz="0" w:space="0" w:color="auto"/>
            <w:right w:val="none" w:sz="0" w:space="0" w:color="auto"/>
          </w:divBdr>
        </w:div>
        <w:div w:id="235214789">
          <w:marLeft w:val="480"/>
          <w:marRight w:val="0"/>
          <w:marTop w:val="0"/>
          <w:marBottom w:val="0"/>
          <w:divBdr>
            <w:top w:val="none" w:sz="0" w:space="0" w:color="auto"/>
            <w:left w:val="none" w:sz="0" w:space="0" w:color="auto"/>
            <w:bottom w:val="none" w:sz="0" w:space="0" w:color="auto"/>
            <w:right w:val="none" w:sz="0" w:space="0" w:color="auto"/>
          </w:divBdr>
        </w:div>
        <w:div w:id="235632184">
          <w:marLeft w:val="480"/>
          <w:marRight w:val="0"/>
          <w:marTop w:val="0"/>
          <w:marBottom w:val="0"/>
          <w:divBdr>
            <w:top w:val="none" w:sz="0" w:space="0" w:color="auto"/>
            <w:left w:val="none" w:sz="0" w:space="0" w:color="auto"/>
            <w:bottom w:val="none" w:sz="0" w:space="0" w:color="auto"/>
            <w:right w:val="none" w:sz="0" w:space="0" w:color="auto"/>
          </w:divBdr>
        </w:div>
        <w:div w:id="236137597">
          <w:marLeft w:val="480"/>
          <w:marRight w:val="0"/>
          <w:marTop w:val="0"/>
          <w:marBottom w:val="0"/>
          <w:divBdr>
            <w:top w:val="none" w:sz="0" w:space="0" w:color="auto"/>
            <w:left w:val="none" w:sz="0" w:space="0" w:color="auto"/>
            <w:bottom w:val="none" w:sz="0" w:space="0" w:color="auto"/>
            <w:right w:val="none" w:sz="0" w:space="0" w:color="auto"/>
          </w:divBdr>
        </w:div>
        <w:div w:id="244000431">
          <w:marLeft w:val="480"/>
          <w:marRight w:val="0"/>
          <w:marTop w:val="0"/>
          <w:marBottom w:val="0"/>
          <w:divBdr>
            <w:top w:val="none" w:sz="0" w:space="0" w:color="auto"/>
            <w:left w:val="none" w:sz="0" w:space="0" w:color="auto"/>
            <w:bottom w:val="none" w:sz="0" w:space="0" w:color="auto"/>
            <w:right w:val="none" w:sz="0" w:space="0" w:color="auto"/>
          </w:divBdr>
        </w:div>
        <w:div w:id="245648197">
          <w:marLeft w:val="480"/>
          <w:marRight w:val="0"/>
          <w:marTop w:val="0"/>
          <w:marBottom w:val="0"/>
          <w:divBdr>
            <w:top w:val="none" w:sz="0" w:space="0" w:color="auto"/>
            <w:left w:val="none" w:sz="0" w:space="0" w:color="auto"/>
            <w:bottom w:val="none" w:sz="0" w:space="0" w:color="auto"/>
            <w:right w:val="none" w:sz="0" w:space="0" w:color="auto"/>
          </w:divBdr>
        </w:div>
        <w:div w:id="255863947">
          <w:marLeft w:val="480"/>
          <w:marRight w:val="0"/>
          <w:marTop w:val="0"/>
          <w:marBottom w:val="0"/>
          <w:divBdr>
            <w:top w:val="none" w:sz="0" w:space="0" w:color="auto"/>
            <w:left w:val="none" w:sz="0" w:space="0" w:color="auto"/>
            <w:bottom w:val="none" w:sz="0" w:space="0" w:color="auto"/>
            <w:right w:val="none" w:sz="0" w:space="0" w:color="auto"/>
          </w:divBdr>
        </w:div>
        <w:div w:id="257519031">
          <w:marLeft w:val="480"/>
          <w:marRight w:val="0"/>
          <w:marTop w:val="0"/>
          <w:marBottom w:val="0"/>
          <w:divBdr>
            <w:top w:val="none" w:sz="0" w:space="0" w:color="auto"/>
            <w:left w:val="none" w:sz="0" w:space="0" w:color="auto"/>
            <w:bottom w:val="none" w:sz="0" w:space="0" w:color="auto"/>
            <w:right w:val="none" w:sz="0" w:space="0" w:color="auto"/>
          </w:divBdr>
        </w:div>
        <w:div w:id="259996109">
          <w:marLeft w:val="480"/>
          <w:marRight w:val="0"/>
          <w:marTop w:val="0"/>
          <w:marBottom w:val="0"/>
          <w:divBdr>
            <w:top w:val="none" w:sz="0" w:space="0" w:color="auto"/>
            <w:left w:val="none" w:sz="0" w:space="0" w:color="auto"/>
            <w:bottom w:val="none" w:sz="0" w:space="0" w:color="auto"/>
            <w:right w:val="none" w:sz="0" w:space="0" w:color="auto"/>
          </w:divBdr>
        </w:div>
        <w:div w:id="262887277">
          <w:marLeft w:val="480"/>
          <w:marRight w:val="0"/>
          <w:marTop w:val="0"/>
          <w:marBottom w:val="0"/>
          <w:divBdr>
            <w:top w:val="none" w:sz="0" w:space="0" w:color="auto"/>
            <w:left w:val="none" w:sz="0" w:space="0" w:color="auto"/>
            <w:bottom w:val="none" w:sz="0" w:space="0" w:color="auto"/>
            <w:right w:val="none" w:sz="0" w:space="0" w:color="auto"/>
          </w:divBdr>
        </w:div>
        <w:div w:id="271322471">
          <w:marLeft w:val="480"/>
          <w:marRight w:val="0"/>
          <w:marTop w:val="0"/>
          <w:marBottom w:val="0"/>
          <w:divBdr>
            <w:top w:val="none" w:sz="0" w:space="0" w:color="auto"/>
            <w:left w:val="none" w:sz="0" w:space="0" w:color="auto"/>
            <w:bottom w:val="none" w:sz="0" w:space="0" w:color="auto"/>
            <w:right w:val="none" w:sz="0" w:space="0" w:color="auto"/>
          </w:divBdr>
        </w:div>
        <w:div w:id="271473209">
          <w:marLeft w:val="480"/>
          <w:marRight w:val="0"/>
          <w:marTop w:val="0"/>
          <w:marBottom w:val="0"/>
          <w:divBdr>
            <w:top w:val="none" w:sz="0" w:space="0" w:color="auto"/>
            <w:left w:val="none" w:sz="0" w:space="0" w:color="auto"/>
            <w:bottom w:val="none" w:sz="0" w:space="0" w:color="auto"/>
            <w:right w:val="none" w:sz="0" w:space="0" w:color="auto"/>
          </w:divBdr>
        </w:div>
        <w:div w:id="271742747">
          <w:marLeft w:val="480"/>
          <w:marRight w:val="0"/>
          <w:marTop w:val="0"/>
          <w:marBottom w:val="0"/>
          <w:divBdr>
            <w:top w:val="none" w:sz="0" w:space="0" w:color="auto"/>
            <w:left w:val="none" w:sz="0" w:space="0" w:color="auto"/>
            <w:bottom w:val="none" w:sz="0" w:space="0" w:color="auto"/>
            <w:right w:val="none" w:sz="0" w:space="0" w:color="auto"/>
          </w:divBdr>
        </w:div>
        <w:div w:id="274295073">
          <w:marLeft w:val="480"/>
          <w:marRight w:val="0"/>
          <w:marTop w:val="0"/>
          <w:marBottom w:val="0"/>
          <w:divBdr>
            <w:top w:val="none" w:sz="0" w:space="0" w:color="auto"/>
            <w:left w:val="none" w:sz="0" w:space="0" w:color="auto"/>
            <w:bottom w:val="none" w:sz="0" w:space="0" w:color="auto"/>
            <w:right w:val="none" w:sz="0" w:space="0" w:color="auto"/>
          </w:divBdr>
        </w:div>
        <w:div w:id="279144861">
          <w:marLeft w:val="480"/>
          <w:marRight w:val="0"/>
          <w:marTop w:val="0"/>
          <w:marBottom w:val="0"/>
          <w:divBdr>
            <w:top w:val="none" w:sz="0" w:space="0" w:color="auto"/>
            <w:left w:val="none" w:sz="0" w:space="0" w:color="auto"/>
            <w:bottom w:val="none" w:sz="0" w:space="0" w:color="auto"/>
            <w:right w:val="none" w:sz="0" w:space="0" w:color="auto"/>
          </w:divBdr>
        </w:div>
        <w:div w:id="280191051">
          <w:marLeft w:val="480"/>
          <w:marRight w:val="0"/>
          <w:marTop w:val="0"/>
          <w:marBottom w:val="0"/>
          <w:divBdr>
            <w:top w:val="none" w:sz="0" w:space="0" w:color="auto"/>
            <w:left w:val="none" w:sz="0" w:space="0" w:color="auto"/>
            <w:bottom w:val="none" w:sz="0" w:space="0" w:color="auto"/>
            <w:right w:val="none" w:sz="0" w:space="0" w:color="auto"/>
          </w:divBdr>
        </w:div>
        <w:div w:id="280846126">
          <w:marLeft w:val="480"/>
          <w:marRight w:val="0"/>
          <w:marTop w:val="0"/>
          <w:marBottom w:val="0"/>
          <w:divBdr>
            <w:top w:val="none" w:sz="0" w:space="0" w:color="auto"/>
            <w:left w:val="none" w:sz="0" w:space="0" w:color="auto"/>
            <w:bottom w:val="none" w:sz="0" w:space="0" w:color="auto"/>
            <w:right w:val="none" w:sz="0" w:space="0" w:color="auto"/>
          </w:divBdr>
        </w:div>
        <w:div w:id="286160680">
          <w:marLeft w:val="480"/>
          <w:marRight w:val="0"/>
          <w:marTop w:val="0"/>
          <w:marBottom w:val="0"/>
          <w:divBdr>
            <w:top w:val="none" w:sz="0" w:space="0" w:color="auto"/>
            <w:left w:val="none" w:sz="0" w:space="0" w:color="auto"/>
            <w:bottom w:val="none" w:sz="0" w:space="0" w:color="auto"/>
            <w:right w:val="none" w:sz="0" w:space="0" w:color="auto"/>
          </w:divBdr>
        </w:div>
        <w:div w:id="287592155">
          <w:marLeft w:val="480"/>
          <w:marRight w:val="0"/>
          <w:marTop w:val="0"/>
          <w:marBottom w:val="0"/>
          <w:divBdr>
            <w:top w:val="none" w:sz="0" w:space="0" w:color="auto"/>
            <w:left w:val="none" w:sz="0" w:space="0" w:color="auto"/>
            <w:bottom w:val="none" w:sz="0" w:space="0" w:color="auto"/>
            <w:right w:val="none" w:sz="0" w:space="0" w:color="auto"/>
          </w:divBdr>
        </w:div>
        <w:div w:id="291987084">
          <w:marLeft w:val="480"/>
          <w:marRight w:val="0"/>
          <w:marTop w:val="0"/>
          <w:marBottom w:val="0"/>
          <w:divBdr>
            <w:top w:val="none" w:sz="0" w:space="0" w:color="auto"/>
            <w:left w:val="none" w:sz="0" w:space="0" w:color="auto"/>
            <w:bottom w:val="none" w:sz="0" w:space="0" w:color="auto"/>
            <w:right w:val="none" w:sz="0" w:space="0" w:color="auto"/>
          </w:divBdr>
        </w:div>
        <w:div w:id="295838955">
          <w:marLeft w:val="480"/>
          <w:marRight w:val="0"/>
          <w:marTop w:val="0"/>
          <w:marBottom w:val="0"/>
          <w:divBdr>
            <w:top w:val="none" w:sz="0" w:space="0" w:color="auto"/>
            <w:left w:val="none" w:sz="0" w:space="0" w:color="auto"/>
            <w:bottom w:val="none" w:sz="0" w:space="0" w:color="auto"/>
            <w:right w:val="none" w:sz="0" w:space="0" w:color="auto"/>
          </w:divBdr>
        </w:div>
        <w:div w:id="301152255">
          <w:marLeft w:val="480"/>
          <w:marRight w:val="0"/>
          <w:marTop w:val="0"/>
          <w:marBottom w:val="0"/>
          <w:divBdr>
            <w:top w:val="none" w:sz="0" w:space="0" w:color="auto"/>
            <w:left w:val="none" w:sz="0" w:space="0" w:color="auto"/>
            <w:bottom w:val="none" w:sz="0" w:space="0" w:color="auto"/>
            <w:right w:val="none" w:sz="0" w:space="0" w:color="auto"/>
          </w:divBdr>
        </w:div>
        <w:div w:id="301620736">
          <w:marLeft w:val="480"/>
          <w:marRight w:val="0"/>
          <w:marTop w:val="0"/>
          <w:marBottom w:val="0"/>
          <w:divBdr>
            <w:top w:val="none" w:sz="0" w:space="0" w:color="auto"/>
            <w:left w:val="none" w:sz="0" w:space="0" w:color="auto"/>
            <w:bottom w:val="none" w:sz="0" w:space="0" w:color="auto"/>
            <w:right w:val="none" w:sz="0" w:space="0" w:color="auto"/>
          </w:divBdr>
        </w:div>
        <w:div w:id="304505543">
          <w:marLeft w:val="480"/>
          <w:marRight w:val="0"/>
          <w:marTop w:val="0"/>
          <w:marBottom w:val="0"/>
          <w:divBdr>
            <w:top w:val="none" w:sz="0" w:space="0" w:color="auto"/>
            <w:left w:val="none" w:sz="0" w:space="0" w:color="auto"/>
            <w:bottom w:val="none" w:sz="0" w:space="0" w:color="auto"/>
            <w:right w:val="none" w:sz="0" w:space="0" w:color="auto"/>
          </w:divBdr>
        </w:div>
        <w:div w:id="309679983">
          <w:marLeft w:val="480"/>
          <w:marRight w:val="0"/>
          <w:marTop w:val="0"/>
          <w:marBottom w:val="0"/>
          <w:divBdr>
            <w:top w:val="none" w:sz="0" w:space="0" w:color="auto"/>
            <w:left w:val="none" w:sz="0" w:space="0" w:color="auto"/>
            <w:bottom w:val="none" w:sz="0" w:space="0" w:color="auto"/>
            <w:right w:val="none" w:sz="0" w:space="0" w:color="auto"/>
          </w:divBdr>
        </w:div>
        <w:div w:id="319968256">
          <w:marLeft w:val="480"/>
          <w:marRight w:val="0"/>
          <w:marTop w:val="0"/>
          <w:marBottom w:val="0"/>
          <w:divBdr>
            <w:top w:val="none" w:sz="0" w:space="0" w:color="auto"/>
            <w:left w:val="none" w:sz="0" w:space="0" w:color="auto"/>
            <w:bottom w:val="none" w:sz="0" w:space="0" w:color="auto"/>
            <w:right w:val="none" w:sz="0" w:space="0" w:color="auto"/>
          </w:divBdr>
        </w:div>
        <w:div w:id="327288945">
          <w:marLeft w:val="480"/>
          <w:marRight w:val="0"/>
          <w:marTop w:val="0"/>
          <w:marBottom w:val="0"/>
          <w:divBdr>
            <w:top w:val="none" w:sz="0" w:space="0" w:color="auto"/>
            <w:left w:val="none" w:sz="0" w:space="0" w:color="auto"/>
            <w:bottom w:val="none" w:sz="0" w:space="0" w:color="auto"/>
            <w:right w:val="none" w:sz="0" w:space="0" w:color="auto"/>
          </w:divBdr>
        </w:div>
        <w:div w:id="331563729">
          <w:marLeft w:val="480"/>
          <w:marRight w:val="0"/>
          <w:marTop w:val="0"/>
          <w:marBottom w:val="0"/>
          <w:divBdr>
            <w:top w:val="none" w:sz="0" w:space="0" w:color="auto"/>
            <w:left w:val="none" w:sz="0" w:space="0" w:color="auto"/>
            <w:bottom w:val="none" w:sz="0" w:space="0" w:color="auto"/>
            <w:right w:val="none" w:sz="0" w:space="0" w:color="auto"/>
          </w:divBdr>
        </w:div>
        <w:div w:id="340621214">
          <w:marLeft w:val="480"/>
          <w:marRight w:val="0"/>
          <w:marTop w:val="0"/>
          <w:marBottom w:val="0"/>
          <w:divBdr>
            <w:top w:val="none" w:sz="0" w:space="0" w:color="auto"/>
            <w:left w:val="none" w:sz="0" w:space="0" w:color="auto"/>
            <w:bottom w:val="none" w:sz="0" w:space="0" w:color="auto"/>
            <w:right w:val="none" w:sz="0" w:space="0" w:color="auto"/>
          </w:divBdr>
        </w:div>
        <w:div w:id="347831023">
          <w:marLeft w:val="480"/>
          <w:marRight w:val="0"/>
          <w:marTop w:val="0"/>
          <w:marBottom w:val="0"/>
          <w:divBdr>
            <w:top w:val="none" w:sz="0" w:space="0" w:color="auto"/>
            <w:left w:val="none" w:sz="0" w:space="0" w:color="auto"/>
            <w:bottom w:val="none" w:sz="0" w:space="0" w:color="auto"/>
            <w:right w:val="none" w:sz="0" w:space="0" w:color="auto"/>
          </w:divBdr>
        </w:div>
        <w:div w:id="347875942">
          <w:marLeft w:val="480"/>
          <w:marRight w:val="0"/>
          <w:marTop w:val="0"/>
          <w:marBottom w:val="0"/>
          <w:divBdr>
            <w:top w:val="none" w:sz="0" w:space="0" w:color="auto"/>
            <w:left w:val="none" w:sz="0" w:space="0" w:color="auto"/>
            <w:bottom w:val="none" w:sz="0" w:space="0" w:color="auto"/>
            <w:right w:val="none" w:sz="0" w:space="0" w:color="auto"/>
          </w:divBdr>
        </w:div>
        <w:div w:id="350762280">
          <w:marLeft w:val="480"/>
          <w:marRight w:val="0"/>
          <w:marTop w:val="0"/>
          <w:marBottom w:val="0"/>
          <w:divBdr>
            <w:top w:val="none" w:sz="0" w:space="0" w:color="auto"/>
            <w:left w:val="none" w:sz="0" w:space="0" w:color="auto"/>
            <w:bottom w:val="none" w:sz="0" w:space="0" w:color="auto"/>
            <w:right w:val="none" w:sz="0" w:space="0" w:color="auto"/>
          </w:divBdr>
        </w:div>
        <w:div w:id="359087784">
          <w:marLeft w:val="480"/>
          <w:marRight w:val="0"/>
          <w:marTop w:val="0"/>
          <w:marBottom w:val="0"/>
          <w:divBdr>
            <w:top w:val="none" w:sz="0" w:space="0" w:color="auto"/>
            <w:left w:val="none" w:sz="0" w:space="0" w:color="auto"/>
            <w:bottom w:val="none" w:sz="0" w:space="0" w:color="auto"/>
            <w:right w:val="none" w:sz="0" w:space="0" w:color="auto"/>
          </w:divBdr>
        </w:div>
        <w:div w:id="362823545">
          <w:marLeft w:val="480"/>
          <w:marRight w:val="0"/>
          <w:marTop w:val="0"/>
          <w:marBottom w:val="0"/>
          <w:divBdr>
            <w:top w:val="none" w:sz="0" w:space="0" w:color="auto"/>
            <w:left w:val="none" w:sz="0" w:space="0" w:color="auto"/>
            <w:bottom w:val="none" w:sz="0" w:space="0" w:color="auto"/>
            <w:right w:val="none" w:sz="0" w:space="0" w:color="auto"/>
          </w:divBdr>
        </w:div>
        <w:div w:id="362947586">
          <w:marLeft w:val="480"/>
          <w:marRight w:val="0"/>
          <w:marTop w:val="0"/>
          <w:marBottom w:val="0"/>
          <w:divBdr>
            <w:top w:val="none" w:sz="0" w:space="0" w:color="auto"/>
            <w:left w:val="none" w:sz="0" w:space="0" w:color="auto"/>
            <w:bottom w:val="none" w:sz="0" w:space="0" w:color="auto"/>
            <w:right w:val="none" w:sz="0" w:space="0" w:color="auto"/>
          </w:divBdr>
        </w:div>
        <w:div w:id="365839687">
          <w:marLeft w:val="480"/>
          <w:marRight w:val="0"/>
          <w:marTop w:val="0"/>
          <w:marBottom w:val="0"/>
          <w:divBdr>
            <w:top w:val="none" w:sz="0" w:space="0" w:color="auto"/>
            <w:left w:val="none" w:sz="0" w:space="0" w:color="auto"/>
            <w:bottom w:val="none" w:sz="0" w:space="0" w:color="auto"/>
            <w:right w:val="none" w:sz="0" w:space="0" w:color="auto"/>
          </w:divBdr>
        </w:div>
        <w:div w:id="380830445">
          <w:marLeft w:val="480"/>
          <w:marRight w:val="0"/>
          <w:marTop w:val="0"/>
          <w:marBottom w:val="0"/>
          <w:divBdr>
            <w:top w:val="none" w:sz="0" w:space="0" w:color="auto"/>
            <w:left w:val="none" w:sz="0" w:space="0" w:color="auto"/>
            <w:bottom w:val="none" w:sz="0" w:space="0" w:color="auto"/>
            <w:right w:val="none" w:sz="0" w:space="0" w:color="auto"/>
          </w:divBdr>
        </w:div>
        <w:div w:id="390807990">
          <w:marLeft w:val="480"/>
          <w:marRight w:val="0"/>
          <w:marTop w:val="0"/>
          <w:marBottom w:val="0"/>
          <w:divBdr>
            <w:top w:val="none" w:sz="0" w:space="0" w:color="auto"/>
            <w:left w:val="none" w:sz="0" w:space="0" w:color="auto"/>
            <w:bottom w:val="none" w:sz="0" w:space="0" w:color="auto"/>
            <w:right w:val="none" w:sz="0" w:space="0" w:color="auto"/>
          </w:divBdr>
        </w:div>
        <w:div w:id="401997885">
          <w:marLeft w:val="480"/>
          <w:marRight w:val="0"/>
          <w:marTop w:val="0"/>
          <w:marBottom w:val="0"/>
          <w:divBdr>
            <w:top w:val="none" w:sz="0" w:space="0" w:color="auto"/>
            <w:left w:val="none" w:sz="0" w:space="0" w:color="auto"/>
            <w:bottom w:val="none" w:sz="0" w:space="0" w:color="auto"/>
            <w:right w:val="none" w:sz="0" w:space="0" w:color="auto"/>
          </w:divBdr>
        </w:div>
        <w:div w:id="406345451">
          <w:marLeft w:val="480"/>
          <w:marRight w:val="0"/>
          <w:marTop w:val="0"/>
          <w:marBottom w:val="0"/>
          <w:divBdr>
            <w:top w:val="none" w:sz="0" w:space="0" w:color="auto"/>
            <w:left w:val="none" w:sz="0" w:space="0" w:color="auto"/>
            <w:bottom w:val="none" w:sz="0" w:space="0" w:color="auto"/>
            <w:right w:val="none" w:sz="0" w:space="0" w:color="auto"/>
          </w:divBdr>
        </w:div>
        <w:div w:id="409667698">
          <w:marLeft w:val="480"/>
          <w:marRight w:val="0"/>
          <w:marTop w:val="0"/>
          <w:marBottom w:val="0"/>
          <w:divBdr>
            <w:top w:val="none" w:sz="0" w:space="0" w:color="auto"/>
            <w:left w:val="none" w:sz="0" w:space="0" w:color="auto"/>
            <w:bottom w:val="none" w:sz="0" w:space="0" w:color="auto"/>
            <w:right w:val="none" w:sz="0" w:space="0" w:color="auto"/>
          </w:divBdr>
        </w:div>
        <w:div w:id="416679995">
          <w:marLeft w:val="480"/>
          <w:marRight w:val="0"/>
          <w:marTop w:val="0"/>
          <w:marBottom w:val="0"/>
          <w:divBdr>
            <w:top w:val="none" w:sz="0" w:space="0" w:color="auto"/>
            <w:left w:val="none" w:sz="0" w:space="0" w:color="auto"/>
            <w:bottom w:val="none" w:sz="0" w:space="0" w:color="auto"/>
            <w:right w:val="none" w:sz="0" w:space="0" w:color="auto"/>
          </w:divBdr>
        </w:div>
        <w:div w:id="416707297">
          <w:marLeft w:val="480"/>
          <w:marRight w:val="0"/>
          <w:marTop w:val="0"/>
          <w:marBottom w:val="0"/>
          <w:divBdr>
            <w:top w:val="none" w:sz="0" w:space="0" w:color="auto"/>
            <w:left w:val="none" w:sz="0" w:space="0" w:color="auto"/>
            <w:bottom w:val="none" w:sz="0" w:space="0" w:color="auto"/>
            <w:right w:val="none" w:sz="0" w:space="0" w:color="auto"/>
          </w:divBdr>
        </w:div>
        <w:div w:id="434137102">
          <w:marLeft w:val="480"/>
          <w:marRight w:val="0"/>
          <w:marTop w:val="0"/>
          <w:marBottom w:val="0"/>
          <w:divBdr>
            <w:top w:val="none" w:sz="0" w:space="0" w:color="auto"/>
            <w:left w:val="none" w:sz="0" w:space="0" w:color="auto"/>
            <w:bottom w:val="none" w:sz="0" w:space="0" w:color="auto"/>
            <w:right w:val="none" w:sz="0" w:space="0" w:color="auto"/>
          </w:divBdr>
        </w:div>
        <w:div w:id="440877224">
          <w:marLeft w:val="480"/>
          <w:marRight w:val="0"/>
          <w:marTop w:val="0"/>
          <w:marBottom w:val="0"/>
          <w:divBdr>
            <w:top w:val="none" w:sz="0" w:space="0" w:color="auto"/>
            <w:left w:val="none" w:sz="0" w:space="0" w:color="auto"/>
            <w:bottom w:val="none" w:sz="0" w:space="0" w:color="auto"/>
            <w:right w:val="none" w:sz="0" w:space="0" w:color="auto"/>
          </w:divBdr>
        </w:div>
        <w:div w:id="443307013">
          <w:marLeft w:val="480"/>
          <w:marRight w:val="0"/>
          <w:marTop w:val="0"/>
          <w:marBottom w:val="0"/>
          <w:divBdr>
            <w:top w:val="none" w:sz="0" w:space="0" w:color="auto"/>
            <w:left w:val="none" w:sz="0" w:space="0" w:color="auto"/>
            <w:bottom w:val="none" w:sz="0" w:space="0" w:color="auto"/>
            <w:right w:val="none" w:sz="0" w:space="0" w:color="auto"/>
          </w:divBdr>
        </w:div>
        <w:div w:id="450324667">
          <w:marLeft w:val="480"/>
          <w:marRight w:val="0"/>
          <w:marTop w:val="0"/>
          <w:marBottom w:val="0"/>
          <w:divBdr>
            <w:top w:val="none" w:sz="0" w:space="0" w:color="auto"/>
            <w:left w:val="none" w:sz="0" w:space="0" w:color="auto"/>
            <w:bottom w:val="none" w:sz="0" w:space="0" w:color="auto"/>
            <w:right w:val="none" w:sz="0" w:space="0" w:color="auto"/>
          </w:divBdr>
        </w:div>
        <w:div w:id="456678260">
          <w:marLeft w:val="480"/>
          <w:marRight w:val="0"/>
          <w:marTop w:val="0"/>
          <w:marBottom w:val="0"/>
          <w:divBdr>
            <w:top w:val="none" w:sz="0" w:space="0" w:color="auto"/>
            <w:left w:val="none" w:sz="0" w:space="0" w:color="auto"/>
            <w:bottom w:val="none" w:sz="0" w:space="0" w:color="auto"/>
            <w:right w:val="none" w:sz="0" w:space="0" w:color="auto"/>
          </w:divBdr>
        </w:div>
        <w:div w:id="461003563">
          <w:marLeft w:val="480"/>
          <w:marRight w:val="0"/>
          <w:marTop w:val="0"/>
          <w:marBottom w:val="0"/>
          <w:divBdr>
            <w:top w:val="none" w:sz="0" w:space="0" w:color="auto"/>
            <w:left w:val="none" w:sz="0" w:space="0" w:color="auto"/>
            <w:bottom w:val="none" w:sz="0" w:space="0" w:color="auto"/>
            <w:right w:val="none" w:sz="0" w:space="0" w:color="auto"/>
          </w:divBdr>
        </w:div>
        <w:div w:id="463738266">
          <w:marLeft w:val="480"/>
          <w:marRight w:val="0"/>
          <w:marTop w:val="0"/>
          <w:marBottom w:val="0"/>
          <w:divBdr>
            <w:top w:val="none" w:sz="0" w:space="0" w:color="auto"/>
            <w:left w:val="none" w:sz="0" w:space="0" w:color="auto"/>
            <w:bottom w:val="none" w:sz="0" w:space="0" w:color="auto"/>
            <w:right w:val="none" w:sz="0" w:space="0" w:color="auto"/>
          </w:divBdr>
        </w:div>
        <w:div w:id="469397314">
          <w:marLeft w:val="480"/>
          <w:marRight w:val="0"/>
          <w:marTop w:val="0"/>
          <w:marBottom w:val="0"/>
          <w:divBdr>
            <w:top w:val="none" w:sz="0" w:space="0" w:color="auto"/>
            <w:left w:val="none" w:sz="0" w:space="0" w:color="auto"/>
            <w:bottom w:val="none" w:sz="0" w:space="0" w:color="auto"/>
            <w:right w:val="none" w:sz="0" w:space="0" w:color="auto"/>
          </w:divBdr>
        </w:div>
        <w:div w:id="470555829">
          <w:marLeft w:val="480"/>
          <w:marRight w:val="0"/>
          <w:marTop w:val="0"/>
          <w:marBottom w:val="0"/>
          <w:divBdr>
            <w:top w:val="none" w:sz="0" w:space="0" w:color="auto"/>
            <w:left w:val="none" w:sz="0" w:space="0" w:color="auto"/>
            <w:bottom w:val="none" w:sz="0" w:space="0" w:color="auto"/>
            <w:right w:val="none" w:sz="0" w:space="0" w:color="auto"/>
          </w:divBdr>
        </w:div>
        <w:div w:id="474374729">
          <w:marLeft w:val="480"/>
          <w:marRight w:val="0"/>
          <w:marTop w:val="0"/>
          <w:marBottom w:val="0"/>
          <w:divBdr>
            <w:top w:val="none" w:sz="0" w:space="0" w:color="auto"/>
            <w:left w:val="none" w:sz="0" w:space="0" w:color="auto"/>
            <w:bottom w:val="none" w:sz="0" w:space="0" w:color="auto"/>
            <w:right w:val="none" w:sz="0" w:space="0" w:color="auto"/>
          </w:divBdr>
        </w:div>
        <w:div w:id="477495880">
          <w:marLeft w:val="480"/>
          <w:marRight w:val="0"/>
          <w:marTop w:val="0"/>
          <w:marBottom w:val="0"/>
          <w:divBdr>
            <w:top w:val="none" w:sz="0" w:space="0" w:color="auto"/>
            <w:left w:val="none" w:sz="0" w:space="0" w:color="auto"/>
            <w:bottom w:val="none" w:sz="0" w:space="0" w:color="auto"/>
            <w:right w:val="none" w:sz="0" w:space="0" w:color="auto"/>
          </w:divBdr>
        </w:div>
        <w:div w:id="500048658">
          <w:marLeft w:val="480"/>
          <w:marRight w:val="0"/>
          <w:marTop w:val="0"/>
          <w:marBottom w:val="0"/>
          <w:divBdr>
            <w:top w:val="none" w:sz="0" w:space="0" w:color="auto"/>
            <w:left w:val="none" w:sz="0" w:space="0" w:color="auto"/>
            <w:bottom w:val="none" w:sz="0" w:space="0" w:color="auto"/>
            <w:right w:val="none" w:sz="0" w:space="0" w:color="auto"/>
          </w:divBdr>
        </w:div>
        <w:div w:id="501236817">
          <w:marLeft w:val="480"/>
          <w:marRight w:val="0"/>
          <w:marTop w:val="0"/>
          <w:marBottom w:val="0"/>
          <w:divBdr>
            <w:top w:val="none" w:sz="0" w:space="0" w:color="auto"/>
            <w:left w:val="none" w:sz="0" w:space="0" w:color="auto"/>
            <w:bottom w:val="none" w:sz="0" w:space="0" w:color="auto"/>
            <w:right w:val="none" w:sz="0" w:space="0" w:color="auto"/>
          </w:divBdr>
        </w:div>
        <w:div w:id="503592574">
          <w:marLeft w:val="480"/>
          <w:marRight w:val="0"/>
          <w:marTop w:val="0"/>
          <w:marBottom w:val="0"/>
          <w:divBdr>
            <w:top w:val="none" w:sz="0" w:space="0" w:color="auto"/>
            <w:left w:val="none" w:sz="0" w:space="0" w:color="auto"/>
            <w:bottom w:val="none" w:sz="0" w:space="0" w:color="auto"/>
            <w:right w:val="none" w:sz="0" w:space="0" w:color="auto"/>
          </w:divBdr>
        </w:div>
        <w:div w:id="513300088">
          <w:marLeft w:val="480"/>
          <w:marRight w:val="0"/>
          <w:marTop w:val="0"/>
          <w:marBottom w:val="0"/>
          <w:divBdr>
            <w:top w:val="none" w:sz="0" w:space="0" w:color="auto"/>
            <w:left w:val="none" w:sz="0" w:space="0" w:color="auto"/>
            <w:bottom w:val="none" w:sz="0" w:space="0" w:color="auto"/>
            <w:right w:val="none" w:sz="0" w:space="0" w:color="auto"/>
          </w:divBdr>
        </w:div>
        <w:div w:id="514660893">
          <w:marLeft w:val="480"/>
          <w:marRight w:val="0"/>
          <w:marTop w:val="0"/>
          <w:marBottom w:val="0"/>
          <w:divBdr>
            <w:top w:val="none" w:sz="0" w:space="0" w:color="auto"/>
            <w:left w:val="none" w:sz="0" w:space="0" w:color="auto"/>
            <w:bottom w:val="none" w:sz="0" w:space="0" w:color="auto"/>
            <w:right w:val="none" w:sz="0" w:space="0" w:color="auto"/>
          </w:divBdr>
        </w:div>
        <w:div w:id="517622171">
          <w:marLeft w:val="480"/>
          <w:marRight w:val="0"/>
          <w:marTop w:val="0"/>
          <w:marBottom w:val="0"/>
          <w:divBdr>
            <w:top w:val="none" w:sz="0" w:space="0" w:color="auto"/>
            <w:left w:val="none" w:sz="0" w:space="0" w:color="auto"/>
            <w:bottom w:val="none" w:sz="0" w:space="0" w:color="auto"/>
            <w:right w:val="none" w:sz="0" w:space="0" w:color="auto"/>
          </w:divBdr>
        </w:div>
        <w:div w:id="517891487">
          <w:marLeft w:val="480"/>
          <w:marRight w:val="0"/>
          <w:marTop w:val="0"/>
          <w:marBottom w:val="0"/>
          <w:divBdr>
            <w:top w:val="none" w:sz="0" w:space="0" w:color="auto"/>
            <w:left w:val="none" w:sz="0" w:space="0" w:color="auto"/>
            <w:bottom w:val="none" w:sz="0" w:space="0" w:color="auto"/>
            <w:right w:val="none" w:sz="0" w:space="0" w:color="auto"/>
          </w:divBdr>
        </w:div>
        <w:div w:id="524909449">
          <w:marLeft w:val="480"/>
          <w:marRight w:val="0"/>
          <w:marTop w:val="0"/>
          <w:marBottom w:val="0"/>
          <w:divBdr>
            <w:top w:val="none" w:sz="0" w:space="0" w:color="auto"/>
            <w:left w:val="none" w:sz="0" w:space="0" w:color="auto"/>
            <w:bottom w:val="none" w:sz="0" w:space="0" w:color="auto"/>
            <w:right w:val="none" w:sz="0" w:space="0" w:color="auto"/>
          </w:divBdr>
        </w:div>
        <w:div w:id="526333580">
          <w:marLeft w:val="480"/>
          <w:marRight w:val="0"/>
          <w:marTop w:val="0"/>
          <w:marBottom w:val="0"/>
          <w:divBdr>
            <w:top w:val="none" w:sz="0" w:space="0" w:color="auto"/>
            <w:left w:val="none" w:sz="0" w:space="0" w:color="auto"/>
            <w:bottom w:val="none" w:sz="0" w:space="0" w:color="auto"/>
            <w:right w:val="none" w:sz="0" w:space="0" w:color="auto"/>
          </w:divBdr>
        </w:div>
        <w:div w:id="526528473">
          <w:marLeft w:val="480"/>
          <w:marRight w:val="0"/>
          <w:marTop w:val="0"/>
          <w:marBottom w:val="0"/>
          <w:divBdr>
            <w:top w:val="none" w:sz="0" w:space="0" w:color="auto"/>
            <w:left w:val="none" w:sz="0" w:space="0" w:color="auto"/>
            <w:bottom w:val="none" w:sz="0" w:space="0" w:color="auto"/>
            <w:right w:val="none" w:sz="0" w:space="0" w:color="auto"/>
          </w:divBdr>
        </w:div>
        <w:div w:id="532576062">
          <w:marLeft w:val="480"/>
          <w:marRight w:val="0"/>
          <w:marTop w:val="0"/>
          <w:marBottom w:val="0"/>
          <w:divBdr>
            <w:top w:val="none" w:sz="0" w:space="0" w:color="auto"/>
            <w:left w:val="none" w:sz="0" w:space="0" w:color="auto"/>
            <w:bottom w:val="none" w:sz="0" w:space="0" w:color="auto"/>
            <w:right w:val="none" w:sz="0" w:space="0" w:color="auto"/>
          </w:divBdr>
        </w:div>
        <w:div w:id="535311126">
          <w:marLeft w:val="480"/>
          <w:marRight w:val="0"/>
          <w:marTop w:val="0"/>
          <w:marBottom w:val="0"/>
          <w:divBdr>
            <w:top w:val="none" w:sz="0" w:space="0" w:color="auto"/>
            <w:left w:val="none" w:sz="0" w:space="0" w:color="auto"/>
            <w:bottom w:val="none" w:sz="0" w:space="0" w:color="auto"/>
            <w:right w:val="none" w:sz="0" w:space="0" w:color="auto"/>
          </w:divBdr>
        </w:div>
        <w:div w:id="540091216">
          <w:marLeft w:val="480"/>
          <w:marRight w:val="0"/>
          <w:marTop w:val="0"/>
          <w:marBottom w:val="0"/>
          <w:divBdr>
            <w:top w:val="none" w:sz="0" w:space="0" w:color="auto"/>
            <w:left w:val="none" w:sz="0" w:space="0" w:color="auto"/>
            <w:bottom w:val="none" w:sz="0" w:space="0" w:color="auto"/>
            <w:right w:val="none" w:sz="0" w:space="0" w:color="auto"/>
          </w:divBdr>
        </w:div>
        <w:div w:id="540291739">
          <w:marLeft w:val="480"/>
          <w:marRight w:val="0"/>
          <w:marTop w:val="0"/>
          <w:marBottom w:val="0"/>
          <w:divBdr>
            <w:top w:val="none" w:sz="0" w:space="0" w:color="auto"/>
            <w:left w:val="none" w:sz="0" w:space="0" w:color="auto"/>
            <w:bottom w:val="none" w:sz="0" w:space="0" w:color="auto"/>
            <w:right w:val="none" w:sz="0" w:space="0" w:color="auto"/>
          </w:divBdr>
        </w:div>
        <w:div w:id="540553447">
          <w:marLeft w:val="480"/>
          <w:marRight w:val="0"/>
          <w:marTop w:val="0"/>
          <w:marBottom w:val="0"/>
          <w:divBdr>
            <w:top w:val="none" w:sz="0" w:space="0" w:color="auto"/>
            <w:left w:val="none" w:sz="0" w:space="0" w:color="auto"/>
            <w:bottom w:val="none" w:sz="0" w:space="0" w:color="auto"/>
            <w:right w:val="none" w:sz="0" w:space="0" w:color="auto"/>
          </w:divBdr>
        </w:div>
        <w:div w:id="541598573">
          <w:marLeft w:val="480"/>
          <w:marRight w:val="0"/>
          <w:marTop w:val="0"/>
          <w:marBottom w:val="0"/>
          <w:divBdr>
            <w:top w:val="none" w:sz="0" w:space="0" w:color="auto"/>
            <w:left w:val="none" w:sz="0" w:space="0" w:color="auto"/>
            <w:bottom w:val="none" w:sz="0" w:space="0" w:color="auto"/>
            <w:right w:val="none" w:sz="0" w:space="0" w:color="auto"/>
          </w:divBdr>
        </w:div>
        <w:div w:id="542718350">
          <w:marLeft w:val="480"/>
          <w:marRight w:val="0"/>
          <w:marTop w:val="0"/>
          <w:marBottom w:val="0"/>
          <w:divBdr>
            <w:top w:val="none" w:sz="0" w:space="0" w:color="auto"/>
            <w:left w:val="none" w:sz="0" w:space="0" w:color="auto"/>
            <w:bottom w:val="none" w:sz="0" w:space="0" w:color="auto"/>
            <w:right w:val="none" w:sz="0" w:space="0" w:color="auto"/>
          </w:divBdr>
        </w:div>
        <w:div w:id="558635489">
          <w:marLeft w:val="480"/>
          <w:marRight w:val="0"/>
          <w:marTop w:val="0"/>
          <w:marBottom w:val="0"/>
          <w:divBdr>
            <w:top w:val="none" w:sz="0" w:space="0" w:color="auto"/>
            <w:left w:val="none" w:sz="0" w:space="0" w:color="auto"/>
            <w:bottom w:val="none" w:sz="0" w:space="0" w:color="auto"/>
            <w:right w:val="none" w:sz="0" w:space="0" w:color="auto"/>
          </w:divBdr>
        </w:div>
        <w:div w:id="561982764">
          <w:marLeft w:val="480"/>
          <w:marRight w:val="0"/>
          <w:marTop w:val="0"/>
          <w:marBottom w:val="0"/>
          <w:divBdr>
            <w:top w:val="none" w:sz="0" w:space="0" w:color="auto"/>
            <w:left w:val="none" w:sz="0" w:space="0" w:color="auto"/>
            <w:bottom w:val="none" w:sz="0" w:space="0" w:color="auto"/>
            <w:right w:val="none" w:sz="0" w:space="0" w:color="auto"/>
          </w:divBdr>
        </w:div>
        <w:div w:id="564678892">
          <w:marLeft w:val="480"/>
          <w:marRight w:val="0"/>
          <w:marTop w:val="0"/>
          <w:marBottom w:val="0"/>
          <w:divBdr>
            <w:top w:val="none" w:sz="0" w:space="0" w:color="auto"/>
            <w:left w:val="none" w:sz="0" w:space="0" w:color="auto"/>
            <w:bottom w:val="none" w:sz="0" w:space="0" w:color="auto"/>
            <w:right w:val="none" w:sz="0" w:space="0" w:color="auto"/>
          </w:divBdr>
        </w:div>
        <w:div w:id="565379283">
          <w:marLeft w:val="480"/>
          <w:marRight w:val="0"/>
          <w:marTop w:val="0"/>
          <w:marBottom w:val="0"/>
          <w:divBdr>
            <w:top w:val="none" w:sz="0" w:space="0" w:color="auto"/>
            <w:left w:val="none" w:sz="0" w:space="0" w:color="auto"/>
            <w:bottom w:val="none" w:sz="0" w:space="0" w:color="auto"/>
            <w:right w:val="none" w:sz="0" w:space="0" w:color="auto"/>
          </w:divBdr>
        </w:div>
        <w:div w:id="567542638">
          <w:marLeft w:val="480"/>
          <w:marRight w:val="0"/>
          <w:marTop w:val="0"/>
          <w:marBottom w:val="0"/>
          <w:divBdr>
            <w:top w:val="none" w:sz="0" w:space="0" w:color="auto"/>
            <w:left w:val="none" w:sz="0" w:space="0" w:color="auto"/>
            <w:bottom w:val="none" w:sz="0" w:space="0" w:color="auto"/>
            <w:right w:val="none" w:sz="0" w:space="0" w:color="auto"/>
          </w:divBdr>
        </w:div>
        <w:div w:id="577978424">
          <w:marLeft w:val="480"/>
          <w:marRight w:val="0"/>
          <w:marTop w:val="0"/>
          <w:marBottom w:val="0"/>
          <w:divBdr>
            <w:top w:val="none" w:sz="0" w:space="0" w:color="auto"/>
            <w:left w:val="none" w:sz="0" w:space="0" w:color="auto"/>
            <w:bottom w:val="none" w:sz="0" w:space="0" w:color="auto"/>
            <w:right w:val="none" w:sz="0" w:space="0" w:color="auto"/>
          </w:divBdr>
        </w:div>
        <w:div w:id="578488607">
          <w:marLeft w:val="480"/>
          <w:marRight w:val="0"/>
          <w:marTop w:val="0"/>
          <w:marBottom w:val="0"/>
          <w:divBdr>
            <w:top w:val="none" w:sz="0" w:space="0" w:color="auto"/>
            <w:left w:val="none" w:sz="0" w:space="0" w:color="auto"/>
            <w:bottom w:val="none" w:sz="0" w:space="0" w:color="auto"/>
            <w:right w:val="none" w:sz="0" w:space="0" w:color="auto"/>
          </w:divBdr>
        </w:div>
        <w:div w:id="588081420">
          <w:marLeft w:val="480"/>
          <w:marRight w:val="0"/>
          <w:marTop w:val="0"/>
          <w:marBottom w:val="0"/>
          <w:divBdr>
            <w:top w:val="none" w:sz="0" w:space="0" w:color="auto"/>
            <w:left w:val="none" w:sz="0" w:space="0" w:color="auto"/>
            <w:bottom w:val="none" w:sz="0" w:space="0" w:color="auto"/>
            <w:right w:val="none" w:sz="0" w:space="0" w:color="auto"/>
          </w:divBdr>
        </w:div>
        <w:div w:id="588856072">
          <w:marLeft w:val="480"/>
          <w:marRight w:val="0"/>
          <w:marTop w:val="0"/>
          <w:marBottom w:val="0"/>
          <w:divBdr>
            <w:top w:val="none" w:sz="0" w:space="0" w:color="auto"/>
            <w:left w:val="none" w:sz="0" w:space="0" w:color="auto"/>
            <w:bottom w:val="none" w:sz="0" w:space="0" w:color="auto"/>
            <w:right w:val="none" w:sz="0" w:space="0" w:color="auto"/>
          </w:divBdr>
        </w:div>
        <w:div w:id="593518267">
          <w:marLeft w:val="480"/>
          <w:marRight w:val="0"/>
          <w:marTop w:val="0"/>
          <w:marBottom w:val="0"/>
          <w:divBdr>
            <w:top w:val="none" w:sz="0" w:space="0" w:color="auto"/>
            <w:left w:val="none" w:sz="0" w:space="0" w:color="auto"/>
            <w:bottom w:val="none" w:sz="0" w:space="0" w:color="auto"/>
            <w:right w:val="none" w:sz="0" w:space="0" w:color="auto"/>
          </w:divBdr>
        </w:div>
        <w:div w:id="594753927">
          <w:marLeft w:val="480"/>
          <w:marRight w:val="0"/>
          <w:marTop w:val="0"/>
          <w:marBottom w:val="0"/>
          <w:divBdr>
            <w:top w:val="none" w:sz="0" w:space="0" w:color="auto"/>
            <w:left w:val="none" w:sz="0" w:space="0" w:color="auto"/>
            <w:bottom w:val="none" w:sz="0" w:space="0" w:color="auto"/>
            <w:right w:val="none" w:sz="0" w:space="0" w:color="auto"/>
          </w:divBdr>
        </w:div>
        <w:div w:id="597909129">
          <w:marLeft w:val="480"/>
          <w:marRight w:val="0"/>
          <w:marTop w:val="0"/>
          <w:marBottom w:val="0"/>
          <w:divBdr>
            <w:top w:val="none" w:sz="0" w:space="0" w:color="auto"/>
            <w:left w:val="none" w:sz="0" w:space="0" w:color="auto"/>
            <w:bottom w:val="none" w:sz="0" w:space="0" w:color="auto"/>
            <w:right w:val="none" w:sz="0" w:space="0" w:color="auto"/>
          </w:divBdr>
        </w:div>
        <w:div w:id="599026378">
          <w:marLeft w:val="480"/>
          <w:marRight w:val="0"/>
          <w:marTop w:val="0"/>
          <w:marBottom w:val="0"/>
          <w:divBdr>
            <w:top w:val="none" w:sz="0" w:space="0" w:color="auto"/>
            <w:left w:val="none" w:sz="0" w:space="0" w:color="auto"/>
            <w:bottom w:val="none" w:sz="0" w:space="0" w:color="auto"/>
            <w:right w:val="none" w:sz="0" w:space="0" w:color="auto"/>
          </w:divBdr>
        </w:div>
        <w:div w:id="604045992">
          <w:marLeft w:val="480"/>
          <w:marRight w:val="0"/>
          <w:marTop w:val="0"/>
          <w:marBottom w:val="0"/>
          <w:divBdr>
            <w:top w:val="none" w:sz="0" w:space="0" w:color="auto"/>
            <w:left w:val="none" w:sz="0" w:space="0" w:color="auto"/>
            <w:bottom w:val="none" w:sz="0" w:space="0" w:color="auto"/>
            <w:right w:val="none" w:sz="0" w:space="0" w:color="auto"/>
          </w:divBdr>
        </w:div>
        <w:div w:id="604070371">
          <w:marLeft w:val="480"/>
          <w:marRight w:val="0"/>
          <w:marTop w:val="0"/>
          <w:marBottom w:val="0"/>
          <w:divBdr>
            <w:top w:val="none" w:sz="0" w:space="0" w:color="auto"/>
            <w:left w:val="none" w:sz="0" w:space="0" w:color="auto"/>
            <w:bottom w:val="none" w:sz="0" w:space="0" w:color="auto"/>
            <w:right w:val="none" w:sz="0" w:space="0" w:color="auto"/>
          </w:divBdr>
        </w:div>
        <w:div w:id="611518082">
          <w:marLeft w:val="480"/>
          <w:marRight w:val="0"/>
          <w:marTop w:val="0"/>
          <w:marBottom w:val="0"/>
          <w:divBdr>
            <w:top w:val="none" w:sz="0" w:space="0" w:color="auto"/>
            <w:left w:val="none" w:sz="0" w:space="0" w:color="auto"/>
            <w:bottom w:val="none" w:sz="0" w:space="0" w:color="auto"/>
            <w:right w:val="none" w:sz="0" w:space="0" w:color="auto"/>
          </w:divBdr>
        </w:div>
        <w:div w:id="612595594">
          <w:marLeft w:val="480"/>
          <w:marRight w:val="0"/>
          <w:marTop w:val="0"/>
          <w:marBottom w:val="0"/>
          <w:divBdr>
            <w:top w:val="none" w:sz="0" w:space="0" w:color="auto"/>
            <w:left w:val="none" w:sz="0" w:space="0" w:color="auto"/>
            <w:bottom w:val="none" w:sz="0" w:space="0" w:color="auto"/>
            <w:right w:val="none" w:sz="0" w:space="0" w:color="auto"/>
          </w:divBdr>
        </w:div>
        <w:div w:id="618031586">
          <w:marLeft w:val="480"/>
          <w:marRight w:val="0"/>
          <w:marTop w:val="0"/>
          <w:marBottom w:val="0"/>
          <w:divBdr>
            <w:top w:val="none" w:sz="0" w:space="0" w:color="auto"/>
            <w:left w:val="none" w:sz="0" w:space="0" w:color="auto"/>
            <w:bottom w:val="none" w:sz="0" w:space="0" w:color="auto"/>
            <w:right w:val="none" w:sz="0" w:space="0" w:color="auto"/>
          </w:divBdr>
        </w:div>
        <w:div w:id="628896320">
          <w:marLeft w:val="480"/>
          <w:marRight w:val="0"/>
          <w:marTop w:val="0"/>
          <w:marBottom w:val="0"/>
          <w:divBdr>
            <w:top w:val="none" w:sz="0" w:space="0" w:color="auto"/>
            <w:left w:val="none" w:sz="0" w:space="0" w:color="auto"/>
            <w:bottom w:val="none" w:sz="0" w:space="0" w:color="auto"/>
            <w:right w:val="none" w:sz="0" w:space="0" w:color="auto"/>
          </w:divBdr>
        </w:div>
        <w:div w:id="631250471">
          <w:marLeft w:val="480"/>
          <w:marRight w:val="0"/>
          <w:marTop w:val="0"/>
          <w:marBottom w:val="0"/>
          <w:divBdr>
            <w:top w:val="none" w:sz="0" w:space="0" w:color="auto"/>
            <w:left w:val="none" w:sz="0" w:space="0" w:color="auto"/>
            <w:bottom w:val="none" w:sz="0" w:space="0" w:color="auto"/>
            <w:right w:val="none" w:sz="0" w:space="0" w:color="auto"/>
          </w:divBdr>
        </w:div>
        <w:div w:id="633751159">
          <w:marLeft w:val="480"/>
          <w:marRight w:val="0"/>
          <w:marTop w:val="0"/>
          <w:marBottom w:val="0"/>
          <w:divBdr>
            <w:top w:val="none" w:sz="0" w:space="0" w:color="auto"/>
            <w:left w:val="none" w:sz="0" w:space="0" w:color="auto"/>
            <w:bottom w:val="none" w:sz="0" w:space="0" w:color="auto"/>
            <w:right w:val="none" w:sz="0" w:space="0" w:color="auto"/>
          </w:divBdr>
        </w:div>
        <w:div w:id="634991523">
          <w:marLeft w:val="480"/>
          <w:marRight w:val="0"/>
          <w:marTop w:val="0"/>
          <w:marBottom w:val="0"/>
          <w:divBdr>
            <w:top w:val="none" w:sz="0" w:space="0" w:color="auto"/>
            <w:left w:val="none" w:sz="0" w:space="0" w:color="auto"/>
            <w:bottom w:val="none" w:sz="0" w:space="0" w:color="auto"/>
            <w:right w:val="none" w:sz="0" w:space="0" w:color="auto"/>
          </w:divBdr>
        </w:div>
        <w:div w:id="637954599">
          <w:marLeft w:val="480"/>
          <w:marRight w:val="0"/>
          <w:marTop w:val="0"/>
          <w:marBottom w:val="0"/>
          <w:divBdr>
            <w:top w:val="none" w:sz="0" w:space="0" w:color="auto"/>
            <w:left w:val="none" w:sz="0" w:space="0" w:color="auto"/>
            <w:bottom w:val="none" w:sz="0" w:space="0" w:color="auto"/>
            <w:right w:val="none" w:sz="0" w:space="0" w:color="auto"/>
          </w:divBdr>
        </w:div>
        <w:div w:id="640036371">
          <w:marLeft w:val="480"/>
          <w:marRight w:val="0"/>
          <w:marTop w:val="0"/>
          <w:marBottom w:val="0"/>
          <w:divBdr>
            <w:top w:val="none" w:sz="0" w:space="0" w:color="auto"/>
            <w:left w:val="none" w:sz="0" w:space="0" w:color="auto"/>
            <w:bottom w:val="none" w:sz="0" w:space="0" w:color="auto"/>
            <w:right w:val="none" w:sz="0" w:space="0" w:color="auto"/>
          </w:divBdr>
        </w:div>
        <w:div w:id="640503690">
          <w:marLeft w:val="480"/>
          <w:marRight w:val="0"/>
          <w:marTop w:val="0"/>
          <w:marBottom w:val="0"/>
          <w:divBdr>
            <w:top w:val="none" w:sz="0" w:space="0" w:color="auto"/>
            <w:left w:val="none" w:sz="0" w:space="0" w:color="auto"/>
            <w:bottom w:val="none" w:sz="0" w:space="0" w:color="auto"/>
            <w:right w:val="none" w:sz="0" w:space="0" w:color="auto"/>
          </w:divBdr>
        </w:div>
        <w:div w:id="646864413">
          <w:marLeft w:val="480"/>
          <w:marRight w:val="0"/>
          <w:marTop w:val="0"/>
          <w:marBottom w:val="0"/>
          <w:divBdr>
            <w:top w:val="none" w:sz="0" w:space="0" w:color="auto"/>
            <w:left w:val="none" w:sz="0" w:space="0" w:color="auto"/>
            <w:bottom w:val="none" w:sz="0" w:space="0" w:color="auto"/>
            <w:right w:val="none" w:sz="0" w:space="0" w:color="auto"/>
          </w:divBdr>
        </w:div>
        <w:div w:id="652876748">
          <w:marLeft w:val="480"/>
          <w:marRight w:val="0"/>
          <w:marTop w:val="0"/>
          <w:marBottom w:val="0"/>
          <w:divBdr>
            <w:top w:val="none" w:sz="0" w:space="0" w:color="auto"/>
            <w:left w:val="none" w:sz="0" w:space="0" w:color="auto"/>
            <w:bottom w:val="none" w:sz="0" w:space="0" w:color="auto"/>
            <w:right w:val="none" w:sz="0" w:space="0" w:color="auto"/>
          </w:divBdr>
        </w:div>
        <w:div w:id="657195126">
          <w:marLeft w:val="480"/>
          <w:marRight w:val="0"/>
          <w:marTop w:val="0"/>
          <w:marBottom w:val="0"/>
          <w:divBdr>
            <w:top w:val="none" w:sz="0" w:space="0" w:color="auto"/>
            <w:left w:val="none" w:sz="0" w:space="0" w:color="auto"/>
            <w:bottom w:val="none" w:sz="0" w:space="0" w:color="auto"/>
            <w:right w:val="none" w:sz="0" w:space="0" w:color="auto"/>
          </w:divBdr>
        </w:div>
        <w:div w:id="658847943">
          <w:marLeft w:val="480"/>
          <w:marRight w:val="0"/>
          <w:marTop w:val="0"/>
          <w:marBottom w:val="0"/>
          <w:divBdr>
            <w:top w:val="none" w:sz="0" w:space="0" w:color="auto"/>
            <w:left w:val="none" w:sz="0" w:space="0" w:color="auto"/>
            <w:bottom w:val="none" w:sz="0" w:space="0" w:color="auto"/>
            <w:right w:val="none" w:sz="0" w:space="0" w:color="auto"/>
          </w:divBdr>
        </w:div>
        <w:div w:id="669723325">
          <w:marLeft w:val="480"/>
          <w:marRight w:val="0"/>
          <w:marTop w:val="0"/>
          <w:marBottom w:val="0"/>
          <w:divBdr>
            <w:top w:val="none" w:sz="0" w:space="0" w:color="auto"/>
            <w:left w:val="none" w:sz="0" w:space="0" w:color="auto"/>
            <w:bottom w:val="none" w:sz="0" w:space="0" w:color="auto"/>
            <w:right w:val="none" w:sz="0" w:space="0" w:color="auto"/>
          </w:divBdr>
        </w:div>
        <w:div w:id="676418629">
          <w:marLeft w:val="480"/>
          <w:marRight w:val="0"/>
          <w:marTop w:val="0"/>
          <w:marBottom w:val="0"/>
          <w:divBdr>
            <w:top w:val="none" w:sz="0" w:space="0" w:color="auto"/>
            <w:left w:val="none" w:sz="0" w:space="0" w:color="auto"/>
            <w:bottom w:val="none" w:sz="0" w:space="0" w:color="auto"/>
            <w:right w:val="none" w:sz="0" w:space="0" w:color="auto"/>
          </w:divBdr>
        </w:div>
        <w:div w:id="678511720">
          <w:marLeft w:val="480"/>
          <w:marRight w:val="0"/>
          <w:marTop w:val="0"/>
          <w:marBottom w:val="0"/>
          <w:divBdr>
            <w:top w:val="none" w:sz="0" w:space="0" w:color="auto"/>
            <w:left w:val="none" w:sz="0" w:space="0" w:color="auto"/>
            <w:bottom w:val="none" w:sz="0" w:space="0" w:color="auto"/>
            <w:right w:val="none" w:sz="0" w:space="0" w:color="auto"/>
          </w:divBdr>
        </w:div>
        <w:div w:id="688917750">
          <w:marLeft w:val="480"/>
          <w:marRight w:val="0"/>
          <w:marTop w:val="0"/>
          <w:marBottom w:val="0"/>
          <w:divBdr>
            <w:top w:val="none" w:sz="0" w:space="0" w:color="auto"/>
            <w:left w:val="none" w:sz="0" w:space="0" w:color="auto"/>
            <w:bottom w:val="none" w:sz="0" w:space="0" w:color="auto"/>
            <w:right w:val="none" w:sz="0" w:space="0" w:color="auto"/>
          </w:divBdr>
        </w:div>
        <w:div w:id="689181288">
          <w:marLeft w:val="480"/>
          <w:marRight w:val="0"/>
          <w:marTop w:val="0"/>
          <w:marBottom w:val="0"/>
          <w:divBdr>
            <w:top w:val="none" w:sz="0" w:space="0" w:color="auto"/>
            <w:left w:val="none" w:sz="0" w:space="0" w:color="auto"/>
            <w:bottom w:val="none" w:sz="0" w:space="0" w:color="auto"/>
            <w:right w:val="none" w:sz="0" w:space="0" w:color="auto"/>
          </w:divBdr>
        </w:div>
        <w:div w:id="701710507">
          <w:marLeft w:val="480"/>
          <w:marRight w:val="0"/>
          <w:marTop w:val="0"/>
          <w:marBottom w:val="0"/>
          <w:divBdr>
            <w:top w:val="none" w:sz="0" w:space="0" w:color="auto"/>
            <w:left w:val="none" w:sz="0" w:space="0" w:color="auto"/>
            <w:bottom w:val="none" w:sz="0" w:space="0" w:color="auto"/>
            <w:right w:val="none" w:sz="0" w:space="0" w:color="auto"/>
          </w:divBdr>
        </w:div>
        <w:div w:id="702900198">
          <w:marLeft w:val="480"/>
          <w:marRight w:val="0"/>
          <w:marTop w:val="0"/>
          <w:marBottom w:val="0"/>
          <w:divBdr>
            <w:top w:val="none" w:sz="0" w:space="0" w:color="auto"/>
            <w:left w:val="none" w:sz="0" w:space="0" w:color="auto"/>
            <w:bottom w:val="none" w:sz="0" w:space="0" w:color="auto"/>
            <w:right w:val="none" w:sz="0" w:space="0" w:color="auto"/>
          </w:divBdr>
        </w:div>
        <w:div w:id="704411152">
          <w:marLeft w:val="480"/>
          <w:marRight w:val="0"/>
          <w:marTop w:val="0"/>
          <w:marBottom w:val="0"/>
          <w:divBdr>
            <w:top w:val="none" w:sz="0" w:space="0" w:color="auto"/>
            <w:left w:val="none" w:sz="0" w:space="0" w:color="auto"/>
            <w:bottom w:val="none" w:sz="0" w:space="0" w:color="auto"/>
            <w:right w:val="none" w:sz="0" w:space="0" w:color="auto"/>
          </w:divBdr>
        </w:div>
        <w:div w:id="710694068">
          <w:marLeft w:val="480"/>
          <w:marRight w:val="0"/>
          <w:marTop w:val="0"/>
          <w:marBottom w:val="0"/>
          <w:divBdr>
            <w:top w:val="none" w:sz="0" w:space="0" w:color="auto"/>
            <w:left w:val="none" w:sz="0" w:space="0" w:color="auto"/>
            <w:bottom w:val="none" w:sz="0" w:space="0" w:color="auto"/>
            <w:right w:val="none" w:sz="0" w:space="0" w:color="auto"/>
          </w:divBdr>
        </w:div>
        <w:div w:id="712341566">
          <w:marLeft w:val="480"/>
          <w:marRight w:val="0"/>
          <w:marTop w:val="0"/>
          <w:marBottom w:val="0"/>
          <w:divBdr>
            <w:top w:val="none" w:sz="0" w:space="0" w:color="auto"/>
            <w:left w:val="none" w:sz="0" w:space="0" w:color="auto"/>
            <w:bottom w:val="none" w:sz="0" w:space="0" w:color="auto"/>
            <w:right w:val="none" w:sz="0" w:space="0" w:color="auto"/>
          </w:divBdr>
        </w:div>
        <w:div w:id="716050026">
          <w:marLeft w:val="480"/>
          <w:marRight w:val="0"/>
          <w:marTop w:val="0"/>
          <w:marBottom w:val="0"/>
          <w:divBdr>
            <w:top w:val="none" w:sz="0" w:space="0" w:color="auto"/>
            <w:left w:val="none" w:sz="0" w:space="0" w:color="auto"/>
            <w:bottom w:val="none" w:sz="0" w:space="0" w:color="auto"/>
            <w:right w:val="none" w:sz="0" w:space="0" w:color="auto"/>
          </w:divBdr>
        </w:div>
        <w:div w:id="716734392">
          <w:marLeft w:val="480"/>
          <w:marRight w:val="0"/>
          <w:marTop w:val="0"/>
          <w:marBottom w:val="0"/>
          <w:divBdr>
            <w:top w:val="none" w:sz="0" w:space="0" w:color="auto"/>
            <w:left w:val="none" w:sz="0" w:space="0" w:color="auto"/>
            <w:bottom w:val="none" w:sz="0" w:space="0" w:color="auto"/>
            <w:right w:val="none" w:sz="0" w:space="0" w:color="auto"/>
          </w:divBdr>
        </w:div>
        <w:div w:id="719594456">
          <w:marLeft w:val="480"/>
          <w:marRight w:val="0"/>
          <w:marTop w:val="0"/>
          <w:marBottom w:val="0"/>
          <w:divBdr>
            <w:top w:val="none" w:sz="0" w:space="0" w:color="auto"/>
            <w:left w:val="none" w:sz="0" w:space="0" w:color="auto"/>
            <w:bottom w:val="none" w:sz="0" w:space="0" w:color="auto"/>
            <w:right w:val="none" w:sz="0" w:space="0" w:color="auto"/>
          </w:divBdr>
        </w:div>
        <w:div w:id="723602174">
          <w:marLeft w:val="480"/>
          <w:marRight w:val="0"/>
          <w:marTop w:val="0"/>
          <w:marBottom w:val="0"/>
          <w:divBdr>
            <w:top w:val="none" w:sz="0" w:space="0" w:color="auto"/>
            <w:left w:val="none" w:sz="0" w:space="0" w:color="auto"/>
            <w:bottom w:val="none" w:sz="0" w:space="0" w:color="auto"/>
            <w:right w:val="none" w:sz="0" w:space="0" w:color="auto"/>
          </w:divBdr>
        </w:div>
        <w:div w:id="727413443">
          <w:marLeft w:val="480"/>
          <w:marRight w:val="0"/>
          <w:marTop w:val="0"/>
          <w:marBottom w:val="0"/>
          <w:divBdr>
            <w:top w:val="none" w:sz="0" w:space="0" w:color="auto"/>
            <w:left w:val="none" w:sz="0" w:space="0" w:color="auto"/>
            <w:bottom w:val="none" w:sz="0" w:space="0" w:color="auto"/>
            <w:right w:val="none" w:sz="0" w:space="0" w:color="auto"/>
          </w:divBdr>
        </w:div>
        <w:div w:id="735321370">
          <w:marLeft w:val="480"/>
          <w:marRight w:val="0"/>
          <w:marTop w:val="0"/>
          <w:marBottom w:val="0"/>
          <w:divBdr>
            <w:top w:val="none" w:sz="0" w:space="0" w:color="auto"/>
            <w:left w:val="none" w:sz="0" w:space="0" w:color="auto"/>
            <w:bottom w:val="none" w:sz="0" w:space="0" w:color="auto"/>
            <w:right w:val="none" w:sz="0" w:space="0" w:color="auto"/>
          </w:divBdr>
        </w:div>
        <w:div w:id="736633389">
          <w:marLeft w:val="480"/>
          <w:marRight w:val="0"/>
          <w:marTop w:val="0"/>
          <w:marBottom w:val="0"/>
          <w:divBdr>
            <w:top w:val="none" w:sz="0" w:space="0" w:color="auto"/>
            <w:left w:val="none" w:sz="0" w:space="0" w:color="auto"/>
            <w:bottom w:val="none" w:sz="0" w:space="0" w:color="auto"/>
            <w:right w:val="none" w:sz="0" w:space="0" w:color="auto"/>
          </w:divBdr>
        </w:div>
        <w:div w:id="737896103">
          <w:marLeft w:val="480"/>
          <w:marRight w:val="0"/>
          <w:marTop w:val="0"/>
          <w:marBottom w:val="0"/>
          <w:divBdr>
            <w:top w:val="none" w:sz="0" w:space="0" w:color="auto"/>
            <w:left w:val="none" w:sz="0" w:space="0" w:color="auto"/>
            <w:bottom w:val="none" w:sz="0" w:space="0" w:color="auto"/>
            <w:right w:val="none" w:sz="0" w:space="0" w:color="auto"/>
          </w:divBdr>
        </w:div>
        <w:div w:id="738133776">
          <w:marLeft w:val="480"/>
          <w:marRight w:val="0"/>
          <w:marTop w:val="0"/>
          <w:marBottom w:val="0"/>
          <w:divBdr>
            <w:top w:val="none" w:sz="0" w:space="0" w:color="auto"/>
            <w:left w:val="none" w:sz="0" w:space="0" w:color="auto"/>
            <w:bottom w:val="none" w:sz="0" w:space="0" w:color="auto"/>
            <w:right w:val="none" w:sz="0" w:space="0" w:color="auto"/>
          </w:divBdr>
        </w:div>
        <w:div w:id="739714745">
          <w:marLeft w:val="480"/>
          <w:marRight w:val="0"/>
          <w:marTop w:val="0"/>
          <w:marBottom w:val="0"/>
          <w:divBdr>
            <w:top w:val="none" w:sz="0" w:space="0" w:color="auto"/>
            <w:left w:val="none" w:sz="0" w:space="0" w:color="auto"/>
            <w:bottom w:val="none" w:sz="0" w:space="0" w:color="auto"/>
            <w:right w:val="none" w:sz="0" w:space="0" w:color="auto"/>
          </w:divBdr>
        </w:div>
        <w:div w:id="748817461">
          <w:marLeft w:val="480"/>
          <w:marRight w:val="0"/>
          <w:marTop w:val="0"/>
          <w:marBottom w:val="0"/>
          <w:divBdr>
            <w:top w:val="none" w:sz="0" w:space="0" w:color="auto"/>
            <w:left w:val="none" w:sz="0" w:space="0" w:color="auto"/>
            <w:bottom w:val="none" w:sz="0" w:space="0" w:color="auto"/>
            <w:right w:val="none" w:sz="0" w:space="0" w:color="auto"/>
          </w:divBdr>
        </w:div>
        <w:div w:id="760873304">
          <w:marLeft w:val="480"/>
          <w:marRight w:val="0"/>
          <w:marTop w:val="0"/>
          <w:marBottom w:val="0"/>
          <w:divBdr>
            <w:top w:val="none" w:sz="0" w:space="0" w:color="auto"/>
            <w:left w:val="none" w:sz="0" w:space="0" w:color="auto"/>
            <w:bottom w:val="none" w:sz="0" w:space="0" w:color="auto"/>
            <w:right w:val="none" w:sz="0" w:space="0" w:color="auto"/>
          </w:divBdr>
        </w:div>
        <w:div w:id="763767350">
          <w:marLeft w:val="480"/>
          <w:marRight w:val="0"/>
          <w:marTop w:val="0"/>
          <w:marBottom w:val="0"/>
          <w:divBdr>
            <w:top w:val="none" w:sz="0" w:space="0" w:color="auto"/>
            <w:left w:val="none" w:sz="0" w:space="0" w:color="auto"/>
            <w:bottom w:val="none" w:sz="0" w:space="0" w:color="auto"/>
            <w:right w:val="none" w:sz="0" w:space="0" w:color="auto"/>
          </w:divBdr>
        </w:div>
        <w:div w:id="765344215">
          <w:marLeft w:val="480"/>
          <w:marRight w:val="0"/>
          <w:marTop w:val="0"/>
          <w:marBottom w:val="0"/>
          <w:divBdr>
            <w:top w:val="none" w:sz="0" w:space="0" w:color="auto"/>
            <w:left w:val="none" w:sz="0" w:space="0" w:color="auto"/>
            <w:bottom w:val="none" w:sz="0" w:space="0" w:color="auto"/>
            <w:right w:val="none" w:sz="0" w:space="0" w:color="auto"/>
          </w:divBdr>
        </w:div>
        <w:div w:id="769862722">
          <w:marLeft w:val="480"/>
          <w:marRight w:val="0"/>
          <w:marTop w:val="0"/>
          <w:marBottom w:val="0"/>
          <w:divBdr>
            <w:top w:val="none" w:sz="0" w:space="0" w:color="auto"/>
            <w:left w:val="none" w:sz="0" w:space="0" w:color="auto"/>
            <w:bottom w:val="none" w:sz="0" w:space="0" w:color="auto"/>
            <w:right w:val="none" w:sz="0" w:space="0" w:color="auto"/>
          </w:divBdr>
        </w:div>
        <w:div w:id="770124425">
          <w:marLeft w:val="480"/>
          <w:marRight w:val="0"/>
          <w:marTop w:val="0"/>
          <w:marBottom w:val="0"/>
          <w:divBdr>
            <w:top w:val="none" w:sz="0" w:space="0" w:color="auto"/>
            <w:left w:val="none" w:sz="0" w:space="0" w:color="auto"/>
            <w:bottom w:val="none" w:sz="0" w:space="0" w:color="auto"/>
            <w:right w:val="none" w:sz="0" w:space="0" w:color="auto"/>
          </w:divBdr>
        </w:div>
        <w:div w:id="774638288">
          <w:marLeft w:val="480"/>
          <w:marRight w:val="0"/>
          <w:marTop w:val="0"/>
          <w:marBottom w:val="0"/>
          <w:divBdr>
            <w:top w:val="none" w:sz="0" w:space="0" w:color="auto"/>
            <w:left w:val="none" w:sz="0" w:space="0" w:color="auto"/>
            <w:bottom w:val="none" w:sz="0" w:space="0" w:color="auto"/>
            <w:right w:val="none" w:sz="0" w:space="0" w:color="auto"/>
          </w:divBdr>
        </w:div>
        <w:div w:id="779450298">
          <w:marLeft w:val="480"/>
          <w:marRight w:val="0"/>
          <w:marTop w:val="0"/>
          <w:marBottom w:val="0"/>
          <w:divBdr>
            <w:top w:val="none" w:sz="0" w:space="0" w:color="auto"/>
            <w:left w:val="none" w:sz="0" w:space="0" w:color="auto"/>
            <w:bottom w:val="none" w:sz="0" w:space="0" w:color="auto"/>
            <w:right w:val="none" w:sz="0" w:space="0" w:color="auto"/>
          </w:divBdr>
        </w:div>
        <w:div w:id="784076759">
          <w:marLeft w:val="480"/>
          <w:marRight w:val="0"/>
          <w:marTop w:val="0"/>
          <w:marBottom w:val="0"/>
          <w:divBdr>
            <w:top w:val="none" w:sz="0" w:space="0" w:color="auto"/>
            <w:left w:val="none" w:sz="0" w:space="0" w:color="auto"/>
            <w:bottom w:val="none" w:sz="0" w:space="0" w:color="auto"/>
            <w:right w:val="none" w:sz="0" w:space="0" w:color="auto"/>
          </w:divBdr>
        </w:div>
        <w:div w:id="791171865">
          <w:marLeft w:val="480"/>
          <w:marRight w:val="0"/>
          <w:marTop w:val="0"/>
          <w:marBottom w:val="0"/>
          <w:divBdr>
            <w:top w:val="none" w:sz="0" w:space="0" w:color="auto"/>
            <w:left w:val="none" w:sz="0" w:space="0" w:color="auto"/>
            <w:bottom w:val="none" w:sz="0" w:space="0" w:color="auto"/>
            <w:right w:val="none" w:sz="0" w:space="0" w:color="auto"/>
          </w:divBdr>
        </w:div>
        <w:div w:id="791632294">
          <w:marLeft w:val="480"/>
          <w:marRight w:val="0"/>
          <w:marTop w:val="0"/>
          <w:marBottom w:val="0"/>
          <w:divBdr>
            <w:top w:val="none" w:sz="0" w:space="0" w:color="auto"/>
            <w:left w:val="none" w:sz="0" w:space="0" w:color="auto"/>
            <w:bottom w:val="none" w:sz="0" w:space="0" w:color="auto"/>
            <w:right w:val="none" w:sz="0" w:space="0" w:color="auto"/>
          </w:divBdr>
        </w:div>
        <w:div w:id="795218737">
          <w:marLeft w:val="480"/>
          <w:marRight w:val="0"/>
          <w:marTop w:val="0"/>
          <w:marBottom w:val="0"/>
          <w:divBdr>
            <w:top w:val="none" w:sz="0" w:space="0" w:color="auto"/>
            <w:left w:val="none" w:sz="0" w:space="0" w:color="auto"/>
            <w:bottom w:val="none" w:sz="0" w:space="0" w:color="auto"/>
            <w:right w:val="none" w:sz="0" w:space="0" w:color="auto"/>
          </w:divBdr>
        </w:div>
        <w:div w:id="807670429">
          <w:marLeft w:val="480"/>
          <w:marRight w:val="0"/>
          <w:marTop w:val="0"/>
          <w:marBottom w:val="0"/>
          <w:divBdr>
            <w:top w:val="none" w:sz="0" w:space="0" w:color="auto"/>
            <w:left w:val="none" w:sz="0" w:space="0" w:color="auto"/>
            <w:bottom w:val="none" w:sz="0" w:space="0" w:color="auto"/>
            <w:right w:val="none" w:sz="0" w:space="0" w:color="auto"/>
          </w:divBdr>
        </w:div>
        <w:div w:id="808858240">
          <w:marLeft w:val="480"/>
          <w:marRight w:val="0"/>
          <w:marTop w:val="0"/>
          <w:marBottom w:val="0"/>
          <w:divBdr>
            <w:top w:val="none" w:sz="0" w:space="0" w:color="auto"/>
            <w:left w:val="none" w:sz="0" w:space="0" w:color="auto"/>
            <w:bottom w:val="none" w:sz="0" w:space="0" w:color="auto"/>
            <w:right w:val="none" w:sz="0" w:space="0" w:color="auto"/>
          </w:divBdr>
        </w:div>
        <w:div w:id="810710005">
          <w:marLeft w:val="480"/>
          <w:marRight w:val="0"/>
          <w:marTop w:val="0"/>
          <w:marBottom w:val="0"/>
          <w:divBdr>
            <w:top w:val="none" w:sz="0" w:space="0" w:color="auto"/>
            <w:left w:val="none" w:sz="0" w:space="0" w:color="auto"/>
            <w:bottom w:val="none" w:sz="0" w:space="0" w:color="auto"/>
            <w:right w:val="none" w:sz="0" w:space="0" w:color="auto"/>
          </w:divBdr>
        </w:div>
        <w:div w:id="812021209">
          <w:marLeft w:val="480"/>
          <w:marRight w:val="0"/>
          <w:marTop w:val="0"/>
          <w:marBottom w:val="0"/>
          <w:divBdr>
            <w:top w:val="none" w:sz="0" w:space="0" w:color="auto"/>
            <w:left w:val="none" w:sz="0" w:space="0" w:color="auto"/>
            <w:bottom w:val="none" w:sz="0" w:space="0" w:color="auto"/>
            <w:right w:val="none" w:sz="0" w:space="0" w:color="auto"/>
          </w:divBdr>
        </w:div>
        <w:div w:id="815148560">
          <w:marLeft w:val="480"/>
          <w:marRight w:val="0"/>
          <w:marTop w:val="0"/>
          <w:marBottom w:val="0"/>
          <w:divBdr>
            <w:top w:val="none" w:sz="0" w:space="0" w:color="auto"/>
            <w:left w:val="none" w:sz="0" w:space="0" w:color="auto"/>
            <w:bottom w:val="none" w:sz="0" w:space="0" w:color="auto"/>
            <w:right w:val="none" w:sz="0" w:space="0" w:color="auto"/>
          </w:divBdr>
        </w:div>
        <w:div w:id="815344322">
          <w:marLeft w:val="480"/>
          <w:marRight w:val="0"/>
          <w:marTop w:val="0"/>
          <w:marBottom w:val="0"/>
          <w:divBdr>
            <w:top w:val="none" w:sz="0" w:space="0" w:color="auto"/>
            <w:left w:val="none" w:sz="0" w:space="0" w:color="auto"/>
            <w:bottom w:val="none" w:sz="0" w:space="0" w:color="auto"/>
            <w:right w:val="none" w:sz="0" w:space="0" w:color="auto"/>
          </w:divBdr>
        </w:div>
        <w:div w:id="817459993">
          <w:marLeft w:val="480"/>
          <w:marRight w:val="0"/>
          <w:marTop w:val="0"/>
          <w:marBottom w:val="0"/>
          <w:divBdr>
            <w:top w:val="none" w:sz="0" w:space="0" w:color="auto"/>
            <w:left w:val="none" w:sz="0" w:space="0" w:color="auto"/>
            <w:bottom w:val="none" w:sz="0" w:space="0" w:color="auto"/>
            <w:right w:val="none" w:sz="0" w:space="0" w:color="auto"/>
          </w:divBdr>
        </w:div>
        <w:div w:id="822431372">
          <w:marLeft w:val="480"/>
          <w:marRight w:val="0"/>
          <w:marTop w:val="0"/>
          <w:marBottom w:val="0"/>
          <w:divBdr>
            <w:top w:val="none" w:sz="0" w:space="0" w:color="auto"/>
            <w:left w:val="none" w:sz="0" w:space="0" w:color="auto"/>
            <w:bottom w:val="none" w:sz="0" w:space="0" w:color="auto"/>
            <w:right w:val="none" w:sz="0" w:space="0" w:color="auto"/>
          </w:divBdr>
        </w:div>
        <w:div w:id="825784971">
          <w:marLeft w:val="480"/>
          <w:marRight w:val="0"/>
          <w:marTop w:val="0"/>
          <w:marBottom w:val="0"/>
          <w:divBdr>
            <w:top w:val="none" w:sz="0" w:space="0" w:color="auto"/>
            <w:left w:val="none" w:sz="0" w:space="0" w:color="auto"/>
            <w:bottom w:val="none" w:sz="0" w:space="0" w:color="auto"/>
            <w:right w:val="none" w:sz="0" w:space="0" w:color="auto"/>
          </w:divBdr>
        </w:div>
        <w:div w:id="830372940">
          <w:marLeft w:val="480"/>
          <w:marRight w:val="0"/>
          <w:marTop w:val="0"/>
          <w:marBottom w:val="0"/>
          <w:divBdr>
            <w:top w:val="none" w:sz="0" w:space="0" w:color="auto"/>
            <w:left w:val="none" w:sz="0" w:space="0" w:color="auto"/>
            <w:bottom w:val="none" w:sz="0" w:space="0" w:color="auto"/>
            <w:right w:val="none" w:sz="0" w:space="0" w:color="auto"/>
          </w:divBdr>
        </w:div>
        <w:div w:id="837695064">
          <w:marLeft w:val="480"/>
          <w:marRight w:val="0"/>
          <w:marTop w:val="0"/>
          <w:marBottom w:val="0"/>
          <w:divBdr>
            <w:top w:val="none" w:sz="0" w:space="0" w:color="auto"/>
            <w:left w:val="none" w:sz="0" w:space="0" w:color="auto"/>
            <w:bottom w:val="none" w:sz="0" w:space="0" w:color="auto"/>
            <w:right w:val="none" w:sz="0" w:space="0" w:color="auto"/>
          </w:divBdr>
        </w:div>
        <w:div w:id="837961081">
          <w:marLeft w:val="480"/>
          <w:marRight w:val="0"/>
          <w:marTop w:val="0"/>
          <w:marBottom w:val="0"/>
          <w:divBdr>
            <w:top w:val="none" w:sz="0" w:space="0" w:color="auto"/>
            <w:left w:val="none" w:sz="0" w:space="0" w:color="auto"/>
            <w:bottom w:val="none" w:sz="0" w:space="0" w:color="auto"/>
            <w:right w:val="none" w:sz="0" w:space="0" w:color="auto"/>
          </w:divBdr>
        </w:div>
        <w:div w:id="845243820">
          <w:marLeft w:val="480"/>
          <w:marRight w:val="0"/>
          <w:marTop w:val="0"/>
          <w:marBottom w:val="0"/>
          <w:divBdr>
            <w:top w:val="none" w:sz="0" w:space="0" w:color="auto"/>
            <w:left w:val="none" w:sz="0" w:space="0" w:color="auto"/>
            <w:bottom w:val="none" w:sz="0" w:space="0" w:color="auto"/>
            <w:right w:val="none" w:sz="0" w:space="0" w:color="auto"/>
          </w:divBdr>
        </w:div>
        <w:div w:id="845706445">
          <w:marLeft w:val="480"/>
          <w:marRight w:val="0"/>
          <w:marTop w:val="0"/>
          <w:marBottom w:val="0"/>
          <w:divBdr>
            <w:top w:val="none" w:sz="0" w:space="0" w:color="auto"/>
            <w:left w:val="none" w:sz="0" w:space="0" w:color="auto"/>
            <w:bottom w:val="none" w:sz="0" w:space="0" w:color="auto"/>
            <w:right w:val="none" w:sz="0" w:space="0" w:color="auto"/>
          </w:divBdr>
        </w:div>
        <w:div w:id="848718333">
          <w:marLeft w:val="480"/>
          <w:marRight w:val="0"/>
          <w:marTop w:val="0"/>
          <w:marBottom w:val="0"/>
          <w:divBdr>
            <w:top w:val="none" w:sz="0" w:space="0" w:color="auto"/>
            <w:left w:val="none" w:sz="0" w:space="0" w:color="auto"/>
            <w:bottom w:val="none" w:sz="0" w:space="0" w:color="auto"/>
            <w:right w:val="none" w:sz="0" w:space="0" w:color="auto"/>
          </w:divBdr>
        </w:div>
        <w:div w:id="849611613">
          <w:marLeft w:val="480"/>
          <w:marRight w:val="0"/>
          <w:marTop w:val="0"/>
          <w:marBottom w:val="0"/>
          <w:divBdr>
            <w:top w:val="none" w:sz="0" w:space="0" w:color="auto"/>
            <w:left w:val="none" w:sz="0" w:space="0" w:color="auto"/>
            <w:bottom w:val="none" w:sz="0" w:space="0" w:color="auto"/>
            <w:right w:val="none" w:sz="0" w:space="0" w:color="auto"/>
          </w:divBdr>
        </w:div>
        <w:div w:id="852305358">
          <w:marLeft w:val="480"/>
          <w:marRight w:val="0"/>
          <w:marTop w:val="0"/>
          <w:marBottom w:val="0"/>
          <w:divBdr>
            <w:top w:val="none" w:sz="0" w:space="0" w:color="auto"/>
            <w:left w:val="none" w:sz="0" w:space="0" w:color="auto"/>
            <w:bottom w:val="none" w:sz="0" w:space="0" w:color="auto"/>
            <w:right w:val="none" w:sz="0" w:space="0" w:color="auto"/>
          </w:divBdr>
        </w:div>
        <w:div w:id="854223471">
          <w:marLeft w:val="480"/>
          <w:marRight w:val="0"/>
          <w:marTop w:val="0"/>
          <w:marBottom w:val="0"/>
          <w:divBdr>
            <w:top w:val="none" w:sz="0" w:space="0" w:color="auto"/>
            <w:left w:val="none" w:sz="0" w:space="0" w:color="auto"/>
            <w:bottom w:val="none" w:sz="0" w:space="0" w:color="auto"/>
            <w:right w:val="none" w:sz="0" w:space="0" w:color="auto"/>
          </w:divBdr>
        </w:div>
        <w:div w:id="855577023">
          <w:marLeft w:val="480"/>
          <w:marRight w:val="0"/>
          <w:marTop w:val="0"/>
          <w:marBottom w:val="0"/>
          <w:divBdr>
            <w:top w:val="none" w:sz="0" w:space="0" w:color="auto"/>
            <w:left w:val="none" w:sz="0" w:space="0" w:color="auto"/>
            <w:bottom w:val="none" w:sz="0" w:space="0" w:color="auto"/>
            <w:right w:val="none" w:sz="0" w:space="0" w:color="auto"/>
          </w:divBdr>
        </w:div>
        <w:div w:id="856694997">
          <w:marLeft w:val="480"/>
          <w:marRight w:val="0"/>
          <w:marTop w:val="0"/>
          <w:marBottom w:val="0"/>
          <w:divBdr>
            <w:top w:val="none" w:sz="0" w:space="0" w:color="auto"/>
            <w:left w:val="none" w:sz="0" w:space="0" w:color="auto"/>
            <w:bottom w:val="none" w:sz="0" w:space="0" w:color="auto"/>
            <w:right w:val="none" w:sz="0" w:space="0" w:color="auto"/>
          </w:divBdr>
        </w:div>
        <w:div w:id="859701966">
          <w:marLeft w:val="480"/>
          <w:marRight w:val="0"/>
          <w:marTop w:val="0"/>
          <w:marBottom w:val="0"/>
          <w:divBdr>
            <w:top w:val="none" w:sz="0" w:space="0" w:color="auto"/>
            <w:left w:val="none" w:sz="0" w:space="0" w:color="auto"/>
            <w:bottom w:val="none" w:sz="0" w:space="0" w:color="auto"/>
            <w:right w:val="none" w:sz="0" w:space="0" w:color="auto"/>
          </w:divBdr>
        </w:div>
        <w:div w:id="863906762">
          <w:marLeft w:val="480"/>
          <w:marRight w:val="0"/>
          <w:marTop w:val="0"/>
          <w:marBottom w:val="0"/>
          <w:divBdr>
            <w:top w:val="none" w:sz="0" w:space="0" w:color="auto"/>
            <w:left w:val="none" w:sz="0" w:space="0" w:color="auto"/>
            <w:bottom w:val="none" w:sz="0" w:space="0" w:color="auto"/>
            <w:right w:val="none" w:sz="0" w:space="0" w:color="auto"/>
          </w:divBdr>
        </w:div>
        <w:div w:id="874003828">
          <w:marLeft w:val="480"/>
          <w:marRight w:val="0"/>
          <w:marTop w:val="0"/>
          <w:marBottom w:val="0"/>
          <w:divBdr>
            <w:top w:val="none" w:sz="0" w:space="0" w:color="auto"/>
            <w:left w:val="none" w:sz="0" w:space="0" w:color="auto"/>
            <w:bottom w:val="none" w:sz="0" w:space="0" w:color="auto"/>
            <w:right w:val="none" w:sz="0" w:space="0" w:color="auto"/>
          </w:divBdr>
        </w:div>
        <w:div w:id="893545587">
          <w:marLeft w:val="480"/>
          <w:marRight w:val="0"/>
          <w:marTop w:val="0"/>
          <w:marBottom w:val="0"/>
          <w:divBdr>
            <w:top w:val="none" w:sz="0" w:space="0" w:color="auto"/>
            <w:left w:val="none" w:sz="0" w:space="0" w:color="auto"/>
            <w:bottom w:val="none" w:sz="0" w:space="0" w:color="auto"/>
            <w:right w:val="none" w:sz="0" w:space="0" w:color="auto"/>
          </w:divBdr>
        </w:div>
        <w:div w:id="907764071">
          <w:marLeft w:val="480"/>
          <w:marRight w:val="0"/>
          <w:marTop w:val="0"/>
          <w:marBottom w:val="0"/>
          <w:divBdr>
            <w:top w:val="none" w:sz="0" w:space="0" w:color="auto"/>
            <w:left w:val="none" w:sz="0" w:space="0" w:color="auto"/>
            <w:bottom w:val="none" w:sz="0" w:space="0" w:color="auto"/>
            <w:right w:val="none" w:sz="0" w:space="0" w:color="auto"/>
          </w:divBdr>
        </w:div>
        <w:div w:id="909578665">
          <w:marLeft w:val="480"/>
          <w:marRight w:val="0"/>
          <w:marTop w:val="0"/>
          <w:marBottom w:val="0"/>
          <w:divBdr>
            <w:top w:val="none" w:sz="0" w:space="0" w:color="auto"/>
            <w:left w:val="none" w:sz="0" w:space="0" w:color="auto"/>
            <w:bottom w:val="none" w:sz="0" w:space="0" w:color="auto"/>
            <w:right w:val="none" w:sz="0" w:space="0" w:color="auto"/>
          </w:divBdr>
        </w:div>
        <w:div w:id="912660649">
          <w:marLeft w:val="480"/>
          <w:marRight w:val="0"/>
          <w:marTop w:val="0"/>
          <w:marBottom w:val="0"/>
          <w:divBdr>
            <w:top w:val="none" w:sz="0" w:space="0" w:color="auto"/>
            <w:left w:val="none" w:sz="0" w:space="0" w:color="auto"/>
            <w:bottom w:val="none" w:sz="0" w:space="0" w:color="auto"/>
            <w:right w:val="none" w:sz="0" w:space="0" w:color="auto"/>
          </w:divBdr>
        </w:div>
        <w:div w:id="921185273">
          <w:marLeft w:val="480"/>
          <w:marRight w:val="0"/>
          <w:marTop w:val="0"/>
          <w:marBottom w:val="0"/>
          <w:divBdr>
            <w:top w:val="none" w:sz="0" w:space="0" w:color="auto"/>
            <w:left w:val="none" w:sz="0" w:space="0" w:color="auto"/>
            <w:bottom w:val="none" w:sz="0" w:space="0" w:color="auto"/>
            <w:right w:val="none" w:sz="0" w:space="0" w:color="auto"/>
          </w:divBdr>
        </w:div>
        <w:div w:id="923029241">
          <w:marLeft w:val="480"/>
          <w:marRight w:val="0"/>
          <w:marTop w:val="0"/>
          <w:marBottom w:val="0"/>
          <w:divBdr>
            <w:top w:val="none" w:sz="0" w:space="0" w:color="auto"/>
            <w:left w:val="none" w:sz="0" w:space="0" w:color="auto"/>
            <w:bottom w:val="none" w:sz="0" w:space="0" w:color="auto"/>
            <w:right w:val="none" w:sz="0" w:space="0" w:color="auto"/>
          </w:divBdr>
        </w:div>
        <w:div w:id="924727281">
          <w:marLeft w:val="480"/>
          <w:marRight w:val="0"/>
          <w:marTop w:val="0"/>
          <w:marBottom w:val="0"/>
          <w:divBdr>
            <w:top w:val="none" w:sz="0" w:space="0" w:color="auto"/>
            <w:left w:val="none" w:sz="0" w:space="0" w:color="auto"/>
            <w:bottom w:val="none" w:sz="0" w:space="0" w:color="auto"/>
            <w:right w:val="none" w:sz="0" w:space="0" w:color="auto"/>
          </w:divBdr>
        </w:div>
        <w:div w:id="925261738">
          <w:marLeft w:val="480"/>
          <w:marRight w:val="0"/>
          <w:marTop w:val="0"/>
          <w:marBottom w:val="0"/>
          <w:divBdr>
            <w:top w:val="none" w:sz="0" w:space="0" w:color="auto"/>
            <w:left w:val="none" w:sz="0" w:space="0" w:color="auto"/>
            <w:bottom w:val="none" w:sz="0" w:space="0" w:color="auto"/>
            <w:right w:val="none" w:sz="0" w:space="0" w:color="auto"/>
          </w:divBdr>
        </w:div>
        <w:div w:id="942107435">
          <w:marLeft w:val="480"/>
          <w:marRight w:val="0"/>
          <w:marTop w:val="0"/>
          <w:marBottom w:val="0"/>
          <w:divBdr>
            <w:top w:val="none" w:sz="0" w:space="0" w:color="auto"/>
            <w:left w:val="none" w:sz="0" w:space="0" w:color="auto"/>
            <w:bottom w:val="none" w:sz="0" w:space="0" w:color="auto"/>
            <w:right w:val="none" w:sz="0" w:space="0" w:color="auto"/>
          </w:divBdr>
        </w:div>
        <w:div w:id="942343220">
          <w:marLeft w:val="480"/>
          <w:marRight w:val="0"/>
          <w:marTop w:val="0"/>
          <w:marBottom w:val="0"/>
          <w:divBdr>
            <w:top w:val="none" w:sz="0" w:space="0" w:color="auto"/>
            <w:left w:val="none" w:sz="0" w:space="0" w:color="auto"/>
            <w:bottom w:val="none" w:sz="0" w:space="0" w:color="auto"/>
            <w:right w:val="none" w:sz="0" w:space="0" w:color="auto"/>
          </w:divBdr>
        </w:div>
        <w:div w:id="942490400">
          <w:marLeft w:val="480"/>
          <w:marRight w:val="0"/>
          <w:marTop w:val="0"/>
          <w:marBottom w:val="0"/>
          <w:divBdr>
            <w:top w:val="none" w:sz="0" w:space="0" w:color="auto"/>
            <w:left w:val="none" w:sz="0" w:space="0" w:color="auto"/>
            <w:bottom w:val="none" w:sz="0" w:space="0" w:color="auto"/>
            <w:right w:val="none" w:sz="0" w:space="0" w:color="auto"/>
          </w:divBdr>
        </w:div>
        <w:div w:id="947548105">
          <w:marLeft w:val="480"/>
          <w:marRight w:val="0"/>
          <w:marTop w:val="0"/>
          <w:marBottom w:val="0"/>
          <w:divBdr>
            <w:top w:val="none" w:sz="0" w:space="0" w:color="auto"/>
            <w:left w:val="none" w:sz="0" w:space="0" w:color="auto"/>
            <w:bottom w:val="none" w:sz="0" w:space="0" w:color="auto"/>
            <w:right w:val="none" w:sz="0" w:space="0" w:color="auto"/>
          </w:divBdr>
        </w:div>
        <w:div w:id="955211769">
          <w:marLeft w:val="480"/>
          <w:marRight w:val="0"/>
          <w:marTop w:val="0"/>
          <w:marBottom w:val="0"/>
          <w:divBdr>
            <w:top w:val="none" w:sz="0" w:space="0" w:color="auto"/>
            <w:left w:val="none" w:sz="0" w:space="0" w:color="auto"/>
            <w:bottom w:val="none" w:sz="0" w:space="0" w:color="auto"/>
            <w:right w:val="none" w:sz="0" w:space="0" w:color="auto"/>
          </w:divBdr>
        </w:div>
        <w:div w:id="960309221">
          <w:marLeft w:val="480"/>
          <w:marRight w:val="0"/>
          <w:marTop w:val="0"/>
          <w:marBottom w:val="0"/>
          <w:divBdr>
            <w:top w:val="none" w:sz="0" w:space="0" w:color="auto"/>
            <w:left w:val="none" w:sz="0" w:space="0" w:color="auto"/>
            <w:bottom w:val="none" w:sz="0" w:space="0" w:color="auto"/>
            <w:right w:val="none" w:sz="0" w:space="0" w:color="auto"/>
          </w:divBdr>
        </w:div>
        <w:div w:id="966276803">
          <w:marLeft w:val="480"/>
          <w:marRight w:val="0"/>
          <w:marTop w:val="0"/>
          <w:marBottom w:val="0"/>
          <w:divBdr>
            <w:top w:val="none" w:sz="0" w:space="0" w:color="auto"/>
            <w:left w:val="none" w:sz="0" w:space="0" w:color="auto"/>
            <w:bottom w:val="none" w:sz="0" w:space="0" w:color="auto"/>
            <w:right w:val="none" w:sz="0" w:space="0" w:color="auto"/>
          </w:divBdr>
        </w:div>
        <w:div w:id="975792968">
          <w:marLeft w:val="480"/>
          <w:marRight w:val="0"/>
          <w:marTop w:val="0"/>
          <w:marBottom w:val="0"/>
          <w:divBdr>
            <w:top w:val="none" w:sz="0" w:space="0" w:color="auto"/>
            <w:left w:val="none" w:sz="0" w:space="0" w:color="auto"/>
            <w:bottom w:val="none" w:sz="0" w:space="0" w:color="auto"/>
            <w:right w:val="none" w:sz="0" w:space="0" w:color="auto"/>
          </w:divBdr>
        </w:div>
        <w:div w:id="978387252">
          <w:marLeft w:val="480"/>
          <w:marRight w:val="0"/>
          <w:marTop w:val="0"/>
          <w:marBottom w:val="0"/>
          <w:divBdr>
            <w:top w:val="none" w:sz="0" w:space="0" w:color="auto"/>
            <w:left w:val="none" w:sz="0" w:space="0" w:color="auto"/>
            <w:bottom w:val="none" w:sz="0" w:space="0" w:color="auto"/>
            <w:right w:val="none" w:sz="0" w:space="0" w:color="auto"/>
          </w:divBdr>
        </w:div>
        <w:div w:id="986400058">
          <w:marLeft w:val="480"/>
          <w:marRight w:val="0"/>
          <w:marTop w:val="0"/>
          <w:marBottom w:val="0"/>
          <w:divBdr>
            <w:top w:val="none" w:sz="0" w:space="0" w:color="auto"/>
            <w:left w:val="none" w:sz="0" w:space="0" w:color="auto"/>
            <w:bottom w:val="none" w:sz="0" w:space="0" w:color="auto"/>
            <w:right w:val="none" w:sz="0" w:space="0" w:color="auto"/>
          </w:divBdr>
        </w:div>
        <w:div w:id="1015157159">
          <w:marLeft w:val="480"/>
          <w:marRight w:val="0"/>
          <w:marTop w:val="0"/>
          <w:marBottom w:val="0"/>
          <w:divBdr>
            <w:top w:val="none" w:sz="0" w:space="0" w:color="auto"/>
            <w:left w:val="none" w:sz="0" w:space="0" w:color="auto"/>
            <w:bottom w:val="none" w:sz="0" w:space="0" w:color="auto"/>
            <w:right w:val="none" w:sz="0" w:space="0" w:color="auto"/>
          </w:divBdr>
        </w:div>
        <w:div w:id="1016813632">
          <w:marLeft w:val="480"/>
          <w:marRight w:val="0"/>
          <w:marTop w:val="0"/>
          <w:marBottom w:val="0"/>
          <w:divBdr>
            <w:top w:val="none" w:sz="0" w:space="0" w:color="auto"/>
            <w:left w:val="none" w:sz="0" w:space="0" w:color="auto"/>
            <w:bottom w:val="none" w:sz="0" w:space="0" w:color="auto"/>
            <w:right w:val="none" w:sz="0" w:space="0" w:color="auto"/>
          </w:divBdr>
        </w:div>
        <w:div w:id="1022975302">
          <w:marLeft w:val="480"/>
          <w:marRight w:val="0"/>
          <w:marTop w:val="0"/>
          <w:marBottom w:val="0"/>
          <w:divBdr>
            <w:top w:val="none" w:sz="0" w:space="0" w:color="auto"/>
            <w:left w:val="none" w:sz="0" w:space="0" w:color="auto"/>
            <w:bottom w:val="none" w:sz="0" w:space="0" w:color="auto"/>
            <w:right w:val="none" w:sz="0" w:space="0" w:color="auto"/>
          </w:divBdr>
        </w:div>
        <w:div w:id="1025639096">
          <w:marLeft w:val="480"/>
          <w:marRight w:val="0"/>
          <w:marTop w:val="0"/>
          <w:marBottom w:val="0"/>
          <w:divBdr>
            <w:top w:val="none" w:sz="0" w:space="0" w:color="auto"/>
            <w:left w:val="none" w:sz="0" w:space="0" w:color="auto"/>
            <w:bottom w:val="none" w:sz="0" w:space="0" w:color="auto"/>
            <w:right w:val="none" w:sz="0" w:space="0" w:color="auto"/>
          </w:divBdr>
        </w:div>
        <w:div w:id="1027173132">
          <w:marLeft w:val="480"/>
          <w:marRight w:val="0"/>
          <w:marTop w:val="0"/>
          <w:marBottom w:val="0"/>
          <w:divBdr>
            <w:top w:val="none" w:sz="0" w:space="0" w:color="auto"/>
            <w:left w:val="none" w:sz="0" w:space="0" w:color="auto"/>
            <w:bottom w:val="none" w:sz="0" w:space="0" w:color="auto"/>
            <w:right w:val="none" w:sz="0" w:space="0" w:color="auto"/>
          </w:divBdr>
        </w:div>
        <w:div w:id="1030423960">
          <w:marLeft w:val="480"/>
          <w:marRight w:val="0"/>
          <w:marTop w:val="0"/>
          <w:marBottom w:val="0"/>
          <w:divBdr>
            <w:top w:val="none" w:sz="0" w:space="0" w:color="auto"/>
            <w:left w:val="none" w:sz="0" w:space="0" w:color="auto"/>
            <w:bottom w:val="none" w:sz="0" w:space="0" w:color="auto"/>
            <w:right w:val="none" w:sz="0" w:space="0" w:color="auto"/>
          </w:divBdr>
        </w:div>
        <w:div w:id="1031687610">
          <w:marLeft w:val="480"/>
          <w:marRight w:val="0"/>
          <w:marTop w:val="0"/>
          <w:marBottom w:val="0"/>
          <w:divBdr>
            <w:top w:val="none" w:sz="0" w:space="0" w:color="auto"/>
            <w:left w:val="none" w:sz="0" w:space="0" w:color="auto"/>
            <w:bottom w:val="none" w:sz="0" w:space="0" w:color="auto"/>
            <w:right w:val="none" w:sz="0" w:space="0" w:color="auto"/>
          </w:divBdr>
        </w:div>
        <w:div w:id="1035736010">
          <w:marLeft w:val="480"/>
          <w:marRight w:val="0"/>
          <w:marTop w:val="0"/>
          <w:marBottom w:val="0"/>
          <w:divBdr>
            <w:top w:val="none" w:sz="0" w:space="0" w:color="auto"/>
            <w:left w:val="none" w:sz="0" w:space="0" w:color="auto"/>
            <w:bottom w:val="none" w:sz="0" w:space="0" w:color="auto"/>
            <w:right w:val="none" w:sz="0" w:space="0" w:color="auto"/>
          </w:divBdr>
        </w:div>
        <w:div w:id="1054550716">
          <w:marLeft w:val="480"/>
          <w:marRight w:val="0"/>
          <w:marTop w:val="0"/>
          <w:marBottom w:val="0"/>
          <w:divBdr>
            <w:top w:val="none" w:sz="0" w:space="0" w:color="auto"/>
            <w:left w:val="none" w:sz="0" w:space="0" w:color="auto"/>
            <w:bottom w:val="none" w:sz="0" w:space="0" w:color="auto"/>
            <w:right w:val="none" w:sz="0" w:space="0" w:color="auto"/>
          </w:divBdr>
        </w:div>
        <w:div w:id="1058086373">
          <w:marLeft w:val="480"/>
          <w:marRight w:val="0"/>
          <w:marTop w:val="0"/>
          <w:marBottom w:val="0"/>
          <w:divBdr>
            <w:top w:val="none" w:sz="0" w:space="0" w:color="auto"/>
            <w:left w:val="none" w:sz="0" w:space="0" w:color="auto"/>
            <w:bottom w:val="none" w:sz="0" w:space="0" w:color="auto"/>
            <w:right w:val="none" w:sz="0" w:space="0" w:color="auto"/>
          </w:divBdr>
        </w:div>
        <w:div w:id="1066104670">
          <w:marLeft w:val="480"/>
          <w:marRight w:val="0"/>
          <w:marTop w:val="0"/>
          <w:marBottom w:val="0"/>
          <w:divBdr>
            <w:top w:val="none" w:sz="0" w:space="0" w:color="auto"/>
            <w:left w:val="none" w:sz="0" w:space="0" w:color="auto"/>
            <w:bottom w:val="none" w:sz="0" w:space="0" w:color="auto"/>
            <w:right w:val="none" w:sz="0" w:space="0" w:color="auto"/>
          </w:divBdr>
        </w:div>
        <w:div w:id="1068503774">
          <w:marLeft w:val="480"/>
          <w:marRight w:val="0"/>
          <w:marTop w:val="0"/>
          <w:marBottom w:val="0"/>
          <w:divBdr>
            <w:top w:val="none" w:sz="0" w:space="0" w:color="auto"/>
            <w:left w:val="none" w:sz="0" w:space="0" w:color="auto"/>
            <w:bottom w:val="none" w:sz="0" w:space="0" w:color="auto"/>
            <w:right w:val="none" w:sz="0" w:space="0" w:color="auto"/>
          </w:divBdr>
        </w:div>
        <w:div w:id="1071730555">
          <w:marLeft w:val="480"/>
          <w:marRight w:val="0"/>
          <w:marTop w:val="0"/>
          <w:marBottom w:val="0"/>
          <w:divBdr>
            <w:top w:val="none" w:sz="0" w:space="0" w:color="auto"/>
            <w:left w:val="none" w:sz="0" w:space="0" w:color="auto"/>
            <w:bottom w:val="none" w:sz="0" w:space="0" w:color="auto"/>
            <w:right w:val="none" w:sz="0" w:space="0" w:color="auto"/>
          </w:divBdr>
        </w:div>
        <w:div w:id="1078401555">
          <w:marLeft w:val="480"/>
          <w:marRight w:val="0"/>
          <w:marTop w:val="0"/>
          <w:marBottom w:val="0"/>
          <w:divBdr>
            <w:top w:val="none" w:sz="0" w:space="0" w:color="auto"/>
            <w:left w:val="none" w:sz="0" w:space="0" w:color="auto"/>
            <w:bottom w:val="none" w:sz="0" w:space="0" w:color="auto"/>
            <w:right w:val="none" w:sz="0" w:space="0" w:color="auto"/>
          </w:divBdr>
        </w:div>
        <w:div w:id="1082022073">
          <w:marLeft w:val="480"/>
          <w:marRight w:val="0"/>
          <w:marTop w:val="0"/>
          <w:marBottom w:val="0"/>
          <w:divBdr>
            <w:top w:val="none" w:sz="0" w:space="0" w:color="auto"/>
            <w:left w:val="none" w:sz="0" w:space="0" w:color="auto"/>
            <w:bottom w:val="none" w:sz="0" w:space="0" w:color="auto"/>
            <w:right w:val="none" w:sz="0" w:space="0" w:color="auto"/>
          </w:divBdr>
        </w:div>
        <w:div w:id="1083062893">
          <w:marLeft w:val="480"/>
          <w:marRight w:val="0"/>
          <w:marTop w:val="0"/>
          <w:marBottom w:val="0"/>
          <w:divBdr>
            <w:top w:val="none" w:sz="0" w:space="0" w:color="auto"/>
            <w:left w:val="none" w:sz="0" w:space="0" w:color="auto"/>
            <w:bottom w:val="none" w:sz="0" w:space="0" w:color="auto"/>
            <w:right w:val="none" w:sz="0" w:space="0" w:color="auto"/>
          </w:divBdr>
        </w:div>
        <w:div w:id="1083263357">
          <w:marLeft w:val="480"/>
          <w:marRight w:val="0"/>
          <w:marTop w:val="0"/>
          <w:marBottom w:val="0"/>
          <w:divBdr>
            <w:top w:val="none" w:sz="0" w:space="0" w:color="auto"/>
            <w:left w:val="none" w:sz="0" w:space="0" w:color="auto"/>
            <w:bottom w:val="none" w:sz="0" w:space="0" w:color="auto"/>
            <w:right w:val="none" w:sz="0" w:space="0" w:color="auto"/>
          </w:divBdr>
        </w:div>
        <w:div w:id="1083449146">
          <w:marLeft w:val="480"/>
          <w:marRight w:val="0"/>
          <w:marTop w:val="0"/>
          <w:marBottom w:val="0"/>
          <w:divBdr>
            <w:top w:val="none" w:sz="0" w:space="0" w:color="auto"/>
            <w:left w:val="none" w:sz="0" w:space="0" w:color="auto"/>
            <w:bottom w:val="none" w:sz="0" w:space="0" w:color="auto"/>
            <w:right w:val="none" w:sz="0" w:space="0" w:color="auto"/>
          </w:divBdr>
        </w:div>
        <w:div w:id="1090543554">
          <w:marLeft w:val="480"/>
          <w:marRight w:val="0"/>
          <w:marTop w:val="0"/>
          <w:marBottom w:val="0"/>
          <w:divBdr>
            <w:top w:val="none" w:sz="0" w:space="0" w:color="auto"/>
            <w:left w:val="none" w:sz="0" w:space="0" w:color="auto"/>
            <w:bottom w:val="none" w:sz="0" w:space="0" w:color="auto"/>
            <w:right w:val="none" w:sz="0" w:space="0" w:color="auto"/>
          </w:divBdr>
        </w:div>
        <w:div w:id="1092973658">
          <w:marLeft w:val="480"/>
          <w:marRight w:val="0"/>
          <w:marTop w:val="0"/>
          <w:marBottom w:val="0"/>
          <w:divBdr>
            <w:top w:val="none" w:sz="0" w:space="0" w:color="auto"/>
            <w:left w:val="none" w:sz="0" w:space="0" w:color="auto"/>
            <w:bottom w:val="none" w:sz="0" w:space="0" w:color="auto"/>
            <w:right w:val="none" w:sz="0" w:space="0" w:color="auto"/>
          </w:divBdr>
        </w:div>
        <w:div w:id="1094933975">
          <w:marLeft w:val="480"/>
          <w:marRight w:val="0"/>
          <w:marTop w:val="0"/>
          <w:marBottom w:val="0"/>
          <w:divBdr>
            <w:top w:val="none" w:sz="0" w:space="0" w:color="auto"/>
            <w:left w:val="none" w:sz="0" w:space="0" w:color="auto"/>
            <w:bottom w:val="none" w:sz="0" w:space="0" w:color="auto"/>
            <w:right w:val="none" w:sz="0" w:space="0" w:color="auto"/>
          </w:divBdr>
        </w:div>
        <w:div w:id="1100031448">
          <w:marLeft w:val="480"/>
          <w:marRight w:val="0"/>
          <w:marTop w:val="0"/>
          <w:marBottom w:val="0"/>
          <w:divBdr>
            <w:top w:val="none" w:sz="0" w:space="0" w:color="auto"/>
            <w:left w:val="none" w:sz="0" w:space="0" w:color="auto"/>
            <w:bottom w:val="none" w:sz="0" w:space="0" w:color="auto"/>
            <w:right w:val="none" w:sz="0" w:space="0" w:color="auto"/>
          </w:divBdr>
        </w:div>
        <w:div w:id="1106117562">
          <w:marLeft w:val="480"/>
          <w:marRight w:val="0"/>
          <w:marTop w:val="0"/>
          <w:marBottom w:val="0"/>
          <w:divBdr>
            <w:top w:val="none" w:sz="0" w:space="0" w:color="auto"/>
            <w:left w:val="none" w:sz="0" w:space="0" w:color="auto"/>
            <w:bottom w:val="none" w:sz="0" w:space="0" w:color="auto"/>
            <w:right w:val="none" w:sz="0" w:space="0" w:color="auto"/>
          </w:divBdr>
        </w:div>
        <w:div w:id="1108163935">
          <w:marLeft w:val="480"/>
          <w:marRight w:val="0"/>
          <w:marTop w:val="0"/>
          <w:marBottom w:val="0"/>
          <w:divBdr>
            <w:top w:val="none" w:sz="0" w:space="0" w:color="auto"/>
            <w:left w:val="none" w:sz="0" w:space="0" w:color="auto"/>
            <w:bottom w:val="none" w:sz="0" w:space="0" w:color="auto"/>
            <w:right w:val="none" w:sz="0" w:space="0" w:color="auto"/>
          </w:divBdr>
        </w:div>
        <w:div w:id="1108308404">
          <w:marLeft w:val="480"/>
          <w:marRight w:val="0"/>
          <w:marTop w:val="0"/>
          <w:marBottom w:val="0"/>
          <w:divBdr>
            <w:top w:val="none" w:sz="0" w:space="0" w:color="auto"/>
            <w:left w:val="none" w:sz="0" w:space="0" w:color="auto"/>
            <w:bottom w:val="none" w:sz="0" w:space="0" w:color="auto"/>
            <w:right w:val="none" w:sz="0" w:space="0" w:color="auto"/>
          </w:divBdr>
        </w:div>
        <w:div w:id="1110200806">
          <w:marLeft w:val="480"/>
          <w:marRight w:val="0"/>
          <w:marTop w:val="0"/>
          <w:marBottom w:val="0"/>
          <w:divBdr>
            <w:top w:val="none" w:sz="0" w:space="0" w:color="auto"/>
            <w:left w:val="none" w:sz="0" w:space="0" w:color="auto"/>
            <w:bottom w:val="none" w:sz="0" w:space="0" w:color="auto"/>
            <w:right w:val="none" w:sz="0" w:space="0" w:color="auto"/>
          </w:divBdr>
        </w:div>
        <w:div w:id="1113551963">
          <w:marLeft w:val="480"/>
          <w:marRight w:val="0"/>
          <w:marTop w:val="0"/>
          <w:marBottom w:val="0"/>
          <w:divBdr>
            <w:top w:val="none" w:sz="0" w:space="0" w:color="auto"/>
            <w:left w:val="none" w:sz="0" w:space="0" w:color="auto"/>
            <w:bottom w:val="none" w:sz="0" w:space="0" w:color="auto"/>
            <w:right w:val="none" w:sz="0" w:space="0" w:color="auto"/>
          </w:divBdr>
        </w:div>
        <w:div w:id="1114790457">
          <w:marLeft w:val="480"/>
          <w:marRight w:val="0"/>
          <w:marTop w:val="0"/>
          <w:marBottom w:val="0"/>
          <w:divBdr>
            <w:top w:val="none" w:sz="0" w:space="0" w:color="auto"/>
            <w:left w:val="none" w:sz="0" w:space="0" w:color="auto"/>
            <w:bottom w:val="none" w:sz="0" w:space="0" w:color="auto"/>
            <w:right w:val="none" w:sz="0" w:space="0" w:color="auto"/>
          </w:divBdr>
        </w:div>
        <w:div w:id="1123229168">
          <w:marLeft w:val="480"/>
          <w:marRight w:val="0"/>
          <w:marTop w:val="0"/>
          <w:marBottom w:val="0"/>
          <w:divBdr>
            <w:top w:val="none" w:sz="0" w:space="0" w:color="auto"/>
            <w:left w:val="none" w:sz="0" w:space="0" w:color="auto"/>
            <w:bottom w:val="none" w:sz="0" w:space="0" w:color="auto"/>
            <w:right w:val="none" w:sz="0" w:space="0" w:color="auto"/>
          </w:divBdr>
        </w:div>
        <w:div w:id="1129013842">
          <w:marLeft w:val="480"/>
          <w:marRight w:val="0"/>
          <w:marTop w:val="0"/>
          <w:marBottom w:val="0"/>
          <w:divBdr>
            <w:top w:val="none" w:sz="0" w:space="0" w:color="auto"/>
            <w:left w:val="none" w:sz="0" w:space="0" w:color="auto"/>
            <w:bottom w:val="none" w:sz="0" w:space="0" w:color="auto"/>
            <w:right w:val="none" w:sz="0" w:space="0" w:color="auto"/>
          </w:divBdr>
        </w:div>
        <w:div w:id="1131366474">
          <w:marLeft w:val="480"/>
          <w:marRight w:val="0"/>
          <w:marTop w:val="0"/>
          <w:marBottom w:val="0"/>
          <w:divBdr>
            <w:top w:val="none" w:sz="0" w:space="0" w:color="auto"/>
            <w:left w:val="none" w:sz="0" w:space="0" w:color="auto"/>
            <w:bottom w:val="none" w:sz="0" w:space="0" w:color="auto"/>
            <w:right w:val="none" w:sz="0" w:space="0" w:color="auto"/>
          </w:divBdr>
        </w:div>
        <w:div w:id="1133602063">
          <w:marLeft w:val="480"/>
          <w:marRight w:val="0"/>
          <w:marTop w:val="0"/>
          <w:marBottom w:val="0"/>
          <w:divBdr>
            <w:top w:val="none" w:sz="0" w:space="0" w:color="auto"/>
            <w:left w:val="none" w:sz="0" w:space="0" w:color="auto"/>
            <w:bottom w:val="none" w:sz="0" w:space="0" w:color="auto"/>
            <w:right w:val="none" w:sz="0" w:space="0" w:color="auto"/>
          </w:divBdr>
        </w:div>
        <w:div w:id="1135678335">
          <w:marLeft w:val="480"/>
          <w:marRight w:val="0"/>
          <w:marTop w:val="0"/>
          <w:marBottom w:val="0"/>
          <w:divBdr>
            <w:top w:val="none" w:sz="0" w:space="0" w:color="auto"/>
            <w:left w:val="none" w:sz="0" w:space="0" w:color="auto"/>
            <w:bottom w:val="none" w:sz="0" w:space="0" w:color="auto"/>
            <w:right w:val="none" w:sz="0" w:space="0" w:color="auto"/>
          </w:divBdr>
        </w:div>
        <w:div w:id="1142313534">
          <w:marLeft w:val="480"/>
          <w:marRight w:val="0"/>
          <w:marTop w:val="0"/>
          <w:marBottom w:val="0"/>
          <w:divBdr>
            <w:top w:val="none" w:sz="0" w:space="0" w:color="auto"/>
            <w:left w:val="none" w:sz="0" w:space="0" w:color="auto"/>
            <w:bottom w:val="none" w:sz="0" w:space="0" w:color="auto"/>
            <w:right w:val="none" w:sz="0" w:space="0" w:color="auto"/>
          </w:divBdr>
        </w:div>
        <w:div w:id="1145971749">
          <w:marLeft w:val="480"/>
          <w:marRight w:val="0"/>
          <w:marTop w:val="0"/>
          <w:marBottom w:val="0"/>
          <w:divBdr>
            <w:top w:val="none" w:sz="0" w:space="0" w:color="auto"/>
            <w:left w:val="none" w:sz="0" w:space="0" w:color="auto"/>
            <w:bottom w:val="none" w:sz="0" w:space="0" w:color="auto"/>
            <w:right w:val="none" w:sz="0" w:space="0" w:color="auto"/>
          </w:divBdr>
        </w:div>
        <w:div w:id="1148130892">
          <w:marLeft w:val="480"/>
          <w:marRight w:val="0"/>
          <w:marTop w:val="0"/>
          <w:marBottom w:val="0"/>
          <w:divBdr>
            <w:top w:val="none" w:sz="0" w:space="0" w:color="auto"/>
            <w:left w:val="none" w:sz="0" w:space="0" w:color="auto"/>
            <w:bottom w:val="none" w:sz="0" w:space="0" w:color="auto"/>
            <w:right w:val="none" w:sz="0" w:space="0" w:color="auto"/>
          </w:divBdr>
        </w:div>
        <w:div w:id="1153638940">
          <w:marLeft w:val="480"/>
          <w:marRight w:val="0"/>
          <w:marTop w:val="0"/>
          <w:marBottom w:val="0"/>
          <w:divBdr>
            <w:top w:val="none" w:sz="0" w:space="0" w:color="auto"/>
            <w:left w:val="none" w:sz="0" w:space="0" w:color="auto"/>
            <w:bottom w:val="none" w:sz="0" w:space="0" w:color="auto"/>
            <w:right w:val="none" w:sz="0" w:space="0" w:color="auto"/>
          </w:divBdr>
        </w:div>
        <w:div w:id="1156073151">
          <w:marLeft w:val="480"/>
          <w:marRight w:val="0"/>
          <w:marTop w:val="0"/>
          <w:marBottom w:val="0"/>
          <w:divBdr>
            <w:top w:val="none" w:sz="0" w:space="0" w:color="auto"/>
            <w:left w:val="none" w:sz="0" w:space="0" w:color="auto"/>
            <w:bottom w:val="none" w:sz="0" w:space="0" w:color="auto"/>
            <w:right w:val="none" w:sz="0" w:space="0" w:color="auto"/>
          </w:divBdr>
        </w:div>
        <w:div w:id="1162964499">
          <w:marLeft w:val="480"/>
          <w:marRight w:val="0"/>
          <w:marTop w:val="0"/>
          <w:marBottom w:val="0"/>
          <w:divBdr>
            <w:top w:val="none" w:sz="0" w:space="0" w:color="auto"/>
            <w:left w:val="none" w:sz="0" w:space="0" w:color="auto"/>
            <w:bottom w:val="none" w:sz="0" w:space="0" w:color="auto"/>
            <w:right w:val="none" w:sz="0" w:space="0" w:color="auto"/>
          </w:divBdr>
        </w:div>
        <w:div w:id="1163662146">
          <w:marLeft w:val="480"/>
          <w:marRight w:val="0"/>
          <w:marTop w:val="0"/>
          <w:marBottom w:val="0"/>
          <w:divBdr>
            <w:top w:val="none" w:sz="0" w:space="0" w:color="auto"/>
            <w:left w:val="none" w:sz="0" w:space="0" w:color="auto"/>
            <w:bottom w:val="none" w:sz="0" w:space="0" w:color="auto"/>
            <w:right w:val="none" w:sz="0" w:space="0" w:color="auto"/>
          </w:divBdr>
        </w:div>
        <w:div w:id="1164054004">
          <w:marLeft w:val="480"/>
          <w:marRight w:val="0"/>
          <w:marTop w:val="0"/>
          <w:marBottom w:val="0"/>
          <w:divBdr>
            <w:top w:val="none" w:sz="0" w:space="0" w:color="auto"/>
            <w:left w:val="none" w:sz="0" w:space="0" w:color="auto"/>
            <w:bottom w:val="none" w:sz="0" w:space="0" w:color="auto"/>
            <w:right w:val="none" w:sz="0" w:space="0" w:color="auto"/>
          </w:divBdr>
        </w:div>
        <w:div w:id="1167213388">
          <w:marLeft w:val="480"/>
          <w:marRight w:val="0"/>
          <w:marTop w:val="0"/>
          <w:marBottom w:val="0"/>
          <w:divBdr>
            <w:top w:val="none" w:sz="0" w:space="0" w:color="auto"/>
            <w:left w:val="none" w:sz="0" w:space="0" w:color="auto"/>
            <w:bottom w:val="none" w:sz="0" w:space="0" w:color="auto"/>
            <w:right w:val="none" w:sz="0" w:space="0" w:color="auto"/>
          </w:divBdr>
        </w:div>
        <w:div w:id="1167357260">
          <w:marLeft w:val="480"/>
          <w:marRight w:val="0"/>
          <w:marTop w:val="0"/>
          <w:marBottom w:val="0"/>
          <w:divBdr>
            <w:top w:val="none" w:sz="0" w:space="0" w:color="auto"/>
            <w:left w:val="none" w:sz="0" w:space="0" w:color="auto"/>
            <w:bottom w:val="none" w:sz="0" w:space="0" w:color="auto"/>
            <w:right w:val="none" w:sz="0" w:space="0" w:color="auto"/>
          </w:divBdr>
        </w:div>
        <w:div w:id="1187137125">
          <w:marLeft w:val="480"/>
          <w:marRight w:val="0"/>
          <w:marTop w:val="0"/>
          <w:marBottom w:val="0"/>
          <w:divBdr>
            <w:top w:val="none" w:sz="0" w:space="0" w:color="auto"/>
            <w:left w:val="none" w:sz="0" w:space="0" w:color="auto"/>
            <w:bottom w:val="none" w:sz="0" w:space="0" w:color="auto"/>
            <w:right w:val="none" w:sz="0" w:space="0" w:color="auto"/>
          </w:divBdr>
        </w:div>
        <w:div w:id="1188527057">
          <w:marLeft w:val="480"/>
          <w:marRight w:val="0"/>
          <w:marTop w:val="0"/>
          <w:marBottom w:val="0"/>
          <w:divBdr>
            <w:top w:val="none" w:sz="0" w:space="0" w:color="auto"/>
            <w:left w:val="none" w:sz="0" w:space="0" w:color="auto"/>
            <w:bottom w:val="none" w:sz="0" w:space="0" w:color="auto"/>
            <w:right w:val="none" w:sz="0" w:space="0" w:color="auto"/>
          </w:divBdr>
        </w:div>
        <w:div w:id="1189248272">
          <w:marLeft w:val="480"/>
          <w:marRight w:val="0"/>
          <w:marTop w:val="0"/>
          <w:marBottom w:val="0"/>
          <w:divBdr>
            <w:top w:val="none" w:sz="0" w:space="0" w:color="auto"/>
            <w:left w:val="none" w:sz="0" w:space="0" w:color="auto"/>
            <w:bottom w:val="none" w:sz="0" w:space="0" w:color="auto"/>
            <w:right w:val="none" w:sz="0" w:space="0" w:color="auto"/>
          </w:divBdr>
        </w:div>
        <w:div w:id="1200361541">
          <w:marLeft w:val="480"/>
          <w:marRight w:val="0"/>
          <w:marTop w:val="0"/>
          <w:marBottom w:val="0"/>
          <w:divBdr>
            <w:top w:val="none" w:sz="0" w:space="0" w:color="auto"/>
            <w:left w:val="none" w:sz="0" w:space="0" w:color="auto"/>
            <w:bottom w:val="none" w:sz="0" w:space="0" w:color="auto"/>
            <w:right w:val="none" w:sz="0" w:space="0" w:color="auto"/>
          </w:divBdr>
        </w:div>
        <w:div w:id="1206211241">
          <w:marLeft w:val="480"/>
          <w:marRight w:val="0"/>
          <w:marTop w:val="0"/>
          <w:marBottom w:val="0"/>
          <w:divBdr>
            <w:top w:val="none" w:sz="0" w:space="0" w:color="auto"/>
            <w:left w:val="none" w:sz="0" w:space="0" w:color="auto"/>
            <w:bottom w:val="none" w:sz="0" w:space="0" w:color="auto"/>
            <w:right w:val="none" w:sz="0" w:space="0" w:color="auto"/>
          </w:divBdr>
        </w:div>
        <w:div w:id="1206521846">
          <w:marLeft w:val="480"/>
          <w:marRight w:val="0"/>
          <w:marTop w:val="0"/>
          <w:marBottom w:val="0"/>
          <w:divBdr>
            <w:top w:val="none" w:sz="0" w:space="0" w:color="auto"/>
            <w:left w:val="none" w:sz="0" w:space="0" w:color="auto"/>
            <w:bottom w:val="none" w:sz="0" w:space="0" w:color="auto"/>
            <w:right w:val="none" w:sz="0" w:space="0" w:color="auto"/>
          </w:divBdr>
        </w:div>
        <w:div w:id="1218323439">
          <w:marLeft w:val="480"/>
          <w:marRight w:val="0"/>
          <w:marTop w:val="0"/>
          <w:marBottom w:val="0"/>
          <w:divBdr>
            <w:top w:val="none" w:sz="0" w:space="0" w:color="auto"/>
            <w:left w:val="none" w:sz="0" w:space="0" w:color="auto"/>
            <w:bottom w:val="none" w:sz="0" w:space="0" w:color="auto"/>
            <w:right w:val="none" w:sz="0" w:space="0" w:color="auto"/>
          </w:divBdr>
        </w:div>
        <w:div w:id="1219628588">
          <w:marLeft w:val="480"/>
          <w:marRight w:val="0"/>
          <w:marTop w:val="0"/>
          <w:marBottom w:val="0"/>
          <w:divBdr>
            <w:top w:val="none" w:sz="0" w:space="0" w:color="auto"/>
            <w:left w:val="none" w:sz="0" w:space="0" w:color="auto"/>
            <w:bottom w:val="none" w:sz="0" w:space="0" w:color="auto"/>
            <w:right w:val="none" w:sz="0" w:space="0" w:color="auto"/>
          </w:divBdr>
        </w:div>
        <w:div w:id="1221405671">
          <w:marLeft w:val="480"/>
          <w:marRight w:val="0"/>
          <w:marTop w:val="0"/>
          <w:marBottom w:val="0"/>
          <w:divBdr>
            <w:top w:val="none" w:sz="0" w:space="0" w:color="auto"/>
            <w:left w:val="none" w:sz="0" w:space="0" w:color="auto"/>
            <w:bottom w:val="none" w:sz="0" w:space="0" w:color="auto"/>
            <w:right w:val="none" w:sz="0" w:space="0" w:color="auto"/>
          </w:divBdr>
        </w:div>
        <w:div w:id="1228111353">
          <w:marLeft w:val="480"/>
          <w:marRight w:val="0"/>
          <w:marTop w:val="0"/>
          <w:marBottom w:val="0"/>
          <w:divBdr>
            <w:top w:val="none" w:sz="0" w:space="0" w:color="auto"/>
            <w:left w:val="none" w:sz="0" w:space="0" w:color="auto"/>
            <w:bottom w:val="none" w:sz="0" w:space="0" w:color="auto"/>
            <w:right w:val="none" w:sz="0" w:space="0" w:color="auto"/>
          </w:divBdr>
        </w:div>
        <w:div w:id="1230187590">
          <w:marLeft w:val="480"/>
          <w:marRight w:val="0"/>
          <w:marTop w:val="0"/>
          <w:marBottom w:val="0"/>
          <w:divBdr>
            <w:top w:val="none" w:sz="0" w:space="0" w:color="auto"/>
            <w:left w:val="none" w:sz="0" w:space="0" w:color="auto"/>
            <w:bottom w:val="none" w:sz="0" w:space="0" w:color="auto"/>
            <w:right w:val="none" w:sz="0" w:space="0" w:color="auto"/>
          </w:divBdr>
        </w:div>
        <w:div w:id="1234243355">
          <w:marLeft w:val="480"/>
          <w:marRight w:val="0"/>
          <w:marTop w:val="0"/>
          <w:marBottom w:val="0"/>
          <w:divBdr>
            <w:top w:val="none" w:sz="0" w:space="0" w:color="auto"/>
            <w:left w:val="none" w:sz="0" w:space="0" w:color="auto"/>
            <w:bottom w:val="none" w:sz="0" w:space="0" w:color="auto"/>
            <w:right w:val="none" w:sz="0" w:space="0" w:color="auto"/>
          </w:divBdr>
        </w:div>
        <w:div w:id="1238662330">
          <w:marLeft w:val="480"/>
          <w:marRight w:val="0"/>
          <w:marTop w:val="0"/>
          <w:marBottom w:val="0"/>
          <w:divBdr>
            <w:top w:val="none" w:sz="0" w:space="0" w:color="auto"/>
            <w:left w:val="none" w:sz="0" w:space="0" w:color="auto"/>
            <w:bottom w:val="none" w:sz="0" w:space="0" w:color="auto"/>
            <w:right w:val="none" w:sz="0" w:space="0" w:color="auto"/>
          </w:divBdr>
        </w:div>
        <w:div w:id="1241716616">
          <w:marLeft w:val="480"/>
          <w:marRight w:val="0"/>
          <w:marTop w:val="0"/>
          <w:marBottom w:val="0"/>
          <w:divBdr>
            <w:top w:val="none" w:sz="0" w:space="0" w:color="auto"/>
            <w:left w:val="none" w:sz="0" w:space="0" w:color="auto"/>
            <w:bottom w:val="none" w:sz="0" w:space="0" w:color="auto"/>
            <w:right w:val="none" w:sz="0" w:space="0" w:color="auto"/>
          </w:divBdr>
        </w:div>
        <w:div w:id="1243684484">
          <w:marLeft w:val="480"/>
          <w:marRight w:val="0"/>
          <w:marTop w:val="0"/>
          <w:marBottom w:val="0"/>
          <w:divBdr>
            <w:top w:val="none" w:sz="0" w:space="0" w:color="auto"/>
            <w:left w:val="none" w:sz="0" w:space="0" w:color="auto"/>
            <w:bottom w:val="none" w:sz="0" w:space="0" w:color="auto"/>
            <w:right w:val="none" w:sz="0" w:space="0" w:color="auto"/>
          </w:divBdr>
        </w:div>
        <w:div w:id="1244684862">
          <w:marLeft w:val="480"/>
          <w:marRight w:val="0"/>
          <w:marTop w:val="0"/>
          <w:marBottom w:val="0"/>
          <w:divBdr>
            <w:top w:val="none" w:sz="0" w:space="0" w:color="auto"/>
            <w:left w:val="none" w:sz="0" w:space="0" w:color="auto"/>
            <w:bottom w:val="none" w:sz="0" w:space="0" w:color="auto"/>
            <w:right w:val="none" w:sz="0" w:space="0" w:color="auto"/>
          </w:divBdr>
        </w:div>
        <w:div w:id="1249073588">
          <w:marLeft w:val="480"/>
          <w:marRight w:val="0"/>
          <w:marTop w:val="0"/>
          <w:marBottom w:val="0"/>
          <w:divBdr>
            <w:top w:val="none" w:sz="0" w:space="0" w:color="auto"/>
            <w:left w:val="none" w:sz="0" w:space="0" w:color="auto"/>
            <w:bottom w:val="none" w:sz="0" w:space="0" w:color="auto"/>
            <w:right w:val="none" w:sz="0" w:space="0" w:color="auto"/>
          </w:divBdr>
        </w:div>
        <w:div w:id="1252738031">
          <w:marLeft w:val="480"/>
          <w:marRight w:val="0"/>
          <w:marTop w:val="0"/>
          <w:marBottom w:val="0"/>
          <w:divBdr>
            <w:top w:val="none" w:sz="0" w:space="0" w:color="auto"/>
            <w:left w:val="none" w:sz="0" w:space="0" w:color="auto"/>
            <w:bottom w:val="none" w:sz="0" w:space="0" w:color="auto"/>
            <w:right w:val="none" w:sz="0" w:space="0" w:color="auto"/>
          </w:divBdr>
        </w:div>
        <w:div w:id="1260716866">
          <w:marLeft w:val="480"/>
          <w:marRight w:val="0"/>
          <w:marTop w:val="0"/>
          <w:marBottom w:val="0"/>
          <w:divBdr>
            <w:top w:val="none" w:sz="0" w:space="0" w:color="auto"/>
            <w:left w:val="none" w:sz="0" w:space="0" w:color="auto"/>
            <w:bottom w:val="none" w:sz="0" w:space="0" w:color="auto"/>
            <w:right w:val="none" w:sz="0" w:space="0" w:color="auto"/>
          </w:divBdr>
        </w:div>
        <w:div w:id="1262951212">
          <w:marLeft w:val="480"/>
          <w:marRight w:val="0"/>
          <w:marTop w:val="0"/>
          <w:marBottom w:val="0"/>
          <w:divBdr>
            <w:top w:val="none" w:sz="0" w:space="0" w:color="auto"/>
            <w:left w:val="none" w:sz="0" w:space="0" w:color="auto"/>
            <w:bottom w:val="none" w:sz="0" w:space="0" w:color="auto"/>
            <w:right w:val="none" w:sz="0" w:space="0" w:color="auto"/>
          </w:divBdr>
        </w:div>
        <w:div w:id="1266304883">
          <w:marLeft w:val="480"/>
          <w:marRight w:val="0"/>
          <w:marTop w:val="0"/>
          <w:marBottom w:val="0"/>
          <w:divBdr>
            <w:top w:val="none" w:sz="0" w:space="0" w:color="auto"/>
            <w:left w:val="none" w:sz="0" w:space="0" w:color="auto"/>
            <w:bottom w:val="none" w:sz="0" w:space="0" w:color="auto"/>
            <w:right w:val="none" w:sz="0" w:space="0" w:color="auto"/>
          </w:divBdr>
        </w:div>
        <w:div w:id="1267620949">
          <w:marLeft w:val="480"/>
          <w:marRight w:val="0"/>
          <w:marTop w:val="0"/>
          <w:marBottom w:val="0"/>
          <w:divBdr>
            <w:top w:val="none" w:sz="0" w:space="0" w:color="auto"/>
            <w:left w:val="none" w:sz="0" w:space="0" w:color="auto"/>
            <w:bottom w:val="none" w:sz="0" w:space="0" w:color="auto"/>
            <w:right w:val="none" w:sz="0" w:space="0" w:color="auto"/>
          </w:divBdr>
        </w:div>
        <w:div w:id="1270089044">
          <w:marLeft w:val="480"/>
          <w:marRight w:val="0"/>
          <w:marTop w:val="0"/>
          <w:marBottom w:val="0"/>
          <w:divBdr>
            <w:top w:val="none" w:sz="0" w:space="0" w:color="auto"/>
            <w:left w:val="none" w:sz="0" w:space="0" w:color="auto"/>
            <w:bottom w:val="none" w:sz="0" w:space="0" w:color="auto"/>
            <w:right w:val="none" w:sz="0" w:space="0" w:color="auto"/>
          </w:divBdr>
        </w:div>
        <w:div w:id="1271619770">
          <w:marLeft w:val="480"/>
          <w:marRight w:val="0"/>
          <w:marTop w:val="0"/>
          <w:marBottom w:val="0"/>
          <w:divBdr>
            <w:top w:val="none" w:sz="0" w:space="0" w:color="auto"/>
            <w:left w:val="none" w:sz="0" w:space="0" w:color="auto"/>
            <w:bottom w:val="none" w:sz="0" w:space="0" w:color="auto"/>
            <w:right w:val="none" w:sz="0" w:space="0" w:color="auto"/>
          </w:divBdr>
        </w:div>
        <w:div w:id="1273978690">
          <w:marLeft w:val="480"/>
          <w:marRight w:val="0"/>
          <w:marTop w:val="0"/>
          <w:marBottom w:val="0"/>
          <w:divBdr>
            <w:top w:val="none" w:sz="0" w:space="0" w:color="auto"/>
            <w:left w:val="none" w:sz="0" w:space="0" w:color="auto"/>
            <w:bottom w:val="none" w:sz="0" w:space="0" w:color="auto"/>
            <w:right w:val="none" w:sz="0" w:space="0" w:color="auto"/>
          </w:divBdr>
        </w:div>
        <w:div w:id="1274050443">
          <w:marLeft w:val="480"/>
          <w:marRight w:val="0"/>
          <w:marTop w:val="0"/>
          <w:marBottom w:val="0"/>
          <w:divBdr>
            <w:top w:val="none" w:sz="0" w:space="0" w:color="auto"/>
            <w:left w:val="none" w:sz="0" w:space="0" w:color="auto"/>
            <w:bottom w:val="none" w:sz="0" w:space="0" w:color="auto"/>
            <w:right w:val="none" w:sz="0" w:space="0" w:color="auto"/>
          </w:divBdr>
        </w:div>
        <w:div w:id="1276643770">
          <w:marLeft w:val="480"/>
          <w:marRight w:val="0"/>
          <w:marTop w:val="0"/>
          <w:marBottom w:val="0"/>
          <w:divBdr>
            <w:top w:val="none" w:sz="0" w:space="0" w:color="auto"/>
            <w:left w:val="none" w:sz="0" w:space="0" w:color="auto"/>
            <w:bottom w:val="none" w:sz="0" w:space="0" w:color="auto"/>
            <w:right w:val="none" w:sz="0" w:space="0" w:color="auto"/>
          </w:divBdr>
        </w:div>
        <w:div w:id="1278679406">
          <w:marLeft w:val="480"/>
          <w:marRight w:val="0"/>
          <w:marTop w:val="0"/>
          <w:marBottom w:val="0"/>
          <w:divBdr>
            <w:top w:val="none" w:sz="0" w:space="0" w:color="auto"/>
            <w:left w:val="none" w:sz="0" w:space="0" w:color="auto"/>
            <w:bottom w:val="none" w:sz="0" w:space="0" w:color="auto"/>
            <w:right w:val="none" w:sz="0" w:space="0" w:color="auto"/>
          </w:divBdr>
        </w:div>
        <w:div w:id="1280139870">
          <w:marLeft w:val="480"/>
          <w:marRight w:val="0"/>
          <w:marTop w:val="0"/>
          <w:marBottom w:val="0"/>
          <w:divBdr>
            <w:top w:val="none" w:sz="0" w:space="0" w:color="auto"/>
            <w:left w:val="none" w:sz="0" w:space="0" w:color="auto"/>
            <w:bottom w:val="none" w:sz="0" w:space="0" w:color="auto"/>
            <w:right w:val="none" w:sz="0" w:space="0" w:color="auto"/>
          </w:divBdr>
        </w:div>
        <w:div w:id="1280525699">
          <w:marLeft w:val="480"/>
          <w:marRight w:val="0"/>
          <w:marTop w:val="0"/>
          <w:marBottom w:val="0"/>
          <w:divBdr>
            <w:top w:val="none" w:sz="0" w:space="0" w:color="auto"/>
            <w:left w:val="none" w:sz="0" w:space="0" w:color="auto"/>
            <w:bottom w:val="none" w:sz="0" w:space="0" w:color="auto"/>
            <w:right w:val="none" w:sz="0" w:space="0" w:color="auto"/>
          </w:divBdr>
        </w:div>
        <w:div w:id="1281259466">
          <w:marLeft w:val="480"/>
          <w:marRight w:val="0"/>
          <w:marTop w:val="0"/>
          <w:marBottom w:val="0"/>
          <w:divBdr>
            <w:top w:val="none" w:sz="0" w:space="0" w:color="auto"/>
            <w:left w:val="none" w:sz="0" w:space="0" w:color="auto"/>
            <w:bottom w:val="none" w:sz="0" w:space="0" w:color="auto"/>
            <w:right w:val="none" w:sz="0" w:space="0" w:color="auto"/>
          </w:divBdr>
        </w:div>
        <w:div w:id="1286039161">
          <w:marLeft w:val="480"/>
          <w:marRight w:val="0"/>
          <w:marTop w:val="0"/>
          <w:marBottom w:val="0"/>
          <w:divBdr>
            <w:top w:val="none" w:sz="0" w:space="0" w:color="auto"/>
            <w:left w:val="none" w:sz="0" w:space="0" w:color="auto"/>
            <w:bottom w:val="none" w:sz="0" w:space="0" w:color="auto"/>
            <w:right w:val="none" w:sz="0" w:space="0" w:color="auto"/>
          </w:divBdr>
        </w:div>
        <w:div w:id="1297835945">
          <w:marLeft w:val="480"/>
          <w:marRight w:val="0"/>
          <w:marTop w:val="0"/>
          <w:marBottom w:val="0"/>
          <w:divBdr>
            <w:top w:val="none" w:sz="0" w:space="0" w:color="auto"/>
            <w:left w:val="none" w:sz="0" w:space="0" w:color="auto"/>
            <w:bottom w:val="none" w:sz="0" w:space="0" w:color="auto"/>
            <w:right w:val="none" w:sz="0" w:space="0" w:color="auto"/>
          </w:divBdr>
        </w:div>
        <w:div w:id="1300645073">
          <w:marLeft w:val="480"/>
          <w:marRight w:val="0"/>
          <w:marTop w:val="0"/>
          <w:marBottom w:val="0"/>
          <w:divBdr>
            <w:top w:val="none" w:sz="0" w:space="0" w:color="auto"/>
            <w:left w:val="none" w:sz="0" w:space="0" w:color="auto"/>
            <w:bottom w:val="none" w:sz="0" w:space="0" w:color="auto"/>
            <w:right w:val="none" w:sz="0" w:space="0" w:color="auto"/>
          </w:divBdr>
        </w:div>
        <w:div w:id="1309745561">
          <w:marLeft w:val="480"/>
          <w:marRight w:val="0"/>
          <w:marTop w:val="0"/>
          <w:marBottom w:val="0"/>
          <w:divBdr>
            <w:top w:val="none" w:sz="0" w:space="0" w:color="auto"/>
            <w:left w:val="none" w:sz="0" w:space="0" w:color="auto"/>
            <w:bottom w:val="none" w:sz="0" w:space="0" w:color="auto"/>
            <w:right w:val="none" w:sz="0" w:space="0" w:color="auto"/>
          </w:divBdr>
        </w:div>
        <w:div w:id="1312753761">
          <w:marLeft w:val="480"/>
          <w:marRight w:val="0"/>
          <w:marTop w:val="0"/>
          <w:marBottom w:val="0"/>
          <w:divBdr>
            <w:top w:val="none" w:sz="0" w:space="0" w:color="auto"/>
            <w:left w:val="none" w:sz="0" w:space="0" w:color="auto"/>
            <w:bottom w:val="none" w:sz="0" w:space="0" w:color="auto"/>
            <w:right w:val="none" w:sz="0" w:space="0" w:color="auto"/>
          </w:divBdr>
        </w:div>
        <w:div w:id="1315183984">
          <w:marLeft w:val="480"/>
          <w:marRight w:val="0"/>
          <w:marTop w:val="0"/>
          <w:marBottom w:val="0"/>
          <w:divBdr>
            <w:top w:val="none" w:sz="0" w:space="0" w:color="auto"/>
            <w:left w:val="none" w:sz="0" w:space="0" w:color="auto"/>
            <w:bottom w:val="none" w:sz="0" w:space="0" w:color="auto"/>
            <w:right w:val="none" w:sz="0" w:space="0" w:color="auto"/>
          </w:divBdr>
        </w:div>
        <w:div w:id="1319918543">
          <w:marLeft w:val="480"/>
          <w:marRight w:val="0"/>
          <w:marTop w:val="0"/>
          <w:marBottom w:val="0"/>
          <w:divBdr>
            <w:top w:val="none" w:sz="0" w:space="0" w:color="auto"/>
            <w:left w:val="none" w:sz="0" w:space="0" w:color="auto"/>
            <w:bottom w:val="none" w:sz="0" w:space="0" w:color="auto"/>
            <w:right w:val="none" w:sz="0" w:space="0" w:color="auto"/>
          </w:divBdr>
        </w:div>
        <w:div w:id="1327780432">
          <w:marLeft w:val="480"/>
          <w:marRight w:val="0"/>
          <w:marTop w:val="0"/>
          <w:marBottom w:val="0"/>
          <w:divBdr>
            <w:top w:val="none" w:sz="0" w:space="0" w:color="auto"/>
            <w:left w:val="none" w:sz="0" w:space="0" w:color="auto"/>
            <w:bottom w:val="none" w:sz="0" w:space="0" w:color="auto"/>
            <w:right w:val="none" w:sz="0" w:space="0" w:color="auto"/>
          </w:divBdr>
        </w:div>
        <w:div w:id="1329401166">
          <w:marLeft w:val="480"/>
          <w:marRight w:val="0"/>
          <w:marTop w:val="0"/>
          <w:marBottom w:val="0"/>
          <w:divBdr>
            <w:top w:val="none" w:sz="0" w:space="0" w:color="auto"/>
            <w:left w:val="none" w:sz="0" w:space="0" w:color="auto"/>
            <w:bottom w:val="none" w:sz="0" w:space="0" w:color="auto"/>
            <w:right w:val="none" w:sz="0" w:space="0" w:color="auto"/>
          </w:divBdr>
        </w:div>
        <w:div w:id="1329678513">
          <w:marLeft w:val="480"/>
          <w:marRight w:val="0"/>
          <w:marTop w:val="0"/>
          <w:marBottom w:val="0"/>
          <w:divBdr>
            <w:top w:val="none" w:sz="0" w:space="0" w:color="auto"/>
            <w:left w:val="none" w:sz="0" w:space="0" w:color="auto"/>
            <w:bottom w:val="none" w:sz="0" w:space="0" w:color="auto"/>
            <w:right w:val="none" w:sz="0" w:space="0" w:color="auto"/>
          </w:divBdr>
        </w:div>
        <w:div w:id="1335185683">
          <w:marLeft w:val="480"/>
          <w:marRight w:val="0"/>
          <w:marTop w:val="0"/>
          <w:marBottom w:val="0"/>
          <w:divBdr>
            <w:top w:val="none" w:sz="0" w:space="0" w:color="auto"/>
            <w:left w:val="none" w:sz="0" w:space="0" w:color="auto"/>
            <w:bottom w:val="none" w:sz="0" w:space="0" w:color="auto"/>
            <w:right w:val="none" w:sz="0" w:space="0" w:color="auto"/>
          </w:divBdr>
        </w:div>
        <w:div w:id="1337801862">
          <w:marLeft w:val="480"/>
          <w:marRight w:val="0"/>
          <w:marTop w:val="0"/>
          <w:marBottom w:val="0"/>
          <w:divBdr>
            <w:top w:val="none" w:sz="0" w:space="0" w:color="auto"/>
            <w:left w:val="none" w:sz="0" w:space="0" w:color="auto"/>
            <w:bottom w:val="none" w:sz="0" w:space="0" w:color="auto"/>
            <w:right w:val="none" w:sz="0" w:space="0" w:color="auto"/>
          </w:divBdr>
        </w:div>
        <w:div w:id="1341276845">
          <w:marLeft w:val="480"/>
          <w:marRight w:val="0"/>
          <w:marTop w:val="0"/>
          <w:marBottom w:val="0"/>
          <w:divBdr>
            <w:top w:val="none" w:sz="0" w:space="0" w:color="auto"/>
            <w:left w:val="none" w:sz="0" w:space="0" w:color="auto"/>
            <w:bottom w:val="none" w:sz="0" w:space="0" w:color="auto"/>
            <w:right w:val="none" w:sz="0" w:space="0" w:color="auto"/>
          </w:divBdr>
        </w:div>
        <w:div w:id="1341542391">
          <w:marLeft w:val="480"/>
          <w:marRight w:val="0"/>
          <w:marTop w:val="0"/>
          <w:marBottom w:val="0"/>
          <w:divBdr>
            <w:top w:val="none" w:sz="0" w:space="0" w:color="auto"/>
            <w:left w:val="none" w:sz="0" w:space="0" w:color="auto"/>
            <w:bottom w:val="none" w:sz="0" w:space="0" w:color="auto"/>
            <w:right w:val="none" w:sz="0" w:space="0" w:color="auto"/>
          </w:divBdr>
        </w:div>
        <w:div w:id="1351223680">
          <w:marLeft w:val="480"/>
          <w:marRight w:val="0"/>
          <w:marTop w:val="0"/>
          <w:marBottom w:val="0"/>
          <w:divBdr>
            <w:top w:val="none" w:sz="0" w:space="0" w:color="auto"/>
            <w:left w:val="none" w:sz="0" w:space="0" w:color="auto"/>
            <w:bottom w:val="none" w:sz="0" w:space="0" w:color="auto"/>
            <w:right w:val="none" w:sz="0" w:space="0" w:color="auto"/>
          </w:divBdr>
        </w:div>
        <w:div w:id="1352414509">
          <w:marLeft w:val="480"/>
          <w:marRight w:val="0"/>
          <w:marTop w:val="0"/>
          <w:marBottom w:val="0"/>
          <w:divBdr>
            <w:top w:val="none" w:sz="0" w:space="0" w:color="auto"/>
            <w:left w:val="none" w:sz="0" w:space="0" w:color="auto"/>
            <w:bottom w:val="none" w:sz="0" w:space="0" w:color="auto"/>
            <w:right w:val="none" w:sz="0" w:space="0" w:color="auto"/>
          </w:divBdr>
        </w:div>
        <w:div w:id="1358897229">
          <w:marLeft w:val="480"/>
          <w:marRight w:val="0"/>
          <w:marTop w:val="0"/>
          <w:marBottom w:val="0"/>
          <w:divBdr>
            <w:top w:val="none" w:sz="0" w:space="0" w:color="auto"/>
            <w:left w:val="none" w:sz="0" w:space="0" w:color="auto"/>
            <w:bottom w:val="none" w:sz="0" w:space="0" w:color="auto"/>
            <w:right w:val="none" w:sz="0" w:space="0" w:color="auto"/>
          </w:divBdr>
        </w:div>
        <w:div w:id="1361395303">
          <w:marLeft w:val="480"/>
          <w:marRight w:val="0"/>
          <w:marTop w:val="0"/>
          <w:marBottom w:val="0"/>
          <w:divBdr>
            <w:top w:val="none" w:sz="0" w:space="0" w:color="auto"/>
            <w:left w:val="none" w:sz="0" w:space="0" w:color="auto"/>
            <w:bottom w:val="none" w:sz="0" w:space="0" w:color="auto"/>
            <w:right w:val="none" w:sz="0" w:space="0" w:color="auto"/>
          </w:divBdr>
        </w:div>
        <w:div w:id="1363746628">
          <w:marLeft w:val="480"/>
          <w:marRight w:val="0"/>
          <w:marTop w:val="0"/>
          <w:marBottom w:val="0"/>
          <w:divBdr>
            <w:top w:val="none" w:sz="0" w:space="0" w:color="auto"/>
            <w:left w:val="none" w:sz="0" w:space="0" w:color="auto"/>
            <w:bottom w:val="none" w:sz="0" w:space="0" w:color="auto"/>
            <w:right w:val="none" w:sz="0" w:space="0" w:color="auto"/>
          </w:divBdr>
        </w:div>
        <w:div w:id="1366562851">
          <w:marLeft w:val="480"/>
          <w:marRight w:val="0"/>
          <w:marTop w:val="0"/>
          <w:marBottom w:val="0"/>
          <w:divBdr>
            <w:top w:val="none" w:sz="0" w:space="0" w:color="auto"/>
            <w:left w:val="none" w:sz="0" w:space="0" w:color="auto"/>
            <w:bottom w:val="none" w:sz="0" w:space="0" w:color="auto"/>
            <w:right w:val="none" w:sz="0" w:space="0" w:color="auto"/>
          </w:divBdr>
        </w:div>
        <w:div w:id="1367411111">
          <w:marLeft w:val="480"/>
          <w:marRight w:val="0"/>
          <w:marTop w:val="0"/>
          <w:marBottom w:val="0"/>
          <w:divBdr>
            <w:top w:val="none" w:sz="0" w:space="0" w:color="auto"/>
            <w:left w:val="none" w:sz="0" w:space="0" w:color="auto"/>
            <w:bottom w:val="none" w:sz="0" w:space="0" w:color="auto"/>
            <w:right w:val="none" w:sz="0" w:space="0" w:color="auto"/>
          </w:divBdr>
        </w:div>
        <w:div w:id="1368675961">
          <w:marLeft w:val="480"/>
          <w:marRight w:val="0"/>
          <w:marTop w:val="0"/>
          <w:marBottom w:val="0"/>
          <w:divBdr>
            <w:top w:val="none" w:sz="0" w:space="0" w:color="auto"/>
            <w:left w:val="none" w:sz="0" w:space="0" w:color="auto"/>
            <w:bottom w:val="none" w:sz="0" w:space="0" w:color="auto"/>
            <w:right w:val="none" w:sz="0" w:space="0" w:color="auto"/>
          </w:divBdr>
        </w:div>
        <w:div w:id="1370376641">
          <w:marLeft w:val="480"/>
          <w:marRight w:val="0"/>
          <w:marTop w:val="0"/>
          <w:marBottom w:val="0"/>
          <w:divBdr>
            <w:top w:val="none" w:sz="0" w:space="0" w:color="auto"/>
            <w:left w:val="none" w:sz="0" w:space="0" w:color="auto"/>
            <w:bottom w:val="none" w:sz="0" w:space="0" w:color="auto"/>
            <w:right w:val="none" w:sz="0" w:space="0" w:color="auto"/>
          </w:divBdr>
        </w:div>
        <w:div w:id="1374698011">
          <w:marLeft w:val="480"/>
          <w:marRight w:val="0"/>
          <w:marTop w:val="0"/>
          <w:marBottom w:val="0"/>
          <w:divBdr>
            <w:top w:val="none" w:sz="0" w:space="0" w:color="auto"/>
            <w:left w:val="none" w:sz="0" w:space="0" w:color="auto"/>
            <w:bottom w:val="none" w:sz="0" w:space="0" w:color="auto"/>
            <w:right w:val="none" w:sz="0" w:space="0" w:color="auto"/>
          </w:divBdr>
        </w:div>
        <w:div w:id="1375620466">
          <w:marLeft w:val="480"/>
          <w:marRight w:val="0"/>
          <w:marTop w:val="0"/>
          <w:marBottom w:val="0"/>
          <w:divBdr>
            <w:top w:val="none" w:sz="0" w:space="0" w:color="auto"/>
            <w:left w:val="none" w:sz="0" w:space="0" w:color="auto"/>
            <w:bottom w:val="none" w:sz="0" w:space="0" w:color="auto"/>
            <w:right w:val="none" w:sz="0" w:space="0" w:color="auto"/>
          </w:divBdr>
        </w:div>
        <w:div w:id="1375733404">
          <w:marLeft w:val="480"/>
          <w:marRight w:val="0"/>
          <w:marTop w:val="0"/>
          <w:marBottom w:val="0"/>
          <w:divBdr>
            <w:top w:val="none" w:sz="0" w:space="0" w:color="auto"/>
            <w:left w:val="none" w:sz="0" w:space="0" w:color="auto"/>
            <w:bottom w:val="none" w:sz="0" w:space="0" w:color="auto"/>
            <w:right w:val="none" w:sz="0" w:space="0" w:color="auto"/>
          </w:divBdr>
        </w:div>
        <w:div w:id="1394697873">
          <w:marLeft w:val="480"/>
          <w:marRight w:val="0"/>
          <w:marTop w:val="0"/>
          <w:marBottom w:val="0"/>
          <w:divBdr>
            <w:top w:val="none" w:sz="0" w:space="0" w:color="auto"/>
            <w:left w:val="none" w:sz="0" w:space="0" w:color="auto"/>
            <w:bottom w:val="none" w:sz="0" w:space="0" w:color="auto"/>
            <w:right w:val="none" w:sz="0" w:space="0" w:color="auto"/>
          </w:divBdr>
        </w:div>
        <w:div w:id="1395271610">
          <w:marLeft w:val="480"/>
          <w:marRight w:val="0"/>
          <w:marTop w:val="0"/>
          <w:marBottom w:val="0"/>
          <w:divBdr>
            <w:top w:val="none" w:sz="0" w:space="0" w:color="auto"/>
            <w:left w:val="none" w:sz="0" w:space="0" w:color="auto"/>
            <w:bottom w:val="none" w:sz="0" w:space="0" w:color="auto"/>
            <w:right w:val="none" w:sz="0" w:space="0" w:color="auto"/>
          </w:divBdr>
        </w:div>
        <w:div w:id="1400596864">
          <w:marLeft w:val="480"/>
          <w:marRight w:val="0"/>
          <w:marTop w:val="0"/>
          <w:marBottom w:val="0"/>
          <w:divBdr>
            <w:top w:val="none" w:sz="0" w:space="0" w:color="auto"/>
            <w:left w:val="none" w:sz="0" w:space="0" w:color="auto"/>
            <w:bottom w:val="none" w:sz="0" w:space="0" w:color="auto"/>
            <w:right w:val="none" w:sz="0" w:space="0" w:color="auto"/>
          </w:divBdr>
        </w:div>
        <w:div w:id="1406758335">
          <w:marLeft w:val="480"/>
          <w:marRight w:val="0"/>
          <w:marTop w:val="0"/>
          <w:marBottom w:val="0"/>
          <w:divBdr>
            <w:top w:val="none" w:sz="0" w:space="0" w:color="auto"/>
            <w:left w:val="none" w:sz="0" w:space="0" w:color="auto"/>
            <w:bottom w:val="none" w:sz="0" w:space="0" w:color="auto"/>
            <w:right w:val="none" w:sz="0" w:space="0" w:color="auto"/>
          </w:divBdr>
        </w:div>
        <w:div w:id="1418600273">
          <w:marLeft w:val="480"/>
          <w:marRight w:val="0"/>
          <w:marTop w:val="0"/>
          <w:marBottom w:val="0"/>
          <w:divBdr>
            <w:top w:val="none" w:sz="0" w:space="0" w:color="auto"/>
            <w:left w:val="none" w:sz="0" w:space="0" w:color="auto"/>
            <w:bottom w:val="none" w:sz="0" w:space="0" w:color="auto"/>
            <w:right w:val="none" w:sz="0" w:space="0" w:color="auto"/>
          </w:divBdr>
        </w:div>
        <w:div w:id="1425607300">
          <w:marLeft w:val="480"/>
          <w:marRight w:val="0"/>
          <w:marTop w:val="0"/>
          <w:marBottom w:val="0"/>
          <w:divBdr>
            <w:top w:val="none" w:sz="0" w:space="0" w:color="auto"/>
            <w:left w:val="none" w:sz="0" w:space="0" w:color="auto"/>
            <w:bottom w:val="none" w:sz="0" w:space="0" w:color="auto"/>
            <w:right w:val="none" w:sz="0" w:space="0" w:color="auto"/>
          </w:divBdr>
        </w:div>
        <w:div w:id="1430664015">
          <w:marLeft w:val="480"/>
          <w:marRight w:val="0"/>
          <w:marTop w:val="0"/>
          <w:marBottom w:val="0"/>
          <w:divBdr>
            <w:top w:val="none" w:sz="0" w:space="0" w:color="auto"/>
            <w:left w:val="none" w:sz="0" w:space="0" w:color="auto"/>
            <w:bottom w:val="none" w:sz="0" w:space="0" w:color="auto"/>
            <w:right w:val="none" w:sz="0" w:space="0" w:color="auto"/>
          </w:divBdr>
        </w:div>
        <w:div w:id="1455559711">
          <w:marLeft w:val="480"/>
          <w:marRight w:val="0"/>
          <w:marTop w:val="0"/>
          <w:marBottom w:val="0"/>
          <w:divBdr>
            <w:top w:val="none" w:sz="0" w:space="0" w:color="auto"/>
            <w:left w:val="none" w:sz="0" w:space="0" w:color="auto"/>
            <w:bottom w:val="none" w:sz="0" w:space="0" w:color="auto"/>
            <w:right w:val="none" w:sz="0" w:space="0" w:color="auto"/>
          </w:divBdr>
        </w:div>
        <w:div w:id="1467626239">
          <w:marLeft w:val="480"/>
          <w:marRight w:val="0"/>
          <w:marTop w:val="0"/>
          <w:marBottom w:val="0"/>
          <w:divBdr>
            <w:top w:val="none" w:sz="0" w:space="0" w:color="auto"/>
            <w:left w:val="none" w:sz="0" w:space="0" w:color="auto"/>
            <w:bottom w:val="none" w:sz="0" w:space="0" w:color="auto"/>
            <w:right w:val="none" w:sz="0" w:space="0" w:color="auto"/>
          </w:divBdr>
        </w:div>
        <w:div w:id="1469979772">
          <w:marLeft w:val="480"/>
          <w:marRight w:val="0"/>
          <w:marTop w:val="0"/>
          <w:marBottom w:val="0"/>
          <w:divBdr>
            <w:top w:val="none" w:sz="0" w:space="0" w:color="auto"/>
            <w:left w:val="none" w:sz="0" w:space="0" w:color="auto"/>
            <w:bottom w:val="none" w:sz="0" w:space="0" w:color="auto"/>
            <w:right w:val="none" w:sz="0" w:space="0" w:color="auto"/>
          </w:divBdr>
        </w:div>
        <w:div w:id="1473328531">
          <w:marLeft w:val="480"/>
          <w:marRight w:val="0"/>
          <w:marTop w:val="0"/>
          <w:marBottom w:val="0"/>
          <w:divBdr>
            <w:top w:val="none" w:sz="0" w:space="0" w:color="auto"/>
            <w:left w:val="none" w:sz="0" w:space="0" w:color="auto"/>
            <w:bottom w:val="none" w:sz="0" w:space="0" w:color="auto"/>
            <w:right w:val="none" w:sz="0" w:space="0" w:color="auto"/>
          </w:divBdr>
        </w:div>
        <w:div w:id="1473599764">
          <w:marLeft w:val="480"/>
          <w:marRight w:val="0"/>
          <w:marTop w:val="0"/>
          <w:marBottom w:val="0"/>
          <w:divBdr>
            <w:top w:val="none" w:sz="0" w:space="0" w:color="auto"/>
            <w:left w:val="none" w:sz="0" w:space="0" w:color="auto"/>
            <w:bottom w:val="none" w:sz="0" w:space="0" w:color="auto"/>
            <w:right w:val="none" w:sz="0" w:space="0" w:color="auto"/>
          </w:divBdr>
        </w:div>
        <w:div w:id="1474450474">
          <w:marLeft w:val="480"/>
          <w:marRight w:val="0"/>
          <w:marTop w:val="0"/>
          <w:marBottom w:val="0"/>
          <w:divBdr>
            <w:top w:val="none" w:sz="0" w:space="0" w:color="auto"/>
            <w:left w:val="none" w:sz="0" w:space="0" w:color="auto"/>
            <w:bottom w:val="none" w:sz="0" w:space="0" w:color="auto"/>
            <w:right w:val="none" w:sz="0" w:space="0" w:color="auto"/>
          </w:divBdr>
        </w:div>
        <w:div w:id="1486504761">
          <w:marLeft w:val="480"/>
          <w:marRight w:val="0"/>
          <w:marTop w:val="0"/>
          <w:marBottom w:val="0"/>
          <w:divBdr>
            <w:top w:val="none" w:sz="0" w:space="0" w:color="auto"/>
            <w:left w:val="none" w:sz="0" w:space="0" w:color="auto"/>
            <w:bottom w:val="none" w:sz="0" w:space="0" w:color="auto"/>
            <w:right w:val="none" w:sz="0" w:space="0" w:color="auto"/>
          </w:divBdr>
        </w:div>
        <w:div w:id="1490630521">
          <w:marLeft w:val="480"/>
          <w:marRight w:val="0"/>
          <w:marTop w:val="0"/>
          <w:marBottom w:val="0"/>
          <w:divBdr>
            <w:top w:val="none" w:sz="0" w:space="0" w:color="auto"/>
            <w:left w:val="none" w:sz="0" w:space="0" w:color="auto"/>
            <w:bottom w:val="none" w:sz="0" w:space="0" w:color="auto"/>
            <w:right w:val="none" w:sz="0" w:space="0" w:color="auto"/>
          </w:divBdr>
        </w:div>
        <w:div w:id="1491143340">
          <w:marLeft w:val="480"/>
          <w:marRight w:val="0"/>
          <w:marTop w:val="0"/>
          <w:marBottom w:val="0"/>
          <w:divBdr>
            <w:top w:val="none" w:sz="0" w:space="0" w:color="auto"/>
            <w:left w:val="none" w:sz="0" w:space="0" w:color="auto"/>
            <w:bottom w:val="none" w:sz="0" w:space="0" w:color="auto"/>
            <w:right w:val="none" w:sz="0" w:space="0" w:color="auto"/>
          </w:divBdr>
        </w:div>
        <w:div w:id="1491672060">
          <w:marLeft w:val="480"/>
          <w:marRight w:val="0"/>
          <w:marTop w:val="0"/>
          <w:marBottom w:val="0"/>
          <w:divBdr>
            <w:top w:val="none" w:sz="0" w:space="0" w:color="auto"/>
            <w:left w:val="none" w:sz="0" w:space="0" w:color="auto"/>
            <w:bottom w:val="none" w:sz="0" w:space="0" w:color="auto"/>
            <w:right w:val="none" w:sz="0" w:space="0" w:color="auto"/>
          </w:divBdr>
        </w:div>
        <w:div w:id="1492479743">
          <w:marLeft w:val="480"/>
          <w:marRight w:val="0"/>
          <w:marTop w:val="0"/>
          <w:marBottom w:val="0"/>
          <w:divBdr>
            <w:top w:val="none" w:sz="0" w:space="0" w:color="auto"/>
            <w:left w:val="none" w:sz="0" w:space="0" w:color="auto"/>
            <w:bottom w:val="none" w:sz="0" w:space="0" w:color="auto"/>
            <w:right w:val="none" w:sz="0" w:space="0" w:color="auto"/>
          </w:divBdr>
        </w:div>
        <w:div w:id="1500151195">
          <w:marLeft w:val="480"/>
          <w:marRight w:val="0"/>
          <w:marTop w:val="0"/>
          <w:marBottom w:val="0"/>
          <w:divBdr>
            <w:top w:val="none" w:sz="0" w:space="0" w:color="auto"/>
            <w:left w:val="none" w:sz="0" w:space="0" w:color="auto"/>
            <w:bottom w:val="none" w:sz="0" w:space="0" w:color="auto"/>
            <w:right w:val="none" w:sz="0" w:space="0" w:color="auto"/>
          </w:divBdr>
        </w:div>
        <w:div w:id="1502768890">
          <w:marLeft w:val="480"/>
          <w:marRight w:val="0"/>
          <w:marTop w:val="0"/>
          <w:marBottom w:val="0"/>
          <w:divBdr>
            <w:top w:val="none" w:sz="0" w:space="0" w:color="auto"/>
            <w:left w:val="none" w:sz="0" w:space="0" w:color="auto"/>
            <w:bottom w:val="none" w:sz="0" w:space="0" w:color="auto"/>
            <w:right w:val="none" w:sz="0" w:space="0" w:color="auto"/>
          </w:divBdr>
        </w:div>
        <w:div w:id="1533765283">
          <w:marLeft w:val="480"/>
          <w:marRight w:val="0"/>
          <w:marTop w:val="0"/>
          <w:marBottom w:val="0"/>
          <w:divBdr>
            <w:top w:val="none" w:sz="0" w:space="0" w:color="auto"/>
            <w:left w:val="none" w:sz="0" w:space="0" w:color="auto"/>
            <w:bottom w:val="none" w:sz="0" w:space="0" w:color="auto"/>
            <w:right w:val="none" w:sz="0" w:space="0" w:color="auto"/>
          </w:divBdr>
        </w:div>
        <w:div w:id="1545941192">
          <w:marLeft w:val="480"/>
          <w:marRight w:val="0"/>
          <w:marTop w:val="0"/>
          <w:marBottom w:val="0"/>
          <w:divBdr>
            <w:top w:val="none" w:sz="0" w:space="0" w:color="auto"/>
            <w:left w:val="none" w:sz="0" w:space="0" w:color="auto"/>
            <w:bottom w:val="none" w:sz="0" w:space="0" w:color="auto"/>
            <w:right w:val="none" w:sz="0" w:space="0" w:color="auto"/>
          </w:divBdr>
        </w:div>
        <w:div w:id="1549414401">
          <w:marLeft w:val="480"/>
          <w:marRight w:val="0"/>
          <w:marTop w:val="0"/>
          <w:marBottom w:val="0"/>
          <w:divBdr>
            <w:top w:val="none" w:sz="0" w:space="0" w:color="auto"/>
            <w:left w:val="none" w:sz="0" w:space="0" w:color="auto"/>
            <w:bottom w:val="none" w:sz="0" w:space="0" w:color="auto"/>
            <w:right w:val="none" w:sz="0" w:space="0" w:color="auto"/>
          </w:divBdr>
        </w:div>
        <w:div w:id="1563251731">
          <w:marLeft w:val="480"/>
          <w:marRight w:val="0"/>
          <w:marTop w:val="0"/>
          <w:marBottom w:val="0"/>
          <w:divBdr>
            <w:top w:val="none" w:sz="0" w:space="0" w:color="auto"/>
            <w:left w:val="none" w:sz="0" w:space="0" w:color="auto"/>
            <w:bottom w:val="none" w:sz="0" w:space="0" w:color="auto"/>
            <w:right w:val="none" w:sz="0" w:space="0" w:color="auto"/>
          </w:divBdr>
        </w:div>
        <w:div w:id="1570264087">
          <w:marLeft w:val="480"/>
          <w:marRight w:val="0"/>
          <w:marTop w:val="0"/>
          <w:marBottom w:val="0"/>
          <w:divBdr>
            <w:top w:val="none" w:sz="0" w:space="0" w:color="auto"/>
            <w:left w:val="none" w:sz="0" w:space="0" w:color="auto"/>
            <w:bottom w:val="none" w:sz="0" w:space="0" w:color="auto"/>
            <w:right w:val="none" w:sz="0" w:space="0" w:color="auto"/>
          </w:divBdr>
        </w:div>
        <w:div w:id="1570993654">
          <w:marLeft w:val="480"/>
          <w:marRight w:val="0"/>
          <w:marTop w:val="0"/>
          <w:marBottom w:val="0"/>
          <w:divBdr>
            <w:top w:val="none" w:sz="0" w:space="0" w:color="auto"/>
            <w:left w:val="none" w:sz="0" w:space="0" w:color="auto"/>
            <w:bottom w:val="none" w:sz="0" w:space="0" w:color="auto"/>
            <w:right w:val="none" w:sz="0" w:space="0" w:color="auto"/>
          </w:divBdr>
        </w:div>
        <w:div w:id="1571190490">
          <w:marLeft w:val="480"/>
          <w:marRight w:val="0"/>
          <w:marTop w:val="0"/>
          <w:marBottom w:val="0"/>
          <w:divBdr>
            <w:top w:val="none" w:sz="0" w:space="0" w:color="auto"/>
            <w:left w:val="none" w:sz="0" w:space="0" w:color="auto"/>
            <w:bottom w:val="none" w:sz="0" w:space="0" w:color="auto"/>
            <w:right w:val="none" w:sz="0" w:space="0" w:color="auto"/>
          </w:divBdr>
        </w:div>
        <w:div w:id="1580870264">
          <w:marLeft w:val="480"/>
          <w:marRight w:val="0"/>
          <w:marTop w:val="0"/>
          <w:marBottom w:val="0"/>
          <w:divBdr>
            <w:top w:val="none" w:sz="0" w:space="0" w:color="auto"/>
            <w:left w:val="none" w:sz="0" w:space="0" w:color="auto"/>
            <w:bottom w:val="none" w:sz="0" w:space="0" w:color="auto"/>
            <w:right w:val="none" w:sz="0" w:space="0" w:color="auto"/>
          </w:divBdr>
        </w:div>
        <w:div w:id="1590851759">
          <w:marLeft w:val="480"/>
          <w:marRight w:val="0"/>
          <w:marTop w:val="0"/>
          <w:marBottom w:val="0"/>
          <w:divBdr>
            <w:top w:val="none" w:sz="0" w:space="0" w:color="auto"/>
            <w:left w:val="none" w:sz="0" w:space="0" w:color="auto"/>
            <w:bottom w:val="none" w:sz="0" w:space="0" w:color="auto"/>
            <w:right w:val="none" w:sz="0" w:space="0" w:color="auto"/>
          </w:divBdr>
        </w:div>
        <w:div w:id="1593583027">
          <w:marLeft w:val="480"/>
          <w:marRight w:val="0"/>
          <w:marTop w:val="0"/>
          <w:marBottom w:val="0"/>
          <w:divBdr>
            <w:top w:val="none" w:sz="0" w:space="0" w:color="auto"/>
            <w:left w:val="none" w:sz="0" w:space="0" w:color="auto"/>
            <w:bottom w:val="none" w:sz="0" w:space="0" w:color="auto"/>
            <w:right w:val="none" w:sz="0" w:space="0" w:color="auto"/>
          </w:divBdr>
        </w:div>
        <w:div w:id="1594322040">
          <w:marLeft w:val="480"/>
          <w:marRight w:val="0"/>
          <w:marTop w:val="0"/>
          <w:marBottom w:val="0"/>
          <w:divBdr>
            <w:top w:val="none" w:sz="0" w:space="0" w:color="auto"/>
            <w:left w:val="none" w:sz="0" w:space="0" w:color="auto"/>
            <w:bottom w:val="none" w:sz="0" w:space="0" w:color="auto"/>
            <w:right w:val="none" w:sz="0" w:space="0" w:color="auto"/>
          </w:divBdr>
        </w:div>
        <w:div w:id="1598322763">
          <w:marLeft w:val="480"/>
          <w:marRight w:val="0"/>
          <w:marTop w:val="0"/>
          <w:marBottom w:val="0"/>
          <w:divBdr>
            <w:top w:val="none" w:sz="0" w:space="0" w:color="auto"/>
            <w:left w:val="none" w:sz="0" w:space="0" w:color="auto"/>
            <w:bottom w:val="none" w:sz="0" w:space="0" w:color="auto"/>
            <w:right w:val="none" w:sz="0" w:space="0" w:color="auto"/>
          </w:divBdr>
        </w:div>
        <w:div w:id="1610895127">
          <w:marLeft w:val="480"/>
          <w:marRight w:val="0"/>
          <w:marTop w:val="0"/>
          <w:marBottom w:val="0"/>
          <w:divBdr>
            <w:top w:val="none" w:sz="0" w:space="0" w:color="auto"/>
            <w:left w:val="none" w:sz="0" w:space="0" w:color="auto"/>
            <w:bottom w:val="none" w:sz="0" w:space="0" w:color="auto"/>
            <w:right w:val="none" w:sz="0" w:space="0" w:color="auto"/>
          </w:divBdr>
        </w:div>
        <w:div w:id="1620910298">
          <w:marLeft w:val="480"/>
          <w:marRight w:val="0"/>
          <w:marTop w:val="0"/>
          <w:marBottom w:val="0"/>
          <w:divBdr>
            <w:top w:val="none" w:sz="0" w:space="0" w:color="auto"/>
            <w:left w:val="none" w:sz="0" w:space="0" w:color="auto"/>
            <w:bottom w:val="none" w:sz="0" w:space="0" w:color="auto"/>
            <w:right w:val="none" w:sz="0" w:space="0" w:color="auto"/>
          </w:divBdr>
        </w:div>
        <w:div w:id="1630353355">
          <w:marLeft w:val="480"/>
          <w:marRight w:val="0"/>
          <w:marTop w:val="0"/>
          <w:marBottom w:val="0"/>
          <w:divBdr>
            <w:top w:val="none" w:sz="0" w:space="0" w:color="auto"/>
            <w:left w:val="none" w:sz="0" w:space="0" w:color="auto"/>
            <w:bottom w:val="none" w:sz="0" w:space="0" w:color="auto"/>
            <w:right w:val="none" w:sz="0" w:space="0" w:color="auto"/>
          </w:divBdr>
        </w:div>
        <w:div w:id="1635982236">
          <w:marLeft w:val="480"/>
          <w:marRight w:val="0"/>
          <w:marTop w:val="0"/>
          <w:marBottom w:val="0"/>
          <w:divBdr>
            <w:top w:val="none" w:sz="0" w:space="0" w:color="auto"/>
            <w:left w:val="none" w:sz="0" w:space="0" w:color="auto"/>
            <w:bottom w:val="none" w:sz="0" w:space="0" w:color="auto"/>
            <w:right w:val="none" w:sz="0" w:space="0" w:color="auto"/>
          </w:divBdr>
        </w:div>
        <w:div w:id="1655834044">
          <w:marLeft w:val="480"/>
          <w:marRight w:val="0"/>
          <w:marTop w:val="0"/>
          <w:marBottom w:val="0"/>
          <w:divBdr>
            <w:top w:val="none" w:sz="0" w:space="0" w:color="auto"/>
            <w:left w:val="none" w:sz="0" w:space="0" w:color="auto"/>
            <w:bottom w:val="none" w:sz="0" w:space="0" w:color="auto"/>
            <w:right w:val="none" w:sz="0" w:space="0" w:color="auto"/>
          </w:divBdr>
        </w:div>
        <w:div w:id="1663461670">
          <w:marLeft w:val="480"/>
          <w:marRight w:val="0"/>
          <w:marTop w:val="0"/>
          <w:marBottom w:val="0"/>
          <w:divBdr>
            <w:top w:val="none" w:sz="0" w:space="0" w:color="auto"/>
            <w:left w:val="none" w:sz="0" w:space="0" w:color="auto"/>
            <w:bottom w:val="none" w:sz="0" w:space="0" w:color="auto"/>
            <w:right w:val="none" w:sz="0" w:space="0" w:color="auto"/>
          </w:divBdr>
        </w:div>
        <w:div w:id="1664579320">
          <w:marLeft w:val="480"/>
          <w:marRight w:val="0"/>
          <w:marTop w:val="0"/>
          <w:marBottom w:val="0"/>
          <w:divBdr>
            <w:top w:val="none" w:sz="0" w:space="0" w:color="auto"/>
            <w:left w:val="none" w:sz="0" w:space="0" w:color="auto"/>
            <w:bottom w:val="none" w:sz="0" w:space="0" w:color="auto"/>
            <w:right w:val="none" w:sz="0" w:space="0" w:color="auto"/>
          </w:divBdr>
        </w:div>
        <w:div w:id="1664967028">
          <w:marLeft w:val="480"/>
          <w:marRight w:val="0"/>
          <w:marTop w:val="0"/>
          <w:marBottom w:val="0"/>
          <w:divBdr>
            <w:top w:val="none" w:sz="0" w:space="0" w:color="auto"/>
            <w:left w:val="none" w:sz="0" w:space="0" w:color="auto"/>
            <w:bottom w:val="none" w:sz="0" w:space="0" w:color="auto"/>
            <w:right w:val="none" w:sz="0" w:space="0" w:color="auto"/>
          </w:divBdr>
        </w:div>
        <w:div w:id="1667124278">
          <w:marLeft w:val="480"/>
          <w:marRight w:val="0"/>
          <w:marTop w:val="0"/>
          <w:marBottom w:val="0"/>
          <w:divBdr>
            <w:top w:val="none" w:sz="0" w:space="0" w:color="auto"/>
            <w:left w:val="none" w:sz="0" w:space="0" w:color="auto"/>
            <w:bottom w:val="none" w:sz="0" w:space="0" w:color="auto"/>
            <w:right w:val="none" w:sz="0" w:space="0" w:color="auto"/>
          </w:divBdr>
        </w:div>
        <w:div w:id="1668440844">
          <w:marLeft w:val="480"/>
          <w:marRight w:val="0"/>
          <w:marTop w:val="0"/>
          <w:marBottom w:val="0"/>
          <w:divBdr>
            <w:top w:val="none" w:sz="0" w:space="0" w:color="auto"/>
            <w:left w:val="none" w:sz="0" w:space="0" w:color="auto"/>
            <w:bottom w:val="none" w:sz="0" w:space="0" w:color="auto"/>
            <w:right w:val="none" w:sz="0" w:space="0" w:color="auto"/>
          </w:divBdr>
        </w:div>
        <w:div w:id="1675497916">
          <w:marLeft w:val="480"/>
          <w:marRight w:val="0"/>
          <w:marTop w:val="0"/>
          <w:marBottom w:val="0"/>
          <w:divBdr>
            <w:top w:val="none" w:sz="0" w:space="0" w:color="auto"/>
            <w:left w:val="none" w:sz="0" w:space="0" w:color="auto"/>
            <w:bottom w:val="none" w:sz="0" w:space="0" w:color="auto"/>
            <w:right w:val="none" w:sz="0" w:space="0" w:color="auto"/>
          </w:divBdr>
        </w:div>
        <w:div w:id="1676374704">
          <w:marLeft w:val="480"/>
          <w:marRight w:val="0"/>
          <w:marTop w:val="0"/>
          <w:marBottom w:val="0"/>
          <w:divBdr>
            <w:top w:val="none" w:sz="0" w:space="0" w:color="auto"/>
            <w:left w:val="none" w:sz="0" w:space="0" w:color="auto"/>
            <w:bottom w:val="none" w:sz="0" w:space="0" w:color="auto"/>
            <w:right w:val="none" w:sz="0" w:space="0" w:color="auto"/>
          </w:divBdr>
        </w:div>
        <w:div w:id="1691829728">
          <w:marLeft w:val="480"/>
          <w:marRight w:val="0"/>
          <w:marTop w:val="0"/>
          <w:marBottom w:val="0"/>
          <w:divBdr>
            <w:top w:val="none" w:sz="0" w:space="0" w:color="auto"/>
            <w:left w:val="none" w:sz="0" w:space="0" w:color="auto"/>
            <w:bottom w:val="none" w:sz="0" w:space="0" w:color="auto"/>
            <w:right w:val="none" w:sz="0" w:space="0" w:color="auto"/>
          </w:divBdr>
        </w:div>
        <w:div w:id="1691879179">
          <w:marLeft w:val="480"/>
          <w:marRight w:val="0"/>
          <w:marTop w:val="0"/>
          <w:marBottom w:val="0"/>
          <w:divBdr>
            <w:top w:val="none" w:sz="0" w:space="0" w:color="auto"/>
            <w:left w:val="none" w:sz="0" w:space="0" w:color="auto"/>
            <w:bottom w:val="none" w:sz="0" w:space="0" w:color="auto"/>
            <w:right w:val="none" w:sz="0" w:space="0" w:color="auto"/>
          </w:divBdr>
        </w:div>
        <w:div w:id="1700160308">
          <w:marLeft w:val="480"/>
          <w:marRight w:val="0"/>
          <w:marTop w:val="0"/>
          <w:marBottom w:val="0"/>
          <w:divBdr>
            <w:top w:val="none" w:sz="0" w:space="0" w:color="auto"/>
            <w:left w:val="none" w:sz="0" w:space="0" w:color="auto"/>
            <w:bottom w:val="none" w:sz="0" w:space="0" w:color="auto"/>
            <w:right w:val="none" w:sz="0" w:space="0" w:color="auto"/>
          </w:divBdr>
        </w:div>
        <w:div w:id="1700279330">
          <w:marLeft w:val="480"/>
          <w:marRight w:val="0"/>
          <w:marTop w:val="0"/>
          <w:marBottom w:val="0"/>
          <w:divBdr>
            <w:top w:val="none" w:sz="0" w:space="0" w:color="auto"/>
            <w:left w:val="none" w:sz="0" w:space="0" w:color="auto"/>
            <w:bottom w:val="none" w:sz="0" w:space="0" w:color="auto"/>
            <w:right w:val="none" w:sz="0" w:space="0" w:color="auto"/>
          </w:divBdr>
        </w:div>
        <w:div w:id="1701124145">
          <w:marLeft w:val="480"/>
          <w:marRight w:val="0"/>
          <w:marTop w:val="0"/>
          <w:marBottom w:val="0"/>
          <w:divBdr>
            <w:top w:val="none" w:sz="0" w:space="0" w:color="auto"/>
            <w:left w:val="none" w:sz="0" w:space="0" w:color="auto"/>
            <w:bottom w:val="none" w:sz="0" w:space="0" w:color="auto"/>
            <w:right w:val="none" w:sz="0" w:space="0" w:color="auto"/>
          </w:divBdr>
        </w:div>
        <w:div w:id="1714231932">
          <w:marLeft w:val="480"/>
          <w:marRight w:val="0"/>
          <w:marTop w:val="0"/>
          <w:marBottom w:val="0"/>
          <w:divBdr>
            <w:top w:val="none" w:sz="0" w:space="0" w:color="auto"/>
            <w:left w:val="none" w:sz="0" w:space="0" w:color="auto"/>
            <w:bottom w:val="none" w:sz="0" w:space="0" w:color="auto"/>
            <w:right w:val="none" w:sz="0" w:space="0" w:color="auto"/>
          </w:divBdr>
        </w:div>
        <w:div w:id="1720789007">
          <w:marLeft w:val="480"/>
          <w:marRight w:val="0"/>
          <w:marTop w:val="0"/>
          <w:marBottom w:val="0"/>
          <w:divBdr>
            <w:top w:val="none" w:sz="0" w:space="0" w:color="auto"/>
            <w:left w:val="none" w:sz="0" w:space="0" w:color="auto"/>
            <w:bottom w:val="none" w:sz="0" w:space="0" w:color="auto"/>
            <w:right w:val="none" w:sz="0" w:space="0" w:color="auto"/>
          </w:divBdr>
        </w:div>
        <w:div w:id="1724133926">
          <w:marLeft w:val="480"/>
          <w:marRight w:val="0"/>
          <w:marTop w:val="0"/>
          <w:marBottom w:val="0"/>
          <w:divBdr>
            <w:top w:val="none" w:sz="0" w:space="0" w:color="auto"/>
            <w:left w:val="none" w:sz="0" w:space="0" w:color="auto"/>
            <w:bottom w:val="none" w:sz="0" w:space="0" w:color="auto"/>
            <w:right w:val="none" w:sz="0" w:space="0" w:color="auto"/>
          </w:divBdr>
        </w:div>
        <w:div w:id="1726221637">
          <w:marLeft w:val="480"/>
          <w:marRight w:val="0"/>
          <w:marTop w:val="0"/>
          <w:marBottom w:val="0"/>
          <w:divBdr>
            <w:top w:val="none" w:sz="0" w:space="0" w:color="auto"/>
            <w:left w:val="none" w:sz="0" w:space="0" w:color="auto"/>
            <w:bottom w:val="none" w:sz="0" w:space="0" w:color="auto"/>
            <w:right w:val="none" w:sz="0" w:space="0" w:color="auto"/>
          </w:divBdr>
        </w:div>
        <w:div w:id="1728187477">
          <w:marLeft w:val="480"/>
          <w:marRight w:val="0"/>
          <w:marTop w:val="0"/>
          <w:marBottom w:val="0"/>
          <w:divBdr>
            <w:top w:val="none" w:sz="0" w:space="0" w:color="auto"/>
            <w:left w:val="none" w:sz="0" w:space="0" w:color="auto"/>
            <w:bottom w:val="none" w:sz="0" w:space="0" w:color="auto"/>
            <w:right w:val="none" w:sz="0" w:space="0" w:color="auto"/>
          </w:divBdr>
        </w:div>
        <w:div w:id="1728258444">
          <w:marLeft w:val="480"/>
          <w:marRight w:val="0"/>
          <w:marTop w:val="0"/>
          <w:marBottom w:val="0"/>
          <w:divBdr>
            <w:top w:val="none" w:sz="0" w:space="0" w:color="auto"/>
            <w:left w:val="none" w:sz="0" w:space="0" w:color="auto"/>
            <w:bottom w:val="none" w:sz="0" w:space="0" w:color="auto"/>
            <w:right w:val="none" w:sz="0" w:space="0" w:color="auto"/>
          </w:divBdr>
        </w:div>
        <w:div w:id="1745571145">
          <w:marLeft w:val="480"/>
          <w:marRight w:val="0"/>
          <w:marTop w:val="0"/>
          <w:marBottom w:val="0"/>
          <w:divBdr>
            <w:top w:val="none" w:sz="0" w:space="0" w:color="auto"/>
            <w:left w:val="none" w:sz="0" w:space="0" w:color="auto"/>
            <w:bottom w:val="none" w:sz="0" w:space="0" w:color="auto"/>
            <w:right w:val="none" w:sz="0" w:space="0" w:color="auto"/>
          </w:divBdr>
        </w:div>
        <w:div w:id="1748720295">
          <w:marLeft w:val="480"/>
          <w:marRight w:val="0"/>
          <w:marTop w:val="0"/>
          <w:marBottom w:val="0"/>
          <w:divBdr>
            <w:top w:val="none" w:sz="0" w:space="0" w:color="auto"/>
            <w:left w:val="none" w:sz="0" w:space="0" w:color="auto"/>
            <w:bottom w:val="none" w:sz="0" w:space="0" w:color="auto"/>
            <w:right w:val="none" w:sz="0" w:space="0" w:color="auto"/>
          </w:divBdr>
        </w:div>
        <w:div w:id="1749694540">
          <w:marLeft w:val="480"/>
          <w:marRight w:val="0"/>
          <w:marTop w:val="0"/>
          <w:marBottom w:val="0"/>
          <w:divBdr>
            <w:top w:val="none" w:sz="0" w:space="0" w:color="auto"/>
            <w:left w:val="none" w:sz="0" w:space="0" w:color="auto"/>
            <w:bottom w:val="none" w:sz="0" w:space="0" w:color="auto"/>
            <w:right w:val="none" w:sz="0" w:space="0" w:color="auto"/>
          </w:divBdr>
        </w:div>
        <w:div w:id="1750030880">
          <w:marLeft w:val="480"/>
          <w:marRight w:val="0"/>
          <w:marTop w:val="0"/>
          <w:marBottom w:val="0"/>
          <w:divBdr>
            <w:top w:val="none" w:sz="0" w:space="0" w:color="auto"/>
            <w:left w:val="none" w:sz="0" w:space="0" w:color="auto"/>
            <w:bottom w:val="none" w:sz="0" w:space="0" w:color="auto"/>
            <w:right w:val="none" w:sz="0" w:space="0" w:color="auto"/>
          </w:divBdr>
        </w:div>
        <w:div w:id="1750344961">
          <w:marLeft w:val="480"/>
          <w:marRight w:val="0"/>
          <w:marTop w:val="0"/>
          <w:marBottom w:val="0"/>
          <w:divBdr>
            <w:top w:val="none" w:sz="0" w:space="0" w:color="auto"/>
            <w:left w:val="none" w:sz="0" w:space="0" w:color="auto"/>
            <w:bottom w:val="none" w:sz="0" w:space="0" w:color="auto"/>
            <w:right w:val="none" w:sz="0" w:space="0" w:color="auto"/>
          </w:divBdr>
        </w:div>
        <w:div w:id="1752579951">
          <w:marLeft w:val="480"/>
          <w:marRight w:val="0"/>
          <w:marTop w:val="0"/>
          <w:marBottom w:val="0"/>
          <w:divBdr>
            <w:top w:val="none" w:sz="0" w:space="0" w:color="auto"/>
            <w:left w:val="none" w:sz="0" w:space="0" w:color="auto"/>
            <w:bottom w:val="none" w:sz="0" w:space="0" w:color="auto"/>
            <w:right w:val="none" w:sz="0" w:space="0" w:color="auto"/>
          </w:divBdr>
        </w:div>
        <w:div w:id="1763404858">
          <w:marLeft w:val="480"/>
          <w:marRight w:val="0"/>
          <w:marTop w:val="0"/>
          <w:marBottom w:val="0"/>
          <w:divBdr>
            <w:top w:val="none" w:sz="0" w:space="0" w:color="auto"/>
            <w:left w:val="none" w:sz="0" w:space="0" w:color="auto"/>
            <w:bottom w:val="none" w:sz="0" w:space="0" w:color="auto"/>
            <w:right w:val="none" w:sz="0" w:space="0" w:color="auto"/>
          </w:divBdr>
        </w:div>
        <w:div w:id="1764522747">
          <w:marLeft w:val="480"/>
          <w:marRight w:val="0"/>
          <w:marTop w:val="0"/>
          <w:marBottom w:val="0"/>
          <w:divBdr>
            <w:top w:val="none" w:sz="0" w:space="0" w:color="auto"/>
            <w:left w:val="none" w:sz="0" w:space="0" w:color="auto"/>
            <w:bottom w:val="none" w:sz="0" w:space="0" w:color="auto"/>
            <w:right w:val="none" w:sz="0" w:space="0" w:color="auto"/>
          </w:divBdr>
        </w:div>
        <w:div w:id="1767114569">
          <w:marLeft w:val="480"/>
          <w:marRight w:val="0"/>
          <w:marTop w:val="0"/>
          <w:marBottom w:val="0"/>
          <w:divBdr>
            <w:top w:val="none" w:sz="0" w:space="0" w:color="auto"/>
            <w:left w:val="none" w:sz="0" w:space="0" w:color="auto"/>
            <w:bottom w:val="none" w:sz="0" w:space="0" w:color="auto"/>
            <w:right w:val="none" w:sz="0" w:space="0" w:color="auto"/>
          </w:divBdr>
        </w:div>
        <w:div w:id="1769352069">
          <w:marLeft w:val="480"/>
          <w:marRight w:val="0"/>
          <w:marTop w:val="0"/>
          <w:marBottom w:val="0"/>
          <w:divBdr>
            <w:top w:val="none" w:sz="0" w:space="0" w:color="auto"/>
            <w:left w:val="none" w:sz="0" w:space="0" w:color="auto"/>
            <w:bottom w:val="none" w:sz="0" w:space="0" w:color="auto"/>
            <w:right w:val="none" w:sz="0" w:space="0" w:color="auto"/>
          </w:divBdr>
        </w:div>
        <w:div w:id="1770080094">
          <w:marLeft w:val="480"/>
          <w:marRight w:val="0"/>
          <w:marTop w:val="0"/>
          <w:marBottom w:val="0"/>
          <w:divBdr>
            <w:top w:val="none" w:sz="0" w:space="0" w:color="auto"/>
            <w:left w:val="none" w:sz="0" w:space="0" w:color="auto"/>
            <w:bottom w:val="none" w:sz="0" w:space="0" w:color="auto"/>
            <w:right w:val="none" w:sz="0" w:space="0" w:color="auto"/>
          </w:divBdr>
        </w:div>
        <w:div w:id="1770814584">
          <w:marLeft w:val="480"/>
          <w:marRight w:val="0"/>
          <w:marTop w:val="0"/>
          <w:marBottom w:val="0"/>
          <w:divBdr>
            <w:top w:val="none" w:sz="0" w:space="0" w:color="auto"/>
            <w:left w:val="none" w:sz="0" w:space="0" w:color="auto"/>
            <w:bottom w:val="none" w:sz="0" w:space="0" w:color="auto"/>
            <w:right w:val="none" w:sz="0" w:space="0" w:color="auto"/>
          </w:divBdr>
        </w:div>
        <w:div w:id="1776095044">
          <w:marLeft w:val="480"/>
          <w:marRight w:val="0"/>
          <w:marTop w:val="0"/>
          <w:marBottom w:val="0"/>
          <w:divBdr>
            <w:top w:val="none" w:sz="0" w:space="0" w:color="auto"/>
            <w:left w:val="none" w:sz="0" w:space="0" w:color="auto"/>
            <w:bottom w:val="none" w:sz="0" w:space="0" w:color="auto"/>
            <w:right w:val="none" w:sz="0" w:space="0" w:color="auto"/>
          </w:divBdr>
        </w:div>
        <w:div w:id="1780875391">
          <w:marLeft w:val="480"/>
          <w:marRight w:val="0"/>
          <w:marTop w:val="0"/>
          <w:marBottom w:val="0"/>
          <w:divBdr>
            <w:top w:val="none" w:sz="0" w:space="0" w:color="auto"/>
            <w:left w:val="none" w:sz="0" w:space="0" w:color="auto"/>
            <w:bottom w:val="none" w:sz="0" w:space="0" w:color="auto"/>
            <w:right w:val="none" w:sz="0" w:space="0" w:color="auto"/>
          </w:divBdr>
        </w:div>
        <w:div w:id="1784616715">
          <w:marLeft w:val="480"/>
          <w:marRight w:val="0"/>
          <w:marTop w:val="0"/>
          <w:marBottom w:val="0"/>
          <w:divBdr>
            <w:top w:val="none" w:sz="0" w:space="0" w:color="auto"/>
            <w:left w:val="none" w:sz="0" w:space="0" w:color="auto"/>
            <w:bottom w:val="none" w:sz="0" w:space="0" w:color="auto"/>
            <w:right w:val="none" w:sz="0" w:space="0" w:color="auto"/>
          </w:divBdr>
        </w:div>
        <w:div w:id="1785953549">
          <w:marLeft w:val="480"/>
          <w:marRight w:val="0"/>
          <w:marTop w:val="0"/>
          <w:marBottom w:val="0"/>
          <w:divBdr>
            <w:top w:val="none" w:sz="0" w:space="0" w:color="auto"/>
            <w:left w:val="none" w:sz="0" w:space="0" w:color="auto"/>
            <w:bottom w:val="none" w:sz="0" w:space="0" w:color="auto"/>
            <w:right w:val="none" w:sz="0" w:space="0" w:color="auto"/>
          </w:divBdr>
        </w:div>
        <w:div w:id="1788772296">
          <w:marLeft w:val="480"/>
          <w:marRight w:val="0"/>
          <w:marTop w:val="0"/>
          <w:marBottom w:val="0"/>
          <w:divBdr>
            <w:top w:val="none" w:sz="0" w:space="0" w:color="auto"/>
            <w:left w:val="none" w:sz="0" w:space="0" w:color="auto"/>
            <w:bottom w:val="none" w:sz="0" w:space="0" w:color="auto"/>
            <w:right w:val="none" w:sz="0" w:space="0" w:color="auto"/>
          </w:divBdr>
        </w:div>
        <w:div w:id="1788891044">
          <w:marLeft w:val="480"/>
          <w:marRight w:val="0"/>
          <w:marTop w:val="0"/>
          <w:marBottom w:val="0"/>
          <w:divBdr>
            <w:top w:val="none" w:sz="0" w:space="0" w:color="auto"/>
            <w:left w:val="none" w:sz="0" w:space="0" w:color="auto"/>
            <w:bottom w:val="none" w:sz="0" w:space="0" w:color="auto"/>
            <w:right w:val="none" w:sz="0" w:space="0" w:color="auto"/>
          </w:divBdr>
        </w:div>
        <w:div w:id="1790662801">
          <w:marLeft w:val="480"/>
          <w:marRight w:val="0"/>
          <w:marTop w:val="0"/>
          <w:marBottom w:val="0"/>
          <w:divBdr>
            <w:top w:val="none" w:sz="0" w:space="0" w:color="auto"/>
            <w:left w:val="none" w:sz="0" w:space="0" w:color="auto"/>
            <w:bottom w:val="none" w:sz="0" w:space="0" w:color="auto"/>
            <w:right w:val="none" w:sz="0" w:space="0" w:color="auto"/>
          </w:divBdr>
        </w:div>
        <w:div w:id="1794909805">
          <w:marLeft w:val="480"/>
          <w:marRight w:val="0"/>
          <w:marTop w:val="0"/>
          <w:marBottom w:val="0"/>
          <w:divBdr>
            <w:top w:val="none" w:sz="0" w:space="0" w:color="auto"/>
            <w:left w:val="none" w:sz="0" w:space="0" w:color="auto"/>
            <w:bottom w:val="none" w:sz="0" w:space="0" w:color="auto"/>
            <w:right w:val="none" w:sz="0" w:space="0" w:color="auto"/>
          </w:divBdr>
        </w:div>
        <w:div w:id="1798184377">
          <w:marLeft w:val="480"/>
          <w:marRight w:val="0"/>
          <w:marTop w:val="0"/>
          <w:marBottom w:val="0"/>
          <w:divBdr>
            <w:top w:val="none" w:sz="0" w:space="0" w:color="auto"/>
            <w:left w:val="none" w:sz="0" w:space="0" w:color="auto"/>
            <w:bottom w:val="none" w:sz="0" w:space="0" w:color="auto"/>
            <w:right w:val="none" w:sz="0" w:space="0" w:color="auto"/>
          </w:divBdr>
        </w:div>
        <w:div w:id="1799568240">
          <w:marLeft w:val="480"/>
          <w:marRight w:val="0"/>
          <w:marTop w:val="0"/>
          <w:marBottom w:val="0"/>
          <w:divBdr>
            <w:top w:val="none" w:sz="0" w:space="0" w:color="auto"/>
            <w:left w:val="none" w:sz="0" w:space="0" w:color="auto"/>
            <w:bottom w:val="none" w:sz="0" w:space="0" w:color="auto"/>
            <w:right w:val="none" w:sz="0" w:space="0" w:color="auto"/>
          </w:divBdr>
        </w:div>
        <w:div w:id="1808472482">
          <w:marLeft w:val="480"/>
          <w:marRight w:val="0"/>
          <w:marTop w:val="0"/>
          <w:marBottom w:val="0"/>
          <w:divBdr>
            <w:top w:val="none" w:sz="0" w:space="0" w:color="auto"/>
            <w:left w:val="none" w:sz="0" w:space="0" w:color="auto"/>
            <w:bottom w:val="none" w:sz="0" w:space="0" w:color="auto"/>
            <w:right w:val="none" w:sz="0" w:space="0" w:color="auto"/>
          </w:divBdr>
        </w:div>
        <w:div w:id="1809780733">
          <w:marLeft w:val="480"/>
          <w:marRight w:val="0"/>
          <w:marTop w:val="0"/>
          <w:marBottom w:val="0"/>
          <w:divBdr>
            <w:top w:val="none" w:sz="0" w:space="0" w:color="auto"/>
            <w:left w:val="none" w:sz="0" w:space="0" w:color="auto"/>
            <w:bottom w:val="none" w:sz="0" w:space="0" w:color="auto"/>
            <w:right w:val="none" w:sz="0" w:space="0" w:color="auto"/>
          </w:divBdr>
        </w:div>
        <w:div w:id="1810322843">
          <w:marLeft w:val="480"/>
          <w:marRight w:val="0"/>
          <w:marTop w:val="0"/>
          <w:marBottom w:val="0"/>
          <w:divBdr>
            <w:top w:val="none" w:sz="0" w:space="0" w:color="auto"/>
            <w:left w:val="none" w:sz="0" w:space="0" w:color="auto"/>
            <w:bottom w:val="none" w:sz="0" w:space="0" w:color="auto"/>
            <w:right w:val="none" w:sz="0" w:space="0" w:color="auto"/>
          </w:divBdr>
        </w:div>
        <w:div w:id="1810394396">
          <w:marLeft w:val="480"/>
          <w:marRight w:val="0"/>
          <w:marTop w:val="0"/>
          <w:marBottom w:val="0"/>
          <w:divBdr>
            <w:top w:val="none" w:sz="0" w:space="0" w:color="auto"/>
            <w:left w:val="none" w:sz="0" w:space="0" w:color="auto"/>
            <w:bottom w:val="none" w:sz="0" w:space="0" w:color="auto"/>
            <w:right w:val="none" w:sz="0" w:space="0" w:color="auto"/>
          </w:divBdr>
        </w:div>
        <w:div w:id="1811290549">
          <w:marLeft w:val="480"/>
          <w:marRight w:val="0"/>
          <w:marTop w:val="0"/>
          <w:marBottom w:val="0"/>
          <w:divBdr>
            <w:top w:val="none" w:sz="0" w:space="0" w:color="auto"/>
            <w:left w:val="none" w:sz="0" w:space="0" w:color="auto"/>
            <w:bottom w:val="none" w:sz="0" w:space="0" w:color="auto"/>
            <w:right w:val="none" w:sz="0" w:space="0" w:color="auto"/>
          </w:divBdr>
        </w:div>
        <w:div w:id="1817331835">
          <w:marLeft w:val="480"/>
          <w:marRight w:val="0"/>
          <w:marTop w:val="0"/>
          <w:marBottom w:val="0"/>
          <w:divBdr>
            <w:top w:val="none" w:sz="0" w:space="0" w:color="auto"/>
            <w:left w:val="none" w:sz="0" w:space="0" w:color="auto"/>
            <w:bottom w:val="none" w:sz="0" w:space="0" w:color="auto"/>
            <w:right w:val="none" w:sz="0" w:space="0" w:color="auto"/>
          </w:divBdr>
        </w:div>
        <w:div w:id="1823496369">
          <w:marLeft w:val="480"/>
          <w:marRight w:val="0"/>
          <w:marTop w:val="0"/>
          <w:marBottom w:val="0"/>
          <w:divBdr>
            <w:top w:val="none" w:sz="0" w:space="0" w:color="auto"/>
            <w:left w:val="none" w:sz="0" w:space="0" w:color="auto"/>
            <w:bottom w:val="none" w:sz="0" w:space="0" w:color="auto"/>
            <w:right w:val="none" w:sz="0" w:space="0" w:color="auto"/>
          </w:divBdr>
        </w:div>
        <w:div w:id="1829052615">
          <w:marLeft w:val="480"/>
          <w:marRight w:val="0"/>
          <w:marTop w:val="0"/>
          <w:marBottom w:val="0"/>
          <w:divBdr>
            <w:top w:val="none" w:sz="0" w:space="0" w:color="auto"/>
            <w:left w:val="none" w:sz="0" w:space="0" w:color="auto"/>
            <w:bottom w:val="none" w:sz="0" w:space="0" w:color="auto"/>
            <w:right w:val="none" w:sz="0" w:space="0" w:color="auto"/>
          </w:divBdr>
        </w:div>
        <w:div w:id="1834446627">
          <w:marLeft w:val="480"/>
          <w:marRight w:val="0"/>
          <w:marTop w:val="0"/>
          <w:marBottom w:val="0"/>
          <w:divBdr>
            <w:top w:val="none" w:sz="0" w:space="0" w:color="auto"/>
            <w:left w:val="none" w:sz="0" w:space="0" w:color="auto"/>
            <w:bottom w:val="none" w:sz="0" w:space="0" w:color="auto"/>
            <w:right w:val="none" w:sz="0" w:space="0" w:color="auto"/>
          </w:divBdr>
        </w:div>
        <w:div w:id="1836190795">
          <w:marLeft w:val="480"/>
          <w:marRight w:val="0"/>
          <w:marTop w:val="0"/>
          <w:marBottom w:val="0"/>
          <w:divBdr>
            <w:top w:val="none" w:sz="0" w:space="0" w:color="auto"/>
            <w:left w:val="none" w:sz="0" w:space="0" w:color="auto"/>
            <w:bottom w:val="none" w:sz="0" w:space="0" w:color="auto"/>
            <w:right w:val="none" w:sz="0" w:space="0" w:color="auto"/>
          </w:divBdr>
        </w:div>
        <w:div w:id="1837650946">
          <w:marLeft w:val="480"/>
          <w:marRight w:val="0"/>
          <w:marTop w:val="0"/>
          <w:marBottom w:val="0"/>
          <w:divBdr>
            <w:top w:val="none" w:sz="0" w:space="0" w:color="auto"/>
            <w:left w:val="none" w:sz="0" w:space="0" w:color="auto"/>
            <w:bottom w:val="none" w:sz="0" w:space="0" w:color="auto"/>
            <w:right w:val="none" w:sz="0" w:space="0" w:color="auto"/>
          </w:divBdr>
        </w:div>
        <w:div w:id="1840392107">
          <w:marLeft w:val="480"/>
          <w:marRight w:val="0"/>
          <w:marTop w:val="0"/>
          <w:marBottom w:val="0"/>
          <w:divBdr>
            <w:top w:val="none" w:sz="0" w:space="0" w:color="auto"/>
            <w:left w:val="none" w:sz="0" w:space="0" w:color="auto"/>
            <w:bottom w:val="none" w:sz="0" w:space="0" w:color="auto"/>
            <w:right w:val="none" w:sz="0" w:space="0" w:color="auto"/>
          </w:divBdr>
        </w:div>
        <w:div w:id="1853839627">
          <w:marLeft w:val="480"/>
          <w:marRight w:val="0"/>
          <w:marTop w:val="0"/>
          <w:marBottom w:val="0"/>
          <w:divBdr>
            <w:top w:val="none" w:sz="0" w:space="0" w:color="auto"/>
            <w:left w:val="none" w:sz="0" w:space="0" w:color="auto"/>
            <w:bottom w:val="none" w:sz="0" w:space="0" w:color="auto"/>
            <w:right w:val="none" w:sz="0" w:space="0" w:color="auto"/>
          </w:divBdr>
        </w:div>
        <w:div w:id="1854145260">
          <w:marLeft w:val="480"/>
          <w:marRight w:val="0"/>
          <w:marTop w:val="0"/>
          <w:marBottom w:val="0"/>
          <w:divBdr>
            <w:top w:val="none" w:sz="0" w:space="0" w:color="auto"/>
            <w:left w:val="none" w:sz="0" w:space="0" w:color="auto"/>
            <w:bottom w:val="none" w:sz="0" w:space="0" w:color="auto"/>
            <w:right w:val="none" w:sz="0" w:space="0" w:color="auto"/>
          </w:divBdr>
        </w:div>
        <w:div w:id="1854488093">
          <w:marLeft w:val="480"/>
          <w:marRight w:val="0"/>
          <w:marTop w:val="0"/>
          <w:marBottom w:val="0"/>
          <w:divBdr>
            <w:top w:val="none" w:sz="0" w:space="0" w:color="auto"/>
            <w:left w:val="none" w:sz="0" w:space="0" w:color="auto"/>
            <w:bottom w:val="none" w:sz="0" w:space="0" w:color="auto"/>
            <w:right w:val="none" w:sz="0" w:space="0" w:color="auto"/>
          </w:divBdr>
        </w:div>
        <w:div w:id="1854570010">
          <w:marLeft w:val="480"/>
          <w:marRight w:val="0"/>
          <w:marTop w:val="0"/>
          <w:marBottom w:val="0"/>
          <w:divBdr>
            <w:top w:val="none" w:sz="0" w:space="0" w:color="auto"/>
            <w:left w:val="none" w:sz="0" w:space="0" w:color="auto"/>
            <w:bottom w:val="none" w:sz="0" w:space="0" w:color="auto"/>
            <w:right w:val="none" w:sz="0" w:space="0" w:color="auto"/>
          </w:divBdr>
        </w:div>
        <w:div w:id="1863519809">
          <w:marLeft w:val="480"/>
          <w:marRight w:val="0"/>
          <w:marTop w:val="0"/>
          <w:marBottom w:val="0"/>
          <w:divBdr>
            <w:top w:val="none" w:sz="0" w:space="0" w:color="auto"/>
            <w:left w:val="none" w:sz="0" w:space="0" w:color="auto"/>
            <w:bottom w:val="none" w:sz="0" w:space="0" w:color="auto"/>
            <w:right w:val="none" w:sz="0" w:space="0" w:color="auto"/>
          </w:divBdr>
        </w:div>
        <w:div w:id="1864587960">
          <w:marLeft w:val="480"/>
          <w:marRight w:val="0"/>
          <w:marTop w:val="0"/>
          <w:marBottom w:val="0"/>
          <w:divBdr>
            <w:top w:val="none" w:sz="0" w:space="0" w:color="auto"/>
            <w:left w:val="none" w:sz="0" w:space="0" w:color="auto"/>
            <w:bottom w:val="none" w:sz="0" w:space="0" w:color="auto"/>
            <w:right w:val="none" w:sz="0" w:space="0" w:color="auto"/>
          </w:divBdr>
        </w:div>
        <w:div w:id="1869486563">
          <w:marLeft w:val="480"/>
          <w:marRight w:val="0"/>
          <w:marTop w:val="0"/>
          <w:marBottom w:val="0"/>
          <w:divBdr>
            <w:top w:val="none" w:sz="0" w:space="0" w:color="auto"/>
            <w:left w:val="none" w:sz="0" w:space="0" w:color="auto"/>
            <w:bottom w:val="none" w:sz="0" w:space="0" w:color="auto"/>
            <w:right w:val="none" w:sz="0" w:space="0" w:color="auto"/>
          </w:divBdr>
        </w:div>
        <w:div w:id="1872568318">
          <w:marLeft w:val="480"/>
          <w:marRight w:val="0"/>
          <w:marTop w:val="0"/>
          <w:marBottom w:val="0"/>
          <w:divBdr>
            <w:top w:val="none" w:sz="0" w:space="0" w:color="auto"/>
            <w:left w:val="none" w:sz="0" w:space="0" w:color="auto"/>
            <w:bottom w:val="none" w:sz="0" w:space="0" w:color="auto"/>
            <w:right w:val="none" w:sz="0" w:space="0" w:color="auto"/>
          </w:divBdr>
        </w:div>
        <w:div w:id="1877035528">
          <w:marLeft w:val="480"/>
          <w:marRight w:val="0"/>
          <w:marTop w:val="0"/>
          <w:marBottom w:val="0"/>
          <w:divBdr>
            <w:top w:val="none" w:sz="0" w:space="0" w:color="auto"/>
            <w:left w:val="none" w:sz="0" w:space="0" w:color="auto"/>
            <w:bottom w:val="none" w:sz="0" w:space="0" w:color="auto"/>
            <w:right w:val="none" w:sz="0" w:space="0" w:color="auto"/>
          </w:divBdr>
        </w:div>
        <w:div w:id="1878816417">
          <w:marLeft w:val="480"/>
          <w:marRight w:val="0"/>
          <w:marTop w:val="0"/>
          <w:marBottom w:val="0"/>
          <w:divBdr>
            <w:top w:val="none" w:sz="0" w:space="0" w:color="auto"/>
            <w:left w:val="none" w:sz="0" w:space="0" w:color="auto"/>
            <w:bottom w:val="none" w:sz="0" w:space="0" w:color="auto"/>
            <w:right w:val="none" w:sz="0" w:space="0" w:color="auto"/>
          </w:divBdr>
        </w:div>
        <w:div w:id="1885097118">
          <w:marLeft w:val="480"/>
          <w:marRight w:val="0"/>
          <w:marTop w:val="0"/>
          <w:marBottom w:val="0"/>
          <w:divBdr>
            <w:top w:val="none" w:sz="0" w:space="0" w:color="auto"/>
            <w:left w:val="none" w:sz="0" w:space="0" w:color="auto"/>
            <w:bottom w:val="none" w:sz="0" w:space="0" w:color="auto"/>
            <w:right w:val="none" w:sz="0" w:space="0" w:color="auto"/>
          </w:divBdr>
        </w:div>
        <w:div w:id="1888833136">
          <w:marLeft w:val="480"/>
          <w:marRight w:val="0"/>
          <w:marTop w:val="0"/>
          <w:marBottom w:val="0"/>
          <w:divBdr>
            <w:top w:val="none" w:sz="0" w:space="0" w:color="auto"/>
            <w:left w:val="none" w:sz="0" w:space="0" w:color="auto"/>
            <w:bottom w:val="none" w:sz="0" w:space="0" w:color="auto"/>
            <w:right w:val="none" w:sz="0" w:space="0" w:color="auto"/>
          </w:divBdr>
        </w:div>
        <w:div w:id="1891727745">
          <w:marLeft w:val="480"/>
          <w:marRight w:val="0"/>
          <w:marTop w:val="0"/>
          <w:marBottom w:val="0"/>
          <w:divBdr>
            <w:top w:val="none" w:sz="0" w:space="0" w:color="auto"/>
            <w:left w:val="none" w:sz="0" w:space="0" w:color="auto"/>
            <w:bottom w:val="none" w:sz="0" w:space="0" w:color="auto"/>
            <w:right w:val="none" w:sz="0" w:space="0" w:color="auto"/>
          </w:divBdr>
        </w:div>
        <w:div w:id="1892811239">
          <w:marLeft w:val="480"/>
          <w:marRight w:val="0"/>
          <w:marTop w:val="0"/>
          <w:marBottom w:val="0"/>
          <w:divBdr>
            <w:top w:val="none" w:sz="0" w:space="0" w:color="auto"/>
            <w:left w:val="none" w:sz="0" w:space="0" w:color="auto"/>
            <w:bottom w:val="none" w:sz="0" w:space="0" w:color="auto"/>
            <w:right w:val="none" w:sz="0" w:space="0" w:color="auto"/>
          </w:divBdr>
        </w:div>
        <w:div w:id="1896698942">
          <w:marLeft w:val="480"/>
          <w:marRight w:val="0"/>
          <w:marTop w:val="0"/>
          <w:marBottom w:val="0"/>
          <w:divBdr>
            <w:top w:val="none" w:sz="0" w:space="0" w:color="auto"/>
            <w:left w:val="none" w:sz="0" w:space="0" w:color="auto"/>
            <w:bottom w:val="none" w:sz="0" w:space="0" w:color="auto"/>
            <w:right w:val="none" w:sz="0" w:space="0" w:color="auto"/>
          </w:divBdr>
        </w:div>
        <w:div w:id="1900746149">
          <w:marLeft w:val="480"/>
          <w:marRight w:val="0"/>
          <w:marTop w:val="0"/>
          <w:marBottom w:val="0"/>
          <w:divBdr>
            <w:top w:val="none" w:sz="0" w:space="0" w:color="auto"/>
            <w:left w:val="none" w:sz="0" w:space="0" w:color="auto"/>
            <w:bottom w:val="none" w:sz="0" w:space="0" w:color="auto"/>
            <w:right w:val="none" w:sz="0" w:space="0" w:color="auto"/>
          </w:divBdr>
        </w:div>
        <w:div w:id="1912960048">
          <w:marLeft w:val="480"/>
          <w:marRight w:val="0"/>
          <w:marTop w:val="0"/>
          <w:marBottom w:val="0"/>
          <w:divBdr>
            <w:top w:val="none" w:sz="0" w:space="0" w:color="auto"/>
            <w:left w:val="none" w:sz="0" w:space="0" w:color="auto"/>
            <w:bottom w:val="none" w:sz="0" w:space="0" w:color="auto"/>
            <w:right w:val="none" w:sz="0" w:space="0" w:color="auto"/>
          </w:divBdr>
        </w:div>
        <w:div w:id="1923026535">
          <w:marLeft w:val="480"/>
          <w:marRight w:val="0"/>
          <w:marTop w:val="0"/>
          <w:marBottom w:val="0"/>
          <w:divBdr>
            <w:top w:val="none" w:sz="0" w:space="0" w:color="auto"/>
            <w:left w:val="none" w:sz="0" w:space="0" w:color="auto"/>
            <w:bottom w:val="none" w:sz="0" w:space="0" w:color="auto"/>
            <w:right w:val="none" w:sz="0" w:space="0" w:color="auto"/>
          </w:divBdr>
        </w:div>
        <w:div w:id="1923029641">
          <w:marLeft w:val="480"/>
          <w:marRight w:val="0"/>
          <w:marTop w:val="0"/>
          <w:marBottom w:val="0"/>
          <w:divBdr>
            <w:top w:val="none" w:sz="0" w:space="0" w:color="auto"/>
            <w:left w:val="none" w:sz="0" w:space="0" w:color="auto"/>
            <w:bottom w:val="none" w:sz="0" w:space="0" w:color="auto"/>
            <w:right w:val="none" w:sz="0" w:space="0" w:color="auto"/>
          </w:divBdr>
        </w:div>
        <w:div w:id="1923489628">
          <w:marLeft w:val="480"/>
          <w:marRight w:val="0"/>
          <w:marTop w:val="0"/>
          <w:marBottom w:val="0"/>
          <w:divBdr>
            <w:top w:val="none" w:sz="0" w:space="0" w:color="auto"/>
            <w:left w:val="none" w:sz="0" w:space="0" w:color="auto"/>
            <w:bottom w:val="none" w:sz="0" w:space="0" w:color="auto"/>
            <w:right w:val="none" w:sz="0" w:space="0" w:color="auto"/>
          </w:divBdr>
        </w:div>
        <w:div w:id="1923955241">
          <w:marLeft w:val="480"/>
          <w:marRight w:val="0"/>
          <w:marTop w:val="0"/>
          <w:marBottom w:val="0"/>
          <w:divBdr>
            <w:top w:val="none" w:sz="0" w:space="0" w:color="auto"/>
            <w:left w:val="none" w:sz="0" w:space="0" w:color="auto"/>
            <w:bottom w:val="none" w:sz="0" w:space="0" w:color="auto"/>
            <w:right w:val="none" w:sz="0" w:space="0" w:color="auto"/>
          </w:divBdr>
        </w:div>
        <w:div w:id="1926915412">
          <w:marLeft w:val="480"/>
          <w:marRight w:val="0"/>
          <w:marTop w:val="0"/>
          <w:marBottom w:val="0"/>
          <w:divBdr>
            <w:top w:val="none" w:sz="0" w:space="0" w:color="auto"/>
            <w:left w:val="none" w:sz="0" w:space="0" w:color="auto"/>
            <w:bottom w:val="none" w:sz="0" w:space="0" w:color="auto"/>
            <w:right w:val="none" w:sz="0" w:space="0" w:color="auto"/>
          </w:divBdr>
        </w:div>
        <w:div w:id="1933538824">
          <w:marLeft w:val="480"/>
          <w:marRight w:val="0"/>
          <w:marTop w:val="0"/>
          <w:marBottom w:val="0"/>
          <w:divBdr>
            <w:top w:val="none" w:sz="0" w:space="0" w:color="auto"/>
            <w:left w:val="none" w:sz="0" w:space="0" w:color="auto"/>
            <w:bottom w:val="none" w:sz="0" w:space="0" w:color="auto"/>
            <w:right w:val="none" w:sz="0" w:space="0" w:color="auto"/>
          </w:divBdr>
        </w:div>
        <w:div w:id="1940719133">
          <w:marLeft w:val="480"/>
          <w:marRight w:val="0"/>
          <w:marTop w:val="0"/>
          <w:marBottom w:val="0"/>
          <w:divBdr>
            <w:top w:val="none" w:sz="0" w:space="0" w:color="auto"/>
            <w:left w:val="none" w:sz="0" w:space="0" w:color="auto"/>
            <w:bottom w:val="none" w:sz="0" w:space="0" w:color="auto"/>
            <w:right w:val="none" w:sz="0" w:space="0" w:color="auto"/>
          </w:divBdr>
        </w:div>
        <w:div w:id="1943798740">
          <w:marLeft w:val="480"/>
          <w:marRight w:val="0"/>
          <w:marTop w:val="0"/>
          <w:marBottom w:val="0"/>
          <w:divBdr>
            <w:top w:val="none" w:sz="0" w:space="0" w:color="auto"/>
            <w:left w:val="none" w:sz="0" w:space="0" w:color="auto"/>
            <w:bottom w:val="none" w:sz="0" w:space="0" w:color="auto"/>
            <w:right w:val="none" w:sz="0" w:space="0" w:color="auto"/>
          </w:divBdr>
        </w:div>
        <w:div w:id="1945720583">
          <w:marLeft w:val="480"/>
          <w:marRight w:val="0"/>
          <w:marTop w:val="0"/>
          <w:marBottom w:val="0"/>
          <w:divBdr>
            <w:top w:val="none" w:sz="0" w:space="0" w:color="auto"/>
            <w:left w:val="none" w:sz="0" w:space="0" w:color="auto"/>
            <w:bottom w:val="none" w:sz="0" w:space="0" w:color="auto"/>
            <w:right w:val="none" w:sz="0" w:space="0" w:color="auto"/>
          </w:divBdr>
        </w:div>
        <w:div w:id="1946687036">
          <w:marLeft w:val="480"/>
          <w:marRight w:val="0"/>
          <w:marTop w:val="0"/>
          <w:marBottom w:val="0"/>
          <w:divBdr>
            <w:top w:val="none" w:sz="0" w:space="0" w:color="auto"/>
            <w:left w:val="none" w:sz="0" w:space="0" w:color="auto"/>
            <w:bottom w:val="none" w:sz="0" w:space="0" w:color="auto"/>
            <w:right w:val="none" w:sz="0" w:space="0" w:color="auto"/>
          </w:divBdr>
        </w:div>
        <w:div w:id="1951934985">
          <w:marLeft w:val="480"/>
          <w:marRight w:val="0"/>
          <w:marTop w:val="0"/>
          <w:marBottom w:val="0"/>
          <w:divBdr>
            <w:top w:val="none" w:sz="0" w:space="0" w:color="auto"/>
            <w:left w:val="none" w:sz="0" w:space="0" w:color="auto"/>
            <w:bottom w:val="none" w:sz="0" w:space="0" w:color="auto"/>
            <w:right w:val="none" w:sz="0" w:space="0" w:color="auto"/>
          </w:divBdr>
        </w:div>
        <w:div w:id="1956062088">
          <w:marLeft w:val="480"/>
          <w:marRight w:val="0"/>
          <w:marTop w:val="0"/>
          <w:marBottom w:val="0"/>
          <w:divBdr>
            <w:top w:val="none" w:sz="0" w:space="0" w:color="auto"/>
            <w:left w:val="none" w:sz="0" w:space="0" w:color="auto"/>
            <w:bottom w:val="none" w:sz="0" w:space="0" w:color="auto"/>
            <w:right w:val="none" w:sz="0" w:space="0" w:color="auto"/>
          </w:divBdr>
        </w:div>
        <w:div w:id="1957907361">
          <w:marLeft w:val="480"/>
          <w:marRight w:val="0"/>
          <w:marTop w:val="0"/>
          <w:marBottom w:val="0"/>
          <w:divBdr>
            <w:top w:val="none" w:sz="0" w:space="0" w:color="auto"/>
            <w:left w:val="none" w:sz="0" w:space="0" w:color="auto"/>
            <w:bottom w:val="none" w:sz="0" w:space="0" w:color="auto"/>
            <w:right w:val="none" w:sz="0" w:space="0" w:color="auto"/>
          </w:divBdr>
        </w:div>
        <w:div w:id="1958020759">
          <w:marLeft w:val="480"/>
          <w:marRight w:val="0"/>
          <w:marTop w:val="0"/>
          <w:marBottom w:val="0"/>
          <w:divBdr>
            <w:top w:val="none" w:sz="0" w:space="0" w:color="auto"/>
            <w:left w:val="none" w:sz="0" w:space="0" w:color="auto"/>
            <w:bottom w:val="none" w:sz="0" w:space="0" w:color="auto"/>
            <w:right w:val="none" w:sz="0" w:space="0" w:color="auto"/>
          </w:divBdr>
        </w:div>
        <w:div w:id="1958368945">
          <w:marLeft w:val="480"/>
          <w:marRight w:val="0"/>
          <w:marTop w:val="0"/>
          <w:marBottom w:val="0"/>
          <w:divBdr>
            <w:top w:val="none" w:sz="0" w:space="0" w:color="auto"/>
            <w:left w:val="none" w:sz="0" w:space="0" w:color="auto"/>
            <w:bottom w:val="none" w:sz="0" w:space="0" w:color="auto"/>
            <w:right w:val="none" w:sz="0" w:space="0" w:color="auto"/>
          </w:divBdr>
        </w:div>
        <w:div w:id="1961452417">
          <w:marLeft w:val="480"/>
          <w:marRight w:val="0"/>
          <w:marTop w:val="0"/>
          <w:marBottom w:val="0"/>
          <w:divBdr>
            <w:top w:val="none" w:sz="0" w:space="0" w:color="auto"/>
            <w:left w:val="none" w:sz="0" w:space="0" w:color="auto"/>
            <w:bottom w:val="none" w:sz="0" w:space="0" w:color="auto"/>
            <w:right w:val="none" w:sz="0" w:space="0" w:color="auto"/>
          </w:divBdr>
        </w:div>
        <w:div w:id="1963413046">
          <w:marLeft w:val="480"/>
          <w:marRight w:val="0"/>
          <w:marTop w:val="0"/>
          <w:marBottom w:val="0"/>
          <w:divBdr>
            <w:top w:val="none" w:sz="0" w:space="0" w:color="auto"/>
            <w:left w:val="none" w:sz="0" w:space="0" w:color="auto"/>
            <w:bottom w:val="none" w:sz="0" w:space="0" w:color="auto"/>
            <w:right w:val="none" w:sz="0" w:space="0" w:color="auto"/>
          </w:divBdr>
        </w:div>
        <w:div w:id="1973166950">
          <w:marLeft w:val="480"/>
          <w:marRight w:val="0"/>
          <w:marTop w:val="0"/>
          <w:marBottom w:val="0"/>
          <w:divBdr>
            <w:top w:val="none" w:sz="0" w:space="0" w:color="auto"/>
            <w:left w:val="none" w:sz="0" w:space="0" w:color="auto"/>
            <w:bottom w:val="none" w:sz="0" w:space="0" w:color="auto"/>
            <w:right w:val="none" w:sz="0" w:space="0" w:color="auto"/>
          </w:divBdr>
        </w:div>
        <w:div w:id="1979994891">
          <w:marLeft w:val="480"/>
          <w:marRight w:val="0"/>
          <w:marTop w:val="0"/>
          <w:marBottom w:val="0"/>
          <w:divBdr>
            <w:top w:val="none" w:sz="0" w:space="0" w:color="auto"/>
            <w:left w:val="none" w:sz="0" w:space="0" w:color="auto"/>
            <w:bottom w:val="none" w:sz="0" w:space="0" w:color="auto"/>
            <w:right w:val="none" w:sz="0" w:space="0" w:color="auto"/>
          </w:divBdr>
        </w:div>
        <w:div w:id="1984772625">
          <w:marLeft w:val="480"/>
          <w:marRight w:val="0"/>
          <w:marTop w:val="0"/>
          <w:marBottom w:val="0"/>
          <w:divBdr>
            <w:top w:val="none" w:sz="0" w:space="0" w:color="auto"/>
            <w:left w:val="none" w:sz="0" w:space="0" w:color="auto"/>
            <w:bottom w:val="none" w:sz="0" w:space="0" w:color="auto"/>
            <w:right w:val="none" w:sz="0" w:space="0" w:color="auto"/>
          </w:divBdr>
        </w:div>
        <w:div w:id="1986155418">
          <w:marLeft w:val="480"/>
          <w:marRight w:val="0"/>
          <w:marTop w:val="0"/>
          <w:marBottom w:val="0"/>
          <w:divBdr>
            <w:top w:val="none" w:sz="0" w:space="0" w:color="auto"/>
            <w:left w:val="none" w:sz="0" w:space="0" w:color="auto"/>
            <w:bottom w:val="none" w:sz="0" w:space="0" w:color="auto"/>
            <w:right w:val="none" w:sz="0" w:space="0" w:color="auto"/>
          </w:divBdr>
        </w:div>
        <w:div w:id="1992099926">
          <w:marLeft w:val="480"/>
          <w:marRight w:val="0"/>
          <w:marTop w:val="0"/>
          <w:marBottom w:val="0"/>
          <w:divBdr>
            <w:top w:val="none" w:sz="0" w:space="0" w:color="auto"/>
            <w:left w:val="none" w:sz="0" w:space="0" w:color="auto"/>
            <w:bottom w:val="none" w:sz="0" w:space="0" w:color="auto"/>
            <w:right w:val="none" w:sz="0" w:space="0" w:color="auto"/>
          </w:divBdr>
        </w:div>
        <w:div w:id="1996369792">
          <w:marLeft w:val="480"/>
          <w:marRight w:val="0"/>
          <w:marTop w:val="0"/>
          <w:marBottom w:val="0"/>
          <w:divBdr>
            <w:top w:val="none" w:sz="0" w:space="0" w:color="auto"/>
            <w:left w:val="none" w:sz="0" w:space="0" w:color="auto"/>
            <w:bottom w:val="none" w:sz="0" w:space="0" w:color="auto"/>
            <w:right w:val="none" w:sz="0" w:space="0" w:color="auto"/>
          </w:divBdr>
        </w:div>
        <w:div w:id="1998339522">
          <w:marLeft w:val="480"/>
          <w:marRight w:val="0"/>
          <w:marTop w:val="0"/>
          <w:marBottom w:val="0"/>
          <w:divBdr>
            <w:top w:val="none" w:sz="0" w:space="0" w:color="auto"/>
            <w:left w:val="none" w:sz="0" w:space="0" w:color="auto"/>
            <w:bottom w:val="none" w:sz="0" w:space="0" w:color="auto"/>
            <w:right w:val="none" w:sz="0" w:space="0" w:color="auto"/>
          </w:divBdr>
        </w:div>
        <w:div w:id="2019651620">
          <w:marLeft w:val="480"/>
          <w:marRight w:val="0"/>
          <w:marTop w:val="0"/>
          <w:marBottom w:val="0"/>
          <w:divBdr>
            <w:top w:val="none" w:sz="0" w:space="0" w:color="auto"/>
            <w:left w:val="none" w:sz="0" w:space="0" w:color="auto"/>
            <w:bottom w:val="none" w:sz="0" w:space="0" w:color="auto"/>
            <w:right w:val="none" w:sz="0" w:space="0" w:color="auto"/>
          </w:divBdr>
        </w:div>
        <w:div w:id="2022317142">
          <w:marLeft w:val="480"/>
          <w:marRight w:val="0"/>
          <w:marTop w:val="0"/>
          <w:marBottom w:val="0"/>
          <w:divBdr>
            <w:top w:val="none" w:sz="0" w:space="0" w:color="auto"/>
            <w:left w:val="none" w:sz="0" w:space="0" w:color="auto"/>
            <w:bottom w:val="none" w:sz="0" w:space="0" w:color="auto"/>
            <w:right w:val="none" w:sz="0" w:space="0" w:color="auto"/>
          </w:divBdr>
        </w:div>
        <w:div w:id="2023820888">
          <w:marLeft w:val="480"/>
          <w:marRight w:val="0"/>
          <w:marTop w:val="0"/>
          <w:marBottom w:val="0"/>
          <w:divBdr>
            <w:top w:val="none" w:sz="0" w:space="0" w:color="auto"/>
            <w:left w:val="none" w:sz="0" w:space="0" w:color="auto"/>
            <w:bottom w:val="none" w:sz="0" w:space="0" w:color="auto"/>
            <w:right w:val="none" w:sz="0" w:space="0" w:color="auto"/>
          </w:divBdr>
        </w:div>
        <w:div w:id="2024017612">
          <w:marLeft w:val="480"/>
          <w:marRight w:val="0"/>
          <w:marTop w:val="0"/>
          <w:marBottom w:val="0"/>
          <w:divBdr>
            <w:top w:val="none" w:sz="0" w:space="0" w:color="auto"/>
            <w:left w:val="none" w:sz="0" w:space="0" w:color="auto"/>
            <w:bottom w:val="none" w:sz="0" w:space="0" w:color="auto"/>
            <w:right w:val="none" w:sz="0" w:space="0" w:color="auto"/>
          </w:divBdr>
        </w:div>
        <w:div w:id="2031056855">
          <w:marLeft w:val="480"/>
          <w:marRight w:val="0"/>
          <w:marTop w:val="0"/>
          <w:marBottom w:val="0"/>
          <w:divBdr>
            <w:top w:val="none" w:sz="0" w:space="0" w:color="auto"/>
            <w:left w:val="none" w:sz="0" w:space="0" w:color="auto"/>
            <w:bottom w:val="none" w:sz="0" w:space="0" w:color="auto"/>
            <w:right w:val="none" w:sz="0" w:space="0" w:color="auto"/>
          </w:divBdr>
        </w:div>
        <w:div w:id="2036536847">
          <w:marLeft w:val="480"/>
          <w:marRight w:val="0"/>
          <w:marTop w:val="0"/>
          <w:marBottom w:val="0"/>
          <w:divBdr>
            <w:top w:val="none" w:sz="0" w:space="0" w:color="auto"/>
            <w:left w:val="none" w:sz="0" w:space="0" w:color="auto"/>
            <w:bottom w:val="none" w:sz="0" w:space="0" w:color="auto"/>
            <w:right w:val="none" w:sz="0" w:space="0" w:color="auto"/>
          </w:divBdr>
        </w:div>
        <w:div w:id="2045785228">
          <w:marLeft w:val="480"/>
          <w:marRight w:val="0"/>
          <w:marTop w:val="0"/>
          <w:marBottom w:val="0"/>
          <w:divBdr>
            <w:top w:val="none" w:sz="0" w:space="0" w:color="auto"/>
            <w:left w:val="none" w:sz="0" w:space="0" w:color="auto"/>
            <w:bottom w:val="none" w:sz="0" w:space="0" w:color="auto"/>
            <w:right w:val="none" w:sz="0" w:space="0" w:color="auto"/>
          </w:divBdr>
        </w:div>
        <w:div w:id="2048943102">
          <w:marLeft w:val="480"/>
          <w:marRight w:val="0"/>
          <w:marTop w:val="0"/>
          <w:marBottom w:val="0"/>
          <w:divBdr>
            <w:top w:val="none" w:sz="0" w:space="0" w:color="auto"/>
            <w:left w:val="none" w:sz="0" w:space="0" w:color="auto"/>
            <w:bottom w:val="none" w:sz="0" w:space="0" w:color="auto"/>
            <w:right w:val="none" w:sz="0" w:space="0" w:color="auto"/>
          </w:divBdr>
        </w:div>
        <w:div w:id="2051831258">
          <w:marLeft w:val="480"/>
          <w:marRight w:val="0"/>
          <w:marTop w:val="0"/>
          <w:marBottom w:val="0"/>
          <w:divBdr>
            <w:top w:val="none" w:sz="0" w:space="0" w:color="auto"/>
            <w:left w:val="none" w:sz="0" w:space="0" w:color="auto"/>
            <w:bottom w:val="none" w:sz="0" w:space="0" w:color="auto"/>
            <w:right w:val="none" w:sz="0" w:space="0" w:color="auto"/>
          </w:divBdr>
        </w:div>
        <w:div w:id="2052727064">
          <w:marLeft w:val="480"/>
          <w:marRight w:val="0"/>
          <w:marTop w:val="0"/>
          <w:marBottom w:val="0"/>
          <w:divBdr>
            <w:top w:val="none" w:sz="0" w:space="0" w:color="auto"/>
            <w:left w:val="none" w:sz="0" w:space="0" w:color="auto"/>
            <w:bottom w:val="none" w:sz="0" w:space="0" w:color="auto"/>
            <w:right w:val="none" w:sz="0" w:space="0" w:color="auto"/>
          </w:divBdr>
        </w:div>
        <w:div w:id="2055500227">
          <w:marLeft w:val="480"/>
          <w:marRight w:val="0"/>
          <w:marTop w:val="0"/>
          <w:marBottom w:val="0"/>
          <w:divBdr>
            <w:top w:val="none" w:sz="0" w:space="0" w:color="auto"/>
            <w:left w:val="none" w:sz="0" w:space="0" w:color="auto"/>
            <w:bottom w:val="none" w:sz="0" w:space="0" w:color="auto"/>
            <w:right w:val="none" w:sz="0" w:space="0" w:color="auto"/>
          </w:divBdr>
        </w:div>
        <w:div w:id="2055765954">
          <w:marLeft w:val="480"/>
          <w:marRight w:val="0"/>
          <w:marTop w:val="0"/>
          <w:marBottom w:val="0"/>
          <w:divBdr>
            <w:top w:val="none" w:sz="0" w:space="0" w:color="auto"/>
            <w:left w:val="none" w:sz="0" w:space="0" w:color="auto"/>
            <w:bottom w:val="none" w:sz="0" w:space="0" w:color="auto"/>
            <w:right w:val="none" w:sz="0" w:space="0" w:color="auto"/>
          </w:divBdr>
        </w:div>
        <w:div w:id="2059473999">
          <w:marLeft w:val="480"/>
          <w:marRight w:val="0"/>
          <w:marTop w:val="0"/>
          <w:marBottom w:val="0"/>
          <w:divBdr>
            <w:top w:val="none" w:sz="0" w:space="0" w:color="auto"/>
            <w:left w:val="none" w:sz="0" w:space="0" w:color="auto"/>
            <w:bottom w:val="none" w:sz="0" w:space="0" w:color="auto"/>
            <w:right w:val="none" w:sz="0" w:space="0" w:color="auto"/>
          </w:divBdr>
        </w:div>
        <w:div w:id="2072119880">
          <w:marLeft w:val="480"/>
          <w:marRight w:val="0"/>
          <w:marTop w:val="0"/>
          <w:marBottom w:val="0"/>
          <w:divBdr>
            <w:top w:val="none" w:sz="0" w:space="0" w:color="auto"/>
            <w:left w:val="none" w:sz="0" w:space="0" w:color="auto"/>
            <w:bottom w:val="none" w:sz="0" w:space="0" w:color="auto"/>
            <w:right w:val="none" w:sz="0" w:space="0" w:color="auto"/>
          </w:divBdr>
        </w:div>
        <w:div w:id="2073771394">
          <w:marLeft w:val="480"/>
          <w:marRight w:val="0"/>
          <w:marTop w:val="0"/>
          <w:marBottom w:val="0"/>
          <w:divBdr>
            <w:top w:val="none" w:sz="0" w:space="0" w:color="auto"/>
            <w:left w:val="none" w:sz="0" w:space="0" w:color="auto"/>
            <w:bottom w:val="none" w:sz="0" w:space="0" w:color="auto"/>
            <w:right w:val="none" w:sz="0" w:space="0" w:color="auto"/>
          </w:divBdr>
        </w:div>
        <w:div w:id="2083408223">
          <w:marLeft w:val="480"/>
          <w:marRight w:val="0"/>
          <w:marTop w:val="0"/>
          <w:marBottom w:val="0"/>
          <w:divBdr>
            <w:top w:val="none" w:sz="0" w:space="0" w:color="auto"/>
            <w:left w:val="none" w:sz="0" w:space="0" w:color="auto"/>
            <w:bottom w:val="none" w:sz="0" w:space="0" w:color="auto"/>
            <w:right w:val="none" w:sz="0" w:space="0" w:color="auto"/>
          </w:divBdr>
        </w:div>
        <w:div w:id="2089419888">
          <w:marLeft w:val="480"/>
          <w:marRight w:val="0"/>
          <w:marTop w:val="0"/>
          <w:marBottom w:val="0"/>
          <w:divBdr>
            <w:top w:val="none" w:sz="0" w:space="0" w:color="auto"/>
            <w:left w:val="none" w:sz="0" w:space="0" w:color="auto"/>
            <w:bottom w:val="none" w:sz="0" w:space="0" w:color="auto"/>
            <w:right w:val="none" w:sz="0" w:space="0" w:color="auto"/>
          </w:divBdr>
        </w:div>
        <w:div w:id="2092044481">
          <w:marLeft w:val="480"/>
          <w:marRight w:val="0"/>
          <w:marTop w:val="0"/>
          <w:marBottom w:val="0"/>
          <w:divBdr>
            <w:top w:val="none" w:sz="0" w:space="0" w:color="auto"/>
            <w:left w:val="none" w:sz="0" w:space="0" w:color="auto"/>
            <w:bottom w:val="none" w:sz="0" w:space="0" w:color="auto"/>
            <w:right w:val="none" w:sz="0" w:space="0" w:color="auto"/>
          </w:divBdr>
        </w:div>
        <w:div w:id="2096856027">
          <w:marLeft w:val="480"/>
          <w:marRight w:val="0"/>
          <w:marTop w:val="0"/>
          <w:marBottom w:val="0"/>
          <w:divBdr>
            <w:top w:val="none" w:sz="0" w:space="0" w:color="auto"/>
            <w:left w:val="none" w:sz="0" w:space="0" w:color="auto"/>
            <w:bottom w:val="none" w:sz="0" w:space="0" w:color="auto"/>
            <w:right w:val="none" w:sz="0" w:space="0" w:color="auto"/>
          </w:divBdr>
        </w:div>
        <w:div w:id="2104960016">
          <w:marLeft w:val="480"/>
          <w:marRight w:val="0"/>
          <w:marTop w:val="0"/>
          <w:marBottom w:val="0"/>
          <w:divBdr>
            <w:top w:val="none" w:sz="0" w:space="0" w:color="auto"/>
            <w:left w:val="none" w:sz="0" w:space="0" w:color="auto"/>
            <w:bottom w:val="none" w:sz="0" w:space="0" w:color="auto"/>
            <w:right w:val="none" w:sz="0" w:space="0" w:color="auto"/>
          </w:divBdr>
        </w:div>
        <w:div w:id="2114590805">
          <w:marLeft w:val="480"/>
          <w:marRight w:val="0"/>
          <w:marTop w:val="0"/>
          <w:marBottom w:val="0"/>
          <w:divBdr>
            <w:top w:val="none" w:sz="0" w:space="0" w:color="auto"/>
            <w:left w:val="none" w:sz="0" w:space="0" w:color="auto"/>
            <w:bottom w:val="none" w:sz="0" w:space="0" w:color="auto"/>
            <w:right w:val="none" w:sz="0" w:space="0" w:color="auto"/>
          </w:divBdr>
        </w:div>
        <w:div w:id="2124032976">
          <w:marLeft w:val="480"/>
          <w:marRight w:val="0"/>
          <w:marTop w:val="0"/>
          <w:marBottom w:val="0"/>
          <w:divBdr>
            <w:top w:val="none" w:sz="0" w:space="0" w:color="auto"/>
            <w:left w:val="none" w:sz="0" w:space="0" w:color="auto"/>
            <w:bottom w:val="none" w:sz="0" w:space="0" w:color="auto"/>
            <w:right w:val="none" w:sz="0" w:space="0" w:color="auto"/>
          </w:divBdr>
        </w:div>
        <w:div w:id="2128305760">
          <w:marLeft w:val="480"/>
          <w:marRight w:val="0"/>
          <w:marTop w:val="0"/>
          <w:marBottom w:val="0"/>
          <w:divBdr>
            <w:top w:val="none" w:sz="0" w:space="0" w:color="auto"/>
            <w:left w:val="none" w:sz="0" w:space="0" w:color="auto"/>
            <w:bottom w:val="none" w:sz="0" w:space="0" w:color="auto"/>
            <w:right w:val="none" w:sz="0" w:space="0" w:color="auto"/>
          </w:divBdr>
        </w:div>
        <w:div w:id="2130587427">
          <w:marLeft w:val="480"/>
          <w:marRight w:val="0"/>
          <w:marTop w:val="0"/>
          <w:marBottom w:val="0"/>
          <w:divBdr>
            <w:top w:val="none" w:sz="0" w:space="0" w:color="auto"/>
            <w:left w:val="none" w:sz="0" w:space="0" w:color="auto"/>
            <w:bottom w:val="none" w:sz="0" w:space="0" w:color="auto"/>
            <w:right w:val="none" w:sz="0" w:space="0" w:color="auto"/>
          </w:divBdr>
        </w:div>
        <w:div w:id="2133983917">
          <w:marLeft w:val="480"/>
          <w:marRight w:val="0"/>
          <w:marTop w:val="0"/>
          <w:marBottom w:val="0"/>
          <w:divBdr>
            <w:top w:val="none" w:sz="0" w:space="0" w:color="auto"/>
            <w:left w:val="none" w:sz="0" w:space="0" w:color="auto"/>
            <w:bottom w:val="none" w:sz="0" w:space="0" w:color="auto"/>
            <w:right w:val="none" w:sz="0" w:space="0" w:color="auto"/>
          </w:divBdr>
        </w:div>
        <w:div w:id="2135709751">
          <w:marLeft w:val="480"/>
          <w:marRight w:val="0"/>
          <w:marTop w:val="0"/>
          <w:marBottom w:val="0"/>
          <w:divBdr>
            <w:top w:val="none" w:sz="0" w:space="0" w:color="auto"/>
            <w:left w:val="none" w:sz="0" w:space="0" w:color="auto"/>
            <w:bottom w:val="none" w:sz="0" w:space="0" w:color="auto"/>
            <w:right w:val="none" w:sz="0" w:space="0" w:color="auto"/>
          </w:divBdr>
        </w:div>
        <w:div w:id="2136211597">
          <w:marLeft w:val="480"/>
          <w:marRight w:val="0"/>
          <w:marTop w:val="0"/>
          <w:marBottom w:val="0"/>
          <w:divBdr>
            <w:top w:val="none" w:sz="0" w:space="0" w:color="auto"/>
            <w:left w:val="none" w:sz="0" w:space="0" w:color="auto"/>
            <w:bottom w:val="none" w:sz="0" w:space="0" w:color="auto"/>
            <w:right w:val="none" w:sz="0" w:space="0" w:color="auto"/>
          </w:divBdr>
        </w:div>
        <w:div w:id="2141074314">
          <w:marLeft w:val="480"/>
          <w:marRight w:val="0"/>
          <w:marTop w:val="0"/>
          <w:marBottom w:val="0"/>
          <w:divBdr>
            <w:top w:val="none" w:sz="0" w:space="0" w:color="auto"/>
            <w:left w:val="none" w:sz="0" w:space="0" w:color="auto"/>
            <w:bottom w:val="none" w:sz="0" w:space="0" w:color="auto"/>
            <w:right w:val="none" w:sz="0" w:space="0" w:color="auto"/>
          </w:divBdr>
        </w:div>
        <w:div w:id="2144539362">
          <w:marLeft w:val="480"/>
          <w:marRight w:val="0"/>
          <w:marTop w:val="0"/>
          <w:marBottom w:val="0"/>
          <w:divBdr>
            <w:top w:val="none" w:sz="0" w:space="0" w:color="auto"/>
            <w:left w:val="none" w:sz="0" w:space="0" w:color="auto"/>
            <w:bottom w:val="none" w:sz="0" w:space="0" w:color="auto"/>
            <w:right w:val="none" w:sz="0" w:space="0" w:color="auto"/>
          </w:divBdr>
        </w:div>
      </w:divsChild>
    </w:div>
    <w:div w:id="138085128">
      <w:marLeft w:val="480"/>
      <w:marRight w:val="0"/>
      <w:marTop w:val="0"/>
      <w:marBottom w:val="0"/>
      <w:divBdr>
        <w:top w:val="none" w:sz="0" w:space="0" w:color="auto"/>
        <w:left w:val="none" w:sz="0" w:space="0" w:color="auto"/>
        <w:bottom w:val="none" w:sz="0" w:space="0" w:color="auto"/>
        <w:right w:val="none" w:sz="0" w:space="0" w:color="auto"/>
      </w:divBdr>
    </w:div>
    <w:div w:id="139925735">
      <w:marLeft w:val="480"/>
      <w:marRight w:val="0"/>
      <w:marTop w:val="0"/>
      <w:marBottom w:val="0"/>
      <w:divBdr>
        <w:top w:val="none" w:sz="0" w:space="0" w:color="auto"/>
        <w:left w:val="none" w:sz="0" w:space="0" w:color="auto"/>
        <w:bottom w:val="none" w:sz="0" w:space="0" w:color="auto"/>
        <w:right w:val="none" w:sz="0" w:space="0" w:color="auto"/>
      </w:divBdr>
    </w:div>
    <w:div w:id="141779987">
      <w:marLeft w:val="480"/>
      <w:marRight w:val="0"/>
      <w:marTop w:val="0"/>
      <w:marBottom w:val="0"/>
      <w:divBdr>
        <w:top w:val="none" w:sz="0" w:space="0" w:color="auto"/>
        <w:left w:val="none" w:sz="0" w:space="0" w:color="auto"/>
        <w:bottom w:val="none" w:sz="0" w:space="0" w:color="auto"/>
        <w:right w:val="none" w:sz="0" w:space="0" w:color="auto"/>
      </w:divBdr>
    </w:div>
    <w:div w:id="146016682">
      <w:marLeft w:val="480"/>
      <w:marRight w:val="0"/>
      <w:marTop w:val="0"/>
      <w:marBottom w:val="0"/>
      <w:divBdr>
        <w:top w:val="none" w:sz="0" w:space="0" w:color="auto"/>
        <w:left w:val="none" w:sz="0" w:space="0" w:color="auto"/>
        <w:bottom w:val="none" w:sz="0" w:space="0" w:color="auto"/>
        <w:right w:val="none" w:sz="0" w:space="0" w:color="auto"/>
      </w:divBdr>
    </w:div>
    <w:div w:id="146553249">
      <w:marLeft w:val="480"/>
      <w:marRight w:val="0"/>
      <w:marTop w:val="0"/>
      <w:marBottom w:val="0"/>
      <w:divBdr>
        <w:top w:val="none" w:sz="0" w:space="0" w:color="auto"/>
        <w:left w:val="none" w:sz="0" w:space="0" w:color="auto"/>
        <w:bottom w:val="none" w:sz="0" w:space="0" w:color="auto"/>
        <w:right w:val="none" w:sz="0" w:space="0" w:color="auto"/>
      </w:divBdr>
    </w:div>
    <w:div w:id="146946081">
      <w:marLeft w:val="480"/>
      <w:marRight w:val="0"/>
      <w:marTop w:val="0"/>
      <w:marBottom w:val="0"/>
      <w:divBdr>
        <w:top w:val="none" w:sz="0" w:space="0" w:color="auto"/>
        <w:left w:val="none" w:sz="0" w:space="0" w:color="auto"/>
        <w:bottom w:val="none" w:sz="0" w:space="0" w:color="auto"/>
        <w:right w:val="none" w:sz="0" w:space="0" w:color="auto"/>
      </w:divBdr>
    </w:div>
    <w:div w:id="148375891">
      <w:marLeft w:val="480"/>
      <w:marRight w:val="0"/>
      <w:marTop w:val="0"/>
      <w:marBottom w:val="0"/>
      <w:divBdr>
        <w:top w:val="none" w:sz="0" w:space="0" w:color="auto"/>
        <w:left w:val="none" w:sz="0" w:space="0" w:color="auto"/>
        <w:bottom w:val="none" w:sz="0" w:space="0" w:color="auto"/>
        <w:right w:val="none" w:sz="0" w:space="0" w:color="auto"/>
      </w:divBdr>
    </w:div>
    <w:div w:id="150174921">
      <w:marLeft w:val="480"/>
      <w:marRight w:val="0"/>
      <w:marTop w:val="0"/>
      <w:marBottom w:val="0"/>
      <w:divBdr>
        <w:top w:val="none" w:sz="0" w:space="0" w:color="auto"/>
        <w:left w:val="none" w:sz="0" w:space="0" w:color="auto"/>
        <w:bottom w:val="none" w:sz="0" w:space="0" w:color="auto"/>
        <w:right w:val="none" w:sz="0" w:space="0" w:color="auto"/>
      </w:divBdr>
    </w:div>
    <w:div w:id="150416572">
      <w:marLeft w:val="480"/>
      <w:marRight w:val="0"/>
      <w:marTop w:val="0"/>
      <w:marBottom w:val="0"/>
      <w:divBdr>
        <w:top w:val="none" w:sz="0" w:space="0" w:color="auto"/>
        <w:left w:val="none" w:sz="0" w:space="0" w:color="auto"/>
        <w:bottom w:val="none" w:sz="0" w:space="0" w:color="auto"/>
        <w:right w:val="none" w:sz="0" w:space="0" w:color="auto"/>
      </w:divBdr>
    </w:div>
    <w:div w:id="154419886">
      <w:marLeft w:val="480"/>
      <w:marRight w:val="0"/>
      <w:marTop w:val="0"/>
      <w:marBottom w:val="0"/>
      <w:divBdr>
        <w:top w:val="none" w:sz="0" w:space="0" w:color="auto"/>
        <w:left w:val="none" w:sz="0" w:space="0" w:color="auto"/>
        <w:bottom w:val="none" w:sz="0" w:space="0" w:color="auto"/>
        <w:right w:val="none" w:sz="0" w:space="0" w:color="auto"/>
      </w:divBdr>
    </w:div>
    <w:div w:id="156774452">
      <w:marLeft w:val="480"/>
      <w:marRight w:val="0"/>
      <w:marTop w:val="0"/>
      <w:marBottom w:val="0"/>
      <w:divBdr>
        <w:top w:val="none" w:sz="0" w:space="0" w:color="auto"/>
        <w:left w:val="none" w:sz="0" w:space="0" w:color="auto"/>
        <w:bottom w:val="none" w:sz="0" w:space="0" w:color="auto"/>
        <w:right w:val="none" w:sz="0" w:space="0" w:color="auto"/>
      </w:divBdr>
    </w:div>
    <w:div w:id="159737803">
      <w:marLeft w:val="480"/>
      <w:marRight w:val="0"/>
      <w:marTop w:val="0"/>
      <w:marBottom w:val="0"/>
      <w:divBdr>
        <w:top w:val="none" w:sz="0" w:space="0" w:color="auto"/>
        <w:left w:val="none" w:sz="0" w:space="0" w:color="auto"/>
        <w:bottom w:val="none" w:sz="0" w:space="0" w:color="auto"/>
        <w:right w:val="none" w:sz="0" w:space="0" w:color="auto"/>
      </w:divBdr>
    </w:div>
    <w:div w:id="160124811">
      <w:marLeft w:val="480"/>
      <w:marRight w:val="0"/>
      <w:marTop w:val="0"/>
      <w:marBottom w:val="0"/>
      <w:divBdr>
        <w:top w:val="none" w:sz="0" w:space="0" w:color="auto"/>
        <w:left w:val="none" w:sz="0" w:space="0" w:color="auto"/>
        <w:bottom w:val="none" w:sz="0" w:space="0" w:color="auto"/>
        <w:right w:val="none" w:sz="0" w:space="0" w:color="auto"/>
      </w:divBdr>
    </w:div>
    <w:div w:id="163017017">
      <w:marLeft w:val="480"/>
      <w:marRight w:val="0"/>
      <w:marTop w:val="0"/>
      <w:marBottom w:val="0"/>
      <w:divBdr>
        <w:top w:val="none" w:sz="0" w:space="0" w:color="auto"/>
        <w:left w:val="none" w:sz="0" w:space="0" w:color="auto"/>
        <w:bottom w:val="none" w:sz="0" w:space="0" w:color="auto"/>
        <w:right w:val="none" w:sz="0" w:space="0" w:color="auto"/>
      </w:divBdr>
    </w:div>
    <w:div w:id="163201963">
      <w:marLeft w:val="480"/>
      <w:marRight w:val="0"/>
      <w:marTop w:val="0"/>
      <w:marBottom w:val="0"/>
      <w:divBdr>
        <w:top w:val="none" w:sz="0" w:space="0" w:color="auto"/>
        <w:left w:val="none" w:sz="0" w:space="0" w:color="auto"/>
        <w:bottom w:val="none" w:sz="0" w:space="0" w:color="auto"/>
        <w:right w:val="none" w:sz="0" w:space="0" w:color="auto"/>
      </w:divBdr>
    </w:div>
    <w:div w:id="163474528">
      <w:marLeft w:val="480"/>
      <w:marRight w:val="0"/>
      <w:marTop w:val="0"/>
      <w:marBottom w:val="0"/>
      <w:divBdr>
        <w:top w:val="none" w:sz="0" w:space="0" w:color="auto"/>
        <w:left w:val="none" w:sz="0" w:space="0" w:color="auto"/>
        <w:bottom w:val="none" w:sz="0" w:space="0" w:color="auto"/>
        <w:right w:val="none" w:sz="0" w:space="0" w:color="auto"/>
      </w:divBdr>
    </w:div>
    <w:div w:id="167407742">
      <w:marLeft w:val="480"/>
      <w:marRight w:val="0"/>
      <w:marTop w:val="0"/>
      <w:marBottom w:val="0"/>
      <w:divBdr>
        <w:top w:val="none" w:sz="0" w:space="0" w:color="auto"/>
        <w:left w:val="none" w:sz="0" w:space="0" w:color="auto"/>
        <w:bottom w:val="none" w:sz="0" w:space="0" w:color="auto"/>
        <w:right w:val="none" w:sz="0" w:space="0" w:color="auto"/>
      </w:divBdr>
    </w:div>
    <w:div w:id="167914548">
      <w:marLeft w:val="480"/>
      <w:marRight w:val="0"/>
      <w:marTop w:val="0"/>
      <w:marBottom w:val="0"/>
      <w:divBdr>
        <w:top w:val="none" w:sz="0" w:space="0" w:color="auto"/>
        <w:left w:val="none" w:sz="0" w:space="0" w:color="auto"/>
        <w:bottom w:val="none" w:sz="0" w:space="0" w:color="auto"/>
        <w:right w:val="none" w:sz="0" w:space="0" w:color="auto"/>
      </w:divBdr>
    </w:div>
    <w:div w:id="168300573">
      <w:marLeft w:val="480"/>
      <w:marRight w:val="0"/>
      <w:marTop w:val="0"/>
      <w:marBottom w:val="0"/>
      <w:divBdr>
        <w:top w:val="none" w:sz="0" w:space="0" w:color="auto"/>
        <w:left w:val="none" w:sz="0" w:space="0" w:color="auto"/>
        <w:bottom w:val="none" w:sz="0" w:space="0" w:color="auto"/>
        <w:right w:val="none" w:sz="0" w:space="0" w:color="auto"/>
      </w:divBdr>
    </w:div>
    <w:div w:id="170605726">
      <w:marLeft w:val="480"/>
      <w:marRight w:val="0"/>
      <w:marTop w:val="0"/>
      <w:marBottom w:val="0"/>
      <w:divBdr>
        <w:top w:val="none" w:sz="0" w:space="0" w:color="auto"/>
        <w:left w:val="none" w:sz="0" w:space="0" w:color="auto"/>
        <w:bottom w:val="none" w:sz="0" w:space="0" w:color="auto"/>
        <w:right w:val="none" w:sz="0" w:space="0" w:color="auto"/>
      </w:divBdr>
    </w:div>
    <w:div w:id="175578150">
      <w:marLeft w:val="480"/>
      <w:marRight w:val="0"/>
      <w:marTop w:val="0"/>
      <w:marBottom w:val="0"/>
      <w:divBdr>
        <w:top w:val="none" w:sz="0" w:space="0" w:color="auto"/>
        <w:left w:val="none" w:sz="0" w:space="0" w:color="auto"/>
        <w:bottom w:val="none" w:sz="0" w:space="0" w:color="auto"/>
        <w:right w:val="none" w:sz="0" w:space="0" w:color="auto"/>
      </w:divBdr>
    </w:div>
    <w:div w:id="176038959">
      <w:marLeft w:val="480"/>
      <w:marRight w:val="0"/>
      <w:marTop w:val="0"/>
      <w:marBottom w:val="0"/>
      <w:divBdr>
        <w:top w:val="none" w:sz="0" w:space="0" w:color="auto"/>
        <w:left w:val="none" w:sz="0" w:space="0" w:color="auto"/>
        <w:bottom w:val="none" w:sz="0" w:space="0" w:color="auto"/>
        <w:right w:val="none" w:sz="0" w:space="0" w:color="auto"/>
      </w:divBdr>
    </w:div>
    <w:div w:id="177542594">
      <w:marLeft w:val="480"/>
      <w:marRight w:val="0"/>
      <w:marTop w:val="0"/>
      <w:marBottom w:val="0"/>
      <w:divBdr>
        <w:top w:val="none" w:sz="0" w:space="0" w:color="auto"/>
        <w:left w:val="none" w:sz="0" w:space="0" w:color="auto"/>
        <w:bottom w:val="none" w:sz="0" w:space="0" w:color="auto"/>
        <w:right w:val="none" w:sz="0" w:space="0" w:color="auto"/>
      </w:divBdr>
    </w:div>
    <w:div w:id="180632424">
      <w:marLeft w:val="480"/>
      <w:marRight w:val="0"/>
      <w:marTop w:val="0"/>
      <w:marBottom w:val="0"/>
      <w:divBdr>
        <w:top w:val="none" w:sz="0" w:space="0" w:color="auto"/>
        <w:left w:val="none" w:sz="0" w:space="0" w:color="auto"/>
        <w:bottom w:val="none" w:sz="0" w:space="0" w:color="auto"/>
        <w:right w:val="none" w:sz="0" w:space="0" w:color="auto"/>
      </w:divBdr>
    </w:div>
    <w:div w:id="180898500">
      <w:marLeft w:val="480"/>
      <w:marRight w:val="0"/>
      <w:marTop w:val="0"/>
      <w:marBottom w:val="0"/>
      <w:divBdr>
        <w:top w:val="none" w:sz="0" w:space="0" w:color="auto"/>
        <w:left w:val="none" w:sz="0" w:space="0" w:color="auto"/>
        <w:bottom w:val="none" w:sz="0" w:space="0" w:color="auto"/>
        <w:right w:val="none" w:sz="0" w:space="0" w:color="auto"/>
      </w:divBdr>
    </w:div>
    <w:div w:id="182402779">
      <w:marLeft w:val="480"/>
      <w:marRight w:val="0"/>
      <w:marTop w:val="0"/>
      <w:marBottom w:val="0"/>
      <w:divBdr>
        <w:top w:val="none" w:sz="0" w:space="0" w:color="auto"/>
        <w:left w:val="none" w:sz="0" w:space="0" w:color="auto"/>
        <w:bottom w:val="none" w:sz="0" w:space="0" w:color="auto"/>
        <w:right w:val="none" w:sz="0" w:space="0" w:color="auto"/>
      </w:divBdr>
    </w:div>
    <w:div w:id="183594777">
      <w:marLeft w:val="480"/>
      <w:marRight w:val="0"/>
      <w:marTop w:val="0"/>
      <w:marBottom w:val="0"/>
      <w:divBdr>
        <w:top w:val="none" w:sz="0" w:space="0" w:color="auto"/>
        <w:left w:val="none" w:sz="0" w:space="0" w:color="auto"/>
        <w:bottom w:val="none" w:sz="0" w:space="0" w:color="auto"/>
        <w:right w:val="none" w:sz="0" w:space="0" w:color="auto"/>
      </w:divBdr>
    </w:div>
    <w:div w:id="183633833">
      <w:marLeft w:val="480"/>
      <w:marRight w:val="0"/>
      <w:marTop w:val="0"/>
      <w:marBottom w:val="0"/>
      <w:divBdr>
        <w:top w:val="none" w:sz="0" w:space="0" w:color="auto"/>
        <w:left w:val="none" w:sz="0" w:space="0" w:color="auto"/>
        <w:bottom w:val="none" w:sz="0" w:space="0" w:color="auto"/>
        <w:right w:val="none" w:sz="0" w:space="0" w:color="auto"/>
      </w:divBdr>
    </w:div>
    <w:div w:id="185750008">
      <w:marLeft w:val="480"/>
      <w:marRight w:val="0"/>
      <w:marTop w:val="0"/>
      <w:marBottom w:val="0"/>
      <w:divBdr>
        <w:top w:val="none" w:sz="0" w:space="0" w:color="auto"/>
        <w:left w:val="none" w:sz="0" w:space="0" w:color="auto"/>
        <w:bottom w:val="none" w:sz="0" w:space="0" w:color="auto"/>
        <w:right w:val="none" w:sz="0" w:space="0" w:color="auto"/>
      </w:divBdr>
    </w:div>
    <w:div w:id="188684596">
      <w:marLeft w:val="480"/>
      <w:marRight w:val="0"/>
      <w:marTop w:val="0"/>
      <w:marBottom w:val="0"/>
      <w:divBdr>
        <w:top w:val="none" w:sz="0" w:space="0" w:color="auto"/>
        <w:left w:val="none" w:sz="0" w:space="0" w:color="auto"/>
        <w:bottom w:val="none" w:sz="0" w:space="0" w:color="auto"/>
        <w:right w:val="none" w:sz="0" w:space="0" w:color="auto"/>
      </w:divBdr>
    </w:div>
    <w:div w:id="189415875">
      <w:marLeft w:val="480"/>
      <w:marRight w:val="0"/>
      <w:marTop w:val="0"/>
      <w:marBottom w:val="0"/>
      <w:divBdr>
        <w:top w:val="none" w:sz="0" w:space="0" w:color="auto"/>
        <w:left w:val="none" w:sz="0" w:space="0" w:color="auto"/>
        <w:bottom w:val="none" w:sz="0" w:space="0" w:color="auto"/>
        <w:right w:val="none" w:sz="0" w:space="0" w:color="auto"/>
      </w:divBdr>
    </w:div>
    <w:div w:id="189487992">
      <w:marLeft w:val="480"/>
      <w:marRight w:val="0"/>
      <w:marTop w:val="0"/>
      <w:marBottom w:val="0"/>
      <w:divBdr>
        <w:top w:val="none" w:sz="0" w:space="0" w:color="auto"/>
        <w:left w:val="none" w:sz="0" w:space="0" w:color="auto"/>
        <w:bottom w:val="none" w:sz="0" w:space="0" w:color="auto"/>
        <w:right w:val="none" w:sz="0" w:space="0" w:color="auto"/>
      </w:divBdr>
    </w:div>
    <w:div w:id="189531833">
      <w:marLeft w:val="480"/>
      <w:marRight w:val="0"/>
      <w:marTop w:val="0"/>
      <w:marBottom w:val="0"/>
      <w:divBdr>
        <w:top w:val="none" w:sz="0" w:space="0" w:color="auto"/>
        <w:left w:val="none" w:sz="0" w:space="0" w:color="auto"/>
        <w:bottom w:val="none" w:sz="0" w:space="0" w:color="auto"/>
        <w:right w:val="none" w:sz="0" w:space="0" w:color="auto"/>
      </w:divBdr>
    </w:div>
    <w:div w:id="190150854">
      <w:marLeft w:val="480"/>
      <w:marRight w:val="0"/>
      <w:marTop w:val="0"/>
      <w:marBottom w:val="0"/>
      <w:divBdr>
        <w:top w:val="none" w:sz="0" w:space="0" w:color="auto"/>
        <w:left w:val="none" w:sz="0" w:space="0" w:color="auto"/>
        <w:bottom w:val="none" w:sz="0" w:space="0" w:color="auto"/>
        <w:right w:val="none" w:sz="0" w:space="0" w:color="auto"/>
      </w:divBdr>
    </w:div>
    <w:div w:id="193269846">
      <w:marLeft w:val="480"/>
      <w:marRight w:val="0"/>
      <w:marTop w:val="0"/>
      <w:marBottom w:val="0"/>
      <w:divBdr>
        <w:top w:val="none" w:sz="0" w:space="0" w:color="auto"/>
        <w:left w:val="none" w:sz="0" w:space="0" w:color="auto"/>
        <w:bottom w:val="none" w:sz="0" w:space="0" w:color="auto"/>
        <w:right w:val="none" w:sz="0" w:space="0" w:color="auto"/>
      </w:divBdr>
    </w:div>
    <w:div w:id="195821676">
      <w:marLeft w:val="480"/>
      <w:marRight w:val="0"/>
      <w:marTop w:val="0"/>
      <w:marBottom w:val="0"/>
      <w:divBdr>
        <w:top w:val="none" w:sz="0" w:space="0" w:color="auto"/>
        <w:left w:val="none" w:sz="0" w:space="0" w:color="auto"/>
        <w:bottom w:val="none" w:sz="0" w:space="0" w:color="auto"/>
        <w:right w:val="none" w:sz="0" w:space="0" w:color="auto"/>
      </w:divBdr>
    </w:div>
    <w:div w:id="196967338">
      <w:marLeft w:val="480"/>
      <w:marRight w:val="0"/>
      <w:marTop w:val="0"/>
      <w:marBottom w:val="0"/>
      <w:divBdr>
        <w:top w:val="none" w:sz="0" w:space="0" w:color="auto"/>
        <w:left w:val="none" w:sz="0" w:space="0" w:color="auto"/>
        <w:bottom w:val="none" w:sz="0" w:space="0" w:color="auto"/>
        <w:right w:val="none" w:sz="0" w:space="0" w:color="auto"/>
      </w:divBdr>
    </w:div>
    <w:div w:id="200091947">
      <w:marLeft w:val="480"/>
      <w:marRight w:val="0"/>
      <w:marTop w:val="0"/>
      <w:marBottom w:val="0"/>
      <w:divBdr>
        <w:top w:val="none" w:sz="0" w:space="0" w:color="auto"/>
        <w:left w:val="none" w:sz="0" w:space="0" w:color="auto"/>
        <w:bottom w:val="none" w:sz="0" w:space="0" w:color="auto"/>
        <w:right w:val="none" w:sz="0" w:space="0" w:color="auto"/>
      </w:divBdr>
    </w:div>
    <w:div w:id="200166816">
      <w:marLeft w:val="480"/>
      <w:marRight w:val="0"/>
      <w:marTop w:val="0"/>
      <w:marBottom w:val="0"/>
      <w:divBdr>
        <w:top w:val="none" w:sz="0" w:space="0" w:color="auto"/>
        <w:left w:val="none" w:sz="0" w:space="0" w:color="auto"/>
        <w:bottom w:val="none" w:sz="0" w:space="0" w:color="auto"/>
        <w:right w:val="none" w:sz="0" w:space="0" w:color="auto"/>
      </w:divBdr>
    </w:div>
    <w:div w:id="203371551">
      <w:marLeft w:val="480"/>
      <w:marRight w:val="0"/>
      <w:marTop w:val="0"/>
      <w:marBottom w:val="0"/>
      <w:divBdr>
        <w:top w:val="none" w:sz="0" w:space="0" w:color="auto"/>
        <w:left w:val="none" w:sz="0" w:space="0" w:color="auto"/>
        <w:bottom w:val="none" w:sz="0" w:space="0" w:color="auto"/>
        <w:right w:val="none" w:sz="0" w:space="0" w:color="auto"/>
      </w:divBdr>
    </w:div>
    <w:div w:id="204757339">
      <w:marLeft w:val="480"/>
      <w:marRight w:val="0"/>
      <w:marTop w:val="0"/>
      <w:marBottom w:val="0"/>
      <w:divBdr>
        <w:top w:val="none" w:sz="0" w:space="0" w:color="auto"/>
        <w:left w:val="none" w:sz="0" w:space="0" w:color="auto"/>
        <w:bottom w:val="none" w:sz="0" w:space="0" w:color="auto"/>
        <w:right w:val="none" w:sz="0" w:space="0" w:color="auto"/>
      </w:divBdr>
    </w:div>
    <w:div w:id="207422304">
      <w:marLeft w:val="480"/>
      <w:marRight w:val="0"/>
      <w:marTop w:val="0"/>
      <w:marBottom w:val="0"/>
      <w:divBdr>
        <w:top w:val="none" w:sz="0" w:space="0" w:color="auto"/>
        <w:left w:val="none" w:sz="0" w:space="0" w:color="auto"/>
        <w:bottom w:val="none" w:sz="0" w:space="0" w:color="auto"/>
        <w:right w:val="none" w:sz="0" w:space="0" w:color="auto"/>
      </w:divBdr>
    </w:div>
    <w:div w:id="209342023">
      <w:marLeft w:val="480"/>
      <w:marRight w:val="0"/>
      <w:marTop w:val="0"/>
      <w:marBottom w:val="0"/>
      <w:divBdr>
        <w:top w:val="none" w:sz="0" w:space="0" w:color="auto"/>
        <w:left w:val="none" w:sz="0" w:space="0" w:color="auto"/>
        <w:bottom w:val="none" w:sz="0" w:space="0" w:color="auto"/>
        <w:right w:val="none" w:sz="0" w:space="0" w:color="auto"/>
      </w:divBdr>
    </w:div>
    <w:div w:id="209999141">
      <w:marLeft w:val="480"/>
      <w:marRight w:val="0"/>
      <w:marTop w:val="0"/>
      <w:marBottom w:val="0"/>
      <w:divBdr>
        <w:top w:val="none" w:sz="0" w:space="0" w:color="auto"/>
        <w:left w:val="none" w:sz="0" w:space="0" w:color="auto"/>
        <w:bottom w:val="none" w:sz="0" w:space="0" w:color="auto"/>
        <w:right w:val="none" w:sz="0" w:space="0" w:color="auto"/>
      </w:divBdr>
    </w:div>
    <w:div w:id="211188188">
      <w:marLeft w:val="480"/>
      <w:marRight w:val="0"/>
      <w:marTop w:val="0"/>
      <w:marBottom w:val="0"/>
      <w:divBdr>
        <w:top w:val="none" w:sz="0" w:space="0" w:color="auto"/>
        <w:left w:val="none" w:sz="0" w:space="0" w:color="auto"/>
        <w:bottom w:val="none" w:sz="0" w:space="0" w:color="auto"/>
        <w:right w:val="none" w:sz="0" w:space="0" w:color="auto"/>
      </w:divBdr>
    </w:div>
    <w:div w:id="211890007">
      <w:marLeft w:val="480"/>
      <w:marRight w:val="0"/>
      <w:marTop w:val="0"/>
      <w:marBottom w:val="0"/>
      <w:divBdr>
        <w:top w:val="none" w:sz="0" w:space="0" w:color="auto"/>
        <w:left w:val="none" w:sz="0" w:space="0" w:color="auto"/>
        <w:bottom w:val="none" w:sz="0" w:space="0" w:color="auto"/>
        <w:right w:val="none" w:sz="0" w:space="0" w:color="auto"/>
      </w:divBdr>
    </w:div>
    <w:div w:id="215820407">
      <w:marLeft w:val="480"/>
      <w:marRight w:val="0"/>
      <w:marTop w:val="0"/>
      <w:marBottom w:val="0"/>
      <w:divBdr>
        <w:top w:val="none" w:sz="0" w:space="0" w:color="auto"/>
        <w:left w:val="none" w:sz="0" w:space="0" w:color="auto"/>
        <w:bottom w:val="none" w:sz="0" w:space="0" w:color="auto"/>
        <w:right w:val="none" w:sz="0" w:space="0" w:color="auto"/>
      </w:divBdr>
    </w:div>
    <w:div w:id="220791970">
      <w:marLeft w:val="480"/>
      <w:marRight w:val="0"/>
      <w:marTop w:val="0"/>
      <w:marBottom w:val="0"/>
      <w:divBdr>
        <w:top w:val="none" w:sz="0" w:space="0" w:color="auto"/>
        <w:left w:val="none" w:sz="0" w:space="0" w:color="auto"/>
        <w:bottom w:val="none" w:sz="0" w:space="0" w:color="auto"/>
        <w:right w:val="none" w:sz="0" w:space="0" w:color="auto"/>
      </w:divBdr>
    </w:div>
    <w:div w:id="221914243">
      <w:marLeft w:val="480"/>
      <w:marRight w:val="0"/>
      <w:marTop w:val="0"/>
      <w:marBottom w:val="0"/>
      <w:divBdr>
        <w:top w:val="none" w:sz="0" w:space="0" w:color="auto"/>
        <w:left w:val="none" w:sz="0" w:space="0" w:color="auto"/>
        <w:bottom w:val="none" w:sz="0" w:space="0" w:color="auto"/>
        <w:right w:val="none" w:sz="0" w:space="0" w:color="auto"/>
      </w:divBdr>
    </w:div>
    <w:div w:id="223760002">
      <w:marLeft w:val="480"/>
      <w:marRight w:val="0"/>
      <w:marTop w:val="0"/>
      <w:marBottom w:val="0"/>
      <w:divBdr>
        <w:top w:val="none" w:sz="0" w:space="0" w:color="auto"/>
        <w:left w:val="none" w:sz="0" w:space="0" w:color="auto"/>
        <w:bottom w:val="none" w:sz="0" w:space="0" w:color="auto"/>
        <w:right w:val="none" w:sz="0" w:space="0" w:color="auto"/>
      </w:divBdr>
    </w:div>
    <w:div w:id="225915179">
      <w:marLeft w:val="480"/>
      <w:marRight w:val="0"/>
      <w:marTop w:val="0"/>
      <w:marBottom w:val="0"/>
      <w:divBdr>
        <w:top w:val="none" w:sz="0" w:space="0" w:color="auto"/>
        <w:left w:val="none" w:sz="0" w:space="0" w:color="auto"/>
        <w:bottom w:val="none" w:sz="0" w:space="0" w:color="auto"/>
        <w:right w:val="none" w:sz="0" w:space="0" w:color="auto"/>
      </w:divBdr>
    </w:div>
    <w:div w:id="226646146">
      <w:marLeft w:val="480"/>
      <w:marRight w:val="0"/>
      <w:marTop w:val="0"/>
      <w:marBottom w:val="0"/>
      <w:divBdr>
        <w:top w:val="none" w:sz="0" w:space="0" w:color="auto"/>
        <w:left w:val="none" w:sz="0" w:space="0" w:color="auto"/>
        <w:bottom w:val="none" w:sz="0" w:space="0" w:color="auto"/>
        <w:right w:val="none" w:sz="0" w:space="0" w:color="auto"/>
      </w:divBdr>
    </w:div>
    <w:div w:id="227302999">
      <w:marLeft w:val="480"/>
      <w:marRight w:val="0"/>
      <w:marTop w:val="0"/>
      <w:marBottom w:val="0"/>
      <w:divBdr>
        <w:top w:val="none" w:sz="0" w:space="0" w:color="auto"/>
        <w:left w:val="none" w:sz="0" w:space="0" w:color="auto"/>
        <w:bottom w:val="none" w:sz="0" w:space="0" w:color="auto"/>
        <w:right w:val="none" w:sz="0" w:space="0" w:color="auto"/>
      </w:divBdr>
    </w:div>
    <w:div w:id="228733221">
      <w:marLeft w:val="480"/>
      <w:marRight w:val="0"/>
      <w:marTop w:val="0"/>
      <w:marBottom w:val="0"/>
      <w:divBdr>
        <w:top w:val="none" w:sz="0" w:space="0" w:color="auto"/>
        <w:left w:val="none" w:sz="0" w:space="0" w:color="auto"/>
        <w:bottom w:val="none" w:sz="0" w:space="0" w:color="auto"/>
        <w:right w:val="none" w:sz="0" w:space="0" w:color="auto"/>
      </w:divBdr>
    </w:div>
    <w:div w:id="230045365">
      <w:marLeft w:val="480"/>
      <w:marRight w:val="0"/>
      <w:marTop w:val="0"/>
      <w:marBottom w:val="0"/>
      <w:divBdr>
        <w:top w:val="none" w:sz="0" w:space="0" w:color="auto"/>
        <w:left w:val="none" w:sz="0" w:space="0" w:color="auto"/>
        <w:bottom w:val="none" w:sz="0" w:space="0" w:color="auto"/>
        <w:right w:val="none" w:sz="0" w:space="0" w:color="auto"/>
      </w:divBdr>
    </w:div>
    <w:div w:id="231307705">
      <w:marLeft w:val="480"/>
      <w:marRight w:val="0"/>
      <w:marTop w:val="0"/>
      <w:marBottom w:val="0"/>
      <w:divBdr>
        <w:top w:val="none" w:sz="0" w:space="0" w:color="auto"/>
        <w:left w:val="none" w:sz="0" w:space="0" w:color="auto"/>
        <w:bottom w:val="none" w:sz="0" w:space="0" w:color="auto"/>
        <w:right w:val="none" w:sz="0" w:space="0" w:color="auto"/>
      </w:divBdr>
    </w:div>
    <w:div w:id="232588876">
      <w:marLeft w:val="480"/>
      <w:marRight w:val="0"/>
      <w:marTop w:val="0"/>
      <w:marBottom w:val="0"/>
      <w:divBdr>
        <w:top w:val="none" w:sz="0" w:space="0" w:color="auto"/>
        <w:left w:val="none" w:sz="0" w:space="0" w:color="auto"/>
        <w:bottom w:val="none" w:sz="0" w:space="0" w:color="auto"/>
        <w:right w:val="none" w:sz="0" w:space="0" w:color="auto"/>
      </w:divBdr>
    </w:div>
    <w:div w:id="233053658">
      <w:marLeft w:val="480"/>
      <w:marRight w:val="0"/>
      <w:marTop w:val="0"/>
      <w:marBottom w:val="0"/>
      <w:divBdr>
        <w:top w:val="none" w:sz="0" w:space="0" w:color="auto"/>
        <w:left w:val="none" w:sz="0" w:space="0" w:color="auto"/>
        <w:bottom w:val="none" w:sz="0" w:space="0" w:color="auto"/>
        <w:right w:val="none" w:sz="0" w:space="0" w:color="auto"/>
      </w:divBdr>
    </w:div>
    <w:div w:id="233509720">
      <w:marLeft w:val="480"/>
      <w:marRight w:val="0"/>
      <w:marTop w:val="0"/>
      <w:marBottom w:val="0"/>
      <w:divBdr>
        <w:top w:val="none" w:sz="0" w:space="0" w:color="auto"/>
        <w:left w:val="none" w:sz="0" w:space="0" w:color="auto"/>
        <w:bottom w:val="none" w:sz="0" w:space="0" w:color="auto"/>
        <w:right w:val="none" w:sz="0" w:space="0" w:color="auto"/>
      </w:divBdr>
    </w:div>
    <w:div w:id="234708873">
      <w:marLeft w:val="480"/>
      <w:marRight w:val="0"/>
      <w:marTop w:val="0"/>
      <w:marBottom w:val="0"/>
      <w:divBdr>
        <w:top w:val="none" w:sz="0" w:space="0" w:color="auto"/>
        <w:left w:val="none" w:sz="0" w:space="0" w:color="auto"/>
        <w:bottom w:val="none" w:sz="0" w:space="0" w:color="auto"/>
        <w:right w:val="none" w:sz="0" w:space="0" w:color="auto"/>
      </w:divBdr>
    </w:div>
    <w:div w:id="235896751">
      <w:marLeft w:val="480"/>
      <w:marRight w:val="0"/>
      <w:marTop w:val="0"/>
      <w:marBottom w:val="0"/>
      <w:divBdr>
        <w:top w:val="none" w:sz="0" w:space="0" w:color="auto"/>
        <w:left w:val="none" w:sz="0" w:space="0" w:color="auto"/>
        <w:bottom w:val="none" w:sz="0" w:space="0" w:color="auto"/>
        <w:right w:val="none" w:sz="0" w:space="0" w:color="auto"/>
      </w:divBdr>
    </w:div>
    <w:div w:id="240213308">
      <w:marLeft w:val="480"/>
      <w:marRight w:val="0"/>
      <w:marTop w:val="0"/>
      <w:marBottom w:val="0"/>
      <w:divBdr>
        <w:top w:val="none" w:sz="0" w:space="0" w:color="auto"/>
        <w:left w:val="none" w:sz="0" w:space="0" w:color="auto"/>
        <w:bottom w:val="none" w:sz="0" w:space="0" w:color="auto"/>
        <w:right w:val="none" w:sz="0" w:space="0" w:color="auto"/>
      </w:divBdr>
    </w:div>
    <w:div w:id="240798461">
      <w:marLeft w:val="480"/>
      <w:marRight w:val="0"/>
      <w:marTop w:val="0"/>
      <w:marBottom w:val="0"/>
      <w:divBdr>
        <w:top w:val="none" w:sz="0" w:space="0" w:color="auto"/>
        <w:left w:val="none" w:sz="0" w:space="0" w:color="auto"/>
        <w:bottom w:val="none" w:sz="0" w:space="0" w:color="auto"/>
        <w:right w:val="none" w:sz="0" w:space="0" w:color="auto"/>
      </w:divBdr>
    </w:div>
    <w:div w:id="242227223">
      <w:marLeft w:val="480"/>
      <w:marRight w:val="0"/>
      <w:marTop w:val="0"/>
      <w:marBottom w:val="0"/>
      <w:divBdr>
        <w:top w:val="none" w:sz="0" w:space="0" w:color="auto"/>
        <w:left w:val="none" w:sz="0" w:space="0" w:color="auto"/>
        <w:bottom w:val="none" w:sz="0" w:space="0" w:color="auto"/>
        <w:right w:val="none" w:sz="0" w:space="0" w:color="auto"/>
      </w:divBdr>
    </w:div>
    <w:div w:id="242646966">
      <w:marLeft w:val="480"/>
      <w:marRight w:val="0"/>
      <w:marTop w:val="0"/>
      <w:marBottom w:val="0"/>
      <w:divBdr>
        <w:top w:val="none" w:sz="0" w:space="0" w:color="auto"/>
        <w:left w:val="none" w:sz="0" w:space="0" w:color="auto"/>
        <w:bottom w:val="none" w:sz="0" w:space="0" w:color="auto"/>
        <w:right w:val="none" w:sz="0" w:space="0" w:color="auto"/>
      </w:divBdr>
    </w:div>
    <w:div w:id="242960590">
      <w:marLeft w:val="480"/>
      <w:marRight w:val="0"/>
      <w:marTop w:val="0"/>
      <w:marBottom w:val="0"/>
      <w:divBdr>
        <w:top w:val="none" w:sz="0" w:space="0" w:color="auto"/>
        <w:left w:val="none" w:sz="0" w:space="0" w:color="auto"/>
        <w:bottom w:val="none" w:sz="0" w:space="0" w:color="auto"/>
        <w:right w:val="none" w:sz="0" w:space="0" w:color="auto"/>
      </w:divBdr>
    </w:div>
    <w:div w:id="247347176">
      <w:bodyDiv w:val="1"/>
      <w:marLeft w:val="0"/>
      <w:marRight w:val="0"/>
      <w:marTop w:val="0"/>
      <w:marBottom w:val="0"/>
      <w:divBdr>
        <w:top w:val="none" w:sz="0" w:space="0" w:color="auto"/>
        <w:left w:val="none" w:sz="0" w:space="0" w:color="auto"/>
        <w:bottom w:val="none" w:sz="0" w:space="0" w:color="auto"/>
        <w:right w:val="none" w:sz="0" w:space="0" w:color="auto"/>
      </w:divBdr>
    </w:div>
    <w:div w:id="247425276">
      <w:marLeft w:val="480"/>
      <w:marRight w:val="0"/>
      <w:marTop w:val="0"/>
      <w:marBottom w:val="0"/>
      <w:divBdr>
        <w:top w:val="none" w:sz="0" w:space="0" w:color="auto"/>
        <w:left w:val="none" w:sz="0" w:space="0" w:color="auto"/>
        <w:bottom w:val="none" w:sz="0" w:space="0" w:color="auto"/>
        <w:right w:val="none" w:sz="0" w:space="0" w:color="auto"/>
      </w:divBdr>
    </w:div>
    <w:div w:id="250896720">
      <w:marLeft w:val="480"/>
      <w:marRight w:val="0"/>
      <w:marTop w:val="0"/>
      <w:marBottom w:val="0"/>
      <w:divBdr>
        <w:top w:val="none" w:sz="0" w:space="0" w:color="auto"/>
        <w:left w:val="none" w:sz="0" w:space="0" w:color="auto"/>
        <w:bottom w:val="none" w:sz="0" w:space="0" w:color="auto"/>
        <w:right w:val="none" w:sz="0" w:space="0" w:color="auto"/>
      </w:divBdr>
    </w:div>
    <w:div w:id="251209754">
      <w:marLeft w:val="480"/>
      <w:marRight w:val="0"/>
      <w:marTop w:val="0"/>
      <w:marBottom w:val="0"/>
      <w:divBdr>
        <w:top w:val="none" w:sz="0" w:space="0" w:color="auto"/>
        <w:left w:val="none" w:sz="0" w:space="0" w:color="auto"/>
        <w:bottom w:val="none" w:sz="0" w:space="0" w:color="auto"/>
        <w:right w:val="none" w:sz="0" w:space="0" w:color="auto"/>
      </w:divBdr>
    </w:div>
    <w:div w:id="255288021">
      <w:marLeft w:val="480"/>
      <w:marRight w:val="0"/>
      <w:marTop w:val="0"/>
      <w:marBottom w:val="0"/>
      <w:divBdr>
        <w:top w:val="none" w:sz="0" w:space="0" w:color="auto"/>
        <w:left w:val="none" w:sz="0" w:space="0" w:color="auto"/>
        <w:bottom w:val="none" w:sz="0" w:space="0" w:color="auto"/>
        <w:right w:val="none" w:sz="0" w:space="0" w:color="auto"/>
      </w:divBdr>
    </w:div>
    <w:div w:id="258029016">
      <w:marLeft w:val="480"/>
      <w:marRight w:val="0"/>
      <w:marTop w:val="0"/>
      <w:marBottom w:val="0"/>
      <w:divBdr>
        <w:top w:val="none" w:sz="0" w:space="0" w:color="auto"/>
        <w:left w:val="none" w:sz="0" w:space="0" w:color="auto"/>
        <w:bottom w:val="none" w:sz="0" w:space="0" w:color="auto"/>
        <w:right w:val="none" w:sz="0" w:space="0" w:color="auto"/>
      </w:divBdr>
    </w:div>
    <w:div w:id="259605151">
      <w:marLeft w:val="480"/>
      <w:marRight w:val="0"/>
      <w:marTop w:val="0"/>
      <w:marBottom w:val="0"/>
      <w:divBdr>
        <w:top w:val="none" w:sz="0" w:space="0" w:color="auto"/>
        <w:left w:val="none" w:sz="0" w:space="0" w:color="auto"/>
        <w:bottom w:val="none" w:sz="0" w:space="0" w:color="auto"/>
        <w:right w:val="none" w:sz="0" w:space="0" w:color="auto"/>
      </w:divBdr>
    </w:div>
    <w:div w:id="260380672">
      <w:marLeft w:val="480"/>
      <w:marRight w:val="0"/>
      <w:marTop w:val="0"/>
      <w:marBottom w:val="0"/>
      <w:divBdr>
        <w:top w:val="none" w:sz="0" w:space="0" w:color="auto"/>
        <w:left w:val="none" w:sz="0" w:space="0" w:color="auto"/>
        <w:bottom w:val="none" w:sz="0" w:space="0" w:color="auto"/>
        <w:right w:val="none" w:sz="0" w:space="0" w:color="auto"/>
      </w:divBdr>
    </w:div>
    <w:div w:id="260534136">
      <w:marLeft w:val="480"/>
      <w:marRight w:val="0"/>
      <w:marTop w:val="0"/>
      <w:marBottom w:val="0"/>
      <w:divBdr>
        <w:top w:val="none" w:sz="0" w:space="0" w:color="auto"/>
        <w:left w:val="none" w:sz="0" w:space="0" w:color="auto"/>
        <w:bottom w:val="none" w:sz="0" w:space="0" w:color="auto"/>
        <w:right w:val="none" w:sz="0" w:space="0" w:color="auto"/>
      </w:divBdr>
    </w:div>
    <w:div w:id="260601558">
      <w:marLeft w:val="480"/>
      <w:marRight w:val="0"/>
      <w:marTop w:val="0"/>
      <w:marBottom w:val="0"/>
      <w:divBdr>
        <w:top w:val="none" w:sz="0" w:space="0" w:color="auto"/>
        <w:left w:val="none" w:sz="0" w:space="0" w:color="auto"/>
        <w:bottom w:val="none" w:sz="0" w:space="0" w:color="auto"/>
        <w:right w:val="none" w:sz="0" w:space="0" w:color="auto"/>
      </w:divBdr>
    </w:div>
    <w:div w:id="261034129">
      <w:marLeft w:val="480"/>
      <w:marRight w:val="0"/>
      <w:marTop w:val="0"/>
      <w:marBottom w:val="0"/>
      <w:divBdr>
        <w:top w:val="none" w:sz="0" w:space="0" w:color="auto"/>
        <w:left w:val="none" w:sz="0" w:space="0" w:color="auto"/>
        <w:bottom w:val="none" w:sz="0" w:space="0" w:color="auto"/>
        <w:right w:val="none" w:sz="0" w:space="0" w:color="auto"/>
      </w:divBdr>
    </w:div>
    <w:div w:id="261959183">
      <w:marLeft w:val="480"/>
      <w:marRight w:val="0"/>
      <w:marTop w:val="0"/>
      <w:marBottom w:val="0"/>
      <w:divBdr>
        <w:top w:val="none" w:sz="0" w:space="0" w:color="auto"/>
        <w:left w:val="none" w:sz="0" w:space="0" w:color="auto"/>
        <w:bottom w:val="none" w:sz="0" w:space="0" w:color="auto"/>
        <w:right w:val="none" w:sz="0" w:space="0" w:color="auto"/>
      </w:divBdr>
    </w:div>
    <w:div w:id="264770317">
      <w:marLeft w:val="480"/>
      <w:marRight w:val="0"/>
      <w:marTop w:val="0"/>
      <w:marBottom w:val="0"/>
      <w:divBdr>
        <w:top w:val="none" w:sz="0" w:space="0" w:color="auto"/>
        <w:left w:val="none" w:sz="0" w:space="0" w:color="auto"/>
        <w:bottom w:val="none" w:sz="0" w:space="0" w:color="auto"/>
        <w:right w:val="none" w:sz="0" w:space="0" w:color="auto"/>
      </w:divBdr>
    </w:div>
    <w:div w:id="265817153">
      <w:marLeft w:val="480"/>
      <w:marRight w:val="0"/>
      <w:marTop w:val="0"/>
      <w:marBottom w:val="0"/>
      <w:divBdr>
        <w:top w:val="none" w:sz="0" w:space="0" w:color="auto"/>
        <w:left w:val="none" w:sz="0" w:space="0" w:color="auto"/>
        <w:bottom w:val="none" w:sz="0" w:space="0" w:color="auto"/>
        <w:right w:val="none" w:sz="0" w:space="0" w:color="auto"/>
      </w:divBdr>
    </w:div>
    <w:div w:id="267934804">
      <w:marLeft w:val="480"/>
      <w:marRight w:val="0"/>
      <w:marTop w:val="0"/>
      <w:marBottom w:val="0"/>
      <w:divBdr>
        <w:top w:val="none" w:sz="0" w:space="0" w:color="auto"/>
        <w:left w:val="none" w:sz="0" w:space="0" w:color="auto"/>
        <w:bottom w:val="none" w:sz="0" w:space="0" w:color="auto"/>
        <w:right w:val="none" w:sz="0" w:space="0" w:color="auto"/>
      </w:divBdr>
    </w:div>
    <w:div w:id="268587368">
      <w:marLeft w:val="480"/>
      <w:marRight w:val="0"/>
      <w:marTop w:val="0"/>
      <w:marBottom w:val="0"/>
      <w:divBdr>
        <w:top w:val="none" w:sz="0" w:space="0" w:color="auto"/>
        <w:left w:val="none" w:sz="0" w:space="0" w:color="auto"/>
        <w:bottom w:val="none" w:sz="0" w:space="0" w:color="auto"/>
        <w:right w:val="none" w:sz="0" w:space="0" w:color="auto"/>
      </w:divBdr>
    </w:div>
    <w:div w:id="269167323">
      <w:marLeft w:val="480"/>
      <w:marRight w:val="0"/>
      <w:marTop w:val="0"/>
      <w:marBottom w:val="0"/>
      <w:divBdr>
        <w:top w:val="none" w:sz="0" w:space="0" w:color="auto"/>
        <w:left w:val="none" w:sz="0" w:space="0" w:color="auto"/>
        <w:bottom w:val="none" w:sz="0" w:space="0" w:color="auto"/>
        <w:right w:val="none" w:sz="0" w:space="0" w:color="auto"/>
      </w:divBdr>
    </w:div>
    <w:div w:id="269439751">
      <w:marLeft w:val="480"/>
      <w:marRight w:val="0"/>
      <w:marTop w:val="0"/>
      <w:marBottom w:val="0"/>
      <w:divBdr>
        <w:top w:val="none" w:sz="0" w:space="0" w:color="auto"/>
        <w:left w:val="none" w:sz="0" w:space="0" w:color="auto"/>
        <w:bottom w:val="none" w:sz="0" w:space="0" w:color="auto"/>
        <w:right w:val="none" w:sz="0" w:space="0" w:color="auto"/>
      </w:divBdr>
    </w:div>
    <w:div w:id="272127317">
      <w:marLeft w:val="480"/>
      <w:marRight w:val="0"/>
      <w:marTop w:val="0"/>
      <w:marBottom w:val="0"/>
      <w:divBdr>
        <w:top w:val="none" w:sz="0" w:space="0" w:color="auto"/>
        <w:left w:val="none" w:sz="0" w:space="0" w:color="auto"/>
        <w:bottom w:val="none" w:sz="0" w:space="0" w:color="auto"/>
        <w:right w:val="none" w:sz="0" w:space="0" w:color="auto"/>
      </w:divBdr>
    </w:div>
    <w:div w:id="274217251">
      <w:marLeft w:val="480"/>
      <w:marRight w:val="0"/>
      <w:marTop w:val="0"/>
      <w:marBottom w:val="0"/>
      <w:divBdr>
        <w:top w:val="none" w:sz="0" w:space="0" w:color="auto"/>
        <w:left w:val="none" w:sz="0" w:space="0" w:color="auto"/>
        <w:bottom w:val="none" w:sz="0" w:space="0" w:color="auto"/>
        <w:right w:val="none" w:sz="0" w:space="0" w:color="auto"/>
      </w:divBdr>
    </w:div>
    <w:div w:id="276721627">
      <w:marLeft w:val="480"/>
      <w:marRight w:val="0"/>
      <w:marTop w:val="0"/>
      <w:marBottom w:val="0"/>
      <w:divBdr>
        <w:top w:val="none" w:sz="0" w:space="0" w:color="auto"/>
        <w:left w:val="none" w:sz="0" w:space="0" w:color="auto"/>
        <w:bottom w:val="none" w:sz="0" w:space="0" w:color="auto"/>
        <w:right w:val="none" w:sz="0" w:space="0" w:color="auto"/>
      </w:divBdr>
    </w:div>
    <w:div w:id="279193931">
      <w:marLeft w:val="480"/>
      <w:marRight w:val="0"/>
      <w:marTop w:val="0"/>
      <w:marBottom w:val="0"/>
      <w:divBdr>
        <w:top w:val="none" w:sz="0" w:space="0" w:color="auto"/>
        <w:left w:val="none" w:sz="0" w:space="0" w:color="auto"/>
        <w:bottom w:val="none" w:sz="0" w:space="0" w:color="auto"/>
        <w:right w:val="none" w:sz="0" w:space="0" w:color="auto"/>
      </w:divBdr>
    </w:div>
    <w:div w:id="279647807">
      <w:marLeft w:val="480"/>
      <w:marRight w:val="0"/>
      <w:marTop w:val="0"/>
      <w:marBottom w:val="0"/>
      <w:divBdr>
        <w:top w:val="none" w:sz="0" w:space="0" w:color="auto"/>
        <w:left w:val="none" w:sz="0" w:space="0" w:color="auto"/>
        <w:bottom w:val="none" w:sz="0" w:space="0" w:color="auto"/>
        <w:right w:val="none" w:sz="0" w:space="0" w:color="auto"/>
      </w:divBdr>
    </w:div>
    <w:div w:id="280309274">
      <w:marLeft w:val="480"/>
      <w:marRight w:val="0"/>
      <w:marTop w:val="0"/>
      <w:marBottom w:val="0"/>
      <w:divBdr>
        <w:top w:val="none" w:sz="0" w:space="0" w:color="auto"/>
        <w:left w:val="none" w:sz="0" w:space="0" w:color="auto"/>
        <w:bottom w:val="none" w:sz="0" w:space="0" w:color="auto"/>
        <w:right w:val="none" w:sz="0" w:space="0" w:color="auto"/>
      </w:divBdr>
    </w:div>
    <w:div w:id="280579355">
      <w:marLeft w:val="480"/>
      <w:marRight w:val="0"/>
      <w:marTop w:val="0"/>
      <w:marBottom w:val="0"/>
      <w:divBdr>
        <w:top w:val="none" w:sz="0" w:space="0" w:color="auto"/>
        <w:left w:val="none" w:sz="0" w:space="0" w:color="auto"/>
        <w:bottom w:val="none" w:sz="0" w:space="0" w:color="auto"/>
        <w:right w:val="none" w:sz="0" w:space="0" w:color="auto"/>
      </w:divBdr>
    </w:div>
    <w:div w:id="281617462">
      <w:marLeft w:val="480"/>
      <w:marRight w:val="0"/>
      <w:marTop w:val="0"/>
      <w:marBottom w:val="0"/>
      <w:divBdr>
        <w:top w:val="none" w:sz="0" w:space="0" w:color="auto"/>
        <w:left w:val="none" w:sz="0" w:space="0" w:color="auto"/>
        <w:bottom w:val="none" w:sz="0" w:space="0" w:color="auto"/>
        <w:right w:val="none" w:sz="0" w:space="0" w:color="auto"/>
      </w:divBdr>
    </w:div>
    <w:div w:id="282422701">
      <w:marLeft w:val="480"/>
      <w:marRight w:val="0"/>
      <w:marTop w:val="0"/>
      <w:marBottom w:val="0"/>
      <w:divBdr>
        <w:top w:val="none" w:sz="0" w:space="0" w:color="auto"/>
        <w:left w:val="none" w:sz="0" w:space="0" w:color="auto"/>
        <w:bottom w:val="none" w:sz="0" w:space="0" w:color="auto"/>
        <w:right w:val="none" w:sz="0" w:space="0" w:color="auto"/>
      </w:divBdr>
    </w:div>
    <w:div w:id="283928508">
      <w:marLeft w:val="480"/>
      <w:marRight w:val="0"/>
      <w:marTop w:val="0"/>
      <w:marBottom w:val="0"/>
      <w:divBdr>
        <w:top w:val="none" w:sz="0" w:space="0" w:color="auto"/>
        <w:left w:val="none" w:sz="0" w:space="0" w:color="auto"/>
        <w:bottom w:val="none" w:sz="0" w:space="0" w:color="auto"/>
        <w:right w:val="none" w:sz="0" w:space="0" w:color="auto"/>
      </w:divBdr>
    </w:div>
    <w:div w:id="284315031">
      <w:marLeft w:val="480"/>
      <w:marRight w:val="0"/>
      <w:marTop w:val="0"/>
      <w:marBottom w:val="0"/>
      <w:divBdr>
        <w:top w:val="none" w:sz="0" w:space="0" w:color="auto"/>
        <w:left w:val="none" w:sz="0" w:space="0" w:color="auto"/>
        <w:bottom w:val="none" w:sz="0" w:space="0" w:color="auto"/>
        <w:right w:val="none" w:sz="0" w:space="0" w:color="auto"/>
      </w:divBdr>
    </w:div>
    <w:div w:id="284655147">
      <w:marLeft w:val="480"/>
      <w:marRight w:val="0"/>
      <w:marTop w:val="0"/>
      <w:marBottom w:val="0"/>
      <w:divBdr>
        <w:top w:val="none" w:sz="0" w:space="0" w:color="auto"/>
        <w:left w:val="none" w:sz="0" w:space="0" w:color="auto"/>
        <w:bottom w:val="none" w:sz="0" w:space="0" w:color="auto"/>
        <w:right w:val="none" w:sz="0" w:space="0" w:color="auto"/>
      </w:divBdr>
    </w:div>
    <w:div w:id="288628906">
      <w:marLeft w:val="480"/>
      <w:marRight w:val="0"/>
      <w:marTop w:val="0"/>
      <w:marBottom w:val="0"/>
      <w:divBdr>
        <w:top w:val="none" w:sz="0" w:space="0" w:color="auto"/>
        <w:left w:val="none" w:sz="0" w:space="0" w:color="auto"/>
        <w:bottom w:val="none" w:sz="0" w:space="0" w:color="auto"/>
        <w:right w:val="none" w:sz="0" w:space="0" w:color="auto"/>
      </w:divBdr>
    </w:div>
    <w:div w:id="288971952">
      <w:marLeft w:val="480"/>
      <w:marRight w:val="0"/>
      <w:marTop w:val="0"/>
      <w:marBottom w:val="0"/>
      <w:divBdr>
        <w:top w:val="none" w:sz="0" w:space="0" w:color="auto"/>
        <w:left w:val="none" w:sz="0" w:space="0" w:color="auto"/>
        <w:bottom w:val="none" w:sz="0" w:space="0" w:color="auto"/>
        <w:right w:val="none" w:sz="0" w:space="0" w:color="auto"/>
      </w:divBdr>
    </w:div>
    <w:div w:id="289869671">
      <w:marLeft w:val="480"/>
      <w:marRight w:val="0"/>
      <w:marTop w:val="0"/>
      <w:marBottom w:val="0"/>
      <w:divBdr>
        <w:top w:val="none" w:sz="0" w:space="0" w:color="auto"/>
        <w:left w:val="none" w:sz="0" w:space="0" w:color="auto"/>
        <w:bottom w:val="none" w:sz="0" w:space="0" w:color="auto"/>
        <w:right w:val="none" w:sz="0" w:space="0" w:color="auto"/>
      </w:divBdr>
    </w:div>
    <w:div w:id="295333894">
      <w:marLeft w:val="480"/>
      <w:marRight w:val="0"/>
      <w:marTop w:val="0"/>
      <w:marBottom w:val="0"/>
      <w:divBdr>
        <w:top w:val="none" w:sz="0" w:space="0" w:color="auto"/>
        <w:left w:val="none" w:sz="0" w:space="0" w:color="auto"/>
        <w:bottom w:val="none" w:sz="0" w:space="0" w:color="auto"/>
        <w:right w:val="none" w:sz="0" w:space="0" w:color="auto"/>
      </w:divBdr>
    </w:div>
    <w:div w:id="296491186">
      <w:marLeft w:val="480"/>
      <w:marRight w:val="0"/>
      <w:marTop w:val="0"/>
      <w:marBottom w:val="0"/>
      <w:divBdr>
        <w:top w:val="none" w:sz="0" w:space="0" w:color="auto"/>
        <w:left w:val="none" w:sz="0" w:space="0" w:color="auto"/>
        <w:bottom w:val="none" w:sz="0" w:space="0" w:color="auto"/>
        <w:right w:val="none" w:sz="0" w:space="0" w:color="auto"/>
      </w:divBdr>
    </w:div>
    <w:div w:id="299504987">
      <w:marLeft w:val="480"/>
      <w:marRight w:val="0"/>
      <w:marTop w:val="0"/>
      <w:marBottom w:val="0"/>
      <w:divBdr>
        <w:top w:val="none" w:sz="0" w:space="0" w:color="auto"/>
        <w:left w:val="none" w:sz="0" w:space="0" w:color="auto"/>
        <w:bottom w:val="none" w:sz="0" w:space="0" w:color="auto"/>
        <w:right w:val="none" w:sz="0" w:space="0" w:color="auto"/>
      </w:divBdr>
    </w:div>
    <w:div w:id="303971920">
      <w:marLeft w:val="480"/>
      <w:marRight w:val="0"/>
      <w:marTop w:val="0"/>
      <w:marBottom w:val="0"/>
      <w:divBdr>
        <w:top w:val="none" w:sz="0" w:space="0" w:color="auto"/>
        <w:left w:val="none" w:sz="0" w:space="0" w:color="auto"/>
        <w:bottom w:val="none" w:sz="0" w:space="0" w:color="auto"/>
        <w:right w:val="none" w:sz="0" w:space="0" w:color="auto"/>
      </w:divBdr>
    </w:div>
    <w:div w:id="307369563">
      <w:marLeft w:val="480"/>
      <w:marRight w:val="0"/>
      <w:marTop w:val="0"/>
      <w:marBottom w:val="0"/>
      <w:divBdr>
        <w:top w:val="none" w:sz="0" w:space="0" w:color="auto"/>
        <w:left w:val="none" w:sz="0" w:space="0" w:color="auto"/>
        <w:bottom w:val="none" w:sz="0" w:space="0" w:color="auto"/>
        <w:right w:val="none" w:sz="0" w:space="0" w:color="auto"/>
      </w:divBdr>
    </w:div>
    <w:div w:id="307906884">
      <w:marLeft w:val="480"/>
      <w:marRight w:val="0"/>
      <w:marTop w:val="0"/>
      <w:marBottom w:val="0"/>
      <w:divBdr>
        <w:top w:val="none" w:sz="0" w:space="0" w:color="auto"/>
        <w:left w:val="none" w:sz="0" w:space="0" w:color="auto"/>
        <w:bottom w:val="none" w:sz="0" w:space="0" w:color="auto"/>
        <w:right w:val="none" w:sz="0" w:space="0" w:color="auto"/>
      </w:divBdr>
    </w:div>
    <w:div w:id="313291712">
      <w:marLeft w:val="480"/>
      <w:marRight w:val="0"/>
      <w:marTop w:val="0"/>
      <w:marBottom w:val="0"/>
      <w:divBdr>
        <w:top w:val="none" w:sz="0" w:space="0" w:color="auto"/>
        <w:left w:val="none" w:sz="0" w:space="0" w:color="auto"/>
        <w:bottom w:val="none" w:sz="0" w:space="0" w:color="auto"/>
        <w:right w:val="none" w:sz="0" w:space="0" w:color="auto"/>
      </w:divBdr>
    </w:div>
    <w:div w:id="315110757">
      <w:marLeft w:val="480"/>
      <w:marRight w:val="0"/>
      <w:marTop w:val="0"/>
      <w:marBottom w:val="0"/>
      <w:divBdr>
        <w:top w:val="none" w:sz="0" w:space="0" w:color="auto"/>
        <w:left w:val="none" w:sz="0" w:space="0" w:color="auto"/>
        <w:bottom w:val="none" w:sz="0" w:space="0" w:color="auto"/>
        <w:right w:val="none" w:sz="0" w:space="0" w:color="auto"/>
      </w:divBdr>
    </w:div>
    <w:div w:id="315569704">
      <w:marLeft w:val="480"/>
      <w:marRight w:val="0"/>
      <w:marTop w:val="0"/>
      <w:marBottom w:val="0"/>
      <w:divBdr>
        <w:top w:val="none" w:sz="0" w:space="0" w:color="auto"/>
        <w:left w:val="none" w:sz="0" w:space="0" w:color="auto"/>
        <w:bottom w:val="none" w:sz="0" w:space="0" w:color="auto"/>
        <w:right w:val="none" w:sz="0" w:space="0" w:color="auto"/>
      </w:divBdr>
    </w:div>
    <w:div w:id="316959008">
      <w:marLeft w:val="480"/>
      <w:marRight w:val="0"/>
      <w:marTop w:val="0"/>
      <w:marBottom w:val="0"/>
      <w:divBdr>
        <w:top w:val="none" w:sz="0" w:space="0" w:color="auto"/>
        <w:left w:val="none" w:sz="0" w:space="0" w:color="auto"/>
        <w:bottom w:val="none" w:sz="0" w:space="0" w:color="auto"/>
        <w:right w:val="none" w:sz="0" w:space="0" w:color="auto"/>
      </w:divBdr>
    </w:div>
    <w:div w:id="317540564">
      <w:marLeft w:val="480"/>
      <w:marRight w:val="0"/>
      <w:marTop w:val="0"/>
      <w:marBottom w:val="0"/>
      <w:divBdr>
        <w:top w:val="none" w:sz="0" w:space="0" w:color="auto"/>
        <w:left w:val="none" w:sz="0" w:space="0" w:color="auto"/>
        <w:bottom w:val="none" w:sz="0" w:space="0" w:color="auto"/>
        <w:right w:val="none" w:sz="0" w:space="0" w:color="auto"/>
      </w:divBdr>
    </w:div>
    <w:div w:id="318076349">
      <w:marLeft w:val="480"/>
      <w:marRight w:val="0"/>
      <w:marTop w:val="0"/>
      <w:marBottom w:val="0"/>
      <w:divBdr>
        <w:top w:val="none" w:sz="0" w:space="0" w:color="auto"/>
        <w:left w:val="none" w:sz="0" w:space="0" w:color="auto"/>
        <w:bottom w:val="none" w:sz="0" w:space="0" w:color="auto"/>
        <w:right w:val="none" w:sz="0" w:space="0" w:color="auto"/>
      </w:divBdr>
    </w:div>
    <w:div w:id="319044097">
      <w:marLeft w:val="480"/>
      <w:marRight w:val="0"/>
      <w:marTop w:val="0"/>
      <w:marBottom w:val="0"/>
      <w:divBdr>
        <w:top w:val="none" w:sz="0" w:space="0" w:color="auto"/>
        <w:left w:val="none" w:sz="0" w:space="0" w:color="auto"/>
        <w:bottom w:val="none" w:sz="0" w:space="0" w:color="auto"/>
        <w:right w:val="none" w:sz="0" w:space="0" w:color="auto"/>
      </w:divBdr>
    </w:div>
    <w:div w:id="319699820">
      <w:marLeft w:val="480"/>
      <w:marRight w:val="0"/>
      <w:marTop w:val="0"/>
      <w:marBottom w:val="0"/>
      <w:divBdr>
        <w:top w:val="none" w:sz="0" w:space="0" w:color="auto"/>
        <w:left w:val="none" w:sz="0" w:space="0" w:color="auto"/>
        <w:bottom w:val="none" w:sz="0" w:space="0" w:color="auto"/>
        <w:right w:val="none" w:sz="0" w:space="0" w:color="auto"/>
      </w:divBdr>
    </w:div>
    <w:div w:id="321547668">
      <w:marLeft w:val="480"/>
      <w:marRight w:val="0"/>
      <w:marTop w:val="0"/>
      <w:marBottom w:val="0"/>
      <w:divBdr>
        <w:top w:val="none" w:sz="0" w:space="0" w:color="auto"/>
        <w:left w:val="none" w:sz="0" w:space="0" w:color="auto"/>
        <w:bottom w:val="none" w:sz="0" w:space="0" w:color="auto"/>
        <w:right w:val="none" w:sz="0" w:space="0" w:color="auto"/>
      </w:divBdr>
    </w:div>
    <w:div w:id="324943677">
      <w:marLeft w:val="480"/>
      <w:marRight w:val="0"/>
      <w:marTop w:val="0"/>
      <w:marBottom w:val="0"/>
      <w:divBdr>
        <w:top w:val="none" w:sz="0" w:space="0" w:color="auto"/>
        <w:left w:val="none" w:sz="0" w:space="0" w:color="auto"/>
        <w:bottom w:val="none" w:sz="0" w:space="0" w:color="auto"/>
        <w:right w:val="none" w:sz="0" w:space="0" w:color="auto"/>
      </w:divBdr>
    </w:div>
    <w:div w:id="327637081">
      <w:marLeft w:val="480"/>
      <w:marRight w:val="0"/>
      <w:marTop w:val="0"/>
      <w:marBottom w:val="0"/>
      <w:divBdr>
        <w:top w:val="none" w:sz="0" w:space="0" w:color="auto"/>
        <w:left w:val="none" w:sz="0" w:space="0" w:color="auto"/>
        <w:bottom w:val="none" w:sz="0" w:space="0" w:color="auto"/>
        <w:right w:val="none" w:sz="0" w:space="0" w:color="auto"/>
      </w:divBdr>
    </w:div>
    <w:div w:id="328405181">
      <w:marLeft w:val="480"/>
      <w:marRight w:val="0"/>
      <w:marTop w:val="0"/>
      <w:marBottom w:val="0"/>
      <w:divBdr>
        <w:top w:val="none" w:sz="0" w:space="0" w:color="auto"/>
        <w:left w:val="none" w:sz="0" w:space="0" w:color="auto"/>
        <w:bottom w:val="none" w:sz="0" w:space="0" w:color="auto"/>
        <w:right w:val="none" w:sz="0" w:space="0" w:color="auto"/>
      </w:divBdr>
    </w:div>
    <w:div w:id="330064017">
      <w:marLeft w:val="480"/>
      <w:marRight w:val="0"/>
      <w:marTop w:val="0"/>
      <w:marBottom w:val="0"/>
      <w:divBdr>
        <w:top w:val="none" w:sz="0" w:space="0" w:color="auto"/>
        <w:left w:val="none" w:sz="0" w:space="0" w:color="auto"/>
        <w:bottom w:val="none" w:sz="0" w:space="0" w:color="auto"/>
        <w:right w:val="none" w:sz="0" w:space="0" w:color="auto"/>
      </w:divBdr>
    </w:div>
    <w:div w:id="330373427">
      <w:marLeft w:val="480"/>
      <w:marRight w:val="0"/>
      <w:marTop w:val="0"/>
      <w:marBottom w:val="0"/>
      <w:divBdr>
        <w:top w:val="none" w:sz="0" w:space="0" w:color="auto"/>
        <w:left w:val="none" w:sz="0" w:space="0" w:color="auto"/>
        <w:bottom w:val="none" w:sz="0" w:space="0" w:color="auto"/>
        <w:right w:val="none" w:sz="0" w:space="0" w:color="auto"/>
      </w:divBdr>
    </w:div>
    <w:div w:id="331417214">
      <w:marLeft w:val="480"/>
      <w:marRight w:val="0"/>
      <w:marTop w:val="0"/>
      <w:marBottom w:val="0"/>
      <w:divBdr>
        <w:top w:val="none" w:sz="0" w:space="0" w:color="auto"/>
        <w:left w:val="none" w:sz="0" w:space="0" w:color="auto"/>
        <w:bottom w:val="none" w:sz="0" w:space="0" w:color="auto"/>
        <w:right w:val="none" w:sz="0" w:space="0" w:color="auto"/>
      </w:divBdr>
    </w:div>
    <w:div w:id="331446881">
      <w:marLeft w:val="480"/>
      <w:marRight w:val="0"/>
      <w:marTop w:val="0"/>
      <w:marBottom w:val="0"/>
      <w:divBdr>
        <w:top w:val="none" w:sz="0" w:space="0" w:color="auto"/>
        <w:left w:val="none" w:sz="0" w:space="0" w:color="auto"/>
        <w:bottom w:val="none" w:sz="0" w:space="0" w:color="auto"/>
        <w:right w:val="none" w:sz="0" w:space="0" w:color="auto"/>
      </w:divBdr>
    </w:div>
    <w:div w:id="333610887">
      <w:marLeft w:val="480"/>
      <w:marRight w:val="0"/>
      <w:marTop w:val="0"/>
      <w:marBottom w:val="0"/>
      <w:divBdr>
        <w:top w:val="none" w:sz="0" w:space="0" w:color="auto"/>
        <w:left w:val="none" w:sz="0" w:space="0" w:color="auto"/>
        <w:bottom w:val="none" w:sz="0" w:space="0" w:color="auto"/>
        <w:right w:val="none" w:sz="0" w:space="0" w:color="auto"/>
      </w:divBdr>
    </w:div>
    <w:div w:id="335688421">
      <w:marLeft w:val="480"/>
      <w:marRight w:val="0"/>
      <w:marTop w:val="0"/>
      <w:marBottom w:val="0"/>
      <w:divBdr>
        <w:top w:val="none" w:sz="0" w:space="0" w:color="auto"/>
        <w:left w:val="none" w:sz="0" w:space="0" w:color="auto"/>
        <w:bottom w:val="none" w:sz="0" w:space="0" w:color="auto"/>
        <w:right w:val="none" w:sz="0" w:space="0" w:color="auto"/>
      </w:divBdr>
    </w:div>
    <w:div w:id="337082573">
      <w:marLeft w:val="480"/>
      <w:marRight w:val="0"/>
      <w:marTop w:val="0"/>
      <w:marBottom w:val="0"/>
      <w:divBdr>
        <w:top w:val="none" w:sz="0" w:space="0" w:color="auto"/>
        <w:left w:val="none" w:sz="0" w:space="0" w:color="auto"/>
        <w:bottom w:val="none" w:sz="0" w:space="0" w:color="auto"/>
        <w:right w:val="none" w:sz="0" w:space="0" w:color="auto"/>
      </w:divBdr>
    </w:div>
    <w:div w:id="338778887">
      <w:marLeft w:val="480"/>
      <w:marRight w:val="0"/>
      <w:marTop w:val="0"/>
      <w:marBottom w:val="0"/>
      <w:divBdr>
        <w:top w:val="none" w:sz="0" w:space="0" w:color="auto"/>
        <w:left w:val="none" w:sz="0" w:space="0" w:color="auto"/>
        <w:bottom w:val="none" w:sz="0" w:space="0" w:color="auto"/>
        <w:right w:val="none" w:sz="0" w:space="0" w:color="auto"/>
      </w:divBdr>
    </w:div>
    <w:div w:id="339308518">
      <w:marLeft w:val="480"/>
      <w:marRight w:val="0"/>
      <w:marTop w:val="0"/>
      <w:marBottom w:val="0"/>
      <w:divBdr>
        <w:top w:val="none" w:sz="0" w:space="0" w:color="auto"/>
        <w:left w:val="none" w:sz="0" w:space="0" w:color="auto"/>
        <w:bottom w:val="none" w:sz="0" w:space="0" w:color="auto"/>
        <w:right w:val="none" w:sz="0" w:space="0" w:color="auto"/>
      </w:divBdr>
    </w:div>
    <w:div w:id="343358074">
      <w:marLeft w:val="480"/>
      <w:marRight w:val="0"/>
      <w:marTop w:val="0"/>
      <w:marBottom w:val="0"/>
      <w:divBdr>
        <w:top w:val="none" w:sz="0" w:space="0" w:color="auto"/>
        <w:left w:val="none" w:sz="0" w:space="0" w:color="auto"/>
        <w:bottom w:val="none" w:sz="0" w:space="0" w:color="auto"/>
        <w:right w:val="none" w:sz="0" w:space="0" w:color="auto"/>
      </w:divBdr>
    </w:div>
    <w:div w:id="343872179">
      <w:marLeft w:val="480"/>
      <w:marRight w:val="0"/>
      <w:marTop w:val="0"/>
      <w:marBottom w:val="0"/>
      <w:divBdr>
        <w:top w:val="none" w:sz="0" w:space="0" w:color="auto"/>
        <w:left w:val="none" w:sz="0" w:space="0" w:color="auto"/>
        <w:bottom w:val="none" w:sz="0" w:space="0" w:color="auto"/>
        <w:right w:val="none" w:sz="0" w:space="0" w:color="auto"/>
      </w:divBdr>
    </w:div>
    <w:div w:id="344140254">
      <w:marLeft w:val="480"/>
      <w:marRight w:val="0"/>
      <w:marTop w:val="0"/>
      <w:marBottom w:val="0"/>
      <w:divBdr>
        <w:top w:val="none" w:sz="0" w:space="0" w:color="auto"/>
        <w:left w:val="none" w:sz="0" w:space="0" w:color="auto"/>
        <w:bottom w:val="none" w:sz="0" w:space="0" w:color="auto"/>
        <w:right w:val="none" w:sz="0" w:space="0" w:color="auto"/>
      </w:divBdr>
    </w:div>
    <w:div w:id="346255627">
      <w:marLeft w:val="480"/>
      <w:marRight w:val="0"/>
      <w:marTop w:val="0"/>
      <w:marBottom w:val="0"/>
      <w:divBdr>
        <w:top w:val="none" w:sz="0" w:space="0" w:color="auto"/>
        <w:left w:val="none" w:sz="0" w:space="0" w:color="auto"/>
        <w:bottom w:val="none" w:sz="0" w:space="0" w:color="auto"/>
        <w:right w:val="none" w:sz="0" w:space="0" w:color="auto"/>
      </w:divBdr>
    </w:div>
    <w:div w:id="346294805">
      <w:marLeft w:val="480"/>
      <w:marRight w:val="0"/>
      <w:marTop w:val="0"/>
      <w:marBottom w:val="0"/>
      <w:divBdr>
        <w:top w:val="none" w:sz="0" w:space="0" w:color="auto"/>
        <w:left w:val="none" w:sz="0" w:space="0" w:color="auto"/>
        <w:bottom w:val="none" w:sz="0" w:space="0" w:color="auto"/>
        <w:right w:val="none" w:sz="0" w:space="0" w:color="auto"/>
      </w:divBdr>
    </w:div>
    <w:div w:id="347830003">
      <w:marLeft w:val="480"/>
      <w:marRight w:val="0"/>
      <w:marTop w:val="0"/>
      <w:marBottom w:val="0"/>
      <w:divBdr>
        <w:top w:val="none" w:sz="0" w:space="0" w:color="auto"/>
        <w:left w:val="none" w:sz="0" w:space="0" w:color="auto"/>
        <w:bottom w:val="none" w:sz="0" w:space="0" w:color="auto"/>
        <w:right w:val="none" w:sz="0" w:space="0" w:color="auto"/>
      </w:divBdr>
    </w:div>
    <w:div w:id="348265756">
      <w:marLeft w:val="480"/>
      <w:marRight w:val="0"/>
      <w:marTop w:val="0"/>
      <w:marBottom w:val="0"/>
      <w:divBdr>
        <w:top w:val="none" w:sz="0" w:space="0" w:color="auto"/>
        <w:left w:val="none" w:sz="0" w:space="0" w:color="auto"/>
        <w:bottom w:val="none" w:sz="0" w:space="0" w:color="auto"/>
        <w:right w:val="none" w:sz="0" w:space="0" w:color="auto"/>
      </w:divBdr>
    </w:div>
    <w:div w:id="349646844">
      <w:marLeft w:val="480"/>
      <w:marRight w:val="0"/>
      <w:marTop w:val="0"/>
      <w:marBottom w:val="0"/>
      <w:divBdr>
        <w:top w:val="none" w:sz="0" w:space="0" w:color="auto"/>
        <w:left w:val="none" w:sz="0" w:space="0" w:color="auto"/>
        <w:bottom w:val="none" w:sz="0" w:space="0" w:color="auto"/>
        <w:right w:val="none" w:sz="0" w:space="0" w:color="auto"/>
      </w:divBdr>
    </w:div>
    <w:div w:id="351078163">
      <w:marLeft w:val="480"/>
      <w:marRight w:val="0"/>
      <w:marTop w:val="0"/>
      <w:marBottom w:val="0"/>
      <w:divBdr>
        <w:top w:val="none" w:sz="0" w:space="0" w:color="auto"/>
        <w:left w:val="none" w:sz="0" w:space="0" w:color="auto"/>
        <w:bottom w:val="none" w:sz="0" w:space="0" w:color="auto"/>
        <w:right w:val="none" w:sz="0" w:space="0" w:color="auto"/>
      </w:divBdr>
    </w:div>
    <w:div w:id="353042709">
      <w:marLeft w:val="480"/>
      <w:marRight w:val="0"/>
      <w:marTop w:val="0"/>
      <w:marBottom w:val="0"/>
      <w:divBdr>
        <w:top w:val="none" w:sz="0" w:space="0" w:color="auto"/>
        <w:left w:val="none" w:sz="0" w:space="0" w:color="auto"/>
        <w:bottom w:val="none" w:sz="0" w:space="0" w:color="auto"/>
        <w:right w:val="none" w:sz="0" w:space="0" w:color="auto"/>
      </w:divBdr>
    </w:div>
    <w:div w:id="353071195">
      <w:marLeft w:val="480"/>
      <w:marRight w:val="0"/>
      <w:marTop w:val="0"/>
      <w:marBottom w:val="0"/>
      <w:divBdr>
        <w:top w:val="none" w:sz="0" w:space="0" w:color="auto"/>
        <w:left w:val="none" w:sz="0" w:space="0" w:color="auto"/>
        <w:bottom w:val="none" w:sz="0" w:space="0" w:color="auto"/>
        <w:right w:val="none" w:sz="0" w:space="0" w:color="auto"/>
      </w:divBdr>
    </w:div>
    <w:div w:id="353305192">
      <w:marLeft w:val="480"/>
      <w:marRight w:val="0"/>
      <w:marTop w:val="0"/>
      <w:marBottom w:val="0"/>
      <w:divBdr>
        <w:top w:val="none" w:sz="0" w:space="0" w:color="auto"/>
        <w:left w:val="none" w:sz="0" w:space="0" w:color="auto"/>
        <w:bottom w:val="none" w:sz="0" w:space="0" w:color="auto"/>
        <w:right w:val="none" w:sz="0" w:space="0" w:color="auto"/>
      </w:divBdr>
    </w:div>
    <w:div w:id="355540982">
      <w:marLeft w:val="480"/>
      <w:marRight w:val="0"/>
      <w:marTop w:val="0"/>
      <w:marBottom w:val="0"/>
      <w:divBdr>
        <w:top w:val="none" w:sz="0" w:space="0" w:color="auto"/>
        <w:left w:val="none" w:sz="0" w:space="0" w:color="auto"/>
        <w:bottom w:val="none" w:sz="0" w:space="0" w:color="auto"/>
        <w:right w:val="none" w:sz="0" w:space="0" w:color="auto"/>
      </w:divBdr>
    </w:div>
    <w:div w:id="364719702">
      <w:marLeft w:val="480"/>
      <w:marRight w:val="0"/>
      <w:marTop w:val="0"/>
      <w:marBottom w:val="0"/>
      <w:divBdr>
        <w:top w:val="none" w:sz="0" w:space="0" w:color="auto"/>
        <w:left w:val="none" w:sz="0" w:space="0" w:color="auto"/>
        <w:bottom w:val="none" w:sz="0" w:space="0" w:color="auto"/>
        <w:right w:val="none" w:sz="0" w:space="0" w:color="auto"/>
      </w:divBdr>
    </w:div>
    <w:div w:id="366108719">
      <w:marLeft w:val="480"/>
      <w:marRight w:val="0"/>
      <w:marTop w:val="0"/>
      <w:marBottom w:val="0"/>
      <w:divBdr>
        <w:top w:val="none" w:sz="0" w:space="0" w:color="auto"/>
        <w:left w:val="none" w:sz="0" w:space="0" w:color="auto"/>
        <w:bottom w:val="none" w:sz="0" w:space="0" w:color="auto"/>
        <w:right w:val="none" w:sz="0" w:space="0" w:color="auto"/>
      </w:divBdr>
    </w:div>
    <w:div w:id="368191126">
      <w:marLeft w:val="480"/>
      <w:marRight w:val="0"/>
      <w:marTop w:val="0"/>
      <w:marBottom w:val="0"/>
      <w:divBdr>
        <w:top w:val="none" w:sz="0" w:space="0" w:color="auto"/>
        <w:left w:val="none" w:sz="0" w:space="0" w:color="auto"/>
        <w:bottom w:val="none" w:sz="0" w:space="0" w:color="auto"/>
        <w:right w:val="none" w:sz="0" w:space="0" w:color="auto"/>
      </w:divBdr>
    </w:div>
    <w:div w:id="369451607">
      <w:marLeft w:val="480"/>
      <w:marRight w:val="0"/>
      <w:marTop w:val="0"/>
      <w:marBottom w:val="0"/>
      <w:divBdr>
        <w:top w:val="none" w:sz="0" w:space="0" w:color="auto"/>
        <w:left w:val="none" w:sz="0" w:space="0" w:color="auto"/>
        <w:bottom w:val="none" w:sz="0" w:space="0" w:color="auto"/>
        <w:right w:val="none" w:sz="0" w:space="0" w:color="auto"/>
      </w:divBdr>
    </w:div>
    <w:div w:id="371424742">
      <w:marLeft w:val="480"/>
      <w:marRight w:val="0"/>
      <w:marTop w:val="0"/>
      <w:marBottom w:val="0"/>
      <w:divBdr>
        <w:top w:val="none" w:sz="0" w:space="0" w:color="auto"/>
        <w:left w:val="none" w:sz="0" w:space="0" w:color="auto"/>
        <w:bottom w:val="none" w:sz="0" w:space="0" w:color="auto"/>
        <w:right w:val="none" w:sz="0" w:space="0" w:color="auto"/>
      </w:divBdr>
    </w:div>
    <w:div w:id="371685631">
      <w:marLeft w:val="480"/>
      <w:marRight w:val="0"/>
      <w:marTop w:val="0"/>
      <w:marBottom w:val="0"/>
      <w:divBdr>
        <w:top w:val="none" w:sz="0" w:space="0" w:color="auto"/>
        <w:left w:val="none" w:sz="0" w:space="0" w:color="auto"/>
        <w:bottom w:val="none" w:sz="0" w:space="0" w:color="auto"/>
        <w:right w:val="none" w:sz="0" w:space="0" w:color="auto"/>
      </w:divBdr>
    </w:div>
    <w:div w:id="374669462">
      <w:marLeft w:val="480"/>
      <w:marRight w:val="0"/>
      <w:marTop w:val="0"/>
      <w:marBottom w:val="0"/>
      <w:divBdr>
        <w:top w:val="none" w:sz="0" w:space="0" w:color="auto"/>
        <w:left w:val="none" w:sz="0" w:space="0" w:color="auto"/>
        <w:bottom w:val="none" w:sz="0" w:space="0" w:color="auto"/>
        <w:right w:val="none" w:sz="0" w:space="0" w:color="auto"/>
      </w:divBdr>
    </w:div>
    <w:div w:id="374894768">
      <w:marLeft w:val="480"/>
      <w:marRight w:val="0"/>
      <w:marTop w:val="0"/>
      <w:marBottom w:val="0"/>
      <w:divBdr>
        <w:top w:val="none" w:sz="0" w:space="0" w:color="auto"/>
        <w:left w:val="none" w:sz="0" w:space="0" w:color="auto"/>
        <w:bottom w:val="none" w:sz="0" w:space="0" w:color="auto"/>
        <w:right w:val="none" w:sz="0" w:space="0" w:color="auto"/>
      </w:divBdr>
    </w:div>
    <w:div w:id="374933199">
      <w:marLeft w:val="480"/>
      <w:marRight w:val="0"/>
      <w:marTop w:val="0"/>
      <w:marBottom w:val="0"/>
      <w:divBdr>
        <w:top w:val="none" w:sz="0" w:space="0" w:color="auto"/>
        <w:left w:val="none" w:sz="0" w:space="0" w:color="auto"/>
        <w:bottom w:val="none" w:sz="0" w:space="0" w:color="auto"/>
        <w:right w:val="none" w:sz="0" w:space="0" w:color="auto"/>
      </w:divBdr>
    </w:div>
    <w:div w:id="376049594">
      <w:marLeft w:val="480"/>
      <w:marRight w:val="0"/>
      <w:marTop w:val="0"/>
      <w:marBottom w:val="0"/>
      <w:divBdr>
        <w:top w:val="none" w:sz="0" w:space="0" w:color="auto"/>
        <w:left w:val="none" w:sz="0" w:space="0" w:color="auto"/>
        <w:bottom w:val="none" w:sz="0" w:space="0" w:color="auto"/>
        <w:right w:val="none" w:sz="0" w:space="0" w:color="auto"/>
      </w:divBdr>
    </w:div>
    <w:div w:id="376782375">
      <w:marLeft w:val="480"/>
      <w:marRight w:val="0"/>
      <w:marTop w:val="0"/>
      <w:marBottom w:val="0"/>
      <w:divBdr>
        <w:top w:val="none" w:sz="0" w:space="0" w:color="auto"/>
        <w:left w:val="none" w:sz="0" w:space="0" w:color="auto"/>
        <w:bottom w:val="none" w:sz="0" w:space="0" w:color="auto"/>
        <w:right w:val="none" w:sz="0" w:space="0" w:color="auto"/>
      </w:divBdr>
    </w:div>
    <w:div w:id="376971226">
      <w:marLeft w:val="480"/>
      <w:marRight w:val="0"/>
      <w:marTop w:val="0"/>
      <w:marBottom w:val="0"/>
      <w:divBdr>
        <w:top w:val="none" w:sz="0" w:space="0" w:color="auto"/>
        <w:left w:val="none" w:sz="0" w:space="0" w:color="auto"/>
        <w:bottom w:val="none" w:sz="0" w:space="0" w:color="auto"/>
        <w:right w:val="none" w:sz="0" w:space="0" w:color="auto"/>
      </w:divBdr>
    </w:div>
    <w:div w:id="378165127">
      <w:marLeft w:val="480"/>
      <w:marRight w:val="0"/>
      <w:marTop w:val="0"/>
      <w:marBottom w:val="0"/>
      <w:divBdr>
        <w:top w:val="none" w:sz="0" w:space="0" w:color="auto"/>
        <w:left w:val="none" w:sz="0" w:space="0" w:color="auto"/>
        <w:bottom w:val="none" w:sz="0" w:space="0" w:color="auto"/>
        <w:right w:val="none" w:sz="0" w:space="0" w:color="auto"/>
      </w:divBdr>
    </w:div>
    <w:div w:id="380595424">
      <w:marLeft w:val="480"/>
      <w:marRight w:val="0"/>
      <w:marTop w:val="0"/>
      <w:marBottom w:val="0"/>
      <w:divBdr>
        <w:top w:val="none" w:sz="0" w:space="0" w:color="auto"/>
        <w:left w:val="none" w:sz="0" w:space="0" w:color="auto"/>
        <w:bottom w:val="none" w:sz="0" w:space="0" w:color="auto"/>
        <w:right w:val="none" w:sz="0" w:space="0" w:color="auto"/>
      </w:divBdr>
    </w:div>
    <w:div w:id="383329889">
      <w:marLeft w:val="480"/>
      <w:marRight w:val="0"/>
      <w:marTop w:val="0"/>
      <w:marBottom w:val="0"/>
      <w:divBdr>
        <w:top w:val="none" w:sz="0" w:space="0" w:color="auto"/>
        <w:left w:val="none" w:sz="0" w:space="0" w:color="auto"/>
        <w:bottom w:val="none" w:sz="0" w:space="0" w:color="auto"/>
        <w:right w:val="none" w:sz="0" w:space="0" w:color="auto"/>
      </w:divBdr>
    </w:div>
    <w:div w:id="385375145">
      <w:marLeft w:val="480"/>
      <w:marRight w:val="0"/>
      <w:marTop w:val="0"/>
      <w:marBottom w:val="0"/>
      <w:divBdr>
        <w:top w:val="none" w:sz="0" w:space="0" w:color="auto"/>
        <w:left w:val="none" w:sz="0" w:space="0" w:color="auto"/>
        <w:bottom w:val="none" w:sz="0" w:space="0" w:color="auto"/>
        <w:right w:val="none" w:sz="0" w:space="0" w:color="auto"/>
      </w:divBdr>
    </w:div>
    <w:div w:id="385765661">
      <w:marLeft w:val="480"/>
      <w:marRight w:val="0"/>
      <w:marTop w:val="0"/>
      <w:marBottom w:val="0"/>
      <w:divBdr>
        <w:top w:val="none" w:sz="0" w:space="0" w:color="auto"/>
        <w:left w:val="none" w:sz="0" w:space="0" w:color="auto"/>
        <w:bottom w:val="none" w:sz="0" w:space="0" w:color="auto"/>
        <w:right w:val="none" w:sz="0" w:space="0" w:color="auto"/>
      </w:divBdr>
    </w:div>
    <w:div w:id="386999299">
      <w:marLeft w:val="480"/>
      <w:marRight w:val="0"/>
      <w:marTop w:val="0"/>
      <w:marBottom w:val="0"/>
      <w:divBdr>
        <w:top w:val="none" w:sz="0" w:space="0" w:color="auto"/>
        <w:left w:val="none" w:sz="0" w:space="0" w:color="auto"/>
        <w:bottom w:val="none" w:sz="0" w:space="0" w:color="auto"/>
        <w:right w:val="none" w:sz="0" w:space="0" w:color="auto"/>
      </w:divBdr>
    </w:div>
    <w:div w:id="391077592">
      <w:marLeft w:val="480"/>
      <w:marRight w:val="0"/>
      <w:marTop w:val="0"/>
      <w:marBottom w:val="0"/>
      <w:divBdr>
        <w:top w:val="none" w:sz="0" w:space="0" w:color="auto"/>
        <w:left w:val="none" w:sz="0" w:space="0" w:color="auto"/>
        <w:bottom w:val="none" w:sz="0" w:space="0" w:color="auto"/>
        <w:right w:val="none" w:sz="0" w:space="0" w:color="auto"/>
      </w:divBdr>
    </w:div>
    <w:div w:id="393505337">
      <w:marLeft w:val="480"/>
      <w:marRight w:val="0"/>
      <w:marTop w:val="0"/>
      <w:marBottom w:val="0"/>
      <w:divBdr>
        <w:top w:val="none" w:sz="0" w:space="0" w:color="auto"/>
        <w:left w:val="none" w:sz="0" w:space="0" w:color="auto"/>
        <w:bottom w:val="none" w:sz="0" w:space="0" w:color="auto"/>
        <w:right w:val="none" w:sz="0" w:space="0" w:color="auto"/>
      </w:divBdr>
    </w:div>
    <w:div w:id="394205848">
      <w:marLeft w:val="480"/>
      <w:marRight w:val="0"/>
      <w:marTop w:val="0"/>
      <w:marBottom w:val="0"/>
      <w:divBdr>
        <w:top w:val="none" w:sz="0" w:space="0" w:color="auto"/>
        <w:left w:val="none" w:sz="0" w:space="0" w:color="auto"/>
        <w:bottom w:val="none" w:sz="0" w:space="0" w:color="auto"/>
        <w:right w:val="none" w:sz="0" w:space="0" w:color="auto"/>
      </w:divBdr>
    </w:div>
    <w:div w:id="394934717">
      <w:marLeft w:val="480"/>
      <w:marRight w:val="0"/>
      <w:marTop w:val="0"/>
      <w:marBottom w:val="0"/>
      <w:divBdr>
        <w:top w:val="none" w:sz="0" w:space="0" w:color="auto"/>
        <w:left w:val="none" w:sz="0" w:space="0" w:color="auto"/>
        <w:bottom w:val="none" w:sz="0" w:space="0" w:color="auto"/>
        <w:right w:val="none" w:sz="0" w:space="0" w:color="auto"/>
      </w:divBdr>
    </w:div>
    <w:div w:id="395976362">
      <w:marLeft w:val="480"/>
      <w:marRight w:val="0"/>
      <w:marTop w:val="0"/>
      <w:marBottom w:val="0"/>
      <w:divBdr>
        <w:top w:val="none" w:sz="0" w:space="0" w:color="auto"/>
        <w:left w:val="none" w:sz="0" w:space="0" w:color="auto"/>
        <w:bottom w:val="none" w:sz="0" w:space="0" w:color="auto"/>
        <w:right w:val="none" w:sz="0" w:space="0" w:color="auto"/>
      </w:divBdr>
    </w:div>
    <w:div w:id="396900648">
      <w:marLeft w:val="480"/>
      <w:marRight w:val="0"/>
      <w:marTop w:val="0"/>
      <w:marBottom w:val="0"/>
      <w:divBdr>
        <w:top w:val="none" w:sz="0" w:space="0" w:color="auto"/>
        <w:left w:val="none" w:sz="0" w:space="0" w:color="auto"/>
        <w:bottom w:val="none" w:sz="0" w:space="0" w:color="auto"/>
        <w:right w:val="none" w:sz="0" w:space="0" w:color="auto"/>
      </w:divBdr>
    </w:div>
    <w:div w:id="399212138">
      <w:marLeft w:val="480"/>
      <w:marRight w:val="0"/>
      <w:marTop w:val="0"/>
      <w:marBottom w:val="0"/>
      <w:divBdr>
        <w:top w:val="none" w:sz="0" w:space="0" w:color="auto"/>
        <w:left w:val="none" w:sz="0" w:space="0" w:color="auto"/>
        <w:bottom w:val="none" w:sz="0" w:space="0" w:color="auto"/>
        <w:right w:val="none" w:sz="0" w:space="0" w:color="auto"/>
      </w:divBdr>
    </w:div>
    <w:div w:id="404959029">
      <w:marLeft w:val="480"/>
      <w:marRight w:val="0"/>
      <w:marTop w:val="0"/>
      <w:marBottom w:val="0"/>
      <w:divBdr>
        <w:top w:val="none" w:sz="0" w:space="0" w:color="auto"/>
        <w:left w:val="none" w:sz="0" w:space="0" w:color="auto"/>
        <w:bottom w:val="none" w:sz="0" w:space="0" w:color="auto"/>
        <w:right w:val="none" w:sz="0" w:space="0" w:color="auto"/>
      </w:divBdr>
    </w:div>
    <w:div w:id="406222463">
      <w:marLeft w:val="480"/>
      <w:marRight w:val="0"/>
      <w:marTop w:val="0"/>
      <w:marBottom w:val="0"/>
      <w:divBdr>
        <w:top w:val="none" w:sz="0" w:space="0" w:color="auto"/>
        <w:left w:val="none" w:sz="0" w:space="0" w:color="auto"/>
        <w:bottom w:val="none" w:sz="0" w:space="0" w:color="auto"/>
        <w:right w:val="none" w:sz="0" w:space="0" w:color="auto"/>
      </w:divBdr>
    </w:div>
    <w:div w:id="407964694">
      <w:marLeft w:val="480"/>
      <w:marRight w:val="0"/>
      <w:marTop w:val="0"/>
      <w:marBottom w:val="0"/>
      <w:divBdr>
        <w:top w:val="none" w:sz="0" w:space="0" w:color="auto"/>
        <w:left w:val="none" w:sz="0" w:space="0" w:color="auto"/>
        <w:bottom w:val="none" w:sz="0" w:space="0" w:color="auto"/>
        <w:right w:val="none" w:sz="0" w:space="0" w:color="auto"/>
      </w:divBdr>
    </w:div>
    <w:div w:id="409354636">
      <w:marLeft w:val="480"/>
      <w:marRight w:val="0"/>
      <w:marTop w:val="0"/>
      <w:marBottom w:val="0"/>
      <w:divBdr>
        <w:top w:val="none" w:sz="0" w:space="0" w:color="auto"/>
        <w:left w:val="none" w:sz="0" w:space="0" w:color="auto"/>
        <w:bottom w:val="none" w:sz="0" w:space="0" w:color="auto"/>
        <w:right w:val="none" w:sz="0" w:space="0" w:color="auto"/>
      </w:divBdr>
    </w:div>
    <w:div w:id="409429497">
      <w:marLeft w:val="480"/>
      <w:marRight w:val="0"/>
      <w:marTop w:val="0"/>
      <w:marBottom w:val="0"/>
      <w:divBdr>
        <w:top w:val="none" w:sz="0" w:space="0" w:color="auto"/>
        <w:left w:val="none" w:sz="0" w:space="0" w:color="auto"/>
        <w:bottom w:val="none" w:sz="0" w:space="0" w:color="auto"/>
        <w:right w:val="none" w:sz="0" w:space="0" w:color="auto"/>
      </w:divBdr>
    </w:div>
    <w:div w:id="414278215">
      <w:marLeft w:val="480"/>
      <w:marRight w:val="0"/>
      <w:marTop w:val="0"/>
      <w:marBottom w:val="0"/>
      <w:divBdr>
        <w:top w:val="none" w:sz="0" w:space="0" w:color="auto"/>
        <w:left w:val="none" w:sz="0" w:space="0" w:color="auto"/>
        <w:bottom w:val="none" w:sz="0" w:space="0" w:color="auto"/>
        <w:right w:val="none" w:sz="0" w:space="0" w:color="auto"/>
      </w:divBdr>
    </w:div>
    <w:div w:id="419327482">
      <w:marLeft w:val="480"/>
      <w:marRight w:val="0"/>
      <w:marTop w:val="0"/>
      <w:marBottom w:val="0"/>
      <w:divBdr>
        <w:top w:val="none" w:sz="0" w:space="0" w:color="auto"/>
        <w:left w:val="none" w:sz="0" w:space="0" w:color="auto"/>
        <w:bottom w:val="none" w:sz="0" w:space="0" w:color="auto"/>
        <w:right w:val="none" w:sz="0" w:space="0" w:color="auto"/>
      </w:divBdr>
    </w:div>
    <w:div w:id="419837041">
      <w:marLeft w:val="480"/>
      <w:marRight w:val="0"/>
      <w:marTop w:val="0"/>
      <w:marBottom w:val="0"/>
      <w:divBdr>
        <w:top w:val="none" w:sz="0" w:space="0" w:color="auto"/>
        <w:left w:val="none" w:sz="0" w:space="0" w:color="auto"/>
        <w:bottom w:val="none" w:sz="0" w:space="0" w:color="auto"/>
        <w:right w:val="none" w:sz="0" w:space="0" w:color="auto"/>
      </w:divBdr>
    </w:div>
    <w:div w:id="422915672">
      <w:marLeft w:val="480"/>
      <w:marRight w:val="0"/>
      <w:marTop w:val="0"/>
      <w:marBottom w:val="0"/>
      <w:divBdr>
        <w:top w:val="none" w:sz="0" w:space="0" w:color="auto"/>
        <w:left w:val="none" w:sz="0" w:space="0" w:color="auto"/>
        <w:bottom w:val="none" w:sz="0" w:space="0" w:color="auto"/>
        <w:right w:val="none" w:sz="0" w:space="0" w:color="auto"/>
      </w:divBdr>
    </w:div>
    <w:div w:id="423842399">
      <w:marLeft w:val="480"/>
      <w:marRight w:val="0"/>
      <w:marTop w:val="0"/>
      <w:marBottom w:val="0"/>
      <w:divBdr>
        <w:top w:val="none" w:sz="0" w:space="0" w:color="auto"/>
        <w:left w:val="none" w:sz="0" w:space="0" w:color="auto"/>
        <w:bottom w:val="none" w:sz="0" w:space="0" w:color="auto"/>
        <w:right w:val="none" w:sz="0" w:space="0" w:color="auto"/>
      </w:divBdr>
    </w:div>
    <w:div w:id="426199970">
      <w:marLeft w:val="480"/>
      <w:marRight w:val="0"/>
      <w:marTop w:val="0"/>
      <w:marBottom w:val="0"/>
      <w:divBdr>
        <w:top w:val="none" w:sz="0" w:space="0" w:color="auto"/>
        <w:left w:val="none" w:sz="0" w:space="0" w:color="auto"/>
        <w:bottom w:val="none" w:sz="0" w:space="0" w:color="auto"/>
        <w:right w:val="none" w:sz="0" w:space="0" w:color="auto"/>
      </w:divBdr>
    </w:div>
    <w:div w:id="427384302">
      <w:marLeft w:val="480"/>
      <w:marRight w:val="0"/>
      <w:marTop w:val="0"/>
      <w:marBottom w:val="0"/>
      <w:divBdr>
        <w:top w:val="none" w:sz="0" w:space="0" w:color="auto"/>
        <w:left w:val="none" w:sz="0" w:space="0" w:color="auto"/>
        <w:bottom w:val="none" w:sz="0" w:space="0" w:color="auto"/>
        <w:right w:val="none" w:sz="0" w:space="0" w:color="auto"/>
      </w:divBdr>
    </w:div>
    <w:div w:id="428626760">
      <w:marLeft w:val="480"/>
      <w:marRight w:val="0"/>
      <w:marTop w:val="0"/>
      <w:marBottom w:val="0"/>
      <w:divBdr>
        <w:top w:val="none" w:sz="0" w:space="0" w:color="auto"/>
        <w:left w:val="none" w:sz="0" w:space="0" w:color="auto"/>
        <w:bottom w:val="none" w:sz="0" w:space="0" w:color="auto"/>
        <w:right w:val="none" w:sz="0" w:space="0" w:color="auto"/>
      </w:divBdr>
    </w:div>
    <w:div w:id="429088498">
      <w:marLeft w:val="480"/>
      <w:marRight w:val="0"/>
      <w:marTop w:val="0"/>
      <w:marBottom w:val="0"/>
      <w:divBdr>
        <w:top w:val="none" w:sz="0" w:space="0" w:color="auto"/>
        <w:left w:val="none" w:sz="0" w:space="0" w:color="auto"/>
        <w:bottom w:val="none" w:sz="0" w:space="0" w:color="auto"/>
        <w:right w:val="none" w:sz="0" w:space="0" w:color="auto"/>
      </w:divBdr>
    </w:div>
    <w:div w:id="429544468">
      <w:marLeft w:val="480"/>
      <w:marRight w:val="0"/>
      <w:marTop w:val="0"/>
      <w:marBottom w:val="0"/>
      <w:divBdr>
        <w:top w:val="none" w:sz="0" w:space="0" w:color="auto"/>
        <w:left w:val="none" w:sz="0" w:space="0" w:color="auto"/>
        <w:bottom w:val="none" w:sz="0" w:space="0" w:color="auto"/>
        <w:right w:val="none" w:sz="0" w:space="0" w:color="auto"/>
      </w:divBdr>
    </w:div>
    <w:div w:id="431437315">
      <w:marLeft w:val="480"/>
      <w:marRight w:val="0"/>
      <w:marTop w:val="0"/>
      <w:marBottom w:val="0"/>
      <w:divBdr>
        <w:top w:val="none" w:sz="0" w:space="0" w:color="auto"/>
        <w:left w:val="none" w:sz="0" w:space="0" w:color="auto"/>
        <w:bottom w:val="none" w:sz="0" w:space="0" w:color="auto"/>
        <w:right w:val="none" w:sz="0" w:space="0" w:color="auto"/>
      </w:divBdr>
    </w:div>
    <w:div w:id="431440621">
      <w:marLeft w:val="480"/>
      <w:marRight w:val="0"/>
      <w:marTop w:val="0"/>
      <w:marBottom w:val="0"/>
      <w:divBdr>
        <w:top w:val="none" w:sz="0" w:space="0" w:color="auto"/>
        <w:left w:val="none" w:sz="0" w:space="0" w:color="auto"/>
        <w:bottom w:val="none" w:sz="0" w:space="0" w:color="auto"/>
        <w:right w:val="none" w:sz="0" w:space="0" w:color="auto"/>
      </w:divBdr>
    </w:div>
    <w:div w:id="432474949">
      <w:marLeft w:val="480"/>
      <w:marRight w:val="0"/>
      <w:marTop w:val="0"/>
      <w:marBottom w:val="0"/>
      <w:divBdr>
        <w:top w:val="none" w:sz="0" w:space="0" w:color="auto"/>
        <w:left w:val="none" w:sz="0" w:space="0" w:color="auto"/>
        <w:bottom w:val="none" w:sz="0" w:space="0" w:color="auto"/>
        <w:right w:val="none" w:sz="0" w:space="0" w:color="auto"/>
      </w:divBdr>
    </w:div>
    <w:div w:id="432822799">
      <w:marLeft w:val="480"/>
      <w:marRight w:val="0"/>
      <w:marTop w:val="0"/>
      <w:marBottom w:val="0"/>
      <w:divBdr>
        <w:top w:val="none" w:sz="0" w:space="0" w:color="auto"/>
        <w:left w:val="none" w:sz="0" w:space="0" w:color="auto"/>
        <w:bottom w:val="none" w:sz="0" w:space="0" w:color="auto"/>
        <w:right w:val="none" w:sz="0" w:space="0" w:color="auto"/>
      </w:divBdr>
    </w:div>
    <w:div w:id="437140913">
      <w:marLeft w:val="480"/>
      <w:marRight w:val="0"/>
      <w:marTop w:val="0"/>
      <w:marBottom w:val="0"/>
      <w:divBdr>
        <w:top w:val="none" w:sz="0" w:space="0" w:color="auto"/>
        <w:left w:val="none" w:sz="0" w:space="0" w:color="auto"/>
        <w:bottom w:val="none" w:sz="0" w:space="0" w:color="auto"/>
        <w:right w:val="none" w:sz="0" w:space="0" w:color="auto"/>
      </w:divBdr>
    </w:div>
    <w:div w:id="439107872">
      <w:marLeft w:val="480"/>
      <w:marRight w:val="0"/>
      <w:marTop w:val="0"/>
      <w:marBottom w:val="0"/>
      <w:divBdr>
        <w:top w:val="none" w:sz="0" w:space="0" w:color="auto"/>
        <w:left w:val="none" w:sz="0" w:space="0" w:color="auto"/>
        <w:bottom w:val="none" w:sz="0" w:space="0" w:color="auto"/>
        <w:right w:val="none" w:sz="0" w:space="0" w:color="auto"/>
      </w:divBdr>
    </w:div>
    <w:div w:id="441847508">
      <w:marLeft w:val="480"/>
      <w:marRight w:val="0"/>
      <w:marTop w:val="0"/>
      <w:marBottom w:val="0"/>
      <w:divBdr>
        <w:top w:val="none" w:sz="0" w:space="0" w:color="auto"/>
        <w:left w:val="none" w:sz="0" w:space="0" w:color="auto"/>
        <w:bottom w:val="none" w:sz="0" w:space="0" w:color="auto"/>
        <w:right w:val="none" w:sz="0" w:space="0" w:color="auto"/>
      </w:divBdr>
    </w:div>
    <w:div w:id="443884975">
      <w:marLeft w:val="480"/>
      <w:marRight w:val="0"/>
      <w:marTop w:val="0"/>
      <w:marBottom w:val="0"/>
      <w:divBdr>
        <w:top w:val="none" w:sz="0" w:space="0" w:color="auto"/>
        <w:left w:val="none" w:sz="0" w:space="0" w:color="auto"/>
        <w:bottom w:val="none" w:sz="0" w:space="0" w:color="auto"/>
        <w:right w:val="none" w:sz="0" w:space="0" w:color="auto"/>
      </w:divBdr>
    </w:div>
    <w:div w:id="445076640">
      <w:marLeft w:val="480"/>
      <w:marRight w:val="0"/>
      <w:marTop w:val="0"/>
      <w:marBottom w:val="0"/>
      <w:divBdr>
        <w:top w:val="none" w:sz="0" w:space="0" w:color="auto"/>
        <w:left w:val="none" w:sz="0" w:space="0" w:color="auto"/>
        <w:bottom w:val="none" w:sz="0" w:space="0" w:color="auto"/>
        <w:right w:val="none" w:sz="0" w:space="0" w:color="auto"/>
      </w:divBdr>
    </w:div>
    <w:div w:id="445975994">
      <w:marLeft w:val="480"/>
      <w:marRight w:val="0"/>
      <w:marTop w:val="0"/>
      <w:marBottom w:val="0"/>
      <w:divBdr>
        <w:top w:val="none" w:sz="0" w:space="0" w:color="auto"/>
        <w:left w:val="none" w:sz="0" w:space="0" w:color="auto"/>
        <w:bottom w:val="none" w:sz="0" w:space="0" w:color="auto"/>
        <w:right w:val="none" w:sz="0" w:space="0" w:color="auto"/>
      </w:divBdr>
    </w:div>
    <w:div w:id="446629116">
      <w:marLeft w:val="480"/>
      <w:marRight w:val="0"/>
      <w:marTop w:val="0"/>
      <w:marBottom w:val="0"/>
      <w:divBdr>
        <w:top w:val="none" w:sz="0" w:space="0" w:color="auto"/>
        <w:left w:val="none" w:sz="0" w:space="0" w:color="auto"/>
        <w:bottom w:val="none" w:sz="0" w:space="0" w:color="auto"/>
        <w:right w:val="none" w:sz="0" w:space="0" w:color="auto"/>
      </w:divBdr>
    </w:div>
    <w:div w:id="447814923">
      <w:marLeft w:val="480"/>
      <w:marRight w:val="0"/>
      <w:marTop w:val="0"/>
      <w:marBottom w:val="0"/>
      <w:divBdr>
        <w:top w:val="none" w:sz="0" w:space="0" w:color="auto"/>
        <w:left w:val="none" w:sz="0" w:space="0" w:color="auto"/>
        <w:bottom w:val="none" w:sz="0" w:space="0" w:color="auto"/>
        <w:right w:val="none" w:sz="0" w:space="0" w:color="auto"/>
      </w:divBdr>
    </w:div>
    <w:div w:id="451679553">
      <w:marLeft w:val="480"/>
      <w:marRight w:val="0"/>
      <w:marTop w:val="0"/>
      <w:marBottom w:val="0"/>
      <w:divBdr>
        <w:top w:val="none" w:sz="0" w:space="0" w:color="auto"/>
        <w:left w:val="none" w:sz="0" w:space="0" w:color="auto"/>
        <w:bottom w:val="none" w:sz="0" w:space="0" w:color="auto"/>
        <w:right w:val="none" w:sz="0" w:space="0" w:color="auto"/>
      </w:divBdr>
    </w:div>
    <w:div w:id="454177301">
      <w:marLeft w:val="480"/>
      <w:marRight w:val="0"/>
      <w:marTop w:val="0"/>
      <w:marBottom w:val="0"/>
      <w:divBdr>
        <w:top w:val="none" w:sz="0" w:space="0" w:color="auto"/>
        <w:left w:val="none" w:sz="0" w:space="0" w:color="auto"/>
        <w:bottom w:val="none" w:sz="0" w:space="0" w:color="auto"/>
        <w:right w:val="none" w:sz="0" w:space="0" w:color="auto"/>
      </w:divBdr>
    </w:div>
    <w:div w:id="454447427">
      <w:marLeft w:val="480"/>
      <w:marRight w:val="0"/>
      <w:marTop w:val="0"/>
      <w:marBottom w:val="0"/>
      <w:divBdr>
        <w:top w:val="none" w:sz="0" w:space="0" w:color="auto"/>
        <w:left w:val="none" w:sz="0" w:space="0" w:color="auto"/>
        <w:bottom w:val="none" w:sz="0" w:space="0" w:color="auto"/>
        <w:right w:val="none" w:sz="0" w:space="0" w:color="auto"/>
      </w:divBdr>
    </w:div>
    <w:div w:id="456072357">
      <w:marLeft w:val="480"/>
      <w:marRight w:val="0"/>
      <w:marTop w:val="0"/>
      <w:marBottom w:val="0"/>
      <w:divBdr>
        <w:top w:val="none" w:sz="0" w:space="0" w:color="auto"/>
        <w:left w:val="none" w:sz="0" w:space="0" w:color="auto"/>
        <w:bottom w:val="none" w:sz="0" w:space="0" w:color="auto"/>
        <w:right w:val="none" w:sz="0" w:space="0" w:color="auto"/>
      </w:divBdr>
    </w:div>
    <w:div w:id="457141122">
      <w:marLeft w:val="480"/>
      <w:marRight w:val="0"/>
      <w:marTop w:val="0"/>
      <w:marBottom w:val="0"/>
      <w:divBdr>
        <w:top w:val="none" w:sz="0" w:space="0" w:color="auto"/>
        <w:left w:val="none" w:sz="0" w:space="0" w:color="auto"/>
        <w:bottom w:val="none" w:sz="0" w:space="0" w:color="auto"/>
        <w:right w:val="none" w:sz="0" w:space="0" w:color="auto"/>
      </w:divBdr>
    </w:div>
    <w:div w:id="458037149">
      <w:marLeft w:val="480"/>
      <w:marRight w:val="0"/>
      <w:marTop w:val="0"/>
      <w:marBottom w:val="0"/>
      <w:divBdr>
        <w:top w:val="none" w:sz="0" w:space="0" w:color="auto"/>
        <w:left w:val="none" w:sz="0" w:space="0" w:color="auto"/>
        <w:bottom w:val="none" w:sz="0" w:space="0" w:color="auto"/>
        <w:right w:val="none" w:sz="0" w:space="0" w:color="auto"/>
      </w:divBdr>
    </w:div>
    <w:div w:id="460609093">
      <w:marLeft w:val="480"/>
      <w:marRight w:val="0"/>
      <w:marTop w:val="0"/>
      <w:marBottom w:val="0"/>
      <w:divBdr>
        <w:top w:val="none" w:sz="0" w:space="0" w:color="auto"/>
        <w:left w:val="none" w:sz="0" w:space="0" w:color="auto"/>
        <w:bottom w:val="none" w:sz="0" w:space="0" w:color="auto"/>
        <w:right w:val="none" w:sz="0" w:space="0" w:color="auto"/>
      </w:divBdr>
    </w:div>
    <w:div w:id="463427615">
      <w:marLeft w:val="480"/>
      <w:marRight w:val="0"/>
      <w:marTop w:val="0"/>
      <w:marBottom w:val="0"/>
      <w:divBdr>
        <w:top w:val="none" w:sz="0" w:space="0" w:color="auto"/>
        <w:left w:val="none" w:sz="0" w:space="0" w:color="auto"/>
        <w:bottom w:val="none" w:sz="0" w:space="0" w:color="auto"/>
        <w:right w:val="none" w:sz="0" w:space="0" w:color="auto"/>
      </w:divBdr>
    </w:div>
    <w:div w:id="464467896">
      <w:marLeft w:val="480"/>
      <w:marRight w:val="0"/>
      <w:marTop w:val="0"/>
      <w:marBottom w:val="0"/>
      <w:divBdr>
        <w:top w:val="none" w:sz="0" w:space="0" w:color="auto"/>
        <w:left w:val="none" w:sz="0" w:space="0" w:color="auto"/>
        <w:bottom w:val="none" w:sz="0" w:space="0" w:color="auto"/>
        <w:right w:val="none" w:sz="0" w:space="0" w:color="auto"/>
      </w:divBdr>
    </w:div>
    <w:div w:id="464783713">
      <w:marLeft w:val="480"/>
      <w:marRight w:val="0"/>
      <w:marTop w:val="0"/>
      <w:marBottom w:val="0"/>
      <w:divBdr>
        <w:top w:val="none" w:sz="0" w:space="0" w:color="auto"/>
        <w:left w:val="none" w:sz="0" w:space="0" w:color="auto"/>
        <w:bottom w:val="none" w:sz="0" w:space="0" w:color="auto"/>
        <w:right w:val="none" w:sz="0" w:space="0" w:color="auto"/>
      </w:divBdr>
    </w:div>
    <w:div w:id="465129128">
      <w:marLeft w:val="480"/>
      <w:marRight w:val="0"/>
      <w:marTop w:val="0"/>
      <w:marBottom w:val="0"/>
      <w:divBdr>
        <w:top w:val="none" w:sz="0" w:space="0" w:color="auto"/>
        <w:left w:val="none" w:sz="0" w:space="0" w:color="auto"/>
        <w:bottom w:val="none" w:sz="0" w:space="0" w:color="auto"/>
        <w:right w:val="none" w:sz="0" w:space="0" w:color="auto"/>
      </w:divBdr>
    </w:div>
    <w:div w:id="465314992">
      <w:marLeft w:val="480"/>
      <w:marRight w:val="0"/>
      <w:marTop w:val="0"/>
      <w:marBottom w:val="0"/>
      <w:divBdr>
        <w:top w:val="none" w:sz="0" w:space="0" w:color="auto"/>
        <w:left w:val="none" w:sz="0" w:space="0" w:color="auto"/>
        <w:bottom w:val="none" w:sz="0" w:space="0" w:color="auto"/>
        <w:right w:val="none" w:sz="0" w:space="0" w:color="auto"/>
      </w:divBdr>
    </w:div>
    <w:div w:id="469173339">
      <w:marLeft w:val="480"/>
      <w:marRight w:val="0"/>
      <w:marTop w:val="0"/>
      <w:marBottom w:val="0"/>
      <w:divBdr>
        <w:top w:val="none" w:sz="0" w:space="0" w:color="auto"/>
        <w:left w:val="none" w:sz="0" w:space="0" w:color="auto"/>
        <w:bottom w:val="none" w:sz="0" w:space="0" w:color="auto"/>
        <w:right w:val="none" w:sz="0" w:space="0" w:color="auto"/>
      </w:divBdr>
    </w:div>
    <w:div w:id="472721564">
      <w:marLeft w:val="480"/>
      <w:marRight w:val="0"/>
      <w:marTop w:val="0"/>
      <w:marBottom w:val="0"/>
      <w:divBdr>
        <w:top w:val="none" w:sz="0" w:space="0" w:color="auto"/>
        <w:left w:val="none" w:sz="0" w:space="0" w:color="auto"/>
        <w:bottom w:val="none" w:sz="0" w:space="0" w:color="auto"/>
        <w:right w:val="none" w:sz="0" w:space="0" w:color="auto"/>
      </w:divBdr>
    </w:div>
    <w:div w:id="472984468">
      <w:marLeft w:val="480"/>
      <w:marRight w:val="0"/>
      <w:marTop w:val="0"/>
      <w:marBottom w:val="0"/>
      <w:divBdr>
        <w:top w:val="none" w:sz="0" w:space="0" w:color="auto"/>
        <w:left w:val="none" w:sz="0" w:space="0" w:color="auto"/>
        <w:bottom w:val="none" w:sz="0" w:space="0" w:color="auto"/>
        <w:right w:val="none" w:sz="0" w:space="0" w:color="auto"/>
      </w:divBdr>
    </w:div>
    <w:div w:id="473180609">
      <w:marLeft w:val="480"/>
      <w:marRight w:val="0"/>
      <w:marTop w:val="0"/>
      <w:marBottom w:val="0"/>
      <w:divBdr>
        <w:top w:val="none" w:sz="0" w:space="0" w:color="auto"/>
        <w:left w:val="none" w:sz="0" w:space="0" w:color="auto"/>
        <w:bottom w:val="none" w:sz="0" w:space="0" w:color="auto"/>
        <w:right w:val="none" w:sz="0" w:space="0" w:color="auto"/>
      </w:divBdr>
    </w:div>
    <w:div w:id="474837773">
      <w:marLeft w:val="480"/>
      <w:marRight w:val="0"/>
      <w:marTop w:val="0"/>
      <w:marBottom w:val="0"/>
      <w:divBdr>
        <w:top w:val="none" w:sz="0" w:space="0" w:color="auto"/>
        <w:left w:val="none" w:sz="0" w:space="0" w:color="auto"/>
        <w:bottom w:val="none" w:sz="0" w:space="0" w:color="auto"/>
        <w:right w:val="none" w:sz="0" w:space="0" w:color="auto"/>
      </w:divBdr>
    </w:div>
    <w:div w:id="475687831">
      <w:marLeft w:val="480"/>
      <w:marRight w:val="0"/>
      <w:marTop w:val="0"/>
      <w:marBottom w:val="0"/>
      <w:divBdr>
        <w:top w:val="none" w:sz="0" w:space="0" w:color="auto"/>
        <w:left w:val="none" w:sz="0" w:space="0" w:color="auto"/>
        <w:bottom w:val="none" w:sz="0" w:space="0" w:color="auto"/>
        <w:right w:val="none" w:sz="0" w:space="0" w:color="auto"/>
      </w:divBdr>
    </w:div>
    <w:div w:id="478570835">
      <w:marLeft w:val="480"/>
      <w:marRight w:val="0"/>
      <w:marTop w:val="0"/>
      <w:marBottom w:val="0"/>
      <w:divBdr>
        <w:top w:val="none" w:sz="0" w:space="0" w:color="auto"/>
        <w:left w:val="none" w:sz="0" w:space="0" w:color="auto"/>
        <w:bottom w:val="none" w:sz="0" w:space="0" w:color="auto"/>
        <w:right w:val="none" w:sz="0" w:space="0" w:color="auto"/>
      </w:divBdr>
    </w:div>
    <w:div w:id="482477620">
      <w:marLeft w:val="480"/>
      <w:marRight w:val="0"/>
      <w:marTop w:val="0"/>
      <w:marBottom w:val="0"/>
      <w:divBdr>
        <w:top w:val="none" w:sz="0" w:space="0" w:color="auto"/>
        <w:left w:val="none" w:sz="0" w:space="0" w:color="auto"/>
        <w:bottom w:val="none" w:sz="0" w:space="0" w:color="auto"/>
        <w:right w:val="none" w:sz="0" w:space="0" w:color="auto"/>
      </w:divBdr>
    </w:div>
    <w:div w:id="484856103">
      <w:marLeft w:val="480"/>
      <w:marRight w:val="0"/>
      <w:marTop w:val="0"/>
      <w:marBottom w:val="0"/>
      <w:divBdr>
        <w:top w:val="none" w:sz="0" w:space="0" w:color="auto"/>
        <w:left w:val="none" w:sz="0" w:space="0" w:color="auto"/>
        <w:bottom w:val="none" w:sz="0" w:space="0" w:color="auto"/>
        <w:right w:val="none" w:sz="0" w:space="0" w:color="auto"/>
      </w:divBdr>
    </w:div>
    <w:div w:id="485711835">
      <w:marLeft w:val="480"/>
      <w:marRight w:val="0"/>
      <w:marTop w:val="0"/>
      <w:marBottom w:val="0"/>
      <w:divBdr>
        <w:top w:val="none" w:sz="0" w:space="0" w:color="auto"/>
        <w:left w:val="none" w:sz="0" w:space="0" w:color="auto"/>
        <w:bottom w:val="none" w:sz="0" w:space="0" w:color="auto"/>
        <w:right w:val="none" w:sz="0" w:space="0" w:color="auto"/>
      </w:divBdr>
    </w:div>
    <w:div w:id="486483772">
      <w:marLeft w:val="480"/>
      <w:marRight w:val="0"/>
      <w:marTop w:val="0"/>
      <w:marBottom w:val="0"/>
      <w:divBdr>
        <w:top w:val="none" w:sz="0" w:space="0" w:color="auto"/>
        <w:left w:val="none" w:sz="0" w:space="0" w:color="auto"/>
        <w:bottom w:val="none" w:sz="0" w:space="0" w:color="auto"/>
        <w:right w:val="none" w:sz="0" w:space="0" w:color="auto"/>
      </w:divBdr>
    </w:div>
    <w:div w:id="486629371">
      <w:marLeft w:val="480"/>
      <w:marRight w:val="0"/>
      <w:marTop w:val="0"/>
      <w:marBottom w:val="0"/>
      <w:divBdr>
        <w:top w:val="none" w:sz="0" w:space="0" w:color="auto"/>
        <w:left w:val="none" w:sz="0" w:space="0" w:color="auto"/>
        <w:bottom w:val="none" w:sz="0" w:space="0" w:color="auto"/>
        <w:right w:val="none" w:sz="0" w:space="0" w:color="auto"/>
      </w:divBdr>
    </w:div>
    <w:div w:id="487065052">
      <w:marLeft w:val="480"/>
      <w:marRight w:val="0"/>
      <w:marTop w:val="0"/>
      <w:marBottom w:val="0"/>
      <w:divBdr>
        <w:top w:val="none" w:sz="0" w:space="0" w:color="auto"/>
        <w:left w:val="none" w:sz="0" w:space="0" w:color="auto"/>
        <w:bottom w:val="none" w:sz="0" w:space="0" w:color="auto"/>
        <w:right w:val="none" w:sz="0" w:space="0" w:color="auto"/>
      </w:divBdr>
    </w:div>
    <w:div w:id="488907341">
      <w:marLeft w:val="480"/>
      <w:marRight w:val="0"/>
      <w:marTop w:val="0"/>
      <w:marBottom w:val="0"/>
      <w:divBdr>
        <w:top w:val="none" w:sz="0" w:space="0" w:color="auto"/>
        <w:left w:val="none" w:sz="0" w:space="0" w:color="auto"/>
        <w:bottom w:val="none" w:sz="0" w:space="0" w:color="auto"/>
        <w:right w:val="none" w:sz="0" w:space="0" w:color="auto"/>
      </w:divBdr>
    </w:div>
    <w:div w:id="494490200">
      <w:marLeft w:val="480"/>
      <w:marRight w:val="0"/>
      <w:marTop w:val="0"/>
      <w:marBottom w:val="0"/>
      <w:divBdr>
        <w:top w:val="none" w:sz="0" w:space="0" w:color="auto"/>
        <w:left w:val="none" w:sz="0" w:space="0" w:color="auto"/>
        <w:bottom w:val="none" w:sz="0" w:space="0" w:color="auto"/>
        <w:right w:val="none" w:sz="0" w:space="0" w:color="auto"/>
      </w:divBdr>
    </w:div>
    <w:div w:id="498425187">
      <w:marLeft w:val="480"/>
      <w:marRight w:val="0"/>
      <w:marTop w:val="0"/>
      <w:marBottom w:val="0"/>
      <w:divBdr>
        <w:top w:val="none" w:sz="0" w:space="0" w:color="auto"/>
        <w:left w:val="none" w:sz="0" w:space="0" w:color="auto"/>
        <w:bottom w:val="none" w:sz="0" w:space="0" w:color="auto"/>
        <w:right w:val="none" w:sz="0" w:space="0" w:color="auto"/>
      </w:divBdr>
    </w:div>
    <w:div w:id="503008631">
      <w:marLeft w:val="480"/>
      <w:marRight w:val="0"/>
      <w:marTop w:val="0"/>
      <w:marBottom w:val="0"/>
      <w:divBdr>
        <w:top w:val="none" w:sz="0" w:space="0" w:color="auto"/>
        <w:left w:val="none" w:sz="0" w:space="0" w:color="auto"/>
        <w:bottom w:val="none" w:sz="0" w:space="0" w:color="auto"/>
        <w:right w:val="none" w:sz="0" w:space="0" w:color="auto"/>
      </w:divBdr>
    </w:div>
    <w:div w:id="505366773">
      <w:marLeft w:val="480"/>
      <w:marRight w:val="0"/>
      <w:marTop w:val="0"/>
      <w:marBottom w:val="0"/>
      <w:divBdr>
        <w:top w:val="none" w:sz="0" w:space="0" w:color="auto"/>
        <w:left w:val="none" w:sz="0" w:space="0" w:color="auto"/>
        <w:bottom w:val="none" w:sz="0" w:space="0" w:color="auto"/>
        <w:right w:val="none" w:sz="0" w:space="0" w:color="auto"/>
      </w:divBdr>
    </w:div>
    <w:div w:id="507604333">
      <w:marLeft w:val="480"/>
      <w:marRight w:val="0"/>
      <w:marTop w:val="0"/>
      <w:marBottom w:val="0"/>
      <w:divBdr>
        <w:top w:val="none" w:sz="0" w:space="0" w:color="auto"/>
        <w:left w:val="none" w:sz="0" w:space="0" w:color="auto"/>
        <w:bottom w:val="none" w:sz="0" w:space="0" w:color="auto"/>
        <w:right w:val="none" w:sz="0" w:space="0" w:color="auto"/>
      </w:divBdr>
    </w:div>
    <w:div w:id="509032028">
      <w:marLeft w:val="480"/>
      <w:marRight w:val="0"/>
      <w:marTop w:val="0"/>
      <w:marBottom w:val="0"/>
      <w:divBdr>
        <w:top w:val="none" w:sz="0" w:space="0" w:color="auto"/>
        <w:left w:val="none" w:sz="0" w:space="0" w:color="auto"/>
        <w:bottom w:val="none" w:sz="0" w:space="0" w:color="auto"/>
        <w:right w:val="none" w:sz="0" w:space="0" w:color="auto"/>
      </w:divBdr>
    </w:div>
    <w:div w:id="510023513">
      <w:marLeft w:val="480"/>
      <w:marRight w:val="0"/>
      <w:marTop w:val="0"/>
      <w:marBottom w:val="0"/>
      <w:divBdr>
        <w:top w:val="none" w:sz="0" w:space="0" w:color="auto"/>
        <w:left w:val="none" w:sz="0" w:space="0" w:color="auto"/>
        <w:bottom w:val="none" w:sz="0" w:space="0" w:color="auto"/>
        <w:right w:val="none" w:sz="0" w:space="0" w:color="auto"/>
      </w:divBdr>
    </w:div>
    <w:div w:id="511186443">
      <w:marLeft w:val="480"/>
      <w:marRight w:val="0"/>
      <w:marTop w:val="0"/>
      <w:marBottom w:val="0"/>
      <w:divBdr>
        <w:top w:val="none" w:sz="0" w:space="0" w:color="auto"/>
        <w:left w:val="none" w:sz="0" w:space="0" w:color="auto"/>
        <w:bottom w:val="none" w:sz="0" w:space="0" w:color="auto"/>
        <w:right w:val="none" w:sz="0" w:space="0" w:color="auto"/>
      </w:divBdr>
    </w:div>
    <w:div w:id="513107375">
      <w:marLeft w:val="480"/>
      <w:marRight w:val="0"/>
      <w:marTop w:val="0"/>
      <w:marBottom w:val="0"/>
      <w:divBdr>
        <w:top w:val="none" w:sz="0" w:space="0" w:color="auto"/>
        <w:left w:val="none" w:sz="0" w:space="0" w:color="auto"/>
        <w:bottom w:val="none" w:sz="0" w:space="0" w:color="auto"/>
        <w:right w:val="none" w:sz="0" w:space="0" w:color="auto"/>
      </w:divBdr>
    </w:div>
    <w:div w:id="513157023">
      <w:marLeft w:val="480"/>
      <w:marRight w:val="0"/>
      <w:marTop w:val="0"/>
      <w:marBottom w:val="0"/>
      <w:divBdr>
        <w:top w:val="none" w:sz="0" w:space="0" w:color="auto"/>
        <w:left w:val="none" w:sz="0" w:space="0" w:color="auto"/>
        <w:bottom w:val="none" w:sz="0" w:space="0" w:color="auto"/>
        <w:right w:val="none" w:sz="0" w:space="0" w:color="auto"/>
      </w:divBdr>
    </w:div>
    <w:div w:id="513540884">
      <w:marLeft w:val="480"/>
      <w:marRight w:val="0"/>
      <w:marTop w:val="0"/>
      <w:marBottom w:val="0"/>
      <w:divBdr>
        <w:top w:val="none" w:sz="0" w:space="0" w:color="auto"/>
        <w:left w:val="none" w:sz="0" w:space="0" w:color="auto"/>
        <w:bottom w:val="none" w:sz="0" w:space="0" w:color="auto"/>
        <w:right w:val="none" w:sz="0" w:space="0" w:color="auto"/>
      </w:divBdr>
    </w:div>
    <w:div w:id="514343096">
      <w:marLeft w:val="480"/>
      <w:marRight w:val="0"/>
      <w:marTop w:val="0"/>
      <w:marBottom w:val="0"/>
      <w:divBdr>
        <w:top w:val="none" w:sz="0" w:space="0" w:color="auto"/>
        <w:left w:val="none" w:sz="0" w:space="0" w:color="auto"/>
        <w:bottom w:val="none" w:sz="0" w:space="0" w:color="auto"/>
        <w:right w:val="none" w:sz="0" w:space="0" w:color="auto"/>
      </w:divBdr>
    </w:div>
    <w:div w:id="514419205">
      <w:marLeft w:val="480"/>
      <w:marRight w:val="0"/>
      <w:marTop w:val="0"/>
      <w:marBottom w:val="0"/>
      <w:divBdr>
        <w:top w:val="none" w:sz="0" w:space="0" w:color="auto"/>
        <w:left w:val="none" w:sz="0" w:space="0" w:color="auto"/>
        <w:bottom w:val="none" w:sz="0" w:space="0" w:color="auto"/>
        <w:right w:val="none" w:sz="0" w:space="0" w:color="auto"/>
      </w:divBdr>
    </w:div>
    <w:div w:id="515996214">
      <w:marLeft w:val="480"/>
      <w:marRight w:val="0"/>
      <w:marTop w:val="0"/>
      <w:marBottom w:val="0"/>
      <w:divBdr>
        <w:top w:val="none" w:sz="0" w:space="0" w:color="auto"/>
        <w:left w:val="none" w:sz="0" w:space="0" w:color="auto"/>
        <w:bottom w:val="none" w:sz="0" w:space="0" w:color="auto"/>
        <w:right w:val="none" w:sz="0" w:space="0" w:color="auto"/>
      </w:divBdr>
    </w:div>
    <w:div w:id="517157438">
      <w:marLeft w:val="480"/>
      <w:marRight w:val="0"/>
      <w:marTop w:val="0"/>
      <w:marBottom w:val="0"/>
      <w:divBdr>
        <w:top w:val="none" w:sz="0" w:space="0" w:color="auto"/>
        <w:left w:val="none" w:sz="0" w:space="0" w:color="auto"/>
        <w:bottom w:val="none" w:sz="0" w:space="0" w:color="auto"/>
        <w:right w:val="none" w:sz="0" w:space="0" w:color="auto"/>
      </w:divBdr>
    </w:div>
    <w:div w:id="521093083">
      <w:marLeft w:val="480"/>
      <w:marRight w:val="0"/>
      <w:marTop w:val="0"/>
      <w:marBottom w:val="0"/>
      <w:divBdr>
        <w:top w:val="none" w:sz="0" w:space="0" w:color="auto"/>
        <w:left w:val="none" w:sz="0" w:space="0" w:color="auto"/>
        <w:bottom w:val="none" w:sz="0" w:space="0" w:color="auto"/>
        <w:right w:val="none" w:sz="0" w:space="0" w:color="auto"/>
      </w:divBdr>
    </w:div>
    <w:div w:id="522060392">
      <w:marLeft w:val="480"/>
      <w:marRight w:val="0"/>
      <w:marTop w:val="0"/>
      <w:marBottom w:val="0"/>
      <w:divBdr>
        <w:top w:val="none" w:sz="0" w:space="0" w:color="auto"/>
        <w:left w:val="none" w:sz="0" w:space="0" w:color="auto"/>
        <w:bottom w:val="none" w:sz="0" w:space="0" w:color="auto"/>
        <w:right w:val="none" w:sz="0" w:space="0" w:color="auto"/>
      </w:divBdr>
    </w:div>
    <w:div w:id="522398471">
      <w:marLeft w:val="480"/>
      <w:marRight w:val="0"/>
      <w:marTop w:val="0"/>
      <w:marBottom w:val="0"/>
      <w:divBdr>
        <w:top w:val="none" w:sz="0" w:space="0" w:color="auto"/>
        <w:left w:val="none" w:sz="0" w:space="0" w:color="auto"/>
        <w:bottom w:val="none" w:sz="0" w:space="0" w:color="auto"/>
        <w:right w:val="none" w:sz="0" w:space="0" w:color="auto"/>
      </w:divBdr>
    </w:div>
    <w:div w:id="523135249">
      <w:marLeft w:val="480"/>
      <w:marRight w:val="0"/>
      <w:marTop w:val="0"/>
      <w:marBottom w:val="0"/>
      <w:divBdr>
        <w:top w:val="none" w:sz="0" w:space="0" w:color="auto"/>
        <w:left w:val="none" w:sz="0" w:space="0" w:color="auto"/>
        <w:bottom w:val="none" w:sz="0" w:space="0" w:color="auto"/>
        <w:right w:val="none" w:sz="0" w:space="0" w:color="auto"/>
      </w:divBdr>
    </w:div>
    <w:div w:id="525487690">
      <w:marLeft w:val="480"/>
      <w:marRight w:val="0"/>
      <w:marTop w:val="0"/>
      <w:marBottom w:val="0"/>
      <w:divBdr>
        <w:top w:val="none" w:sz="0" w:space="0" w:color="auto"/>
        <w:left w:val="none" w:sz="0" w:space="0" w:color="auto"/>
        <w:bottom w:val="none" w:sz="0" w:space="0" w:color="auto"/>
        <w:right w:val="none" w:sz="0" w:space="0" w:color="auto"/>
      </w:divBdr>
    </w:div>
    <w:div w:id="527570340">
      <w:marLeft w:val="480"/>
      <w:marRight w:val="0"/>
      <w:marTop w:val="0"/>
      <w:marBottom w:val="0"/>
      <w:divBdr>
        <w:top w:val="none" w:sz="0" w:space="0" w:color="auto"/>
        <w:left w:val="none" w:sz="0" w:space="0" w:color="auto"/>
        <w:bottom w:val="none" w:sz="0" w:space="0" w:color="auto"/>
        <w:right w:val="none" w:sz="0" w:space="0" w:color="auto"/>
      </w:divBdr>
    </w:div>
    <w:div w:id="527641881">
      <w:marLeft w:val="480"/>
      <w:marRight w:val="0"/>
      <w:marTop w:val="0"/>
      <w:marBottom w:val="0"/>
      <w:divBdr>
        <w:top w:val="none" w:sz="0" w:space="0" w:color="auto"/>
        <w:left w:val="none" w:sz="0" w:space="0" w:color="auto"/>
        <w:bottom w:val="none" w:sz="0" w:space="0" w:color="auto"/>
        <w:right w:val="none" w:sz="0" w:space="0" w:color="auto"/>
      </w:divBdr>
    </w:div>
    <w:div w:id="533349671">
      <w:marLeft w:val="480"/>
      <w:marRight w:val="0"/>
      <w:marTop w:val="0"/>
      <w:marBottom w:val="0"/>
      <w:divBdr>
        <w:top w:val="none" w:sz="0" w:space="0" w:color="auto"/>
        <w:left w:val="none" w:sz="0" w:space="0" w:color="auto"/>
        <w:bottom w:val="none" w:sz="0" w:space="0" w:color="auto"/>
        <w:right w:val="none" w:sz="0" w:space="0" w:color="auto"/>
      </w:divBdr>
    </w:div>
    <w:div w:id="533923553">
      <w:marLeft w:val="480"/>
      <w:marRight w:val="0"/>
      <w:marTop w:val="0"/>
      <w:marBottom w:val="0"/>
      <w:divBdr>
        <w:top w:val="none" w:sz="0" w:space="0" w:color="auto"/>
        <w:left w:val="none" w:sz="0" w:space="0" w:color="auto"/>
        <w:bottom w:val="none" w:sz="0" w:space="0" w:color="auto"/>
        <w:right w:val="none" w:sz="0" w:space="0" w:color="auto"/>
      </w:divBdr>
    </w:div>
    <w:div w:id="534008382">
      <w:marLeft w:val="480"/>
      <w:marRight w:val="0"/>
      <w:marTop w:val="0"/>
      <w:marBottom w:val="0"/>
      <w:divBdr>
        <w:top w:val="none" w:sz="0" w:space="0" w:color="auto"/>
        <w:left w:val="none" w:sz="0" w:space="0" w:color="auto"/>
        <w:bottom w:val="none" w:sz="0" w:space="0" w:color="auto"/>
        <w:right w:val="none" w:sz="0" w:space="0" w:color="auto"/>
      </w:divBdr>
    </w:div>
    <w:div w:id="535890059">
      <w:marLeft w:val="480"/>
      <w:marRight w:val="0"/>
      <w:marTop w:val="0"/>
      <w:marBottom w:val="0"/>
      <w:divBdr>
        <w:top w:val="none" w:sz="0" w:space="0" w:color="auto"/>
        <w:left w:val="none" w:sz="0" w:space="0" w:color="auto"/>
        <w:bottom w:val="none" w:sz="0" w:space="0" w:color="auto"/>
        <w:right w:val="none" w:sz="0" w:space="0" w:color="auto"/>
      </w:divBdr>
    </w:div>
    <w:div w:id="536436062">
      <w:marLeft w:val="480"/>
      <w:marRight w:val="0"/>
      <w:marTop w:val="0"/>
      <w:marBottom w:val="0"/>
      <w:divBdr>
        <w:top w:val="none" w:sz="0" w:space="0" w:color="auto"/>
        <w:left w:val="none" w:sz="0" w:space="0" w:color="auto"/>
        <w:bottom w:val="none" w:sz="0" w:space="0" w:color="auto"/>
        <w:right w:val="none" w:sz="0" w:space="0" w:color="auto"/>
      </w:divBdr>
    </w:div>
    <w:div w:id="536741977">
      <w:marLeft w:val="480"/>
      <w:marRight w:val="0"/>
      <w:marTop w:val="0"/>
      <w:marBottom w:val="0"/>
      <w:divBdr>
        <w:top w:val="none" w:sz="0" w:space="0" w:color="auto"/>
        <w:left w:val="none" w:sz="0" w:space="0" w:color="auto"/>
        <w:bottom w:val="none" w:sz="0" w:space="0" w:color="auto"/>
        <w:right w:val="none" w:sz="0" w:space="0" w:color="auto"/>
      </w:divBdr>
    </w:div>
    <w:div w:id="541211923">
      <w:marLeft w:val="480"/>
      <w:marRight w:val="0"/>
      <w:marTop w:val="0"/>
      <w:marBottom w:val="0"/>
      <w:divBdr>
        <w:top w:val="none" w:sz="0" w:space="0" w:color="auto"/>
        <w:left w:val="none" w:sz="0" w:space="0" w:color="auto"/>
        <w:bottom w:val="none" w:sz="0" w:space="0" w:color="auto"/>
        <w:right w:val="none" w:sz="0" w:space="0" w:color="auto"/>
      </w:divBdr>
    </w:div>
    <w:div w:id="541288503">
      <w:marLeft w:val="480"/>
      <w:marRight w:val="0"/>
      <w:marTop w:val="0"/>
      <w:marBottom w:val="0"/>
      <w:divBdr>
        <w:top w:val="none" w:sz="0" w:space="0" w:color="auto"/>
        <w:left w:val="none" w:sz="0" w:space="0" w:color="auto"/>
        <w:bottom w:val="none" w:sz="0" w:space="0" w:color="auto"/>
        <w:right w:val="none" w:sz="0" w:space="0" w:color="auto"/>
      </w:divBdr>
    </w:div>
    <w:div w:id="544758188">
      <w:marLeft w:val="480"/>
      <w:marRight w:val="0"/>
      <w:marTop w:val="0"/>
      <w:marBottom w:val="0"/>
      <w:divBdr>
        <w:top w:val="none" w:sz="0" w:space="0" w:color="auto"/>
        <w:left w:val="none" w:sz="0" w:space="0" w:color="auto"/>
        <w:bottom w:val="none" w:sz="0" w:space="0" w:color="auto"/>
        <w:right w:val="none" w:sz="0" w:space="0" w:color="auto"/>
      </w:divBdr>
    </w:div>
    <w:div w:id="547566620">
      <w:marLeft w:val="480"/>
      <w:marRight w:val="0"/>
      <w:marTop w:val="0"/>
      <w:marBottom w:val="0"/>
      <w:divBdr>
        <w:top w:val="none" w:sz="0" w:space="0" w:color="auto"/>
        <w:left w:val="none" w:sz="0" w:space="0" w:color="auto"/>
        <w:bottom w:val="none" w:sz="0" w:space="0" w:color="auto"/>
        <w:right w:val="none" w:sz="0" w:space="0" w:color="auto"/>
      </w:divBdr>
    </w:div>
    <w:div w:id="548148820">
      <w:marLeft w:val="480"/>
      <w:marRight w:val="0"/>
      <w:marTop w:val="0"/>
      <w:marBottom w:val="0"/>
      <w:divBdr>
        <w:top w:val="none" w:sz="0" w:space="0" w:color="auto"/>
        <w:left w:val="none" w:sz="0" w:space="0" w:color="auto"/>
        <w:bottom w:val="none" w:sz="0" w:space="0" w:color="auto"/>
        <w:right w:val="none" w:sz="0" w:space="0" w:color="auto"/>
      </w:divBdr>
    </w:div>
    <w:div w:id="549459773">
      <w:marLeft w:val="480"/>
      <w:marRight w:val="0"/>
      <w:marTop w:val="0"/>
      <w:marBottom w:val="0"/>
      <w:divBdr>
        <w:top w:val="none" w:sz="0" w:space="0" w:color="auto"/>
        <w:left w:val="none" w:sz="0" w:space="0" w:color="auto"/>
        <w:bottom w:val="none" w:sz="0" w:space="0" w:color="auto"/>
        <w:right w:val="none" w:sz="0" w:space="0" w:color="auto"/>
      </w:divBdr>
    </w:div>
    <w:div w:id="552158161">
      <w:marLeft w:val="480"/>
      <w:marRight w:val="0"/>
      <w:marTop w:val="0"/>
      <w:marBottom w:val="0"/>
      <w:divBdr>
        <w:top w:val="none" w:sz="0" w:space="0" w:color="auto"/>
        <w:left w:val="none" w:sz="0" w:space="0" w:color="auto"/>
        <w:bottom w:val="none" w:sz="0" w:space="0" w:color="auto"/>
        <w:right w:val="none" w:sz="0" w:space="0" w:color="auto"/>
      </w:divBdr>
    </w:div>
    <w:div w:id="552932615">
      <w:marLeft w:val="480"/>
      <w:marRight w:val="0"/>
      <w:marTop w:val="0"/>
      <w:marBottom w:val="0"/>
      <w:divBdr>
        <w:top w:val="none" w:sz="0" w:space="0" w:color="auto"/>
        <w:left w:val="none" w:sz="0" w:space="0" w:color="auto"/>
        <w:bottom w:val="none" w:sz="0" w:space="0" w:color="auto"/>
        <w:right w:val="none" w:sz="0" w:space="0" w:color="auto"/>
      </w:divBdr>
    </w:div>
    <w:div w:id="556013460">
      <w:marLeft w:val="480"/>
      <w:marRight w:val="0"/>
      <w:marTop w:val="0"/>
      <w:marBottom w:val="0"/>
      <w:divBdr>
        <w:top w:val="none" w:sz="0" w:space="0" w:color="auto"/>
        <w:left w:val="none" w:sz="0" w:space="0" w:color="auto"/>
        <w:bottom w:val="none" w:sz="0" w:space="0" w:color="auto"/>
        <w:right w:val="none" w:sz="0" w:space="0" w:color="auto"/>
      </w:divBdr>
    </w:div>
    <w:div w:id="558202154">
      <w:marLeft w:val="480"/>
      <w:marRight w:val="0"/>
      <w:marTop w:val="0"/>
      <w:marBottom w:val="0"/>
      <w:divBdr>
        <w:top w:val="none" w:sz="0" w:space="0" w:color="auto"/>
        <w:left w:val="none" w:sz="0" w:space="0" w:color="auto"/>
        <w:bottom w:val="none" w:sz="0" w:space="0" w:color="auto"/>
        <w:right w:val="none" w:sz="0" w:space="0" w:color="auto"/>
      </w:divBdr>
    </w:div>
    <w:div w:id="558321759">
      <w:marLeft w:val="480"/>
      <w:marRight w:val="0"/>
      <w:marTop w:val="0"/>
      <w:marBottom w:val="0"/>
      <w:divBdr>
        <w:top w:val="none" w:sz="0" w:space="0" w:color="auto"/>
        <w:left w:val="none" w:sz="0" w:space="0" w:color="auto"/>
        <w:bottom w:val="none" w:sz="0" w:space="0" w:color="auto"/>
        <w:right w:val="none" w:sz="0" w:space="0" w:color="auto"/>
      </w:divBdr>
    </w:div>
    <w:div w:id="559749600">
      <w:marLeft w:val="480"/>
      <w:marRight w:val="0"/>
      <w:marTop w:val="0"/>
      <w:marBottom w:val="0"/>
      <w:divBdr>
        <w:top w:val="none" w:sz="0" w:space="0" w:color="auto"/>
        <w:left w:val="none" w:sz="0" w:space="0" w:color="auto"/>
        <w:bottom w:val="none" w:sz="0" w:space="0" w:color="auto"/>
        <w:right w:val="none" w:sz="0" w:space="0" w:color="auto"/>
      </w:divBdr>
    </w:div>
    <w:div w:id="560141584">
      <w:marLeft w:val="480"/>
      <w:marRight w:val="0"/>
      <w:marTop w:val="0"/>
      <w:marBottom w:val="0"/>
      <w:divBdr>
        <w:top w:val="none" w:sz="0" w:space="0" w:color="auto"/>
        <w:left w:val="none" w:sz="0" w:space="0" w:color="auto"/>
        <w:bottom w:val="none" w:sz="0" w:space="0" w:color="auto"/>
        <w:right w:val="none" w:sz="0" w:space="0" w:color="auto"/>
      </w:divBdr>
    </w:div>
    <w:div w:id="560337215">
      <w:marLeft w:val="480"/>
      <w:marRight w:val="0"/>
      <w:marTop w:val="0"/>
      <w:marBottom w:val="0"/>
      <w:divBdr>
        <w:top w:val="none" w:sz="0" w:space="0" w:color="auto"/>
        <w:left w:val="none" w:sz="0" w:space="0" w:color="auto"/>
        <w:bottom w:val="none" w:sz="0" w:space="0" w:color="auto"/>
        <w:right w:val="none" w:sz="0" w:space="0" w:color="auto"/>
      </w:divBdr>
    </w:div>
    <w:div w:id="560601405">
      <w:marLeft w:val="480"/>
      <w:marRight w:val="0"/>
      <w:marTop w:val="0"/>
      <w:marBottom w:val="0"/>
      <w:divBdr>
        <w:top w:val="none" w:sz="0" w:space="0" w:color="auto"/>
        <w:left w:val="none" w:sz="0" w:space="0" w:color="auto"/>
        <w:bottom w:val="none" w:sz="0" w:space="0" w:color="auto"/>
        <w:right w:val="none" w:sz="0" w:space="0" w:color="auto"/>
      </w:divBdr>
    </w:div>
    <w:div w:id="561452642">
      <w:marLeft w:val="480"/>
      <w:marRight w:val="0"/>
      <w:marTop w:val="0"/>
      <w:marBottom w:val="0"/>
      <w:divBdr>
        <w:top w:val="none" w:sz="0" w:space="0" w:color="auto"/>
        <w:left w:val="none" w:sz="0" w:space="0" w:color="auto"/>
        <w:bottom w:val="none" w:sz="0" w:space="0" w:color="auto"/>
        <w:right w:val="none" w:sz="0" w:space="0" w:color="auto"/>
      </w:divBdr>
    </w:div>
    <w:div w:id="561714690">
      <w:marLeft w:val="480"/>
      <w:marRight w:val="0"/>
      <w:marTop w:val="0"/>
      <w:marBottom w:val="0"/>
      <w:divBdr>
        <w:top w:val="none" w:sz="0" w:space="0" w:color="auto"/>
        <w:left w:val="none" w:sz="0" w:space="0" w:color="auto"/>
        <w:bottom w:val="none" w:sz="0" w:space="0" w:color="auto"/>
        <w:right w:val="none" w:sz="0" w:space="0" w:color="auto"/>
      </w:divBdr>
    </w:div>
    <w:div w:id="562831290">
      <w:marLeft w:val="480"/>
      <w:marRight w:val="0"/>
      <w:marTop w:val="0"/>
      <w:marBottom w:val="0"/>
      <w:divBdr>
        <w:top w:val="none" w:sz="0" w:space="0" w:color="auto"/>
        <w:left w:val="none" w:sz="0" w:space="0" w:color="auto"/>
        <w:bottom w:val="none" w:sz="0" w:space="0" w:color="auto"/>
        <w:right w:val="none" w:sz="0" w:space="0" w:color="auto"/>
      </w:divBdr>
    </w:div>
    <w:div w:id="570505167">
      <w:marLeft w:val="480"/>
      <w:marRight w:val="0"/>
      <w:marTop w:val="0"/>
      <w:marBottom w:val="0"/>
      <w:divBdr>
        <w:top w:val="none" w:sz="0" w:space="0" w:color="auto"/>
        <w:left w:val="none" w:sz="0" w:space="0" w:color="auto"/>
        <w:bottom w:val="none" w:sz="0" w:space="0" w:color="auto"/>
        <w:right w:val="none" w:sz="0" w:space="0" w:color="auto"/>
      </w:divBdr>
    </w:div>
    <w:div w:id="570892700">
      <w:marLeft w:val="480"/>
      <w:marRight w:val="0"/>
      <w:marTop w:val="0"/>
      <w:marBottom w:val="0"/>
      <w:divBdr>
        <w:top w:val="none" w:sz="0" w:space="0" w:color="auto"/>
        <w:left w:val="none" w:sz="0" w:space="0" w:color="auto"/>
        <w:bottom w:val="none" w:sz="0" w:space="0" w:color="auto"/>
        <w:right w:val="none" w:sz="0" w:space="0" w:color="auto"/>
      </w:divBdr>
    </w:div>
    <w:div w:id="571040629">
      <w:marLeft w:val="480"/>
      <w:marRight w:val="0"/>
      <w:marTop w:val="0"/>
      <w:marBottom w:val="0"/>
      <w:divBdr>
        <w:top w:val="none" w:sz="0" w:space="0" w:color="auto"/>
        <w:left w:val="none" w:sz="0" w:space="0" w:color="auto"/>
        <w:bottom w:val="none" w:sz="0" w:space="0" w:color="auto"/>
        <w:right w:val="none" w:sz="0" w:space="0" w:color="auto"/>
      </w:divBdr>
    </w:div>
    <w:div w:id="571308086">
      <w:marLeft w:val="480"/>
      <w:marRight w:val="0"/>
      <w:marTop w:val="0"/>
      <w:marBottom w:val="0"/>
      <w:divBdr>
        <w:top w:val="none" w:sz="0" w:space="0" w:color="auto"/>
        <w:left w:val="none" w:sz="0" w:space="0" w:color="auto"/>
        <w:bottom w:val="none" w:sz="0" w:space="0" w:color="auto"/>
        <w:right w:val="none" w:sz="0" w:space="0" w:color="auto"/>
      </w:divBdr>
    </w:div>
    <w:div w:id="571962344">
      <w:marLeft w:val="480"/>
      <w:marRight w:val="0"/>
      <w:marTop w:val="0"/>
      <w:marBottom w:val="0"/>
      <w:divBdr>
        <w:top w:val="none" w:sz="0" w:space="0" w:color="auto"/>
        <w:left w:val="none" w:sz="0" w:space="0" w:color="auto"/>
        <w:bottom w:val="none" w:sz="0" w:space="0" w:color="auto"/>
        <w:right w:val="none" w:sz="0" w:space="0" w:color="auto"/>
      </w:divBdr>
    </w:div>
    <w:div w:id="572666048">
      <w:marLeft w:val="480"/>
      <w:marRight w:val="0"/>
      <w:marTop w:val="0"/>
      <w:marBottom w:val="0"/>
      <w:divBdr>
        <w:top w:val="none" w:sz="0" w:space="0" w:color="auto"/>
        <w:left w:val="none" w:sz="0" w:space="0" w:color="auto"/>
        <w:bottom w:val="none" w:sz="0" w:space="0" w:color="auto"/>
        <w:right w:val="none" w:sz="0" w:space="0" w:color="auto"/>
      </w:divBdr>
    </w:div>
    <w:div w:id="572740211">
      <w:marLeft w:val="480"/>
      <w:marRight w:val="0"/>
      <w:marTop w:val="0"/>
      <w:marBottom w:val="0"/>
      <w:divBdr>
        <w:top w:val="none" w:sz="0" w:space="0" w:color="auto"/>
        <w:left w:val="none" w:sz="0" w:space="0" w:color="auto"/>
        <w:bottom w:val="none" w:sz="0" w:space="0" w:color="auto"/>
        <w:right w:val="none" w:sz="0" w:space="0" w:color="auto"/>
      </w:divBdr>
    </w:div>
    <w:div w:id="573515231">
      <w:marLeft w:val="480"/>
      <w:marRight w:val="0"/>
      <w:marTop w:val="0"/>
      <w:marBottom w:val="0"/>
      <w:divBdr>
        <w:top w:val="none" w:sz="0" w:space="0" w:color="auto"/>
        <w:left w:val="none" w:sz="0" w:space="0" w:color="auto"/>
        <w:bottom w:val="none" w:sz="0" w:space="0" w:color="auto"/>
        <w:right w:val="none" w:sz="0" w:space="0" w:color="auto"/>
      </w:divBdr>
    </w:div>
    <w:div w:id="574440268">
      <w:marLeft w:val="480"/>
      <w:marRight w:val="0"/>
      <w:marTop w:val="0"/>
      <w:marBottom w:val="0"/>
      <w:divBdr>
        <w:top w:val="none" w:sz="0" w:space="0" w:color="auto"/>
        <w:left w:val="none" w:sz="0" w:space="0" w:color="auto"/>
        <w:bottom w:val="none" w:sz="0" w:space="0" w:color="auto"/>
        <w:right w:val="none" w:sz="0" w:space="0" w:color="auto"/>
      </w:divBdr>
    </w:div>
    <w:div w:id="577441563">
      <w:marLeft w:val="480"/>
      <w:marRight w:val="0"/>
      <w:marTop w:val="0"/>
      <w:marBottom w:val="0"/>
      <w:divBdr>
        <w:top w:val="none" w:sz="0" w:space="0" w:color="auto"/>
        <w:left w:val="none" w:sz="0" w:space="0" w:color="auto"/>
        <w:bottom w:val="none" w:sz="0" w:space="0" w:color="auto"/>
        <w:right w:val="none" w:sz="0" w:space="0" w:color="auto"/>
      </w:divBdr>
    </w:div>
    <w:div w:id="579558781">
      <w:marLeft w:val="480"/>
      <w:marRight w:val="0"/>
      <w:marTop w:val="0"/>
      <w:marBottom w:val="0"/>
      <w:divBdr>
        <w:top w:val="none" w:sz="0" w:space="0" w:color="auto"/>
        <w:left w:val="none" w:sz="0" w:space="0" w:color="auto"/>
        <w:bottom w:val="none" w:sz="0" w:space="0" w:color="auto"/>
        <w:right w:val="none" w:sz="0" w:space="0" w:color="auto"/>
      </w:divBdr>
    </w:div>
    <w:div w:id="581262461">
      <w:marLeft w:val="480"/>
      <w:marRight w:val="0"/>
      <w:marTop w:val="0"/>
      <w:marBottom w:val="0"/>
      <w:divBdr>
        <w:top w:val="none" w:sz="0" w:space="0" w:color="auto"/>
        <w:left w:val="none" w:sz="0" w:space="0" w:color="auto"/>
        <w:bottom w:val="none" w:sz="0" w:space="0" w:color="auto"/>
        <w:right w:val="none" w:sz="0" w:space="0" w:color="auto"/>
      </w:divBdr>
    </w:div>
    <w:div w:id="582450990">
      <w:marLeft w:val="480"/>
      <w:marRight w:val="0"/>
      <w:marTop w:val="0"/>
      <w:marBottom w:val="0"/>
      <w:divBdr>
        <w:top w:val="none" w:sz="0" w:space="0" w:color="auto"/>
        <w:left w:val="none" w:sz="0" w:space="0" w:color="auto"/>
        <w:bottom w:val="none" w:sz="0" w:space="0" w:color="auto"/>
        <w:right w:val="none" w:sz="0" w:space="0" w:color="auto"/>
      </w:divBdr>
    </w:div>
    <w:div w:id="582765326">
      <w:marLeft w:val="480"/>
      <w:marRight w:val="0"/>
      <w:marTop w:val="0"/>
      <w:marBottom w:val="0"/>
      <w:divBdr>
        <w:top w:val="none" w:sz="0" w:space="0" w:color="auto"/>
        <w:left w:val="none" w:sz="0" w:space="0" w:color="auto"/>
        <w:bottom w:val="none" w:sz="0" w:space="0" w:color="auto"/>
        <w:right w:val="none" w:sz="0" w:space="0" w:color="auto"/>
      </w:divBdr>
    </w:div>
    <w:div w:id="585379308">
      <w:marLeft w:val="480"/>
      <w:marRight w:val="0"/>
      <w:marTop w:val="0"/>
      <w:marBottom w:val="0"/>
      <w:divBdr>
        <w:top w:val="none" w:sz="0" w:space="0" w:color="auto"/>
        <w:left w:val="none" w:sz="0" w:space="0" w:color="auto"/>
        <w:bottom w:val="none" w:sz="0" w:space="0" w:color="auto"/>
        <w:right w:val="none" w:sz="0" w:space="0" w:color="auto"/>
      </w:divBdr>
    </w:div>
    <w:div w:id="585573854">
      <w:marLeft w:val="480"/>
      <w:marRight w:val="0"/>
      <w:marTop w:val="0"/>
      <w:marBottom w:val="0"/>
      <w:divBdr>
        <w:top w:val="none" w:sz="0" w:space="0" w:color="auto"/>
        <w:left w:val="none" w:sz="0" w:space="0" w:color="auto"/>
        <w:bottom w:val="none" w:sz="0" w:space="0" w:color="auto"/>
        <w:right w:val="none" w:sz="0" w:space="0" w:color="auto"/>
      </w:divBdr>
    </w:div>
    <w:div w:id="589433817">
      <w:marLeft w:val="480"/>
      <w:marRight w:val="0"/>
      <w:marTop w:val="0"/>
      <w:marBottom w:val="0"/>
      <w:divBdr>
        <w:top w:val="none" w:sz="0" w:space="0" w:color="auto"/>
        <w:left w:val="none" w:sz="0" w:space="0" w:color="auto"/>
        <w:bottom w:val="none" w:sz="0" w:space="0" w:color="auto"/>
        <w:right w:val="none" w:sz="0" w:space="0" w:color="auto"/>
      </w:divBdr>
    </w:div>
    <w:div w:id="589967312">
      <w:marLeft w:val="480"/>
      <w:marRight w:val="0"/>
      <w:marTop w:val="0"/>
      <w:marBottom w:val="0"/>
      <w:divBdr>
        <w:top w:val="none" w:sz="0" w:space="0" w:color="auto"/>
        <w:left w:val="none" w:sz="0" w:space="0" w:color="auto"/>
        <w:bottom w:val="none" w:sz="0" w:space="0" w:color="auto"/>
        <w:right w:val="none" w:sz="0" w:space="0" w:color="auto"/>
      </w:divBdr>
    </w:div>
    <w:div w:id="591427671">
      <w:marLeft w:val="480"/>
      <w:marRight w:val="0"/>
      <w:marTop w:val="0"/>
      <w:marBottom w:val="0"/>
      <w:divBdr>
        <w:top w:val="none" w:sz="0" w:space="0" w:color="auto"/>
        <w:left w:val="none" w:sz="0" w:space="0" w:color="auto"/>
        <w:bottom w:val="none" w:sz="0" w:space="0" w:color="auto"/>
        <w:right w:val="none" w:sz="0" w:space="0" w:color="auto"/>
      </w:divBdr>
    </w:div>
    <w:div w:id="591664546">
      <w:marLeft w:val="480"/>
      <w:marRight w:val="0"/>
      <w:marTop w:val="0"/>
      <w:marBottom w:val="0"/>
      <w:divBdr>
        <w:top w:val="none" w:sz="0" w:space="0" w:color="auto"/>
        <w:left w:val="none" w:sz="0" w:space="0" w:color="auto"/>
        <w:bottom w:val="none" w:sz="0" w:space="0" w:color="auto"/>
        <w:right w:val="none" w:sz="0" w:space="0" w:color="auto"/>
      </w:divBdr>
    </w:div>
    <w:div w:id="592132426">
      <w:marLeft w:val="480"/>
      <w:marRight w:val="0"/>
      <w:marTop w:val="0"/>
      <w:marBottom w:val="0"/>
      <w:divBdr>
        <w:top w:val="none" w:sz="0" w:space="0" w:color="auto"/>
        <w:left w:val="none" w:sz="0" w:space="0" w:color="auto"/>
        <w:bottom w:val="none" w:sz="0" w:space="0" w:color="auto"/>
        <w:right w:val="none" w:sz="0" w:space="0" w:color="auto"/>
      </w:divBdr>
    </w:div>
    <w:div w:id="595944192">
      <w:marLeft w:val="480"/>
      <w:marRight w:val="0"/>
      <w:marTop w:val="0"/>
      <w:marBottom w:val="0"/>
      <w:divBdr>
        <w:top w:val="none" w:sz="0" w:space="0" w:color="auto"/>
        <w:left w:val="none" w:sz="0" w:space="0" w:color="auto"/>
        <w:bottom w:val="none" w:sz="0" w:space="0" w:color="auto"/>
        <w:right w:val="none" w:sz="0" w:space="0" w:color="auto"/>
      </w:divBdr>
    </w:div>
    <w:div w:id="596258900">
      <w:marLeft w:val="480"/>
      <w:marRight w:val="0"/>
      <w:marTop w:val="0"/>
      <w:marBottom w:val="0"/>
      <w:divBdr>
        <w:top w:val="none" w:sz="0" w:space="0" w:color="auto"/>
        <w:left w:val="none" w:sz="0" w:space="0" w:color="auto"/>
        <w:bottom w:val="none" w:sz="0" w:space="0" w:color="auto"/>
        <w:right w:val="none" w:sz="0" w:space="0" w:color="auto"/>
      </w:divBdr>
    </w:div>
    <w:div w:id="598368349">
      <w:marLeft w:val="480"/>
      <w:marRight w:val="0"/>
      <w:marTop w:val="0"/>
      <w:marBottom w:val="0"/>
      <w:divBdr>
        <w:top w:val="none" w:sz="0" w:space="0" w:color="auto"/>
        <w:left w:val="none" w:sz="0" w:space="0" w:color="auto"/>
        <w:bottom w:val="none" w:sz="0" w:space="0" w:color="auto"/>
        <w:right w:val="none" w:sz="0" w:space="0" w:color="auto"/>
      </w:divBdr>
    </w:div>
    <w:div w:id="598683110">
      <w:marLeft w:val="480"/>
      <w:marRight w:val="0"/>
      <w:marTop w:val="0"/>
      <w:marBottom w:val="0"/>
      <w:divBdr>
        <w:top w:val="none" w:sz="0" w:space="0" w:color="auto"/>
        <w:left w:val="none" w:sz="0" w:space="0" w:color="auto"/>
        <w:bottom w:val="none" w:sz="0" w:space="0" w:color="auto"/>
        <w:right w:val="none" w:sz="0" w:space="0" w:color="auto"/>
      </w:divBdr>
    </w:div>
    <w:div w:id="602224871">
      <w:marLeft w:val="480"/>
      <w:marRight w:val="0"/>
      <w:marTop w:val="0"/>
      <w:marBottom w:val="0"/>
      <w:divBdr>
        <w:top w:val="none" w:sz="0" w:space="0" w:color="auto"/>
        <w:left w:val="none" w:sz="0" w:space="0" w:color="auto"/>
        <w:bottom w:val="none" w:sz="0" w:space="0" w:color="auto"/>
        <w:right w:val="none" w:sz="0" w:space="0" w:color="auto"/>
      </w:divBdr>
    </w:div>
    <w:div w:id="603851021">
      <w:marLeft w:val="480"/>
      <w:marRight w:val="0"/>
      <w:marTop w:val="0"/>
      <w:marBottom w:val="0"/>
      <w:divBdr>
        <w:top w:val="none" w:sz="0" w:space="0" w:color="auto"/>
        <w:left w:val="none" w:sz="0" w:space="0" w:color="auto"/>
        <w:bottom w:val="none" w:sz="0" w:space="0" w:color="auto"/>
        <w:right w:val="none" w:sz="0" w:space="0" w:color="auto"/>
      </w:divBdr>
    </w:div>
    <w:div w:id="609899575">
      <w:marLeft w:val="480"/>
      <w:marRight w:val="0"/>
      <w:marTop w:val="0"/>
      <w:marBottom w:val="0"/>
      <w:divBdr>
        <w:top w:val="none" w:sz="0" w:space="0" w:color="auto"/>
        <w:left w:val="none" w:sz="0" w:space="0" w:color="auto"/>
        <w:bottom w:val="none" w:sz="0" w:space="0" w:color="auto"/>
        <w:right w:val="none" w:sz="0" w:space="0" w:color="auto"/>
      </w:divBdr>
    </w:div>
    <w:div w:id="614169168">
      <w:marLeft w:val="480"/>
      <w:marRight w:val="0"/>
      <w:marTop w:val="0"/>
      <w:marBottom w:val="0"/>
      <w:divBdr>
        <w:top w:val="none" w:sz="0" w:space="0" w:color="auto"/>
        <w:left w:val="none" w:sz="0" w:space="0" w:color="auto"/>
        <w:bottom w:val="none" w:sz="0" w:space="0" w:color="auto"/>
        <w:right w:val="none" w:sz="0" w:space="0" w:color="auto"/>
      </w:divBdr>
    </w:div>
    <w:div w:id="614990009">
      <w:marLeft w:val="480"/>
      <w:marRight w:val="0"/>
      <w:marTop w:val="0"/>
      <w:marBottom w:val="0"/>
      <w:divBdr>
        <w:top w:val="none" w:sz="0" w:space="0" w:color="auto"/>
        <w:left w:val="none" w:sz="0" w:space="0" w:color="auto"/>
        <w:bottom w:val="none" w:sz="0" w:space="0" w:color="auto"/>
        <w:right w:val="none" w:sz="0" w:space="0" w:color="auto"/>
      </w:divBdr>
    </w:div>
    <w:div w:id="615330869">
      <w:marLeft w:val="480"/>
      <w:marRight w:val="0"/>
      <w:marTop w:val="0"/>
      <w:marBottom w:val="0"/>
      <w:divBdr>
        <w:top w:val="none" w:sz="0" w:space="0" w:color="auto"/>
        <w:left w:val="none" w:sz="0" w:space="0" w:color="auto"/>
        <w:bottom w:val="none" w:sz="0" w:space="0" w:color="auto"/>
        <w:right w:val="none" w:sz="0" w:space="0" w:color="auto"/>
      </w:divBdr>
    </w:div>
    <w:div w:id="615404605">
      <w:marLeft w:val="480"/>
      <w:marRight w:val="0"/>
      <w:marTop w:val="0"/>
      <w:marBottom w:val="0"/>
      <w:divBdr>
        <w:top w:val="none" w:sz="0" w:space="0" w:color="auto"/>
        <w:left w:val="none" w:sz="0" w:space="0" w:color="auto"/>
        <w:bottom w:val="none" w:sz="0" w:space="0" w:color="auto"/>
        <w:right w:val="none" w:sz="0" w:space="0" w:color="auto"/>
      </w:divBdr>
    </w:div>
    <w:div w:id="616914442">
      <w:marLeft w:val="480"/>
      <w:marRight w:val="0"/>
      <w:marTop w:val="0"/>
      <w:marBottom w:val="0"/>
      <w:divBdr>
        <w:top w:val="none" w:sz="0" w:space="0" w:color="auto"/>
        <w:left w:val="none" w:sz="0" w:space="0" w:color="auto"/>
        <w:bottom w:val="none" w:sz="0" w:space="0" w:color="auto"/>
        <w:right w:val="none" w:sz="0" w:space="0" w:color="auto"/>
      </w:divBdr>
    </w:div>
    <w:div w:id="617223833">
      <w:marLeft w:val="480"/>
      <w:marRight w:val="0"/>
      <w:marTop w:val="0"/>
      <w:marBottom w:val="0"/>
      <w:divBdr>
        <w:top w:val="none" w:sz="0" w:space="0" w:color="auto"/>
        <w:left w:val="none" w:sz="0" w:space="0" w:color="auto"/>
        <w:bottom w:val="none" w:sz="0" w:space="0" w:color="auto"/>
        <w:right w:val="none" w:sz="0" w:space="0" w:color="auto"/>
      </w:divBdr>
    </w:div>
    <w:div w:id="623271192">
      <w:marLeft w:val="480"/>
      <w:marRight w:val="0"/>
      <w:marTop w:val="0"/>
      <w:marBottom w:val="0"/>
      <w:divBdr>
        <w:top w:val="none" w:sz="0" w:space="0" w:color="auto"/>
        <w:left w:val="none" w:sz="0" w:space="0" w:color="auto"/>
        <w:bottom w:val="none" w:sz="0" w:space="0" w:color="auto"/>
        <w:right w:val="none" w:sz="0" w:space="0" w:color="auto"/>
      </w:divBdr>
    </w:div>
    <w:div w:id="624434762">
      <w:marLeft w:val="480"/>
      <w:marRight w:val="0"/>
      <w:marTop w:val="0"/>
      <w:marBottom w:val="0"/>
      <w:divBdr>
        <w:top w:val="none" w:sz="0" w:space="0" w:color="auto"/>
        <w:left w:val="none" w:sz="0" w:space="0" w:color="auto"/>
        <w:bottom w:val="none" w:sz="0" w:space="0" w:color="auto"/>
        <w:right w:val="none" w:sz="0" w:space="0" w:color="auto"/>
      </w:divBdr>
    </w:div>
    <w:div w:id="625359215">
      <w:marLeft w:val="480"/>
      <w:marRight w:val="0"/>
      <w:marTop w:val="0"/>
      <w:marBottom w:val="0"/>
      <w:divBdr>
        <w:top w:val="none" w:sz="0" w:space="0" w:color="auto"/>
        <w:left w:val="none" w:sz="0" w:space="0" w:color="auto"/>
        <w:bottom w:val="none" w:sz="0" w:space="0" w:color="auto"/>
        <w:right w:val="none" w:sz="0" w:space="0" w:color="auto"/>
      </w:divBdr>
    </w:div>
    <w:div w:id="625428825">
      <w:marLeft w:val="480"/>
      <w:marRight w:val="0"/>
      <w:marTop w:val="0"/>
      <w:marBottom w:val="0"/>
      <w:divBdr>
        <w:top w:val="none" w:sz="0" w:space="0" w:color="auto"/>
        <w:left w:val="none" w:sz="0" w:space="0" w:color="auto"/>
        <w:bottom w:val="none" w:sz="0" w:space="0" w:color="auto"/>
        <w:right w:val="none" w:sz="0" w:space="0" w:color="auto"/>
      </w:divBdr>
    </w:div>
    <w:div w:id="630012566">
      <w:marLeft w:val="480"/>
      <w:marRight w:val="0"/>
      <w:marTop w:val="0"/>
      <w:marBottom w:val="0"/>
      <w:divBdr>
        <w:top w:val="none" w:sz="0" w:space="0" w:color="auto"/>
        <w:left w:val="none" w:sz="0" w:space="0" w:color="auto"/>
        <w:bottom w:val="none" w:sz="0" w:space="0" w:color="auto"/>
        <w:right w:val="none" w:sz="0" w:space="0" w:color="auto"/>
      </w:divBdr>
    </w:div>
    <w:div w:id="631715160">
      <w:marLeft w:val="480"/>
      <w:marRight w:val="0"/>
      <w:marTop w:val="0"/>
      <w:marBottom w:val="0"/>
      <w:divBdr>
        <w:top w:val="none" w:sz="0" w:space="0" w:color="auto"/>
        <w:left w:val="none" w:sz="0" w:space="0" w:color="auto"/>
        <w:bottom w:val="none" w:sz="0" w:space="0" w:color="auto"/>
        <w:right w:val="none" w:sz="0" w:space="0" w:color="auto"/>
      </w:divBdr>
    </w:div>
    <w:div w:id="633027498">
      <w:marLeft w:val="480"/>
      <w:marRight w:val="0"/>
      <w:marTop w:val="0"/>
      <w:marBottom w:val="0"/>
      <w:divBdr>
        <w:top w:val="none" w:sz="0" w:space="0" w:color="auto"/>
        <w:left w:val="none" w:sz="0" w:space="0" w:color="auto"/>
        <w:bottom w:val="none" w:sz="0" w:space="0" w:color="auto"/>
        <w:right w:val="none" w:sz="0" w:space="0" w:color="auto"/>
      </w:divBdr>
    </w:div>
    <w:div w:id="633215235">
      <w:marLeft w:val="480"/>
      <w:marRight w:val="0"/>
      <w:marTop w:val="0"/>
      <w:marBottom w:val="0"/>
      <w:divBdr>
        <w:top w:val="none" w:sz="0" w:space="0" w:color="auto"/>
        <w:left w:val="none" w:sz="0" w:space="0" w:color="auto"/>
        <w:bottom w:val="none" w:sz="0" w:space="0" w:color="auto"/>
        <w:right w:val="none" w:sz="0" w:space="0" w:color="auto"/>
      </w:divBdr>
    </w:div>
    <w:div w:id="635722082">
      <w:marLeft w:val="480"/>
      <w:marRight w:val="0"/>
      <w:marTop w:val="0"/>
      <w:marBottom w:val="0"/>
      <w:divBdr>
        <w:top w:val="none" w:sz="0" w:space="0" w:color="auto"/>
        <w:left w:val="none" w:sz="0" w:space="0" w:color="auto"/>
        <w:bottom w:val="none" w:sz="0" w:space="0" w:color="auto"/>
        <w:right w:val="none" w:sz="0" w:space="0" w:color="auto"/>
      </w:divBdr>
    </w:div>
    <w:div w:id="636494883">
      <w:marLeft w:val="480"/>
      <w:marRight w:val="0"/>
      <w:marTop w:val="0"/>
      <w:marBottom w:val="0"/>
      <w:divBdr>
        <w:top w:val="none" w:sz="0" w:space="0" w:color="auto"/>
        <w:left w:val="none" w:sz="0" w:space="0" w:color="auto"/>
        <w:bottom w:val="none" w:sz="0" w:space="0" w:color="auto"/>
        <w:right w:val="none" w:sz="0" w:space="0" w:color="auto"/>
      </w:divBdr>
    </w:div>
    <w:div w:id="637031389">
      <w:marLeft w:val="480"/>
      <w:marRight w:val="0"/>
      <w:marTop w:val="0"/>
      <w:marBottom w:val="0"/>
      <w:divBdr>
        <w:top w:val="none" w:sz="0" w:space="0" w:color="auto"/>
        <w:left w:val="none" w:sz="0" w:space="0" w:color="auto"/>
        <w:bottom w:val="none" w:sz="0" w:space="0" w:color="auto"/>
        <w:right w:val="none" w:sz="0" w:space="0" w:color="auto"/>
      </w:divBdr>
    </w:div>
    <w:div w:id="637884111">
      <w:marLeft w:val="480"/>
      <w:marRight w:val="0"/>
      <w:marTop w:val="0"/>
      <w:marBottom w:val="0"/>
      <w:divBdr>
        <w:top w:val="none" w:sz="0" w:space="0" w:color="auto"/>
        <w:left w:val="none" w:sz="0" w:space="0" w:color="auto"/>
        <w:bottom w:val="none" w:sz="0" w:space="0" w:color="auto"/>
        <w:right w:val="none" w:sz="0" w:space="0" w:color="auto"/>
      </w:divBdr>
    </w:div>
    <w:div w:id="639304377">
      <w:marLeft w:val="480"/>
      <w:marRight w:val="0"/>
      <w:marTop w:val="0"/>
      <w:marBottom w:val="0"/>
      <w:divBdr>
        <w:top w:val="none" w:sz="0" w:space="0" w:color="auto"/>
        <w:left w:val="none" w:sz="0" w:space="0" w:color="auto"/>
        <w:bottom w:val="none" w:sz="0" w:space="0" w:color="auto"/>
        <w:right w:val="none" w:sz="0" w:space="0" w:color="auto"/>
      </w:divBdr>
    </w:div>
    <w:div w:id="640038448">
      <w:marLeft w:val="480"/>
      <w:marRight w:val="0"/>
      <w:marTop w:val="0"/>
      <w:marBottom w:val="0"/>
      <w:divBdr>
        <w:top w:val="none" w:sz="0" w:space="0" w:color="auto"/>
        <w:left w:val="none" w:sz="0" w:space="0" w:color="auto"/>
        <w:bottom w:val="none" w:sz="0" w:space="0" w:color="auto"/>
        <w:right w:val="none" w:sz="0" w:space="0" w:color="auto"/>
      </w:divBdr>
    </w:div>
    <w:div w:id="643236265">
      <w:marLeft w:val="480"/>
      <w:marRight w:val="0"/>
      <w:marTop w:val="0"/>
      <w:marBottom w:val="0"/>
      <w:divBdr>
        <w:top w:val="none" w:sz="0" w:space="0" w:color="auto"/>
        <w:left w:val="none" w:sz="0" w:space="0" w:color="auto"/>
        <w:bottom w:val="none" w:sz="0" w:space="0" w:color="auto"/>
        <w:right w:val="none" w:sz="0" w:space="0" w:color="auto"/>
      </w:divBdr>
    </w:div>
    <w:div w:id="643236340">
      <w:marLeft w:val="480"/>
      <w:marRight w:val="0"/>
      <w:marTop w:val="0"/>
      <w:marBottom w:val="0"/>
      <w:divBdr>
        <w:top w:val="none" w:sz="0" w:space="0" w:color="auto"/>
        <w:left w:val="none" w:sz="0" w:space="0" w:color="auto"/>
        <w:bottom w:val="none" w:sz="0" w:space="0" w:color="auto"/>
        <w:right w:val="none" w:sz="0" w:space="0" w:color="auto"/>
      </w:divBdr>
    </w:div>
    <w:div w:id="643778233">
      <w:marLeft w:val="480"/>
      <w:marRight w:val="0"/>
      <w:marTop w:val="0"/>
      <w:marBottom w:val="0"/>
      <w:divBdr>
        <w:top w:val="none" w:sz="0" w:space="0" w:color="auto"/>
        <w:left w:val="none" w:sz="0" w:space="0" w:color="auto"/>
        <w:bottom w:val="none" w:sz="0" w:space="0" w:color="auto"/>
        <w:right w:val="none" w:sz="0" w:space="0" w:color="auto"/>
      </w:divBdr>
    </w:div>
    <w:div w:id="649403512">
      <w:marLeft w:val="480"/>
      <w:marRight w:val="0"/>
      <w:marTop w:val="0"/>
      <w:marBottom w:val="0"/>
      <w:divBdr>
        <w:top w:val="none" w:sz="0" w:space="0" w:color="auto"/>
        <w:left w:val="none" w:sz="0" w:space="0" w:color="auto"/>
        <w:bottom w:val="none" w:sz="0" w:space="0" w:color="auto"/>
        <w:right w:val="none" w:sz="0" w:space="0" w:color="auto"/>
      </w:divBdr>
    </w:div>
    <w:div w:id="651523390">
      <w:marLeft w:val="480"/>
      <w:marRight w:val="0"/>
      <w:marTop w:val="0"/>
      <w:marBottom w:val="0"/>
      <w:divBdr>
        <w:top w:val="none" w:sz="0" w:space="0" w:color="auto"/>
        <w:left w:val="none" w:sz="0" w:space="0" w:color="auto"/>
        <w:bottom w:val="none" w:sz="0" w:space="0" w:color="auto"/>
        <w:right w:val="none" w:sz="0" w:space="0" w:color="auto"/>
      </w:divBdr>
    </w:div>
    <w:div w:id="654453025">
      <w:marLeft w:val="480"/>
      <w:marRight w:val="0"/>
      <w:marTop w:val="0"/>
      <w:marBottom w:val="0"/>
      <w:divBdr>
        <w:top w:val="none" w:sz="0" w:space="0" w:color="auto"/>
        <w:left w:val="none" w:sz="0" w:space="0" w:color="auto"/>
        <w:bottom w:val="none" w:sz="0" w:space="0" w:color="auto"/>
        <w:right w:val="none" w:sz="0" w:space="0" w:color="auto"/>
      </w:divBdr>
    </w:div>
    <w:div w:id="655718309">
      <w:marLeft w:val="480"/>
      <w:marRight w:val="0"/>
      <w:marTop w:val="0"/>
      <w:marBottom w:val="0"/>
      <w:divBdr>
        <w:top w:val="none" w:sz="0" w:space="0" w:color="auto"/>
        <w:left w:val="none" w:sz="0" w:space="0" w:color="auto"/>
        <w:bottom w:val="none" w:sz="0" w:space="0" w:color="auto"/>
        <w:right w:val="none" w:sz="0" w:space="0" w:color="auto"/>
      </w:divBdr>
    </w:div>
    <w:div w:id="656306052">
      <w:marLeft w:val="480"/>
      <w:marRight w:val="0"/>
      <w:marTop w:val="0"/>
      <w:marBottom w:val="0"/>
      <w:divBdr>
        <w:top w:val="none" w:sz="0" w:space="0" w:color="auto"/>
        <w:left w:val="none" w:sz="0" w:space="0" w:color="auto"/>
        <w:bottom w:val="none" w:sz="0" w:space="0" w:color="auto"/>
        <w:right w:val="none" w:sz="0" w:space="0" w:color="auto"/>
      </w:divBdr>
    </w:div>
    <w:div w:id="658581568">
      <w:marLeft w:val="480"/>
      <w:marRight w:val="0"/>
      <w:marTop w:val="0"/>
      <w:marBottom w:val="0"/>
      <w:divBdr>
        <w:top w:val="none" w:sz="0" w:space="0" w:color="auto"/>
        <w:left w:val="none" w:sz="0" w:space="0" w:color="auto"/>
        <w:bottom w:val="none" w:sz="0" w:space="0" w:color="auto"/>
        <w:right w:val="none" w:sz="0" w:space="0" w:color="auto"/>
      </w:divBdr>
    </w:div>
    <w:div w:id="659120368">
      <w:marLeft w:val="480"/>
      <w:marRight w:val="0"/>
      <w:marTop w:val="0"/>
      <w:marBottom w:val="0"/>
      <w:divBdr>
        <w:top w:val="none" w:sz="0" w:space="0" w:color="auto"/>
        <w:left w:val="none" w:sz="0" w:space="0" w:color="auto"/>
        <w:bottom w:val="none" w:sz="0" w:space="0" w:color="auto"/>
        <w:right w:val="none" w:sz="0" w:space="0" w:color="auto"/>
      </w:divBdr>
    </w:div>
    <w:div w:id="663629360">
      <w:marLeft w:val="480"/>
      <w:marRight w:val="0"/>
      <w:marTop w:val="0"/>
      <w:marBottom w:val="0"/>
      <w:divBdr>
        <w:top w:val="none" w:sz="0" w:space="0" w:color="auto"/>
        <w:left w:val="none" w:sz="0" w:space="0" w:color="auto"/>
        <w:bottom w:val="none" w:sz="0" w:space="0" w:color="auto"/>
        <w:right w:val="none" w:sz="0" w:space="0" w:color="auto"/>
      </w:divBdr>
    </w:div>
    <w:div w:id="664017027">
      <w:marLeft w:val="480"/>
      <w:marRight w:val="0"/>
      <w:marTop w:val="0"/>
      <w:marBottom w:val="0"/>
      <w:divBdr>
        <w:top w:val="none" w:sz="0" w:space="0" w:color="auto"/>
        <w:left w:val="none" w:sz="0" w:space="0" w:color="auto"/>
        <w:bottom w:val="none" w:sz="0" w:space="0" w:color="auto"/>
        <w:right w:val="none" w:sz="0" w:space="0" w:color="auto"/>
      </w:divBdr>
    </w:div>
    <w:div w:id="665323082">
      <w:marLeft w:val="480"/>
      <w:marRight w:val="0"/>
      <w:marTop w:val="0"/>
      <w:marBottom w:val="0"/>
      <w:divBdr>
        <w:top w:val="none" w:sz="0" w:space="0" w:color="auto"/>
        <w:left w:val="none" w:sz="0" w:space="0" w:color="auto"/>
        <w:bottom w:val="none" w:sz="0" w:space="0" w:color="auto"/>
        <w:right w:val="none" w:sz="0" w:space="0" w:color="auto"/>
      </w:divBdr>
    </w:div>
    <w:div w:id="669142791">
      <w:marLeft w:val="480"/>
      <w:marRight w:val="0"/>
      <w:marTop w:val="0"/>
      <w:marBottom w:val="0"/>
      <w:divBdr>
        <w:top w:val="none" w:sz="0" w:space="0" w:color="auto"/>
        <w:left w:val="none" w:sz="0" w:space="0" w:color="auto"/>
        <w:bottom w:val="none" w:sz="0" w:space="0" w:color="auto"/>
        <w:right w:val="none" w:sz="0" w:space="0" w:color="auto"/>
      </w:divBdr>
    </w:div>
    <w:div w:id="672030024">
      <w:marLeft w:val="480"/>
      <w:marRight w:val="0"/>
      <w:marTop w:val="0"/>
      <w:marBottom w:val="0"/>
      <w:divBdr>
        <w:top w:val="none" w:sz="0" w:space="0" w:color="auto"/>
        <w:left w:val="none" w:sz="0" w:space="0" w:color="auto"/>
        <w:bottom w:val="none" w:sz="0" w:space="0" w:color="auto"/>
        <w:right w:val="none" w:sz="0" w:space="0" w:color="auto"/>
      </w:divBdr>
    </w:div>
    <w:div w:id="679162546">
      <w:marLeft w:val="480"/>
      <w:marRight w:val="0"/>
      <w:marTop w:val="0"/>
      <w:marBottom w:val="0"/>
      <w:divBdr>
        <w:top w:val="none" w:sz="0" w:space="0" w:color="auto"/>
        <w:left w:val="none" w:sz="0" w:space="0" w:color="auto"/>
        <w:bottom w:val="none" w:sz="0" w:space="0" w:color="auto"/>
        <w:right w:val="none" w:sz="0" w:space="0" w:color="auto"/>
      </w:divBdr>
    </w:div>
    <w:div w:id="680009270">
      <w:marLeft w:val="480"/>
      <w:marRight w:val="0"/>
      <w:marTop w:val="0"/>
      <w:marBottom w:val="0"/>
      <w:divBdr>
        <w:top w:val="none" w:sz="0" w:space="0" w:color="auto"/>
        <w:left w:val="none" w:sz="0" w:space="0" w:color="auto"/>
        <w:bottom w:val="none" w:sz="0" w:space="0" w:color="auto"/>
        <w:right w:val="none" w:sz="0" w:space="0" w:color="auto"/>
      </w:divBdr>
    </w:div>
    <w:div w:id="682820578">
      <w:marLeft w:val="480"/>
      <w:marRight w:val="0"/>
      <w:marTop w:val="0"/>
      <w:marBottom w:val="0"/>
      <w:divBdr>
        <w:top w:val="none" w:sz="0" w:space="0" w:color="auto"/>
        <w:left w:val="none" w:sz="0" w:space="0" w:color="auto"/>
        <w:bottom w:val="none" w:sz="0" w:space="0" w:color="auto"/>
        <w:right w:val="none" w:sz="0" w:space="0" w:color="auto"/>
      </w:divBdr>
    </w:div>
    <w:div w:id="683283582">
      <w:marLeft w:val="480"/>
      <w:marRight w:val="0"/>
      <w:marTop w:val="0"/>
      <w:marBottom w:val="0"/>
      <w:divBdr>
        <w:top w:val="none" w:sz="0" w:space="0" w:color="auto"/>
        <w:left w:val="none" w:sz="0" w:space="0" w:color="auto"/>
        <w:bottom w:val="none" w:sz="0" w:space="0" w:color="auto"/>
        <w:right w:val="none" w:sz="0" w:space="0" w:color="auto"/>
      </w:divBdr>
    </w:div>
    <w:div w:id="686448357">
      <w:marLeft w:val="480"/>
      <w:marRight w:val="0"/>
      <w:marTop w:val="0"/>
      <w:marBottom w:val="0"/>
      <w:divBdr>
        <w:top w:val="none" w:sz="0" w:space="0" w:color="auto"/>
        <w:left w:val="none" w:sz="0" w:space="0" w:color="auto"/>
        <w:bottom w:val="none" w:sz="0" w:space="0" w:color="auto"/>
        <w:right w:val="none" w:sz="0" w:space="0" w:color="auto"/>
      </w:divBdr>
    </w:div>
    <w:div w:id="686907683">
      <w:marLeft w:val="480"/>
      <w:marRight w:val="0"/>
      <w:marTop w:val="0"/>
      <w:marBottom w:val="0"/>
      <w:divBdr>
        <w:top w:val="none" w:sz="0" w:space="0" w:color="auto"/>
        <w:left w:val="none" w:sz="0" w:space="0" w:color="auto"/>
        <w:bottom w:val="none" w:sz="0" w:space="0" w:color="auto"/>
        <w:right w:val="none" w:sz="0" w:space="0" w:color="auto"/>
      </w:divBdr>
    </w:div>
    <w:div w:id="688877105">
      <w:marLeft w:val="480"/>
      <w:marRight w:val="0"/>
      <w:marTop w:val="0"/>
      <w:marBottom w:val="0"/>
      <w:divBdr>
        <w:top w:val="none" w:sz="0" w:space="0" w:color="auto"/>
        <w:left w:val="none" w:sz="0" w:space="0" w:color="auto"/>
        <w:bottom w:val="none" w:sz="0" w:space="0" w:color="auto"/>
        <w:right w:val="none" w:sz="0" w:space="0" w:color="auto"/>
      </w:divBdr>
    </w:div>
    <w:div w:id="690643530">
      <w:marLeft w:val="480"/>
      <w:marRight w:val="0"/>
      <w:marTop w:val="0"/>
      <w:marBottom w:val="0"/>
      <w:divBdr>
        <w:top w:val="none" w:sz="0" w:space="0" w:color="auto"/>
        <w:left w:val="none" w:sz="0" w:space="0" w:color="auto"/>
        <w:bottom w:val="none" w:sz="0" w:space="0" w:color="auto"/>
        <w:right w:val="none" w:sz="0" w:space="0" w:color="auto"/>
      </w:divBdr>
    </w:div>
    <w:div w:id="692734315">
      <w:marLeft w:val="480"/>
      <w:marRight w:val="0"/>
      <w:marTop w:val="0"/>
      <w:marBottom w:val="0"/>
      <w:divBdr>
        <w:top w:val="none" w:sz="0" w:space="0" w:color="auto"/>
        <w:left w:val="none" w:sz="0" w:space="0" w:color="auto"/>
        <w:bottom w:val="none" w:sz="0" w:space="0" w:color="auto"/>
        <w:right w:val="none" w:sz="0" w:space="0" w:color="auto"/>
      </w:divBdr>
    </w:div>
    <w:div w:id="698551539">
      <w:marLeft w:val="480"/>
      <w:marRight w:val="0"/>
      <w:marTop w:val="0"/>
      <w:marBottom w:val="0"/>
      <w:divBdr>
        <w:top w:val="none" w:sz="0" w:space="0" w:color="auto"/>
        <w:left w:val="none" w:sz="0" w:space="0" w:color="auto"/>
        <w:bottom w:val="none" w:sz="0" w:space="0" w:color="auto"/>
        <w:right w:val="none" w:sz="0" w:space="0" w:color="auto"/>
      </w:divBdr>
    </w:div>
    <w:div w:id="701129779">
      <w:marLeft w:val="480"/>
      <w:marRight w:val="0"/>
      <w:marTop w:val="0"/>
      <w:marBottom w:val="0"/>
      <w:divBdr>
        <w:top w:val="none" w:sz="0" w:space="0" w:color="auto"/>
        <w:left w:val="none" w:sz="0" w:space="0" w:color="auto"/>
        <w:bottom w:val="none" w:sz="0" w:space="0" w:color="auto"/>
        <w:right w:val="none" w:sz="0" w:space="0" w:color="auto"/>
      </w:divBdr>
    </w:div>
    <w:div w:id="701787167">
      <w:marLeft w:val="480"/>
      <w:marRight w:val="0"/>
      <w:marTop w:val="0"/>
      <w:marBottom w:val="0"/>
      <w:divBdr>
        <w:top w:val="none" w:sz="0" w:space="0" w:color="auto"/>
        <w:left w:val="none" w:sz="0" w:space="0" w:color="auto"/>
        <w:bottom w:val="none" w:sz="0" w:space="0" w:color="auto"/>
        <w:right w:val="none" w:sz="0" w:space="0" w:color="auto"/>
      </w:divBdr>
    </w:div>
    <w:div w:id="702291888">
      <w:marLeft w:val="480"/>
      <w:marRight w:val="0"/>
      <w:marTop w:val="0"/>
      <w:marBottom w:val="0"/>
      <w:divBdr>
        <w:top w:val="none" w:sz="0" w:space="0" w:color="auto"/>
        <w:left w:val="none" w:sz="0" w:space="0" w:color="auto"/>
        <w:bottom w:val="none" w:sz="0" w:space="0" w:color="auto"/>
        <w:right w:val="none" w:sz="0" w:space="0" w:color="auto"/>
      </w:divBdr>
    </w:div>
    <w:div w:id="702629488">
      <w:marLeft w:val="480"/>
      <w:marRight w:val="0"/>
      <w:marTop w:val="0"/>
      <w:marBottom w:val="0"/>
      <w:divBdr>
        <w:top w:val="none" w:sz="0" w:space="0" w:color="auto"/>
        <w:left w:val="none" w:sz="0" w:space="0" w:color="auto"/>
        <w:bottom w:val="none" w:sz="0" w:space="0" w:color="auto"/>
        <w:right w:val="none" w:sz="0" w:space="0" w:color="auto"/>
      </w:divBdr>
    </w:div>
    <w:div w:id="702905264">
      <w:marLeft w:val="480"/>
      <w:marRight w:val="0"/>
      <w:marTop w:val="0"/>
      <w:marBottom w:val="0"/>
      <w:divBdr>
        <w:top w:val="none" w:sz="0" w:space="0" w:color="auto"/>
        <w:left w:val="none" w:sz="0" w:space="0" w:color="auto"/>
        <w:bottom w:val="none" w:sz="0" w:space="0" w:color="auto"/>
        <w:right w:val="none" w:sz="0" w:space="0" w:color="auto"/>
      </w:divBdr>
    </w:div>
    <w:div w:id="703747491">
      <w:marLeft w:val="480"/>
      <w:marRight w:val="0"/>
      <w:marTop w:val="0"/>
      <w:marBottom w:val="0"/>
      <w:divBdr>
        <w:top w:val="none" w:sz="0" w:space="0" w:color="auto"/>
        <w:left w:val="none" w:sz="0" w:space="0" w:color="auto"/>
        <w:bottom w:val="none" w:sz="0" w:space="0" w:color="auto"/>
        <w:right w:val="none" w:sz="0" w:space="0" w:color="auto"/>
      </w:divBdr>
    </w:div>
    <w:div w:id="704019464">
      <w:marLeft w:val="480"/>
      <w:marRight w:val="0"/>
      <w:marTop w:val="0"/>
      <w:marBottom w:val="0"/>
      <w:divBdr>
        <w:top w:val="none" w:sz="0" w:space="0" w:color="auto"/>
        <w:left w:val="none" w:sz="0" w:space="0" w:color="auto"/>
        <w:bottom w:val="none" w:sz="0" w:space="0" w:color="auto"/>
        <w:right w:val="none" w:sz="0" w:space="0" w:color="auto"/>
      </w:divBdr>
    </w:div>
    <w:div w:id="704718879">
      <w:marLeft w:val="480"/>
      <w:marRight w:val="0"/>
      <w:marTop w:val="0"/>
      <w:marBottom w:val="0"/>
      <w:divBdr>
        <w:top w:val="none" w:sz="0" w:space="0" w:color="auto"/>
        <w:left w:val="none" w:sz="0" w:space="0" w:color="auto"/>
        <w:bottom w:val="none" w:sz="0" w:space="0" w:color="auto"/>
        <w:right w:val="none" w:sz="0" w:space="0" w:color="auto"/>
      </w:divBdr>
    </w:div>
    <w:div w:id="708915520">
      <w:marLeft w:val="480"/>
      <w:marRight w:val="0"/>
      <w:marTop w:val="0"/>
      <w:marBottom w:val="0"/>
      <w:divBdr>
        <w:top w:val="none" w:sz="0" w:space="0" w:color="auto"/>
        <w:left w:val="none" w:sz="0" w:space="0" w:color="auto"/>
        <w:bottom w:val="none" w:sz="0" w:space="0" w:color="auto"/>
        <w:right w:val="none" w:sz="0" w:space="0" w:color="auto"/>
      </w:divBdr>
    </w:div>
    <w:div w:id="711152247">
      <w:marLeft w:val="480"/>
      <w:marRight w:val="0"/>
      <w:marTop w:val="0"/>
      <w:marBottom w:val="0"/>
      <w:divBdr>
        <w:top w:val="none" w:sz="0" w:space="0" w:color="auto"/>
        <w:left w:val="none" w:sz="0" w:space="0" w:color="auto"/>
        <w:bottom w:val="none" w:sz="0" w:space="0" w:color="auto"/>
        <w:right w:val="none" w:sz="0" w:space="0" w:color="auto"/>
      </w:divBdr>
    </w:div>
    <w:div w:id="714701299">
      <w:marLeft w:val="480"/>
      <w:marRight w:val="0"/>
      <w:marTop w:val="0"/>
      <w:marBottom w:val="0"/>
      <w:divBdr>
        <w:top w:val="none" w:sz="0" w:space="0" w:color="auto"/>
        <w:left w:val="none" w:sz="0" w:space="0" w:color="auto"/>
        <w:bottom w:val="none" w:sz="0" w:space="0" w:color="auto"/>
        <w:right w:val="none" w:sz="0" w:space="0" w:color="auto"/>
      </w:divBdr>
    </w:div>
    <w:div w:id="715156069">
      <w:marLeft w:val="480"/>
      <w:marRight w:val="0"/>
      <w:marTop w:val="0"/>
      <w:marBottom w:val="0"/>
      <w:divBdr>
        <w:top w:val="none" w:sz="0" w:space="0" w:color="auto"/>
        <w:left w:val="none" w:sz="0" w:space="0" w:color="auto"/>
        <w:bottom w:val="none" w:sz="0" w:space="0" w:color="auto"/>
        <w:right w:val="none" w:sz="0" w:space="0" w:color="auto"/>
      </w:divBdr>
    </w:div>
    <w:div w:id="718742074">
      <w:marLeft w:val="480"/>
      <w:marRight w:val="0"/>
      <w:marTop w:val="0"/>
      <w:marBottom w:val="0"/>
      <w:divBdr>
        <w:top w:val="none" w:sz="0" w:space="0" w:color="auto"/>
        <w:left w:val="none" w:sz="0" w:space="0" w:color="auto"/>
        <w:bottom w:val="none" w:sz="0" w:space="0" w:color="auto"/>
        <w:right w:val="none" w:sz="0" w:space="0" w:color="auto"/>
      </w:divBdr>
    </w:div>
    <w:div w:id="719790579">
      <w:marLeft w:val="480"/>
      <w:marRight w:val="0"/>
      <w:marTop w:val="0"/>
      <w:marBottom w:val="0"/>
      <w:divBdr>
        <w:top w:val="none" w:sz="0" w:space="0" w:color="auto"/>
        <w:left w:val="none" w:sz="0" w:space="0" w:color="auto"/>
        <w:bottom w:val="none" w:sz="0" w:space="0" w:color="auto"/>
        <w:right w:val="none" w:sz="0" w:space="0" w:color="auto"/>
      </w:divBdr>
    </w:div>
    <w:div w:id="719937200">
      <w:marLeft w:val="480"/>
      <w:marRight w:val="0"/>
      <w:marTop w:val="0"/>
      <w:marBottom w:val="0"/>
      <w:divBdr>
        <w:top w:val="none" w:sz="0" w:space="0" w:color="auto"/>
        <w:left w:val="none" w:sz="0" w:space="0" w:color="auto"/>
        <w:bottom w:val="none" w:sz="0" w:space="0" w:color="auto"/>
        <w:right w:val="none" w:sz="0" w:space="0" w:color="auto"/>
      </w:divBdr>
    </w:div>
    <w:div w:id="720250274">
      <w:marLeft w:val="480"/>
      <w:marRight w:val="0"/>
      <w:marTop w:val="0"/>
      <w:marBottom w:val="0"/>
      <w:divBdr>
        <w:top w:val="none" w:sz="0" w:space="0" w:color="auto"/>
        <w:left w:val="none" w:sz="0" w:space="0" w:color="auto"/>
        <w:bottom w:val="none" w:sz="0" w:space="0" w:color="auto"/>
        <w:right w:val="none" w:sz="0" w:space="0" w:color="auto"/>
      </w:divBdr>
    </w:div>
    <w:div w:id="721366824">
      <w:marLeft w:val="480"/>
      <w:marRight w:val="0"/>
      <w:marTop w:val="0"/>
      <w:marBottom w:val="0"/>
      <w:divBdr>
        <w:top w:val="none" w:sz="0" w:space="0" w:color="auto"/>
        <w:left w:val="none" w:sz="0" w:space="0" w:color="auto"/>
        <w:bottom w:val="none" w:sz="0" w:space="0" w:color="auto"/>
        <w:right w:val="none" w:sz="0" w:space="0" w:color="auto"/>
      </w:divBdr>
    </w:div>
    <w:div w:id="721486074">
      <w:marLeft w:val="480"/>
      <w:marRight w:val="0"/>
      <w:marTop w:val="0"/>
      <w:marBottom w:val="0"/>
      <w:divBdr>
        <w:top w:val="none" w:sz="0" w:space="0" w:color="auto"/>
        <w:left w:val="none" w:sz="0" w:space="0" w:color="auto"/>
        <w:bottom w:val="none" w:sz="0" w:space="0" w:color="auto"/>
        <w:right w:val="none" w:sz="0" w:space="0" w:color="auto"/>
      </w:divBdr>
    </w:div>
    <w:div w:id="724911098">
      <w:marLeft w:val="480"/>
      <w:marRight w:val="0"/>
      <w:marTop w:val="0"/>
      <w:marBottom w:val="0"/>
      <w:divBdr>
        <w:top w:val="none" w:sz="0" w:space="0" w:color="auto"/>
        <w:left w:val="none" w:sz="0" w:space="0" w:color="auto"/>
        <w:bottom w:val="none" w:sz="0" w:space="0" w:color="auto"/>
        <w:right w:val="none" w:sz="0" w:space="0" w:color="auto"/>
      </w:divBdr>
    </w:div>
    <w:div w:id="725378055">
      <w:marLeft w:val="480"/>
      <w:marRight w:val="0"/>
      <w:marTop w:val="0"/>
      <w:marBottom w:val="0"/>
      <w:divBdr>
        <w:top w:val="none" w:sz="0" w:space="0" w:color="auto"/>
        <w:left w:val="none" w:sz="0" w:space="0" w:color="auto"/>
        <w:bottom w:val="none" w:sz="0" w:space="0" w:color="auto"/>
        <w:right w:val="none" w:sz="0" w:space="0" w:color="auto"/>
      </w:divBdr>
    </w:div>
    <w:div w:id="727730357">
      <w:marLeft w:val="480"/>
      <w:marRight w:val="0"/>
      <w:marTop w:val="0"/>
      <w:marBottom w:val="0"/>
      <w:divBdr>
        <w:top w:val="none" w:sz="0" w:space="0" w:color="auto"/>
        <w:left w:val="none" w:sz="0" w:space="0" w:color="auto"/>
        <w:bottom w:val="none" w:sz="0" w:space="0" w:color="auto"/>
        <w:right w:val="none" w:sz="0" w:space="0" w:color="auto"/>
      </w:divBdr>
    </w:div>
    <w:div w:id="729033323">
      <w:marLeft w:val="480"/>
      <w:marRight w:val="0"/>
      <w:marTop w:val="0"/>
      <w:marBottom w:val="0"/>
      <w:divBdr>
        <w:top w:val="none" w:sz="0" w:space="0" w:color="auto"/>
        <w:left w:val="none" w:sz="0" w:space="0" w:color="auto"/>
        <w:bottom w:val="none" w:sz="0" w:space="0" w:color="auto"/>
        <w:right w:val="none" w:sz="0" w:space="0" w:color="auto"/>
      </w:divBdr>
    </w:div>
    <w:div w:id="729966096">
      <w:marLeft w:val="480"/>
      <w:marRight w:val="0"/>
      <w:marTop w:val="0"/>
      <w:marBottom w:val="0"/>
      <w:divBdr>
        <w:top w:val="none" w:sz="0" w:space="0" w:color="auto"/>
        <w:left w:val="none" w:sz="0" w:space="0" w:color="auto"/>
        <w:bottom w:val="none" w:sz="0" w:space="0" w:color="auto"/>
        <w:right w:val="none" w:sz="0" w:space="0" w:color="auto"/>
      </w:divBdr>
    </w:div>
    <w:div w:id="732965873">
      <w:marLeft w:val="480"/>
      <w:marRight w:val="0"/>
      <w:marTop w:val="0"/>
      <w:marBottom w:val="0"/>
      <w:divBdr>
        <w:top w:val="none" w:sz="0" w:space="0" w:color="auto"/>
        <w:left w:val="none" w:sz="0" w:space="0" w:color="auto"/>
        <w:bottom w:val="none" w:sz="0" w:space="0" w:color="auto"/>
        <w:right w:val="none" w:sz="0" w:space="0" w:color="auto"/>
      </w:divBdr>
    </w:div>
    <w:div w:id="734666811">
      <w:marLeft w:val="480"/>
      <w:marRight w:val="0"/>
      <w:marTop w:val="0"/>
      <w:marBottom w:val="0"/>
      <w:divBdr>
        <w:top w:val="none" w:sz="0" w:space="0" w:color="auto"/>
        <w:left w:val="none" w:sz="0" w:space="0" w:color="auto"/>
        <w:bottom w:val="none" w:sz="0" w:space="0" w:color="auto"/>
        <w:right w:val="none" w:sz="0" w:space="0" w:color="auto"/>
      </w:divBdr>
    </w:div>
    <w:div w:id="734738956">
      <w:marLeft w:val="480"/>
      <w:marRight w:val="0"/>
      <w:marTop w:val="0"/>
      <w:marBottom w:val="0"/>
      <w:divBdr>
        <w:top w:val="none" w:sz="0" w:space="0" w:color="auto"/>
        <w:left w:val="none" w:sz="0" w:space="0" w:color="auto"/>
        <w:bottom w:val="none" w:sz="0" w:space="0" w:color="auto"/>
        <w:right w:val="none" w:sz="0" w:space="0" w:color="auto"/>
      </w:divBdr>
    </w:div>
    <w:div w:id="736049073">
      <w:marLeft w:val="480"/>
      <w:marRight w:val="0"/>
      <w:marTop w:val="0"/>
      <w:marBottom w:val="0"/>
      <w:divBdr>
        <w:top w:val="none" w:sz="0" w:space="0" w:color="auto"/>
        <w:left w:val="none" w:sz="0" w:space="0" w:color="auto"/>
        <w:bottom w:val="none" w:sz="0" w:space="0" w:color="auto"/>
        <w:right w:val="none" w:sz="0" w:space="0" w:color="auto"/>
      </w:divBdr>
    </w:div>
    <w:div w:id="738557631">
      <w:marLeft w:val="480"/>
      <w:marRight w:val="0"/>
      <w:marTop w:val="0"/>
      <w:marBottom w:val="0"/>
      <w:divBdr>
        <w:top w:val="none" w:sz="0" w:space="0" w:color="auto"/>
        <w:left w:val="none" w:sz="0" w:space="0" w:color="auto"/>
        <w:bottom w:val="none" w:sz="0" w:space="0" w:color="auto"/>
        <w:right w:val="none" w:sz="0" w:space="0" w:color="auto"/>
      </w:divBdr>
    </w:div>
    <w:div w:id="741148524">
      <w:marLeft w:val="480"/>
      <w:marRight w:val="0"/>
      <w:marTop w:val="0"/>
      <w:marBottom w:val="0"/>
      <w:divBdr>
        <w:top w:val="none" w:sz="0" w:space="0" w:color="auto"/>
        <w:left w:val="none" w:sz="0" w:space="0" w:color="auto"/>
        <w:bottom w:val="none" w:sz="0" w:space="0" w:color="auto"/>
        <w:right w:val="none" w:sz="0" w:space="0" w:color="auto"/>
      </w:divBdr>
    </w:div>
    <w:div w:id="742022339">
      <w:marLeft w:val="480"/>
      <w:marRight w:val="0"/>
      <w:marTop w:val="0"/>
      <w:marBottom w:val="0"/>
      <w:divBdr>
        <w:top w:val="none" w:sz="0" w:space="0" w:color="auto"/>
        <w:left w:val="none" w:sz="0" w:space="0" w:color="auto"/>
        <w:bottom w:val="none" w:sz="0" w:space="0" w:color="auto"/>
        <w:right w:val="none" w:sz="0" w:space="0" w:color="auto"/>
      </w:divBdr>
    </w:div>
    <w:div w:id="745997981">
      <w:marLeft w:val="480"/>
      <w:marRight w:val="0"/>
      <w:marTop w:val="0"/>
      <w:marBottom w:val="0"/>
      <w:divBdr>
        <w:top w:val="none" w:sz="0" w:space="0" w:color="auto"/>
        <w:left w:val="none" w:sz="0" w:space="0" w:color="auto"/>
        <w:bottom w:val="none" w:sz="0" w:space="0" w:color="auto"/>
        <w:right w:val="none" w:sz="0" w:space="0" w:color="auto"/>
      </w:divBdr>
    </w:div>
    <w:div w:id="746466099">
      <w:marLeft w:val="480"/>
      <w:marRight w:val="0"/>
      <w:marTop w:val="0"/>
      <w:marBottom w:val="0"/>
      <w:divBdr>
        <w:top w:val="none" w:sz="0" w:space="0" w:color="auto"/>
        <w:left w:val="none" w:sz="0" w:space="0" w:color="auto"/>
        <w:bottom w:val="none" w:sz="0" w:space="0" w:color="auto"/>
        <w:right w:val="none" w:sz="0" w:space="0" w:color="auto"/>
      </w:divBdr>
    </w:div>
    <w:div w:id="747003386">
      <w:marLeft w:val="480"/>
      <w:marRight w:val="0"/>
      <w:marTop w:val="0"/>
      <w:marBottom w:val="0"/>
      <w:divBdr>
        <w:top w:val="none" w:sz="0" w:space="0" w:color="auto"/>
        <w:left w:val="none" w:sz="0" w:space="0" w:color="auto"/>
        <w:bottom w:val="none" w:sz="0" w:space="0" w:color="auto"/>
        <w:right w:val="none" w:sz="0" w:space="0" w:color="auto"/>
      </w:divBdr>
    </w:div>
    <w:div w:id="748619279">
      <w:marLeft w:val="480"/>
      <w:marRight w:val="0"/>
      <w:marTop w:val="0"/>
      <w:marBottom w:val="0"/>
      <w:divBdr>
        <w:top w:val="none" w:sz="0" w:space="0" w:color="auto"/>
        <w:left w:val="none" w:sz="0" w:space="0" w:color="auto"/>
        <w:bottom w:val="none" w:sz="0" w:space="0" w:color="auto"/>
        <w:right w:val="none" w:sz="0" w:space="0" w:color="auto"/>
      </w:divBdr>
    </w:div>
    <w:div w:id="750854964">
      <w:marLeft w:val="480"/>
      <w:marRight w:val="0"/>
      <w:marTop w:val="0"/>
      <w:marBottom w:val="0"/>
      <w:divBdr>
        <w:top w:val="none" w:sz="0" w:space="0" w:color="auto"/>
        <w:left w:val="none" w:sz="0" w:space="0" w:color="auto"/>
        <w:bottom w:val="none" w:sz="0" w:space="0" w:color="auto"/>
        <w:right w:val="none" w:sz="0" w:space="0" w:color="auto"/>
      </w:divBdr>
    </w:div>
    <w:div w:id="750928200">
      <w:marLeft w:val="480"/>
      <w:marRight w:val="0"/>
      <w:marTop w:val="0"/>
      <w:marBottom w:val="0"/>
      <w:divBdr>
        <w:top w:val="none" w:sz="0" w:space="0" w:color="auto"/>
        <w:left w:val="none" w:sz="0" w:space="0" w:color="auto"/>
        <w:bottom w:val="none" w:sz="0" w:space="0" w:color="auto"/>
        <w:right w:val="none" w:sz="0" w:space="0" w:color="auto"/>
      </w:divBdr>
    </w:div>
    <w:div w:id="751855876">
      <w:marLeft w:val="480"/>
      <w:marRight w:val="0"/>
      <w:marTop w:val="0"/>
      <w:marBottom w:val="0"/>
      <w:divBdr>
        <w:top w:val="none" w:sz="0" w:space="0" w:color="auto"/>
        <w:left w:val="none" w:sz="0" w:space="0" w:color="auto"/>
        <w:bottom w:val="none" w:sz="0" w:space="0" w:color="auto"/>
        <w:right w:val="none" w:sz="0" w:space="0" w:color="auto"/>
      </w:divBdr>
    </w:div>
    <w:div w:id="756946943">
      <w:marLeft w:val="480"/>
      <w:marRight w:val="0"/>
      <w:marTop w:val="0"/>
      <w:marBottom w:val="0"/>
      <w:divBdr>
        <w:top w:val="none" w:sz="0" w:space="0" w:color="auto"/>
        <w:left w:val="none" w:sz="0" w:space="0" w:color="auto"/>
        <w:bottom w:val="none" w:sz="0" w:space="0" w:color="auto"/>
        <w:right w:val="none" w:sz="0" w:space="0" w:color="auto"/>
      </w:divBdr>
    </w:div>
    <w:div w:id="757292927">
      <w:marLeft w:val="480"/>
      <w:marRight w:val="0"/>
      <w:marTop w:val="0"/>
      <w:marBottom w:val="0"/>
      <w:divBdr>
        <w:top w:val="none" w:sz="0" w:space="0" w:color="auto"/>
        <w:left w:val="none" w:sz="0" w:space="0" w:color="auto"/>
        <w:bottom w:val="none" w:sz="0" w:space="0" w:color="auto"/>
        <w:right w:val="none" w:sz="0" w:space="0" w:color="auto"/>
      </w:divBdr>
    </w:div>
    <w:div w:id="760681299">
      <w:marLeft w:val="480"/>
      <w:marRight w:val="0"/>
      <w:marTop w:val="0"/>
      <w:marBottom w:val="0"/>
      <w:divBdr>
        <w:top w:val="none" w:sz="0" w:space="0" w:color="auto"/>
        <w:left w:val="none" w:sz="0" w:space="0" w:color="auto"/>
        <w:bottom w:val="none" w:sz="0" w:space="0" w:color="auto"/>
        <w:right w:val="none" w:sz="0" w:space="0" w:color="auto"/>
      </w:divBdr>
    </w:div>
    <w:div w:id="762338346">
      <w:marLeft w:val="480"/>
      <w:marRight w:val="0"/>
      <w:marTop w:val="0"/>
      <w:marBottom w:val="0"/>
      <w:divBdr>
        <w:top w:val="none" w:sz="0" w:space="0" w:color="auto"/>
        <w:left w:val="none" w:sz="0" w:space="0" w:color="auto"/>
        <w:bottom w:val="none" w:sz="0" w:space="0" w:color="auto"/>
        <w:right w:val="none" w:sz="0" w:space="0" w:color="auto"/>
      </w:divBdr>
    </w:div>
    <w:div w:id="763650404">
      <w:marLeft w:val="480"/>
      <w:marRight w:val="0"/>
      <w:marTop w:val="0"/>
      <w:marBottom w:val="0"/>
      <w:divBdr>
        <w:top w:val="none" w:sz="0" w:space="0" w:color="auto"/>
        <w:left w:val="none" w:sz="0" w:space="0" w:color="auto"/>
        <w:bottom w:val="none" w:sz="0" w:space="0" w:color="auto"/>
        <w:right w:val="none" w:sz="0" w:space="0" w:color="auto"/>
      </w:divBdr>
    </w:div>
    <w:div w:id="763651606">
      <w:marLeft w:val="480"/>
      <w:marRight w:val="0"/>
      <w:marTop w:val="0"/>
      <w:marBottom w:val="0"/>
      <w:divBdr>
        <w:top w:val="none" w:sz="0" w:space="0" w:color="auto"/>
        <w:left w:val="none" w:sz="0" w:space="0" w:color="auto"/>
        <w:bottom w:val="none" w:sz="0" w:space="0" w:color="auto"/>
        <w:right w:val="none" w:sz="0" w:space="0" w:color="auto"/>
      </w:divBdr>
    </w:div>
    <w:div w:id="764378240">
      <w:marLeft w:val="480"/>
      <w:marRight w:val="0"/>
      <w:marTop w:val="0"/>
      <w:marBottom w:val="0"/>
      <w:divBdr>
        <w:top w:val="none" w:sz="0" w:space="0" w:color="auto"/>
        <w:left w:val="none" w:sz="0" w:space="0" w:color="auto"/>
        <w:bottom w:val="none" w:sz="0" w:space="0" w:color="auto"/>
        <w:right w:val="none" w:sz="0" w:space="0" w:color="auto"/>
      </w:divBdr>
    </w:div>
    <w:div w:id="766970263">
      <w:marLeft w:val="480"/>
      <w:marRight w:val="0"/>
      <w:marTop w:val="0"/>
      <w:marBottom w:val="0"/>
      <w:divBdr>
        <w:top w:val="none" w:sz="0" w:space="0" w:color="auto"/>
        <w:left w:val="none" w:sz="0" w:space="0" w:color="auto"/>
        <w:bottom w:val="none" w:sz="0" w:space="0" w:color="auto"/>
        <w:right w:val="none" w:sz="0" w:space="0" w:color="auto"/>
      </w:divBdr>
    </w:div>
    <w:div w:id="767850810">
      <w:marLeft w:val="480"/>
      <w:marRight w:val="0"/>
      <w:marTop w:val="0"/>
      <w:marBottom w:val="0"/>
      <w:divBdr>
        <w:top w:val="none" w:sz="0" w:space="0" w:color="auto"/>
        <w:left w:val="none" w:sz="0" w:space="0" w:color="auto"/>
        <w:bottom w:val="none" w:sz="0" w:space="0" w:color="auto"/>
        <w:right w:val="none" w:sz="0" w:space="0" w:color="auto"/>
      </w:divBdr>
    </w:div>
    <w:div w:id="771050403">
      <w:marLeft w:val="480"/>
      <w:marRight w:val="0"/>
      <w:marTop w:val="0"/>
      <w:marBottom w:val="0"/>
      <w:divBdr>
        <w:top w:val="none" w:sz="0" w:space="0" w:color="auto"/>
        <w:left w:val="none" w:sz="0" w:space="0" w:color="auto"/>
        <w:bottom w:val="none" w:sz="0" w:space="0" w:color="auto"/>
        <w:right w:val="none" w:sz="0" w:space="0" w:color="auto"/>
      </w:divBdr>
    </w:div>
    <w:div w:id="773867314">
      <w:marLeft w:val="480"/>
      <w:marRight w:val="0"/>
      <w:marTop w:val="0"/>
      <w:marBottom w:val="0"/>
      <w:divBdr>
        <w:top w:val="none" w:sz="0" w:space="0" w:color="auto"/>
        <w:left w:val="none" w:sz="0" w:space="0" w:color="auto"/>
        <w:bottom w:val="none" w:sz="0" w:space="0" w:color="auto"/>
        <w:right w:val="none" w:sz="0" w:space="0" w:color="auto"/>
      </w:divBdr>
    </w:div>
    <w:div w:id="775294538">
      <w:marLeft w:val="480"/>
      <w:marRight w:val="0"/>
      <w:marTop w:val="0"/>
      <w:marBottom w:val="0"/>
      <w:divBdr>
        <w:top w:val="none" w:sz="0" w:space="0" w:color="auto"/>
        <w:left w:val="none" w:sz="0" w:space="0" w:color="auto"/>
        <w:bottom w:val="none" w:sz="0" w:space="0" w:color="auto"/>
        <w:right w:val="none" w:sz="0" w:space="0" w:color="auto"/>
      </w:divBdr>
    </w:div>
    <w:div w:id="775826350">
      <w:marLeft w:val="480"/>
      <w:marRight w:val="0"/>
      <w:marTop w:val="0"/>
      <w:marBottom w:val="0"/>
      <w:divBdr>
        <w:top w:val="none" w:sz="0" w:space="0" w:color="auto"/>
        <w:left w:val="none" w:sz="0" w:space="0" w:color="auto"/>
        <w:bottom w:val="none" w:sz="0" w:space="0" w:color="auto"/>
        <w:right w:val="none" w:sz="0" w:space="0" w:color="auto"/>
      </w:divBdr>
    </w:div>
    <w:div w:id="776683210">
      <w:marLeft w:val="480"/>
      <w:marRight w:val="0"/>
      <w:marTop w:val="0"/>
      <w:marBottom w:val="0"/>
      <w:divBdr>
        <w:top w:val="none" w:sz="0" w:space="0" w:color="auto"/>
        <w:left w:val="none" w:sz="0" w:space="0" w:color="auto"/>
        <w:bottom w:val="none" w:sz="0" w:space="0" w:color="auto"/>
        <w:right w:val="none" w:sz="0" w:space="0" w:color="auto"/>
      </w:divBdr>
    </w:div>
    <w:div w:id="776753838">
      <w:marLeft w:val="480"/>
      <w:marRight w:val="0"/>
      <w:marTop w:val="0"/>
      <w:marBottom w:val="0"/>
      <w:divBdr>
        <w:top w:val="none" w:sz="0" w:space="0" w:color="auto"/>
        <w:left w:val="none" w:sz="0" w:space="0" w:color="auto"/>
        <w:bottom w:val="none" w:sz="0" w:space="0" w:color="auto"/>
        <w:right w:val="none" w:sz="0" w:space="0" w:color="auto"/>
      </w:divBdr>
    </w:div>
    <w:div w:id="778136939">
      <w:marLeft w:val="480"/>
      <w:marRight w:val="0"/>
      <w:marTop w:val="0"/>
      <w:marBottom w:val="0"/>
      <w:divBdr>
        <w:top w:val="none" w:sz="0" w:space="0" w:color="auto"/>
        <w:left w:val="none" w:sz="0" w:space="0" w:color="auto"/>
        <w:bottom w:val="none" w:sz="0" w:space="0" w:color="auto"/>
        <w:right w:val="none" w:sz="0" w:space="0" w:color="auto"/>
      </w:divBdr>
    </w:div>
    <w:div w:id="779639619">
      <w:marLeft w:val="480"/>
      <w:marRight w:val="0"/>
      <w:marTop w:val="0"/>
      <w:marBottom w:val="0"/>
      <w:divBdr>
        <w:top w:val="none" w:sz="0" w:space="0" w:color="auto"/>
        <w:left w:val="none" w:sz="0" w:space="0" w:color="auto"/>
        <w:bottom w:val="none" w:sz="0" w:space="0" w:color="auto"/>
        <w:right w:val="none" w:sz="0" w:space="0" w:color="auto"/>
      </w:divBdr>
    </w:div>
    <w:div w:id="780343884">
      <w:marLeft w:val="480"/>
      <w:marRight w:val="0"/>
      <w:marTop w:val="0"/>
      <w:marBottom w:val="0"/>
      <w:divBdr>
        <w:top w:val="none" w:sz="0" w:space="0" w:color="auto"/>
        <w:left w:val="none" w:sz="0" w:space="0" w:color="auto"/>
        <w:bottom w:val="none" w:sz="0" w:space="0" w:color="auto"/>
        <w:right w:val="none" w:sz="0" w:space="0" w:color="auto"/>
      </w:divBdr>
    </w:div>
    <w:div w:id="782305525">
      <w:marLeft w:val="480"/>
      <w:marRight w:val="0"/>
      <w:marTop w:val="0"/>
      <w:marBottom w:val="0"/>
      <w:divBdr>
        <w:top w:val="none" w:sz="0" w:space="0" w:color="auto"/>
        <w:left w:val="none" w:sz="0" w:space="0" w:color="auto"/>
        <w:bottom w:val="none" w:sz="0" w:space="0" w:color="auto"/>
        <w:right w:val="none" w:sz="0" w:space="0" w:color="auto"/>
      </w:divBdr>
    </w:div>
    <w:div w:id="783038358">
      <w:marLeft w:val="480"/>
      <w:marRight w:val="0"/>
      <w:marTop w:val="0"/>
      <w:marBottom w:val="0"/>
      <w:divBdr>
        <w:top w:val="none" w:sz="0" w:space="0" w:color="auto"/>
        <w:left w:val="none" w:sz="0" w:space="0" w:color="auto"/>
        <w:bottom w:val="none" w:sz="0" w:space="0" w:color="auto"/>
        <w:right w:val="none" w:sz="0" w:space="0" w:color="auto"/>
      </w:divBdr>
    </w:div>
    <w:div w:id="783379906">
      <w:marLeft w:val="480"/>
      <w:marRight w:val="0"/>
      <w:marTop w:val="0"/>
      <w:marBottom w:val="0"/>
      <w:divBdr>
        <w:top w:val="none" w:sz="0" w:space="0" w:color="auto"/>
        <w:left w:val="none" w:sz="0" w:space="0" w:color="auto"/>
        <w:bottom w:val="none" w:sz="0" w:space="0" w:color="auto"/>
        <w:right w:val="none" w:sz="0" w:space="0" w:color="auto"/>
      </w:divBdr>
    </w:div>
    <w:div w:id="783767158">
      <w:marLeft w:val="480"/>
      <w:marRight w:val="0"/>
      <w:marTop w:val="0"/>
      <w:marBottom w:val="0"/>
      <w:divBdr>
        <w:top w:val="none" w:sz="0" w:space="0" w:color="auto"/>
        <w:left w:val="none" w:sz="0" w:space="0" w:color="auto"/>
        <w:bottom w:val="none" w:sz="0" w:space="0" w:color="auto"/>
        <w:right w:val="none" w:sz="0" w:space="0" w:color="auto"/>
      </w:divBdr>
    </w:div>
    <w:div w:id="785395032">
      <w:marLeft w:val="480"/>
      <w:marRight w:val="0"/>
      <w:marTop w:val="0"/>
      <w:marBottom w:val="0"/>
      <w:divBdr>
        <w:top w:val="none" w:sz="0" w:space="0" w:color="auto"/>
        <w:left w:val="none" w:sz="0" w:space="0" w:color="auto"/>
        <w:bottom w:val="none" w:sz="0" w:space="0" w:color="auto"/>
        <w:right w:val="none" w:sz="0" w:space="0" w:color="auto"/>
      </w:divBdr>
    </w:div>
    <w:div w:id="788858755">
      <w:marLeft w:val="480"/>
      <w:marRight w:val="0"/>
      <w:marTop w:val="0"/>
      <w:marBottom w:val="0"/>
      <w:divBdr>
        <w:top w:val="none" w:sz="0" w:space="0" w:color="auto"/>
        <w:left w:val="none" w:sz="0" w:space="0" w:color="auto"/>
        <w:bottom w:val="none" w:sz="0" w:space="0" w:color="auto"/>
        <w:right w:val="none" w:sz="0" w:space="0" w:color="auto"/>
      </w:divBdr>
    </w:div>
    <w:div w:id="791217160">
      <w:marLeft w:val="480"/>
      <w:marRight w:val="0"/>
      <w:marTop w:val="0"/>
      <w:marBottom w:val="0"/>
      <w:divBdr>
        <w:top w:val="none" w:sz="0" w:space="0" w:color="auto"/>
        <w:left w:val="none" w:sz="0" w:space="0" w:color="auto"/>
        <w:bottom w:val="none" w:sz="0" w:space="0" w:color="auto"/>
        <w:right w:val="none" w:sz="0" w:space="0" w:color="auto"/>
      </w:divBdr>
    </w:div>
    <w:div w:id="792333793">
      <w:marLeft w:val="480"/>
      <w:marRight w:val="0"/>
      <w:marTop w:val="0"/>
      <w:marBottom w:val="0"/>
      <w:divBdr>
        <w:top w:val="none" w:sz="0" w:space="0" w:color="auto"/>
        <w:left w:val="none" w:sz="0" w:space="0" w:color="auto"/>
        <w:bottom w:val="none" w:sz="0" w:space="0" w:color="auto"/>
        <w:right w:val="none" w:sz="0" w:space="0" w:color="auto"/>
      </w:divBdr>
    </w:div>
    <w:div w:id="792674427">
      <w:marLeft w:val="480"/>
      <w:marRight w:val="0"/>
      <w:marTop w:val="0"/>
      <w:marBottom w:val="0"/>
      <w:divBdr>
        <w:top w:val="none" w:sz="0" w:space="0" w:color="auto"/>
        <w:left w:val="none" w:sz="0" w:space="0" w:color="auto"/>
        <w:bottom w:val="none" w:sz="0" w:space="0" w:color="auto"/>
        <w:right w:val="none" w:sz="0" w:space="0" w:color="auto"/>
      </w:divBdr>
    </w:div>
    <w:div w:id="793057431">
      <w:marLeft w:val="480"/>
      <w:marRight w:val="0"/>
      <w:marTop w:val="0"/>
      <w:marBottom w:val="0"/>
      <w:divBdr>
        <w:top w:val="none" w:sz="0" w:space="0" w:color="auto"/>
        <w:left w:val="none" w:sz="0" w:space="0" w:color="auto"/>
        <w:bottom w:val="none" w:sz="0" w:space="0" w:color="auto"/>
        <w:right w:val="none" w:sz="0" w:space="0" w:color="auto"/>
      </w:divBdr>
    </w:div>
    <w:div w:id="793210200">
      <w:marLeft w:val="480"/>
      <w:marRight w:val="0"/>
      <w:marTop w:val="0"/>
      <w:marBottom w:val="0"/>
      <w:divBdr>
        <w:top w:val="none" w:sz="0" w:space="0" w:color="auto"/>
        <w:left w:val="none" w:sz="0" w:space="0" w:color="auto"/>
        <w:bottom w:val="none" w:sz="0" w:space="0" w:color="auto"/>
        <w:right w:val="none" w:sz="0" w:space="0" w:color="auto"/>
      </w:divBdr>
    </w:div>
    <w:div w:id="794252171">
      <w:marLeft w:val="480"/>
      <w:marRight w:val="0"/>
      <w:marTop w:val="0"/>
      <w:marBottom w:val="0"/>
      <w:divBdr>
        <w:top w:val="none" w:sz="0" w:space="0" w:color="auto"/>
        <w:left w:val="none" w:sz="0" w:space="0" w:color="auto"/>
        <w:bottom w:val="none" w:sz="0" w:space="0" w:color="auto"/>
        <w:right w:val="none" w:sz="0" w:space="0" w:color="auto"/>
      </w:divBdr>
    </w:div>
    <w:div w:id="795148851">
      <w:marLeft w:val="480"/>
      <w:marRight w:val="0"/>
      <w:marTop w:val="0"/>
      <w:marBottom w:val="0"/>
      <w:divBdr>
        <w:top w:val="none" w:sz="0" w:space="0" w:color="auto"/>
        <w:left w:val="none" w:sz="0" w:space="0" w:color="auto"/>
        <w:bottom w:val="none" w:sz="0" w:space="0" w:color="auto"/>
        <w:right w:val="none" w:sz="0" w:space="0" w:color="auto"/>
      </w:divBdr>
    </w:div>
    <w:div w:id="797186478">
      <w:marLeft w:val="480"/>
      <w:marRight w:val="0"/>
      <w:marTop w:val="0"/>
      <w:marBottom w:val="0"/>
      <w:divBdr>
        <w:top w:val="none" w:sz="0" w:space="0" w:color="auto"/>
        <w:left w:val="none" w:sz="0" w:space="0" w:color="auto"/>
        <w:bottom w:val="none" w:sz="0" w:space="0" w:color="auto"/>
        <w:right w:val="none" w:sz="0" w:space="0" w:color="auto"/>
      </w:divBdr>
    </w:div>
    <w:div w:id="798453675">
      <w:marLeft w:val="480"/>
      <w:marRight w:val="0"/>
      <w:marTop w:val="0"/>
      <w:marBottom w:val="0"/>
      <w:divBdr>
        <w:top w:val="none" w:sz="0" w:space="0" w:color="auto"/>
        <w:left w:val="none" w:sz="0" w:space="0" w:color="auto"/>
        <w:bottom w:val="none" w:sz="0" w:space="0" w:color="auto"/>
        <w:right w:val="none" w:sz="0" w:space="0" w:color="auto"/>
      </w:divBdr>
    </w:div>
    <w:div w:id="799613472">
      <w:marLeft w:val="480"/>
      <w:marRight w:val="0"/>
      <w:marTop w:val="0"/>
      <w:marBottom w:val="0"/>
      <w:divBdr>
        <w:top w:val="none" w:sz="0" w:space="0" w:color="auto"/>
        <w:left w:val="none" w:sz="0" w:space="0" w:color="auto"/>
        <w:bottom w:val="none" w:sz="0" w:space="0" w:color="auto"/>
        <w:right w:val="none" w:sz="0" w:space="0" w:color="auto"/>
      </w:divBdr>
    </w:div>
    <w:div w:id="801270253">
      <w:marLeft w:val="480"/>
      <w:marRight w:val="0"/>
      <w:marTop w:val="0"/>
      <w:marBottom w:val="0"/>
      <w:divBdr>
        <w:top w:val="none" w:sz="0" w:space="0" w:color="auto"/>
        <w:left w:val="none" w:sz="0" w:space="0" w:color="auto"/>
        <w:bottom w:val="none" w:sz="0" w:space="0" w:color="auto"/>
        <w:right w:val="none" w:sz="0" w:space="0" w:color="auto"/>
      </w:divBdr>
    </w:div>
    <w:div w:id="805513377">
      <w:marLeft w:val="480"/>
      <w:marRight w:val="0"/>
      <w:marTop w:val="0"/>
      <w:marBottom w:val="0"/>
      <w:divBdr>
        <w:top w:val="none" w:sz="0" w:space="0" w:color="auto"/>
        <w:left w:val="none" w:sz="0" w:space="0" w:color="auto"/>
        <w:bottom w:val="none" w:sz="0" w:space="0" w:color="auto"/>
        <w:right w:val="none" w:sz="0" w:space="0" w:color="auto"/>
      </w:divBdr>
    </w:div>
    <w:div w:id="811288318">
      <w:marLeft w:val="480"/>
      <w:marRight w:val="0"/>
      <w:marTop w:val="0"/>
      <w:marBottom w:val="0"/>
      <w:divBdr>
        <w:top w:val="none" w:sz="0" w:space="0" w:color="auto"/>
        <w:left w:val="none" w:sz="0" w:space="0" w:color="auto"/>
        <w:bottom w:val="none" w:sz="0" w:space="0" w:color="auto"/>
        <w:right w:val="none" w:sz="0" w:space="0" w:color="auto"/>
      </w:divBdr>
    </w:div>
    <w:div w:id="811601798">
      <w:marLeft w:val="480"/>
      <w:marRight w:val="0"/>
      <w:marTop w:val="0"/>
      <w:marBottom w:val="0"/>
      <w:divBdr>
        <w:top w:val="none" w:sz="0" w:space="0" w:color="auto"/>
        <w:left w:val="none" w:sz="0" w:space="0" w:color="auto"/>
        <w:bottom w:val="none" w:sz="0" w:space="0" w:color="auto"/>
        <w:right w:val="none" w:sz="0" w:space="0" w:color="auto"/>
      </w:divBdr>
    </w:div>
    <w:div w:id="813303278">
      <w:marLeft w:val="480"/>
      <w:marRight w:val="0"/>
      <w:marTop w:val="0"/>
      <w:marBottom w:val="0"/>
      <w:divBdr>
        <w:top w:val="none" w:sz="0" w:space="0" w:color="auto"/>
        <w:left w:val="none" w:sz="0" w:space="0" w:color="auto"/>
        <w:bottom w:val="none" w:sz="0" w:space="0" w:color="auto"/>
        <w:right w:val="none" w:sz="0" w:space="0" w:color="auto"/>
      </w:divBdr>
    </w:div>
    <w:div w:id="818425794">
      <w:marLeft w:val="480"/>
      <w:marRight w:val="0"/>
      <w:marTop w:val="0"/>
      <w:marBottom w:val="0"/>
      <w:divBdr>
        <w:top w:val="none" w:sz="0" w:space="0" w:color="auto"/>
        <w:left w:val="none" w:sz="0" w:space="0" w:color="auto"/>
        <w:bottom w:val="none" w:sz="0" w:space="0" w:color="auto"/>
        <w:right w:val="none" w:sz="0" w:space="0" w:color="auto"/>
      </w:divBdr>
    </w:div>
    <w:div w:id="819005585">
      <w:marLeft w:val="480"/>
      <w:marRight w:val="0"/>
      <w:marTop w:val="0"/>
      <w:marBottom w:val="0"/>
      <w:divBdr>
        <w:top w:val="none" w:sz="0" w:space="0" w:color="auto"/>
        <w:left w:val="none" w:sz="0" w:space="0" w:color="auto"/>
        <w:bottom w:val="none" w:sz="0" w:space="0" w:color="auto"/>
        <w:right w:val="none" w:sz="0" w:space="0" w:color="auto"/>
      </w:divBdr>
    </w:div>
    <w:div w:id="819730246">
      <w:marLeft w:val="480"/>
      <w:marRight w:val="0"/>
      <w:marTop w:val="0"/>
      <w:marBottom w:val="0"/>
      <w:divBdr>
        <w:top w:val="none" w:sz="0" w:space="0" w:color="auto"/>
        <w:left w:val="none" w:sz="0" w:space="0" w:color="auto"/>
        <w:bottom w:val="none" w:sz="0" w:space="0" w:color="auto"/>
        <w:right w:val="none" w:sz="0" w:space="0" w:color="auto"/>
      </w:divBdr>
    </w:div>
    <w:div w:id="819887228">
      <w:marLeft w:val="480"/>
      <w:marRight w:val="0"/>
      <w:marTop w:val="0"/>
      <w:marBottom w:val="0"/>
      <w:divBdr>
        <w:top w:val="none" w:sz="0" w:space="0" w:color="auto"/>
        <w:left w:val="none" w:sz="0" w:space="0" w:color="auto"/>
        <w:bottom w:val="none" w:sz="0" w:space="0" w:color="auto"/>
        <w:right w:val="none" w:sz="0" w:space="0" w:color="auto"/>
      </w:divBdr>
    </w:div>
    <w:div w:id="821582181">
      <w:marLeft w:val="480"/>
      <w:marRight w:val="0"/>
      <w:marTop w:val="0"/>
      <w:marBottom w:val="0"/>
      <w:divBdr>
        <w:top w:val="none" w:sz="0" w:space="0" w:color="auto"/>
        <w:left w:val="none" w:sz="0" w:space="0" w:color="auto"/>
        <w:bottom w:val="none" w:sz="0" w:space="0" w:color="auto"/>
        <w:right w:val="none" w:sz="0" w:space="0" w:color="auto"/>
      </w:divBdr>
    </w:div>
    <w:div w:id="824005567">
      <w:marLeft w:val="480"/>
      <w:marRight w:val="0"/>
      <w:marTop w:val="0"/>
      <w:marBottom w:val="0"/>
      <w:divBdr>
        <w:top w:val="none" w:sz="0" w:space="0" w:color="auto"/>
        <w:left w:val="none" w:sz="0" w:space="0" w:color="auto"/>
        <w:bottom w:val="none" w:sz="0" w:space="0" w:color="auto"/>
        <w:right w:val="none" w:sz="0" w:space="0" w:color="auto"/>
      </w:divBdr>
    </w:div>
    <w:div w:id="824861994">
      <w:marLeft w:val="480"/>
      <w:marRight w:val="0"/>
      <w:marTop w:val="0"/>
      <w:marBottom w:val="0"/>
      <w:divBdr>
        <w:top w:val="none" w:sz="0" w:space="0" w:color="auto"/>
        <w:left w:val="none" w:sz="0" w:space="0" w:color="auto"/>
        <w:bottom w:val="none" w:sz="0" w:space="0" w:color="auto"/>
        <w:right w:val="none" w:sz="0" w:space="0" w:color="auto"/>
      </w:divBdr>
    </w:div>
    <w:div w:id="825433635">
      <w:marLeft w:val="480"/>
      <w:marRight w:val="0"/>
      <w:marTop w:val="0"/>
      <w:marBottom w:val="0"/>
      <w:divBdr>
        <w:top w:val="none" w:sz="0" w:space="0" w:color="auto"/>
        <w:left w:val="none" w:sz="0" w:space="0" w:color="auto"/>
        <w:bottom w:val="none" w:sz="0" w:space="0" w:color="auto"/>
        <w:right w:val="none" w:sz="0" w:space="0" w:color="auto"/>
      </w:divBdr>
    </w:div>
    <w:div w:id="826478953">
      <w:marLeft w:val="480"/>
      <w:marRight w:val="0"/>
      <w:marTop w:val="0"/>
      <w:marBottom w:val="0"/>
      <w:divBdr>
        <w:top w:val="none" w:sz="0" w:space="0" w:color="auto"/>
        <w:left w:val="none" w:sz="0" w:space="0" w:color="auto"/>
        <w:bottom w:val="none" w:sz="0" w:space="0" w:color="auto"/>
        <w:right w:val="none" w:sz="0" w:space="0" w:color="auto"/>
      </w:divBdr>
    </w:div>
    <w:div w:id="827986521">
      <w:marLeft w:val="480"/>
      <w:marRight w:val="0"/>
      <w:marTop w:val="0"/>
      <w:marBottom w:val="0"/>
      <w:divBdr>
        <w:top w:val="none" w:sz="0" w:space="0" w:color="auto"/>
        <w:left w:val="none" w:sz="0" w:space="0" w:color="auto"/>
        <w:bottom w:val="none" w:sz="0" w:space="0" w:color="auto"/>
        <w:right w:val="none" w:sz="0" w:space="0" w:color="auto"/>
      </w:divBdr>
    </w:div>
    <w:div w:id="828247587">
      <w:marLeft w:val="480"/>
      <w:marRight w:val="0"/>
      <w:marTop w:val="0"/>
      <w:marBottom w:val="0"/>
      <w:divBdr>
        <w:top w:val="none" w:sz="0" w:space="0" w:color="auto"/>
        <w:left w:val="none" w:sz="0" w:space="0" w:color="auto"/>
        <w:bottom w:val="none" w:sz="0" w:space="0" w:color="auto"/>
        <w:right w:val="none" w:sz="0" w:space="0" w:color="auto"/>
      </w:divBdr>
    </w:div>
    <w:div w:id="830368766">
      <w:marLeft w:val="480"/>
      <w:marRight w:val="0"/>
      <w:marTop w:val="0"/>
      <w:marBottom w:val="0"/>
      <w:divBdr>
        <w:top w:val="none" w:sz="0" w:space="0" w:color="auto"/>
        <w:left w:val="none" w:sz="0" w:space="0" w:color="auto"/>
        <w:bottom w:val="none" w:sz="0" w:space="0" w:color="auto"/>
        <w:right w:val="none" w:sz="0" w:space="0" w:color="auto"/>
      </w:divBdr>
    </w:div>
    <w:div w:id="830826221">
      <w:marLeft w:val="480"/>
      <w:marRight w:val="0"/>
      <w:marTop w:val="0"/>
      <w:marBottom w:val="0"/>
      <w:divBdr>
        <w:top w:val="none" w:sz="0" w:space="0" w:color="auto"/>
        <w:left w:val="none" w:sz="0" w:space="0" w:color="auto"/>
        <w:bottom w:val="none" w:sz="0" w:space="0" w:color="auto"/>
        <w:right w:val="none" w:sz="0" w:space="0" w:color="auto"/>
      </w:divBdr>
    </w:div>
    <w:div w:id="831411538">
      <w:marLeft w:val="480"/>
      <w:marRight w:val="0"/>
      <w:marTop w:val="0"/>
      <w:marBottom w:val="0"/>
      <w:divBdr>
        <w:top w:val="none" w:sz="0" w:space="0" w:color="auto"/>
        <w:left w:val="none" w:sz="0" w:space="0" w:color="auto"/>
        <w:bottom w:val="none" w:sz="0" w:space="0" w:color="auto"/>
        <w:right w:val="none" w:sz="0" w:space="0" w:color="auto"/>
      </w:divBdr>
    </w:div>
    <w:div w:id="834494228">
      <w:marLeft w:val="480"/>
      <w:marRight w:val="0"/>
      <w:marTop w:val="0"/>
      <w:marBottom w:val="0"/>
      <w:divBdr>
        <w:top w:val="none" w:sz="0" w:space="0" w:color="auto"/>
        <w:left w:val="none" w:sz="0" w:space="0" w:color="auto"/>
        <w:bottom w:val="none" w:sz="0" w:space="0" w:color="auto"/>
        <w:right w:val="none" w:sz="0" w:space="0" w:color="auto"/>
      </w:divBdr>
    </w:div>
    <w:div w:id="836001800">
      <w:marLeft w:val="480"/>
      <w:marRight w:val="0"/>
      <w:marTop w:val="0"/>
      <w:marBottom w:val="0"/>
      <w:divBdr>
        <w:top w:val="none" w:sz="0" w:space="0" w:color="auto"/>
        <w:left w:val="none" w:sz="0" w:space="0" w:color="auto"/>
        <w:bottom w:val="none" w:sz="0" w:space="0" w:color="auto"/>
        <w:right w:val="none" w:sz="0" w:space="0" w:color="auto"/>
      </w:divBdr>
    </w:div>
    <w:div w:id="836649242">
      <w:marLeft w:val="480"/>
      <w:marRight w:val="0"/>
      <w:marTop w:val="0"/>
      <w:marBottom w:val="0"/>
      <w:divBdr>
        <w:top w:val="none" w:sz="0" w:space="0" w:color="auto"/>
        <w:left w:val="none" w:sz="0" w:space="0" w:color="auto"/>
        <w:bottom w:val="none" w:sz="0" w:space="0" w:color="auto"/>
        <w:right w:val="none" w:sz="0" w:space="0" w:color="auto"/>
      </w:divBdr>
    </w:div>
    <w:div w:id="838887932">
      <w:marLeft w:val="480"/>
      <w:marRight w:val="0"/>
      <w:marTop w:val="0"/>
      <w:marBottom w:val="0"/>
      <w:divBdr>
        <w:top w:val="none" w:sz="0" w:space="0" w:color="auto"/>
        <w:left w:val="none" w:sz="0" w:space="0" w:color="auto"/>
        <w:bottom w:val="none" w:sz="0" w:space="0" w:color="auto"/>
        <w:right w:val="none" w:sz="0" w:space="0" w:color="auto"/>
      </w:divBdr>
    </w:div>
    <w:div w:id="839587343">
      <w:marLeft w:val="480"/>
      <w:marRight w:val="0"/>
      <w:marTop w:val="0"/>
      <w:marBottom w:val="0"/>
      <w:divBdr>
        <w:top w:val="none" w:sz="0" w:space="0" w:color="auto"/>
        <w:left w:val="none" w:sz="0" w:space="0" w:color="auto"/>
        <w:bottom w:val="none" w:sz="0" w:space="0" w:color="auto"/>
        <w:right w:val="none" w:sz="0" w:space="0" w:color="auto"/>
      </w:divBdr>
    </w:div>
    <w:div w:id="842007986">
      <w:marLeft w:val="480"/>
      <w:marRight w:val="0"/>
      <w:marTop w:val="0"/>
      <w:marBottom w:val="0"/>
      <w:divBdr>
        <w:top w:val="none" w:sz="0" w:space="0" w:color="auto"/>
        <w:left w:val="none" w:sz="0" w:space="0" w:color="auto"/>
        <w:bottom w:val="none" w:sz="0" w:space="0" w:color="auto"/>
        <w:right w:val="none" w:sz="0" w:space="0" w:color="auto"/>
      </w:divBdr>
    </w:div>
    <w:div w:id="845630764">
      <w:marLeft w:val="480"/>
      <w:marRight w:val="0"/>
      <w:marTop w:val="0"/>
      <w:marBottom w:val="0"/>
      <w:divBdr>
        <w:top w:val="none" w:sz="0" w:space="0" w:color="auto"/>
        <w:left w:val="none" w:sz="0" w:space="0" w:color="auto"/>
        <w:bottom w:val="none" w:sz="0" w:space="0" w:color="auto"/>
        <w:right w:val="none" w:sz="0" w:space="0" w:color="auto"/>
      </w:divBdr>
    </w:div>
    <w:div w:id="846477900">
      <w:marLeft w:val="480"/>
      <w:marRight w:val="0"/>
      <w:marTop w:val="0"/>
      <w:marBottom w:val="0"/>
      <w:divBdr>
        <w:top w:val="none" w:sz="0" w:space="0" w:color="auto"/>
        <w:left w:val="none" w:sz="0" w:space="0" w:color="auto"/>
        <w:bottom w:val="none" w:sz="0" w:space="0" w:color="auto"/>
        <w:right w:val="none" w:sz="0" w:space="0" w:color="auto"/>
      </w:divBdr>
    </w:div>
    <w:div w:id="846990648">
      <w:marLeft w:val="480"/>
      <w:marRight w:val="0"/>
      <w:marTop w:val="0"/>
      <w:marBottom w:val="0"/>
      <w:divBdr>
        <w:top w:val="none" w:sz="0" w:space="0" w:color="auto"/>
        <w:left w:val="none" w:sz="0" w:space="0" w:color="auto"/>
        <w:bottom w:val="none" w:sz="0" w:space="0" w:color="auto"/>
        <w:right w:val="none" w:sz="0" w:space="0" w:color="auto"/>
      </w:divBdr>
    </w:div>
    <w:div w:id="847598858">
      <w:marLeft w:val="480"/>
      <w:marRight w:val="0"/>
      <w:marTop w:val="0"/>
      <w:marBottom w:val="0"/>
      <w:divBdr>
        <w:top w:val="none" w:sz="0" w:space="0" w:color="auto"/>
        <w:left w:val="none" w:sz="0" w:space="0" w:color="auto"/>
        <w:bottom w:val="none" w:sz="0" w:space="0" w:color="auto"/>
        <w:right w:val="none" w:sz="0" w:space="0" w:color="auto"/>
      </w:divBdr>
    </w:div>
    <w:div w:id="854228161">
      <w:marLeft w:val="480"/>
      <w:marRight w:val="0"/>
      <w:marTop w:val="0"/>
      <w:marBottom w:val="0"/>
      <w:divBdr>
        <w:top w:val="none" w:sz="0" w:space="0" w:color="auto"/>
        <w:left w:val="none" w:sz="0" w:space="0" w:color="auto"/>
        <w:bottom w:val="none" w:sz="0" w:space="0" w:color="auto"/>
        <w:right w:val="none" w:sz="0" w:space="0" w:color="auto"/>
      </w:divBdr>
    </w:div>
    <w:div w:id="856848792">
      <w:marLeft w:val="480"/>
      <w:marRight w:val="0"/>
      <w:marTop w:val="0"/>
      <w:marBottom w:val="0"/>
      <w:divBdr>
        <w:top w:val="none" w:sz="0" w:space="0" w:color="auto"/>
        <w:left w:val="none" w:sz="0" w:space="0" w:color="auto"/>
        <w:bottom w:val="none" w:sz="0" w:space="0" w:color="auto"/>
        <w:right w:val="none" w:sz="0" w:space="0" w:color="auto"/>
      </w:divBdr>
    </w:div>
    <w:div w:id="857233652">
      <w:marLeft w:val="480"/>
      <w:marRight w:val="0"/>
      <w:marTop w:val="0"/>
      <w:marBottom w:val="0"/>
      <w:divBdr>
        <w:top w:val="none" w:sz="0" w:space="0" w:color="auto"/>
        <w:left w:val="none" w:sz="0" w:space="0" w:color="auto"/>
        <w:bottom w:val="none" w:sz="0" w:space="0" w:color="auto"/>
        <w:right w:val="none" w:sz="0" w:space="0" w:color="auto"/>
      </w:divBdr>
    </w:div>
    <w:div w:id="857816277">
      <w:marLeft w:val="480"/>
      <w:marRight w:val="0"/>
      <w:marTop w:val="0"/>
      <w:marBottom w:val="0"/>
      <w:divBdr>
        <w:top w:val="none" w:sz="0" w:space="0" w:color="auto"/>
        <w:left w:val="none" w:sz="0" w:space="0" w:color="auto"/>
        <w:bottom w:val="none" w:sz="0" w:space="0" w:color="auto"/>
        <w:right w:val="none" w:sz="0" w:space="0" w:color="auto"/>
      </w:divBdr>
    </w:div>
    <w:div w:id="858854144">
      <w:marLeft w:val="480"/>
      <w:marRight w:val="0"/>
      <w:marTop w:val="0"/>
      <w:marBottom w:val="0"/>
      <w:divBdr>
        <w:top w:val="none" w:sz="0" w:space="0" w:color="auto"/>
        <w:left w:val="none" w:sz="0" w:space="0" w:color="auto"/>
        <w:bottom w:val="none" w:sz="0" w:space="0" w:color="auto"/>
        <w:right w:val="none" w:sz="0" w:space="0" w:color="auto"/>
      </w:divBdr>
    </w:div>
    <w:div w:id="862520626">
      <w:marLeft w:val="480"/>
      <w:marRight w:val="0"/>
      <w:marTop w:val="0"/>
      <w:marBottom w:val="0"/>
      <w:divBdr>
        <w:top w:val="none" w:sz="0" w:space="0" w:color="auto"/>
        <w:left w:val="none" w:sz="0" w:space="0" w:color="auto"/>
        <w:bottom w:val="none" w:sz="0" w:space="0" w:color="auto"/>
        <w:right w:val="none" w:sz="0" w:space="0" w:color="auto"/>
      </w:divBdr>
    </w:div>
    <w:div w:id="863135263">
      <w:marLeft w:val="480"/>
      <w:marRight w:val="0"/>
      <w:marTop w:val="0"/>
      <w:marBottom w:val="0"/>
      <w:divBdr>
        <w:top w:val="none" w:sz="0" w:space="0" w:color="auto"/>
        <w:left w:val="none" w:sz="0" w:space="0" w:color="auto"/>
        <w:bottom w:val="none" w:sz="0" w:space="0" w:color="auto"/>
        <w:right w:val="none" w:sz="0" w:space="0" w:color="auto"/>
      </w:divBdr>
    </w:div>
    <w:div w:id="863714303">
      <w:marLeft w:val="480"/>
      <w:marRight w:val="0"/>
      <w:marTop w:val="0"/>
      <w:marBottom w:val="0"/>
      <w:divBdr>
        <w:top w:val="none" w:sz="0" w:space="0" w:color="auto"/>
        <w:left w:val="none" w:sz="0" w:space="0" w:color="auto"/>
        <w:bottom w:val="none" w:sz="0" w:space="0" w:color="auto"/>
        <w:right w:val="none" w:sz="0" w:space="0" w:color="auto"/>
      </w:divBdr>
    </w:div>
    <w:div w:id="865214006">
      <w:marLeft w:val="480"/>
      <w:marRight w:val="0"/>
      <w:marTop w:val="0"/>
      <w:marBottom w:val="0"/>
      <w:divBdr>
        <w:top w:val="none" w:sz="0" w:space="0" w:color="auto"/>
        <w:left w:val="none" w:sz="0" w:space="0" w:color="auto"/>
        <w:bottom w:val="none" w:sz="0" w:space="0" w:color="auto"/>
        <w:right w:val="none" w:sz="0" w:space="0" w:color="auto"/>
      </w:divBdr>
    </w:div>
    <w:div w:id="866452665">
      <w:marLeft w:val="480"/>
      <w:marRight w:val="0"/>
      <w:marTop w:val="0"/>
      <w:marBottom w:val="0"/>
      <w:divBdr>
        <w:top w:val="none" w:sz="0" w:space="0" w:color="auto"/>
        <w:left w:val="none" w:sz="0" w:space="0" w:color="auto"/>
        <w:bottom w:val="none" w:sz="0" w:space="0" w:color="auto"/>
        <w:right w:val="none" w:sz="0" w:space="0" w:color="auto"/>
      </w:divBdr>
    </w:div>
    <w:div w:id="872233616">
      <w:marLeft w:val="480"/>
      <w:marRight w:val="0"/>
      <w:marTop w:val="0"/>
      <w:marBottom w:val="0"/>
      <w:divBdr>
        <w:top w:val="none" w:sz="0" w:space="0" w:color="auto"/>
        <w:left w:val="none" w:sz="0" w:space="0" w:color="auto"/>
        <w:bottom w:val="none" w:sz="0" w:space="0" w:color="auto"/>
        <w:right w:val="none" w:sz="0" w:space="0" w:color="auto"/>
      </w:divBdr>
    </w:div>
    <w:div w:id="872420787">
      <w:marLeft w:val="480"/>
      <w:marRight w:val="0"/>
      <w:marTop w:val="0"/>
      <w:marBottom w:val="0"/>
      <w:divBdr>
        <w:top w:val="none" w:sz="0" w:space="0" w:color="auto"/>
        <w:left w:val="none" w:sz="0" w:space="0" w:color="auto"/>
        <w:bottom w:val="none" w:sz="0" w:space="0" w:color="auto"/>
        <w:right w:val="none" w:sz="0" w:space="0" w:color="auto"/>
      </w:divBdr>
    </w:div>
    <w:div w:id="873738451">
      <w:marLeft w:val="480"/>
      <w:marRight w:val="0"/>
      <w:marTop w:val="0"/>
      <w:marBottom w:val="0"/>
      <w:divBdr>
        <w:top w:val="none" w:sz="0" w:space="0" w:color="auto"/>
        <w:left w:val="none" w:sz="0" w:space="0" w:color="auto"/>
        <w:bottom w:val="none" w:sz="0" w:space="0" w:color="auto"/>
        <w:right w:val="none" w:sz="0" w:space="0" w:color="auto"/>
      </w:divBdr>
    </w:div>
    <w:div w:id="873882180">
      <w:marLeft w:val="480"/>
      <w:marRight w:val="0"/>
      <w:marTop w:val="0"/>
      <w:marBottom w:val="0"/>
      <w:divBdr>
        <w:top w:val="none" w:sz="0" w:space="0" w:color="auto"/>
        <w:left w:val="none" w:sz="0" w:space="0" w:color="auto"/>
        <w:bottom w:val="none" w:sz="0" w:space="0" w:color="auto"/>
        <w:right w:val="none" w:sz="0" w:space="0" w:color="auto"/>
      </w:divBdr>
    </w:div>
    <w:div w:id="878279757">
      <w:marLeft w:val="480"/>
      <w:marRight w:val="0"/>
      <w:marTop w:val="0"/>
      <w:marBottom w:val="0"/>
      <w:divBdr>
        <w:top w:val="none" w:sz="0" w:space="0" w:color="auto"/>
        <w:left w:val="none" w:sz="0" w:space="0" w:color="auto"/>
        <w:bottom w:val="none" w:sz="0" w:space="0" w:color="auto"/>
        <w:right w:val="none" w:sz="0" w:space="0" w:color="auto"/>
      </w:divBdr>
    </w:div>
    <w:div w:id="880092462">
      <w:marLeft w:val="480"/>
      <w:marRight w:val="0"/>
      <w:marTop w:val="0"/>
      <w:marBottom w:val="0"/>
      <w:divBdr>
        <w:top w:val="none" w:sz="0" w:space="0" w:color="auto"/>
        <w:left w:val="none" w:sz="0" w:space="0" w:color="auto"/>
        <w:bottom w:val="none" w:sz="0" w:space="0" w:color="auto"/>
        <w:right w:val="none" w:sz="0" w:space="0" w:color="auto"/>
      </w:divBdr>
    </w:div>
    <w:div w:id="881869824">
      <w:marLeft w:val="480"/>
      <w:marRight w:val="0"/>
      <w:marTop w:val="0"/>
      <w:marBottom w:val="0"/>
      <w:divBdr>
        <w:top w:val="none" w:sz="0" w:space="0" w:color="auto"/>
        <w:left w:val="none" w:sz="0" w:space="0" w:color="auto"/>
        <w:bottom w:val="none" w:sz="0" w:space="0" w:color="auto"/>
        <w:right w:val="none" w:sz="0" w:space="0" w:color="auto"/>
      </w:divBdr>
    </w:div>
    <w:div w:id="881938932">
      <w:marLeft w:val="480"/>
      <w:marRight w:val="0"/>
      <w:marTop w:val="0"/>
      <w:marBottom w:val="0"/>
      <w:divBdr>
        <w:top w:val="none" w:sz="0" w:space="0" w:color="auto"/>
        <w:left w:val="none" w:sz="0" w:space="0" w:color="auto"/>
        <w:bottom w:val="none" w:sz="0" w:space="0" w:color="auto"/>
        <w:right w:val="none" w:sz="0" w:space="0" w:color="auto"/>
      </w:divBdr>
    </w:div>
    <w:div w:id="882985186">
      <w:marLeft w:val="480"/>
      <w:marRight w:val="0"/>
      <w:marTop w:val="0"/>
      <w:marBottom w:val="0"/>
      <w:divBdr>
        <w:top w:val="none" w:sz="0" w:space="0" w:color="auto"/>
        <w:left w:val="none" w:sz="0" w:space="0" w:color="auto"/>
        <w:bottom w:val="none" w:sz="0" w:space="0" w:color="auto"/>
        <w:right w:val="none" w:sz="0" w:space="0" w:color="auto"/>
      </w:divBdr>
    </w:div>
    <w:div w:id="885025249">
      <w:marLeft w:val="480"/>
      <w:marRight w:val="0"/>
      <w:marTop w:val="0"/>
      <w:marBottom w:val="0"/>
      <w:divBdr>
        <w:top w:val="none" w:sz="0" w:space="0" w:color="auto"/>
        <w:left w:val="none" w:sz="0" w:space="0" w:color="auto"/>
        <w:bottom w:val="none" w:sz="0" w:space="0" w:color="auto"/>
        <w:right w:val="none" w:sz="0" w:space="0" w:color="auto"/>
      </w:divBdr>
    </w:div>
    <w:div w:id="887910579">
      <w:marLeft w:val="480"/>
      <w:marRight w:val="0"/>
      <w:marTop w:val="0"/>
      <w:marBottom w:val="0"/>
      <w:divBdr>
        <w:top w:val="none" w:sz="0" w:space="0" w:color="auto"/>
        <w:left w:val="none" w:sz="0" w:space="0" w:color="auto"/>
        <w:bottom w:val="none" w:sz="0" w:space="0" w:color="auto"/>
        <w:right w:val="none" w:sz="0" w:space="0" w:color="auto"/>
      </w:divBdr>
    </w:div>
    <w:div w:id="888763011">
      <w:marLeft w:val="480"/>
      <w:marRight w:val="0"/>
      <w:marTop w:val="0"/>
      <w:marBottom w:val="0"/>
      <w:divBdr>
        <w:top w:val="none" w:sz="0" w:space="0" w:color="auto"/>
        <w:left w:val="none" w:sz="0" w:space="0" w:color="auto"/>
        <w:bottom w:val="none" w:sz="0" w:space="0" w:color="auto"/>
        <w:right w:val="none" w:sz="0" w:space="0" w:color="auto"/>
      </w:divBdr>
    </w:div>
    <w:div w:id="889343541">
      <w:marLeft w:val="480"/>
      <w:marRight w:val="0"/>
      <w:marTop w:val="0"/>
      <w:marBottom w:val="0"/>
      <w:divBdr>
        <w:top w:val="none" w:sz="0" w:space="0" w:color="auto"/>
        <w:left w:val="none" w:sz="0" w:space="0" w:color="auto"/>
        <w:bottom w:val="none" w:sz="0" w:space="0" w:color="auto"/>
        <w:right w:val="none" w:sz="0" w:space="0" w:color="auto"/>
      </w:divBdr>
    </w:div>
    <w:div w:id="889612498">
      <w:marLeft w:val="480"/>
      <w:marRight w:val="0"/>
      <w:marTop w:val="0"/>
      <w:marBottom w:val="0"/>
      <w:divBdr>
        <w:top w:val="none" w:sz="0" w:space="0" w:color="auto"/>
        <w:left w:val="none" w:sz="0" w:space="0" w:color="auto"/>
        <w:bottom w:val="none" w:sz="0" w:space="0" w:color="auto"/>
        <w:right w:val="none" w:sz="0" w:space="0" w:color="auto"/>
      </w:divBdr>
    </w:div>
    <w:div w:id="892696323">
      <w:marLeft w:val="480"/>
      <w:marRight w:val="0"/>
      <w:marTop w:val="0"/>
      <w:marBottom w:val="0"/>
      <w:divBdr>
        <w:top w:val="none" w:sz="0" w:space="0" w:color="auto"/>
        <w:left w:val="none" w:sz="0" w:space="0" w:color="auto"/>
        <w:bottom w:val="none" w:sz="0" w:space="0" w:color="auto"/>
        <w:right w:val="none" w:sz="0" w:space="0" w:color="auto"/>
      </w:divBdr>
    </w:div>
    <w:div w:id="893077050">
      <w:marLeft w:val="480"/>
      <w:marRight w:val="0"/>
      <w:marTop w:val="0"/>
      <w:marBottom w:val="0"/>
      <w:divBdr>
        <w:top w:val="none" w:sz="0" w:space="0" w:color="auto"/>
        <w:left w:val="none" w:sz="0" w:space="0" w:color="auto"/>
        <w:bottom w:val="none" w:sz="0" w:space="0" w:color="auto"/>
        <w:right w:val="none" w:sz="0" w:space="0" w:color="auto"/>
      </w:divBdr>
    </w:div>
    <w:div w:id="895050700">
      <w:marLeft w:val="480"/>
      <w:marRight w:val="0"/>
      <w:marTop w:val="0"/>
      <w:marBottom w:val="0"/>
      <w:divBdr>
        <w:top w:val="none" w:sz="0" w:space="0" w:color="auto"/>
        <w:left w:val="none" w:sz="0" w:space="0" w:color="auto"/>
        <w:bottom w:val="none" w:sz="0" w:space="0" w:color="auto"/>
        <w:right w:val="none" w:sz="0" w:space="0" w:color="auto"/>
      </w:divBdr>
    </w:div>
    <w:div w:id="895506594">
      <w:marLeft w:val="480"/>
      <w:marRight w:val="0"/>
      <w:marTop w:val="0"/>
      <w:marBottom w:val="0"/>
      <w:divBdr>
        <w:top w:val="none" w:sz="0" w:space="0" w:color="auto"/>
        <w:left w:val="none" w:sz="0" w:space="0" w:color="auto"/>
        <w:bottom w:val="none" w:sz="0" w:space="0" w:color="auto"/>
        <w:right w:val="none" w:sz="0" w:space="0" w:color="auto"/>
      </w:divBdr>
    </w:div>
    <w:div w:id="895820036">
      <w:marLeft w:val="480"/>
      <w:marRight w:val="0"/>
      <w:marTop w:val="0"/>
      <w:marBottom w:val="0"/>
      <w:divBdr>
        <w:top w:val="none" w:sz="0" w:space="0" w:color="auto"/>
        <w:left w:val="none" w:sz="0" w:space="0" w:color="auto"/>
        <w:bottom w:val="none" w:sz="0" w:space="0" w:color="auto"/>
        <w:right w:val="none" w:sz="0" w:space="0" w:color="auto"/>
      </w:divBdr>
    </w:div>
    <w:div w:id="897546251">
      <w:marLeft w:val="480"/>
      <w:marRight w:val="0"/>
      <w:marTop w:val="0"/>
      <w:marBottom w:val="0"/>
      <w:divBdr>
        <w:top w:val="none" w:sz="0" w:space="0" w:color="auto"/>
        <w:left w:val="none" w:sz="0" w:space="0" w:color="auto"/>
        <w:bottom w:val="none" w:sz="0" w:space="0" w:color="auto"/>
        <w:right w:val="none" w:sz="0" w:space="0" w:color="auto"/>
      </w:divBdr>
    </w:div>
    <w:div w:id="899443384">
      <w:marLeft w:val="480"/>
      <w:marRight w:val="0"/>
      <w:marTop w:val="0"/>
      <w:marBottom w:val="0"/>
      <w:divBdr>
        <w:top w:val="none" w:sz="0" w:space="0" w:color="auto"/>
        <w:left w:val="none" w:sz="0" w:space="0" w:color="auto"/>
        <w:bottom w:val="none" w:sz="0" w:space="0" w:color="auto"/>
        <w:right w:val="none" w:sz="0" w:space="0" w:color="auto"/>
      </w:divBdr>
    </w:div>
    <w:div w:id="899511799">
      <w:marLeft w:val="480"/>
      <w:marRight w:val="0"/>
      <w:marTop w:val="0"/>
      <w:marBottom w:val="0"/>
      <w:divBdr>
        <w:top w:val="none" w:sz="0" w:space="0" w:color="auto"/>
        <w:left w:val="none" w:sz="0" w:space="0" w:color="auto"/>
        <w:bottom w:val="none" w:sz="0" w:space="0" w:color="auto"/>
        <w:right w:val="none" w:sz="0" w:space="0" w:color="auto"/>
      </w:divBdr>
    </w:div>
    <w:div w:id="901985371">
      <w:marLeft w:val="480"/>
      <w:marRight w:val="0"/>
      <w:marTop w:val="0"/>
      <w:marBottom w:val="0"/>
      <w:divBdr>
        <w:top w:val="none" w:sz="0" w:space="0" w:color="auto"/>
        <w:left w:val="none" w:sz="0" w:space="0" w:color="auto"/>
        <w:bottom w:val="none" w:sz="0" w:space="0" w:color="auto"/>
        <w:right w:val="none" w:sz="0" w:space="0" w:color="auto"/>
      </w:divBdr>
    </w:div>
    <w:div w:id="905337366">
      <w:marLeft w:val="480"/>
      <w:marRight w:val="0"/>
      <w:marTop w:val="0"/>
      <w:marBottom w:val="0"/>
      <w:divBdr>
        <w:top w:val="none" w:sz="0" w:space="0" w:color="auto"/>
        <w:left w:val="none" w:sz="0" w:space="0" w:color="auto"/>
        <w:bottom w:val="none" w:sz="0" w:space="0" w:color="auto"/>
        <w:right w:val="none" w:sz="0" w:space="0" w:color="auto"/>
      </w:divBdr>
    </w:div>
    <w:div w:id="906190877">
      <w:marLeft w:val="480"/>
      <w:marRight w:val="0"/>
      <w:marTop w:val="0"/>
      <w:marBottom w:val="0"/>
      <w:divBdr>
        <w:top w:val="none" w:sz="0" w:space="0" w:color="auto"/>
        <w:left w:val="none" w:sz="0" w:space="0" w:color="auto"/>
        <w:bottom w:val="none" w:sz="0" w:space="0" w:color="auto"/>
        <w:right w:val="none" w:sz="0" w:space="0" w:color="auto"/>
      </w:divBdr>
    </w:div>
    <w:div w:id="908804173">
      <w:marLeft w:val="480"/>
      <w:marRight w:val="0"/>
      <w:marTop w:val="0"/>
      <w:marBottom w:val="0"/>
      <w:divBdr>
        <w:top w:val="none" w:sz="0" w:space="0" w:color="auto"/>
        <w:left w:val="none" w:sz="0" w:space="0" w:color="auto"/>
        <w:bottom w:val="none" w:sz="0" w:space="0" w:color="auto"/>
        <w:right w:val="none" w:sz="0" w:space="0" w:color="auto"/>
      </w:divBdr>
    </w:div>
    <w:div w:id="910819847">
      <w:marLeft w:val="480"/>
      <w:marRight w:val="0"/>
      <w:marTop w:val="0"/>
      <w:marBottom w:val="0"/>
      <w:divBdr>
        <w:top w:val="none" w:sz="0" w:space="0" w:color="auto"/>
        <w:left w:val="none" w:sz="0" w:space="0" w:color="auto"/>
        <w:bottom w:val="none" w:sz="0" w:space="0" w:color="auto"/>
        <w:right w:val="none" w:sz="0" w:space="0" w:color="auto"/>
      </w:divBdr>
    </w:div>
    <w:div w:id="911696988">
      <w:marLeft w:val="480"/>
      <w:marRight w:val="0"/>
      <w:marTop w:val="0"/>
      <w:marBottom w:val="0"/>
      <w:divBdr>
        <w:top w:val="none" w:sz="0" w:space="0" w:color="auto"/>
        <w:left w:val="none" w:sz="0" w:space="0" w:color="auto"/>
        <w:bottom w:val="none" w:sz="0" w:space="0" w:color="auto"/>
        <w:right w:val="none" w:sz="0" w:space="0" w:color="auto"/>
      </w:divBdr>
    </w:div>
    <w:div w:id="913512867">
      <w:marLeft w:val="480"/>
      <w:marRight w:val="0"/>
      <w:marTop w:val="0"/>
      <w:marBottom w:val="0"/>
      <w:divBdr>
        <w:top w:val="none" w:sz="0" w:space="0" w:color="auto"/>
        <w:left w:val="none" w:sz="0" w:space="0" w:color="auto"/>
        <w:bottom w:val="none" w:sz="0" w:space="0" w:color="auto"/>
        <w:right w:val="none" w:sz="0" w:space="0" w:color="auto"/>
      </w:divBdr>
    </w:div>
    <w:div w:id="914244983">
      <w:marLeft w:val="480"/>
      <w:marRight w:val="0"/>
      <w:marTop w:val="0"/>
      <w:marBottom w:val="0"/>
      <w:divBdr>
        <w:top w:val="none" w:sz="0" w:space="0" w:color="auto"/>
        <w:left w:val="none" w:sz="0" w:space="0" w:color="auto"/>
        <w:bottom w:val="none" w:sz="0" w:space="0" w:color="auto"/>
        <w:right w:val="none" w:sz="0" w:space="0" w:color="auto"/>
      </w:divBdr>
    </w:div>
    <w:div w:id="915171891">
      <w:marLeft w:val="480"/>
      <w:marRight w:val="0"/>
      <w:marTop w:val="0"/>
      <w:marBottom w:val="0"/>
      <w:divBdr>
        <w:top w:val="none" w:sz="0" w:space="0" w:color="auto"/>
        <w:left w:val="none" w:sz="0" w:space="0" w:color="auto"/>
        <w:bottom w:val="none" w:sz="0" w:space="0" w:color="auto"/>
        <w:right w:val="none" w:sz="0" w:space="0" w:color="auto"/>
      </w:divBdr>
    </w:div>
    <w:div w:id="917640558">
      <w:marLeft w:val="480"/>
      <w:marRight w:val="0"/>
      <w:marTop w:val="0"/>
      <w:marBottom w:val="0"/>
      <w:divBdr>
        <w:top w:val="none" w:sz="0" w:space="0" w:color="auto"/>
        <w:left w:val="none" w:sz="0" w:space="0" w:color="auto"/>
        <w:bottom w:val="none" w:sz="0" w:space="0" w:color="auto"/>
        <w:right w:val="none" w:sz="0" w:space="0" w:color="auto"/>
      </w:divBdr>
    </w:div>
    <w:div w:id="918636831">
      <w:marLeft w:val="480"/>
      <w:marRight w:val="0"/>
      <w:marTop w:val="0"/>
      <w:marBottom w:val="0"/>
      <w:divBdr>
        <w:top w:val="none" w:sz="0" w:space="0" w:color="auto"/>
        <w:left w:val="none" w:sz="0" w:space="0" w:color="auto"/>
        <w:bottom w:val="none" w:sz="0" w:space="0" w:color="auto"/>
        <w:right w:val="none" w:sz="0" w:space="0" w:color="auto"/>
      </w:divBdr>
    </w:div>
    <w:div w:id="918902692">
      <w:marLeft w:val="480"/>
      <w:marRight w:val="0"/>
      <w:marTop w:val="0"/>
      <w:marBottom w:val="0"/>
      <w:divBdr>
        <w:top w:val="none" w:sz="0" w:space="0" w:color="auto"/>
        <w:left w:val="none" w:sz="0" w:space="0" w:color="auto"/>
        <w:bottom w:val="none" w:sz="0" w:space="0" w:color="auto"/>
        <w:right w:val="none" w:sz="0" w:space="0" w:color="auto"/>
      </w:divBdr>
    </w:div>
    <w:div w:id="921378100">
      <w:marLeft w:val="480"/>
      <w:marRight w:val="0"/>
      <w:marTop w:val="0"/>
      <w:marBottom w:val="0"/>
      <w:divBdr>
        <w:top w:val="none" w:sz="0" w:space="0" w:color="auto"/>
        <w:left w:val="none" w:sz="0" w:space="0" w:color="auto"/>
        <w:bottom w:val="none" w:sz="0" w:space="0" w:color="auto"/>
        <w:right w:val="none" w:sz="0" w:space="0" w:color="auto"/>
      </w:divBdr>
    </w:div>
    <w:div w:id="927924320">
      <w:marLeft w:val="480"/>
      <w:marRight w:val="0"/>
      <w:marTop w:val="0"/>
      <w:marBottom w:val="0"/>
      <w:divBdr>
        <w:top w:val="none" w:sz="0" w:space="0" w:color="auto"/>
        <w:left w:val="none" w:sz="0" w:space="0" w:color="auto"/>
        <w:bottom w:val="none" w:sz="0" w:space="0" w:color="auto"/>
        <w:right w:val="none" w:sz="0" w:space="0" w:color="auto"/>
      </w:divBdr>
    </w:div>
    <w:div w:id="931862844">
      <w:marLeft w:val="480"/>
      <w:marRight w:val="0"/>
      <w:marTop w:val="0"/>
      <w:marBottom w:val="0"/>
      <w:divBdr>
        <w:top w:val="none" w:sz="0" w:space="0" w:color="auto"/>
        <w:left w:val="none" w:sz="0" w:space="0" w:color="auto"/>
        <w:bottom w:val="none" w:sz="0" w:space="0" w:color="auto"/>
        <w:right w:val="none" w:sz="0" w:space="0" w:color="auto"/>
      </w:divBdr>
    </w:div>
    <w:div w:id="932126842">
      <w:marLeft w:val="480"/>
      <w:marRight w:val="0"/>
      <w:marTop w:val="0"/>
      <w:marBottom w:val="0"/>
      <w:divBdr>
        <w:top w:val="none" w:sz="0" w:space="0" w:color="auto"/>
        <w:left w:val="none" w:sz="0" w:space="0" w:color="auto"/>
        <w:bottom w:val="none" w:sz="0" w:space="0" w:color="auto"/>
        <w:right w:val="none" w:sz="0" w:space="0" w:color="auto"/>
      </w:divBdr>
    </w:div>
    <w:div w:id="932319843">
      <w:marLeft w:val="480"/>
      <w:marRight w:val="0"/>
      <w:marTop w:val="0"/>
      <w:marBottom w:val="0"/>
      <w:divBdr>
        <w:top w:val="none" w:sz="0" w:space="0" w:color="auto"/>
        <w:left w:val="none" w:sz="0" w:space="0" w:color="auto"/>
        <w:bottom w:val="none" w:sz="0" w:space="0" w:color="auto"/>
        <w:right w:val="none" w:sz="0" w:space="0" w:color="auto"/>
      </w:divBdr>
    </w:div>
    <w:div w:id="936255737">
      <w:marLeft w:val="480"/>
      <w:marRight w:val="0"/>
      <w:marTop w:val="0"/>
      <w:marBottom w:val="0"/>
      <w:divBdr>
        <w:top w:val="none" w:sz="0" w:space="0" w:color="auto"/>
        <w:left w:val="none" w:sz="0" w:space="0" w:color="auto"/>
        <w:bottom w:val="none" w:sz="0" w:space="0" w:color="auto"/>
        <w:right w:val="none" w:sz="0" w:space="0" w:color="auto"/>
      </w:divBdr>
    </w:div>
    <w:div w:id="938413409">
      <w:marLeft w:val="480"/>
      <w:marRight w:val="0"/>
      <w:marTop w:val="0"/>
      <w:marBottom w:val="0"/>
      <w:divBdr>
        <w:top w:val="none" w:sz="0" w:space="0" w:color="auto"/>
        <w:left w:val="none" w:sz="0" w:space="0" w:color="auto"/>
        <w:bottom w:val="none" w:sz="0" w:space="0" w:color="auto"/>
        <w:right w:val="none" w:sz="0" w:space="0" w:color="auto"/>
      </w:divBdr>
    </w:div>
    <w:div w:id="941499525">
      <w:marLeft w:val="480"/>
      <w:marRight w:val="0"/>
      <w:marTop w:val="0"/>
      <w:marBottom w:val="0"/>
      <w:divBdr>
        <w:top w:val="none" w:sz="0" w:space="0" w:color="auto"/>
        <w:left w:val="none" w:sz="0" w:space="0" w:color="auto"/>
        <w:bottom w:val="none" w:sz="0" w:space="0" w:color="auto"/>
        <w:right w:val="none" w:sz="0" w:space="0" w:color="auto"/>
      </w:divBdr>
    </w:div>
    <w:div w:id="941719476">
      <w:marLeft w:val="480"/>
      <w:marRight w:val="0"/>
      <w:marTop w:val="0"/>
      <w:marBottom w:val="0"/>
      <w:divBdr>
        <w:top w:val="none" w:sz="0" w:space="0" w:color="auto"/>
        <w:left w:val="none" w:sz="0" w:space="0" w:color="auto"/>
        <w:bottom w:val="none" w:sz="0" w:space="0" w:color="auto"/>
        <w:right w:val="none" w:sz="0" w:space="0" w:color="auto"/>
      </w:divBdr>
    </w:div>
    <w:div w:id="941884698">
      <w:marLeft w:val="480"/>
      <w:marRight w:val="0"/>
      <w:marTop w:val="0"/>
      <w:marBottom w:val="0"/>
      <w:divBdr>
        <w:top w:val="none" w:sz="0" w:space="0" w:color="auto"/>
        <w:left w:val="none" w:sz="0" w:space="0" w:color="auto"/>
        <w:bottom w:val="none" w:sz="0" w:space="0" w:color="auto"/>
        <w:right w:val="none" w:sz="0" w:space="0" w:color="auto"/>
      </w:divBdr>
    </w:div>
    <w:div w:id="942221918">
      <w:marLeft w:val="480"/>
      <w:marRight w:val="0"/>
      <w:marTop w:val="0"/>
      <w:marBottom w:val="0"/>
      <w:divBdr>
        <w:top w:val="none" w:sz="0" w:space="0" w:color="auto"/>
        <w:left w:val="none" w:sz="0" w:space="0" w:color="auto"/>
        <w:bottom w:val="none" w:sz="0" w:space="0" w:color="auto"/>
        <w:right w:val="none" w:sz="0" w:space="0" w:color="auto"/>
      </w:divBdr>
    </w:div>
    <w:div w:id="943223070">
      <w:marLeft w:val="480"/>
      <w:marRight w:val="0"/>
      <w:marTop w:val="0"/>
      <w:marBottom w:val="0"/>
      <w:divBdr>
        <w:top w:val="none" w:sz="0" w:space="0" w:color="auto"/>
        <w:left w:val="none" w:sz="0" w:space="0" w:color="auto"/>
        <w:bottom w:val="none" w:sz="0" w:space="0" w:color="auto"/>
        <w:right w:val="none" w:sz="0" w:space="0" w:color="auto"/>
      </w:divBdr>
    </w:div>
    <w:div w:id="944843920">
      <w:marLeft w:val="480"/>
      <w:marRight w:val="0"/>
      <w:marTop w:val="0"/>
      <w:marBottom w:val="0"/>
      <w:divBdr>
        <w:top w:val="none" w:sz="0" w:space="0" w:color="auto"/>
        <w:left w:val="none" w:sz="0" w:space="0" w:color="auto"/>
        <w:bottom w:val="none" w:sz="0" w:space="0" w:color="auto"/>
        <w:right w:val="none" w:sz="0" w:space="0" w:color="auto"/>
      </w:divBdr>
    </w:div>
    <w:div w:id="945117545">
      <w:marLeft w:val="480"/>
      <w:marRight w:val="0"/>
      <w:marTop w:val="0"/>
      <w:marBottom w:val="0"/>
      <w:divBdr>
        <w:top w:val="none" w:sz="0" w:space="0" w:color="auto"/>
        <w:left w:val="none" w:sz="0" w:space="0" w:color="auto"/>
        <w:bottom w:val="none" w:sz="0" w:space="0" w:color="auto"/>
        <w:right w:val="none" w:sz="0" w:space="0" w:color="auto"/>
      </w:divBdr>
    </w:div>
    <w:div w:id="945964666">
      <w:marLeft w:val="480"/>
      <w:marRight w:val="0"/>
      <w:marTop w:val="0"/>
      <w:marBottom w:val="0"/>
      <w:divBdr>
        <w:top w:val="none" w:sz="0" w:space="0" w:color="auto"/>
        <w:left w:val="none" w:sz="0" w:space="0" w:color="auto"/>
        <w:bottom w:val="none" w:sz="0" w:space="0" w:color="auto"/>
        <w:right w:val="none" w:sz="0" w:space="0" w:color="auto"/>
      </w:divBdr>
    </w:div>
    <w:div w:id="946693713">
      <w:marLeft w:val="480"/>
      <w:marRight w:val="0"/>
      <w:marTop w:val="0"/>
      <w:marBottom w:val="0"/>
      <w:divBdr>
        <w:top w:val="none" w:sz="0" w:space="0" w:color="auto"/>
        <w:left w:val="none" w:sz="0" w:space="0" w:color="auto"/>
        <w:bottom w:val="none" w:sz="0" w:space="0" w:color="auto"/>
        <w:right w:val="none" w:sz="0" w:space="0" w:color="auto"/>
      </w:divBdr>
    </w:div>
    <w:div w:id="950940191">
      <w:marLeft w:val="480"/>
      <w:marRight w:val="0"/>
      <w:marTop w:val="0"/>
      <w:marBottom w:val="0"/>
      <w:divBdr>
        <w:top w:val="none" w:sz="0" w:space="0" w:color="auto"/>
        <w:left w:val="none" w:sz="0" w:space="0" w:color="auto"/>
        <w:bottom w:val="none" w:sz="0" w:space="0" w:color="auto"/>
        <w:right w:val="none" w:sz="0" w:space="0" w:color="auto"/>
      </w:divBdr>
    </w:div>
    <w:div w:id="952786645">
      <w:marLeft w:val="480"/>
      <w:marRight w:val="0"/>
      <w:marTop w:val="0"/>
      <w:marBottom w:val="0"/>
      <w:divBdr>
        <w:top w:val="none" w:sz="0" w:space="0" w:color="auto"/>
        <w:left w:val="none" w:sz="0" w:space="0" w:color="auto"/>
        <w:bottom w:val="none" w:sz="0" w:space="0" w:color="auto"/>
        <w:right w:val="none" w:sz="0" w:space="0" w:color="auto"/>
      </w:divBdr>
    </w:div>
    <w:div w:id="954599225">
      <w:marLeft w:val="480"/>
      <w:marRight w:val="0"/>
      <w:marTop w:val="0"/>
      <w:marBottom w:val="0"/>
      <w:divBdr>
        <w:top w:val="none" w:sz="0" w:space="0" w:color="auto"/>
        <w:left w:val="none" w:sz="0" w:space="0" w:color="auto"/>
        <w:bottom w:val="none" w:sz="0" w:space="0" w:color="auto"/>
        <w:right w:val="none" w:sz="0" w:space="0" w:color="auto"/>
      </w:divBdr>
    </w:div>
    <w:div w:id="958486464">
      <w:marLeft w:val="480"/>
      <w:marRight w:val="0"/>
      <w:marTop w:val="0"/>
      <w:marBottom w:val="0"/>
      <w:divBdr>
        <w:top w:val="none" w:sz="0" w:space="0" w:color="auto"/>
        <w:left w:val="none" w:sz="0" w:space="0" w:color="auto"/>
        <w:bottom w:val="none" w:sz="0" w:space="0" w:color="auto"/>
        <w:right w:val="none" w:sz="0" w:space="0" w:color="auto"/>
      </w:divBdr>
    </w:div>
    <w:div w:id="960185561">
      <w:marLeft w:val="480"/>
      <w:marRight w:val="0"/>
      <w:marTop w:val="0"/>
      <w:marBottom w:val="0"/>
      <w:divBdr>
        <w:top w:val="none" w:sz="0" w:space="0" w:color="auto"/>
        <w:left w:val="none" w:sz="0" w:space="0" w:color="auto"/>
        <w:bottom w:val="none" w:sz="0" w:space="0" w:color="auto"/>
        <w:right w:val="none" w:sz="0" w:space="0" w:color="auto"/>
      </w:divBdr>
    </w:div>
    <w:div w:id="961031420">
      <w:marLeft w:val="480"/>
      <w:marRight w:val="0"/>
      <w:marTop w:val="0"/>
      <w:marBottom w:val="0"/>
      <w:divBdr>
        <w:top w:val="none" w:sz="0" w:space="0" w:color="auto"/>
        <w:left w:val="none" w:sz="0" w:space="0" w:color="auto"/>
        <w:bottom w:val="none" w:sz="0" w:space="0" w:color="auto"/>
        <w:right w:val="none" w:sz="0" w:space="0" w:color="auto"/>
      </w:divBdr>
    </w:div>
    <w:div w:id="961352080">
      <w:marLeft w:val="480"/>
      <w:marRight w:val="0"/>
      <w:marTop w:val="0"/>
      <w:marBottom w:val="0"/>
      <w:divBdr>
        <w:top w:val="none" w:sz="0" w:space="0" w:color="auto"/>
        <w:left w:val="none" w:sz="0" w:space="0" w:color="auto"/>
        <w:bottom w:val="none" w:sz="0" w:space="0" w:color="auto"/>
        <w:right w:val="none" w:sz="0" w:space="0" w:color="auto"/>
      </w:divBdr>
    </w:div>
    <w:div w:id="962232027">
      <w:marLeft w:val="480"/>
      <w:marRight w:val="0"/>
      <w:marTop w:val="0"/>
      <w:marBottom w:val="0"/>
      <w:divBdr>
        <w:top w:val="none" w:sz="0" w:space="0" w:color="auto"/>
        <w:left w:val="none" w:sz="0" w:space="0" w:color="auto"/>
        <w:bottom w:val="none" w:sz="0" w:space="0" w:color="auto"/>
        <w:right w:val="none" w:sz="0" w:space="0" w:color="auto"/>
      </w:divBdr>
    </w:div>
    <w:div w:id="963774075">
      <w:marLeft w:val="480"/>
      <w:marRight w:val="0"/>
      <w:marTop w:val="0"/>
      <w:marBottom w:val="0"/>
      <w:divBdr>
        <w:top w:val="none" w:sz="0" w:space="0" w:color="auto"/>
        <w:left w:val="none" w:sz="0" w:space="0" w:color="auto"/>
        <w:bottom w:val="none" w:sz="0" w:space="0" w:color="auto"/>
        <w:right w:val="none" w:sz="0" w:space="0" w:color="auto"/>
      </w:divBdr>
    </w:div>
    <w:div w:id="966007333">
      <w:marLeft w:val="480"/>
      <w:marRight w:val="0"/>
      <w:marTop w:val="0"/>
      <w:marBottom w:val="0"/>
      <w:divBdr>
        <w:top w:val="none" w:sz="0" w:space="0" w:color="auto"/>
        <w:left w:val="none" w:sz="0" w:space="0" w:color="auto"/>
        <w:bottom w:val="none" w:sz="0" w:space="0" w:color="auto"/>
        <w:right w:val="none" w:sz="0" w:space="0" w:color="auto"/>
      </w:divBdr>
    </w:div>
    <w:div w:id="966935727">
      <w:marLeft w:val="480"/>
      <w:marRight w:val="0"/>
      <w:marTop w:val="0"/>
      <w:marBottom w:val="0"/>
      <w:divBdr>
        <w:top w:val="none" w:sz="0" w:space="0" w:color="auto"/>
        <w:left w:val="none" w:sz="0" w:space="0" w:color="auto"/>
        <w:bottom w:val="none" w:sz="0" w:space="0" w:color="auto"/>
        <w:right w:val="none" w:sz="0" w:space="0" w:color="auto"/>
      </w:divBdr>
    </w:div>
    <w:div w:id="967975056">
      <w:marLeft w:val="480"/>
      <w:marRight w:val="0"/>
      <w:marTop w:val="0"/>
      <w:marBottom w:val="0"/>
      <w:divBdr>
        <w:top w:val="none" w:sz="0" w:space="0" w:color="auto"/>
        <w:left w:val="none" w:sz="0" w:space="0" w:color="auto"/>
        <w:bottom w:val="none" w:sz="0" w:space="0" w:color="auto"/>
        <w:right w:val="none" w:sz="0" w:space="0" w:color="auto"/>
      </w:divBdr>
    </w:div>
    <w:div w:id="968364368">
      <w:marLeft w:val="480"/>
      <w:marRight w:val="0"/>
      <w:marTop w:val="0"/>
      <w:marBottom w:val="0"/>
      <w:divBdr>
        <w:top w:val="none" w:sz="0" w:space="0" w:color="auto"/>
        <w:left w:val="none" w:sz="0" w:space="0" w:color="auto"/>
        <w:bottom w:val="none" w:sz="0" w:space="0" w:color="auto"/>
        <w:right w:val="none" w:sz="0" w:space="0" w:color="auto"/>
      </w:divBdr>
    </w:div>
    <w:div w:id="968708002">
      <w:marLeft w:val="480"/>
      <w:marRight w:val="0"/>
      <w:marTop w:val="0"/>
      <w:marBottom w:val="0"/>
      <w:divBdr>
        <w:top w:val="none" w:sz="0" w:space="0" w:color="auto"/>
        <w:left w:val="none" w:sz="0" w:space="0" w:color="auto"/>
        <w:bottom w:val="none" w:sz="0" w:space="0" w:color="auto"/>
        <w:right w:val="none" w:sz="0" w:space="0" w:color="auto"/>
      </w:divBdr>
    </w:div>
    <w:div w:id="970283472">
      <w:marLeft w:val="480"/>
      <w:marRight w:val="0"/>
      <w:marTop w:val="0"/>
      <w:marBottom w:val="0"/>
      <w:divBdr>
        <w:top w:val="none" w:sz="0" w:space="0" w:color="auto"/>
        <w:left w:val="none" w:sz="0" w:space="0" w:color="auto"/>
        <w:bottom w:val="none" w:sz="0" w:space="0" w:color="auto"/>
        <w:right w:val="none" w:sz="0" w:space="0" w:color="auto"/>
      </w:divBdr>
    </w:div>
    <w:div w:id="970670106">
      <w:marLeft w:val="480"/>
      <w:marRight w:val="0"/>
      <w:marTop w:val="0"/>
      <w:marBottom w:val="0"/>
      <w:divBdr>
        <w:top w:val="none" w:sz="0" w:space="0" w:color="auto"/>
        <w:left w:val="none" w:sz="0" w:space="0" w:color="auto"/>
        <w:bottom w:val="none" w:sz="0" w:space="0" w:color="auto"/>
        <w:right w:val="none" w:sz="0" w:space="0" w:color="auto"/>
      </w:divBdr>
    </w:div>
    <w:div w:id="971600122">
      <w:marLeft w:val="480"/>
      <w:marRight w:val="0"/>
      <w:marTop w:val="0"/>
      <w:marBottom w:val="0"/>
      <w:divBdr>
        <w:top w:val="none" w:sz="0" w:space="0" w:color="auto"/>
        <w:left w:val="none" w:sz="0" w:space="0" w:color="auto"/>
        <w:bottom w:val="none" w:sz="0" w:space="0" w:color="auto"/>
        <w:right w:val="none" w:sz="0" w:space="0" w:color="auto"/>
      </w:divBdr>
    </w:div>
    <w:div w:id="973945642">
      <w:marLeft w:val="480"/>
      <w:marRight w:val="0"/>
      <w:marTop w:val="0"/>
      <w:marBottom w:val="0"/>
      <w:divBdr>
        <w:top w:val="none" w:sz="0" w:space="0" w:color="auto"/>
        <w:left w:val="none" w:sz="0" w:space="0" w:color="auto"/>
        <w:bottom w:val="none" w:sz="0" w:space="0" w:color="auto"/>
        <w:right w:val="none" w:sz="0" w:space="0" w:color="auto"/>
      </w:divBdr>
    </w:div>
    <w:div w:id="974069282">
      <w:marLeft w:val="480"/>
      <w:marRight w:val="0"/>
      <w:marTop w:val="0"/>
      <w:marBottom w:val="0"/>
      <w:divBdr>
        <w:top w:val="none" w:sz="0" w:space="0" w:color="auto"/>
        <w:left w:val="none" w:sz="0" w:space="0" w:color="auto"/>
        <w:bottom w:val="none" w:sz="0" w:space="0" w:color="auto"/>
        <w:right w:val="none" w:sz="0" w:space="0" w:color="auto"/>
      </w:divBdr>
    </w:div>
    <w:div w:id="974524359">
      <w:marLeft w:val="480"/>
      <w:marRight w:val="0"/>
      <w:marTop w:val="0"/>
      <w:marBottom w:val="0"/>
      <w:divBdr>
        <w:top w:val="none" w:sz="0" w:space="0" w:color="auto"/>
        <w:left w:val="none" w:sz="0" w:space="0" w:color="auto"/>
        <w:bottom w:val="none" w:sz="0" w:space="0" w:color="auto"/>
        <w:right w:val="none" w:sz="0" w:space="0" w:color="auto"/>
      </w:divBdr>
    </w:div>
    <w:div w:id="975836707">
      <w:marLeft w:val="480"/>
      <w:marRight w:val="0"/>
      <w:marTop w:val="0"/>
      <w:marBottom w:val="0"/>
      <w:divBdr>
        <w:top w:val="none" w:sz="0" w:space="0" w:color="auto"/>
        <w:left w:val="none" w:sz="0" w:space="0" w:color="auto"/>
        <w:bottom w:val="none" w:sz="0" w:space="0" w:color="auto"/>
        <w:right w:val="none" w:sz="0" w:space="0" w:color="auto"/>
      </w:divBdr>
    </w:div>
    <w:div w:id="975914437">
      <w:marLeft w:val="480"/>
      <w:marRight w:val="0"/>
      <w:marTop w:val="0"/>
      <w:marBottom w:val="0"/>
      <w:divBdr>
        <w:top w:val="none" w:sz="0" w:space="0" w:color="auto"/>
        <w:left w:val="none" w:sz="0" w:space="0" w:color="auto"/>
        <w:bottom w:val="none" w:sz="0" w:space="0" w:color="auto"/>
        <w:right w:val="none" w:sz="0" w:space="0" w:color="auto"/>
      </w:divBdr>
    </w:div>
    <w:div w:id="977731687">
      <w:marLeft w:val="480"/>
      <w:marRight w:val="0"/>
      <w:marTop w:val="0"/>
      <w:marBottom w:val="0"/>
      <w:divBdr>
        <w:top w:val="none" w:sz="0" w:space="0" w:color="auto"/>
        <w:left w:val="none" w:sz="0" w:space="0" w:color="auto"/>
        <w:bottom w:val="none" w:sz="0" w:space="0" w:color="auto"/>
        <w:right w:val="none" w:sz="0" w:space="0" w:color="auto"/>
      </w:divBdr>
    </w:div>
    <w:div w:id="979260683">
      <w:marLeft w:val="480"/>
      <w:marRight w:val="0"/>
      <w:marTop w:val="0"/>
      <w:marBottom w:val="0"/>
      <w:divBdr>
        <w:top w:val="none" w:sz="0" w:space="0" w:color="auto"/>
        <w:left w:val="none" w:sz="0" w:space="0" w:color="auto"/>
        <w:bottom w:val="none" w:sz="0" w:space="0" w:color="auto"/>
        <w:right w:val="none" w:sz="0" w:space="0" w:color="auto"/>
      </w:divBdr>
    </w:div>
    <w:div w:id="979502310">
      <w:marLeft w:val="480"/>
      <w:marRight w:val="0"/>
      <w:marTop w:val="0"/>
      <w:marBottom w:val="0"/>
      <w:divBdr>
        <w:top w:val="none" w:sz="0" w:space="0" w:color="auto"/>
        <w:left w:val="none" w:sz="0" w:space="0" w:color="auto"/>
        <w:bottom w:val="none" w:sz="0" w:space="0" w:color="auto"/>
        <w:right w:val="none" w:sz="0" w:space="0" w:color="auto"/>
      </w:divBdr>
    </w:div>
    <w:div w:id="983317207">
      <w:marLeft w:val="480"/>
      <w:marRight w:val="0"/>
      <w:marTop w:val="0"/>
      <w:marBottom w:val="0"/>
      <w:divBdr>
        <w:top w:val="none" w:sz="0" w:space="0" w:color="auto"/>
        <w:left w:val="none" w:sz="0" w:space="0" w:color="auto"/>
        <w:bottom w:val="none" w:sz="0" w:space="0" w:color="auto"/>
        <w:right w:val="none" w:sz="0" w:space="0" w:color="auto"/>
      </w:divBdr>
    </w:div>
    <w:div w:id="984041300">
      <w:marLeft w:val="480"/>
      <w:marRight w:val="0"/>
      <w:marTop w:val="0"/>
      <w:marBottom w:val="0"/>
      <w:divBdr>
        <w:top w:val="none" w:sz="0" w:space="0" w:color="auto"/>
        <w:left w:val="none" w:sz="0" w:space="0" w:color="auto"/>
        <w:bottom w:val="none" w:sz="0" w:space="0" w:color="auto"/>
        <w:right w:val="none" w:sz="0" w:space="0" w:color="auto"/>
      </w:divBdr>
    </w:div>
    <w:div w:id="985821208">
      <w:marLeft w:val="480"/>
      <w:marRight w:val="0"/>
      <w:marTop w:val="0"/>
      <w:marBottom w:val="0"/>
      <w:divBdr>
        <w:top w:val="none" w:sz="0" w:space="0" w:color="auto"/>
        <w:left w:val="none" w:sz="0" w:space="0" w:color="auto"/>
        <w:bottom w:val="none" w:sz="0" w:space="0" w:color="auto"/>
        <w:right w:val="none" w:sz="0" w:space="0" w:color="auto"/>
      </w:divBdr>
    </w:div>
    <w:div w:id="989939319">
      <w:marLeft w:val="480"/>
      <w:marRight w:val="0"/>
      <w:marTop w:val="0"/>
      <w:marBottom w:val="0"/>
      <w:divBdr>
        <w:top w:val="none" w:sz="0" w:space="0" w:color="auto"/>
        <w:left w:val="none" w:sz="0" w:space="0" w:color="auto"/>
        <w:bottom w:val="none" w:sz="0" w:space="0" w:color="auto"/>
        <w:right w:val="none" w:sz="0" w:space="0" w:color="auto"/>
      </w:divBdr>
    </w:div>
    <w:div w:id="991711043">
      <w:marLeft w:val="480"/>
      <w:marRight w:val="0"/>
      <w:marTop w:val="0"/>
      <w:marBottom w:val="0"/>
      <w:divBdr>
        <w:top w:val="none" w:sz="0" w:space="0" w:color="auto"/>
        <w:left w:val="none" w:sz="0" w:space="0" w:color="auto"/>
        <w:bottom w:val="none" w:sz="0" w:space="0" w:color="auto"/>
        <w:right w:val="none" w:sz="0" w:space="0" w:color="auto"/>
      </w:divBdr>
    </w:div>
    <w:div w:id="993410672">
      <w:marLeft w:val="480"/>
      <w:marRight w:val="0"/>
      <w:marTop w:val="0"/>
      <w:marBottom w:val="0"/>
      <w:divBdr>
        <w:top w:val="none" w:sz="0" w:space="0" w:color="auto"/>
        <w:left w:val="none" w:sz="0" w:space="0" w:color="auto"/>
        <w:bottom w:val="none" w:sz="0" w:space="0" w:color="auto"/>
        <w:right w:val="none" w:sz="0" w:space="0" w:color="auto"/>
      </w:divBdr>
    </w:div>
    <w:div w:id="994265778">
      <w:marLeft w:val="480"/>
      <w:marRight w:val="0"/>
      <w:marTop w:val="0"/>
      <w:marBottom w:val="0"/>
      <w:divBdr>
        <w:top w:val="none" w:sz="0" w:space="0" w:color="auto"/>
        <w:left w:val="none" w:sz="0" w:space="0" w:color="auto"/>
        <w:bottom w:val="none" w:sz="0" w:space="0" w:color="auto"/>
        <w:right w:val="none" w:sz="0" w:space="0" w:color="auto"/>
      </w:divBdr>
    </w:div>
    <w:div w:id="996685640">
      <w:marLeft w:val="480"/>
      <w:marRight w:val="0"/>
      <w:marTop w:val="0"/>
      <w:marBottom w:val="0"/>
      <w:divBdr>
        <w:top w:val="none" w:sz="0" w:space="0" w:color="auto"/>
        <w:left w:val="none" w:sz="0" w:space="0" w:color="auto"/>
        <w:bottom w:val="none" w:sz="0" w:space="0" w:color="auto"/>
        <w:right w:val="none" w:sz="0" w:space="0" w:color="auto"/>
      </w:divBdr>
    </w:div>
    <w:div w:id="997999576">
      <w:marLeft w:val="480"/>
      <w:marRight w:val="0"/>
      <w:marTop w:val="0"/>
      <w:marBottom w:val="0"/>
      <w:divBdr>
        <w:top w:val="none" w:sz="0" w:space="0" w:color="auto"/>
        <w:left w:val="none" w:sz="0" w:space="0" w:color="auto"/>
        <w:bottom w:val="none" w:sz="0" w:space="0" w:color="auto"/>
        <w:right w:val="none" w:sz="0" w:space="0" w:color="auto"/>
      </w:divBdr>
    </w:div>
    <w:div w:id="998000476">
      <w:marLeft w:val="480"/>
      <w:marRight w:val="0"/>
      <w:marTop w:val="0"/>
      <w:marBottom w:val="0"/>
      <w:divBdr>
        <w:top w:val="none" w:sz="0" w:space="0" w:color="auto"/>
        <w:left w:val="none" w:sz="0" w:space="0" w:color="auto"/>
        <w:bottom w:val="none" w:sz="0" w:space="0" w:color="auto"/>
        <w:right w:val="none" w:sz="0" w:space="0" w:color="auto"/>
      </w:divBdr>
    </w:div>
    <w:div w:id="998271795">
      <w:marLeft w:val="480"/>
      <w:marRight w:val="0"/>
      <w:marTop w:val="0"/>
      <w:marBottom w:val="0"/>
      <w:divBdr>
        <w:top w:val="none" w:sz="0" w:space="0" w:color="auto"/>
        <w:left w:val="none" w:sz="0" w:space="0" w:color="auto"/>
        <w:bottom w:val="none" w:sz="0" w:space="0" w:color="auto"/>
        <w:right w:val="none" w:sz="0" w:space="0" w:color="auto"/>
      </w:divBdr>
    </w:div>
    <w:div w:id="1001591272">
      <w:marLeft w:val="480"/>
      <w:marRight w:val="0"/>
      <w:marTop w:val="0"/>
      <w:marBottom w:val="0"/>
      <w:divBdr>
        <w:top w:val="none" w:sz="0" w:space="0" w:color="auto"/>
        <w:left w:val="none" w:sz="0" w:space="0" w:color="auto"/>
        <w:bottom w:val="none" w:sz="0" w:space="0" w:color="auto"/>
        <w:right w:val="none" w:sz="0" w:space="0" w:color="auto"/>
      </w:divBdr>
    </w:div>
    <w:div w:id="1001662467">
      <w:marLeft w:val="480"/>
      <w:marRight w:val="0"/>
      <w:marTop w:val="0"/>
      <w:marBottom w:val="0"/>
      <w:divBdr>
        <w:top w:val="none" w:sz="0" w:space="0" w:color="auto"/>
        <w:left w:val="none" w:sz="0" w:space="0" w:color="auto"/>
        <w:bottom w:val="none" w:sz="0" w:space="0" w:color="auto"/>
        <w:right w:val="none" w:sz="0" w:space="0" w:color="auto"/>
      </w:divBdr>
    </w:div>
    <w:div w:id="1005666919">
      <w:marLeft w:val="480"/>
      <w:marRight w:val="0"/>
      <w:marTop w:val="0"/>
      <w:marBottom w:val="0"/>
      <w:divBdr>
        <w:top w:val="none" w:sz="0" w:space="0" w:color="auto"/>
        <w:left w:val="none" w:sz="0" w:space="0" w:color="auto"/>
        <w:bottom w:val="none" w:sz="0" w:space="0" w:color="auto"/>
        <w:right w:val="none" w:sz="0" w:space="0" w:color="auto"/>
      </w:divBdr>
    </w:div>
    <w:div w:id="1007825004">
      <w:marLeft w:val="480"/>
      <w:marRight w:val="0"/>
      <w:marTop w:val="0"/>
      <w:marBottom w:val="0"/>
      <w:divBdr>
        <w:top w:val="none" w:sz="0" w:space="0" w:color="auto"/>
        <w:left w:val="none" w:sz="0" w:space="0" w:color="auto"/>
        <w:bottom w:val="none" w:sz="0" w:space="0" w:color="auto"/>
        <w:right w:val="none" w:sz="0" w:space="0" w:color="auto"/>
      </w:divBdr>
    </w:div>
    <w:div w:id="1008601330">
      <w:marLeft w:val="480"/>
      <w:marRight w:val="0"/>
      <w:marTop w:val="0"/>
      <w:marBottom w:val="0"/>
      <w:divBdr>
        <w:top w:val="none" w:sz="0" w:space="0" w:color="auto"/>
        <w:left w:val="none" w:sz="0" w:space="0" w:color="auto"/>
        <w:bottom w:val="none" w:sz="0" w:space="0" w:color="auto"/>
        <w:right w:val="none" w:sz="0" w:space="0" w:color="auto"/>
      </w:divBdr>
    </w:div>
    <w:div w:id="1009260511">
      <w:marLeft w:val="480"/>
      <w:marRight w:val="0"/>
      <w:marTop w:val="0"/>
      <w:marBottom w:val="0"/>
      <w:divBdr>
        <w:top w:val="none" w:sz="0" w:space="0" w:color="auto"/>
        <w:left w:val="none" w:sz="0" w:space="0" w:color="auto"/>
        <w:bottom w:val="none" w:sz="0" w:space="0" w:color="auto"/>
        <w:right w:val="none" w:sz="0" w:space="0" w:color="auto"/>
      </w:divBdr>
    </w:div>
    <w:div w:id="1009412285">
      <w:marLeft w:val="480"/>
      <w:marRight w:val="0"/>
      <w:marTop w:val="0"/>
      <w:marBottom w:val="0"/>
      <w:divBdr>
        <w:top w:val="none" w:sz="0" w:space="0" w:color="auto"/>
        <w:left w:val="none" w:sz="0" w:space="0" w:color="auto"/>
        <w:bottom w:val="none" w:sz="0" w:space="0" w:color="auto"/>
        <w:right w:val="none" w:sz="0" w:space="0" w:color="auto"/>
      </w:divBdr>
    </w:div>
    <w:div w:id="1009481967">
      <w:marLeft w:val="480"/>
      <w:marRight w:val="0"/>
      <w:marTop w:val="0"/>
      <w:marBottom w:val="0"/>
      <w:divBdr>
        <w:top w:val="none" w:sz="0" w:space="0" w:color="auto"/>
        <w:left w:val="none" w:sz="0" w:space="0" w:color="auto"/>
        <w:bottom w:val="none" w:sz="0" w:space="0" w:color="auto"/>
        <w:right w:val="none" w:sz="0" w:space="0" w:color="auto"/>
      </w:divBdr>
    </w:div>
    <w:div w:id="1010982607">
      <w:marLeft w:val="480"/>
      <w:marRight w:val="0"/>
      <w:marTop w:val="0"/>
      <w:marBottom w:val="0"/>
      <w:divBdr>
        <w:top w:val="none" w:sz="0" w:space="0" w:color="auto"/>
        <w:left w:val="none" w:sz="0" w:space="0" w:color="auto"/>
        <w:bottom w:val="none" w:sz="0" w:space="0" w:color="auto"/>
        <w:right w:val="none" w:sz="0" w:space="0" w:color="auto"/>
      </w:divBdr>
    </w:div>
    <w:div w:id="1013579879">
      <w:marLeft w:val="480"/>
      <w:marRight w:val="0"/>
      <w:marTop w:val="0"/>
      <w:marBottom w:val="0"/>
      <w:divBdr>
        <w:top w:val="none" w:sz="0" w:space="0" w:color="auto"/>
        <w:left w:val="none" w:sz="0" w:space="0" w:color="auto"/>
        <w:bottom w:val="none" w:sz="0" w:space="0" w:color="auto"/>
        <w:right w:val="none" w:sz="0" w:space="0" w:color="auto"/>
      </w:divBdr>
    </w:div>
    <w:div w:id="1013845813">
      <w:marLeft w:val="480"/>
      <w:marRight w:val="0"/>
      <w:marTop w:val="0"/>
      <w:marBottom w:val="0"/>
      <w:divBdr>
        <w:top w:val="none" w:sz="0" w:space="0" w:color="auto"/>
        <w:left w:val="none" w:sz="0" w:space="0" w:color="auto"/>
        <w:bottom w:val="none" w:sz="0" w:space="0" w:color="auto"/>
        <w:right w:val="none" w:sz="0" w:space="0" w:color="auto"/>
      </w:divBdr>
    </w:div>
    <w:div w:id="1013999223">
      <w:marLeft w:val="480"/>
      <w:marRight w:val="0"/>
      <w:marTop w:val="0"/>
      <w:marBottom w:val="0"/>
      <w:divBdr>
        <w:top w:val="none" w:sz="0" w:space="0" w:color="auto"/>
        <w:left w:val="none" w:sz="0" w:space="0" w:color="auto"/>
        <w:bottom w:val="none" w:sz="0" w:space="0" w:color="auto"/>
        <w:right w:val="none" w:sz="0" w:space="0" w:color="auto"/>
      </w:divBdr>
    </w:div>
    <w:div w:id="1014263378">
      <w:marLeft w:val="480"/>
      <w:marRight w:val="0"/>
      <w:marTop w:val="0"/>
      <w:marBottom w:val="0"/>
      <w:divBdr>
        <w:top w:val="none" w:sz="0" w:space="0" w:color="auto"/>
        <w:left w:val="none" w:sz="0" w:space="0" w:color="auto"/>
        <w:bottom w:val="none" w:sz="0" w:space="0" w:color="auto"/>
        <w:right w:val="none" w:sz="0" w:space="0" w:color="auto"/>
      </w:divBdr>
    </w:div>
    <w:div w:id="1015695985">
      <w:marLeft w:val="480"/>
      <w:marRight w:val="0"/>
      <w:marTop w:val="0"/>
      <w:marBottom w:val="0"/>
      <w:divBdr>
        <w:top w:val="none" w:sz="0" w:space="0" w:color="auto"/>
        <w:left w:val="none" w:sz="0" w:space="0" w:color="auto"/>
        <w:bottom w:val="none" w:sz="0" w:space="0" w:color="auto"/>
        <w:right w:val="none" w:sz="0" w:space="0" w:color="auto"/>
      </w:divBdr>
    </w:div>
    <w:div w:id="1018310294">
      <w:marLeft w:val="480"/>
      <w:marRight w:val="0"/>
      <w:marTop w:val="0"/>
      <w:marBottom w:val="0"/>
      <w:divBdr>
        <w:top w:val="none" w:sz="0" w:space="0" w:color="auto"/>
        <w:left w:val="none" w:sz="0" w:space="0" w:color="auto"/>
        <w:bottom w:val="none" w:sz="0" w:space="0" w:color="auto"/>
        <w:right w:val="none" w:sz="0" w:space="0" w:color="auto"/>
      </w:divBdr>
    </w:div>
    <w:div w:id="1020661051">
      <w:marLeft w:val="480"/>
      <w:marRight w:val="0"/>
      <w:marTop w:val="0"/>
      <w:marBottom w:val="0"/>
      <w:divBdr>
        <w:top w:val="none" w:sz="0" w:space="0" w:color="auto"/>
        <w:left w:val="none" w:sz="0" w:space="0" w:color="auto"/>
        <w:bottom w:val="none" w:sz="0" w:space="0" w:color="auto"/>
        <w:right w:val="none" w:sz="0" w:space="0" w:color="auto"/>
      </w:divBdr>
    </w:div>
    <w:div w:id="1020934812">
      <w:marLeft w:val="480"/>
      <w:marRight w:val="0"/>
      <w:marTop w:val="0"/>
      <w:marBottom w:val="0"/>
      <w:divBdr>
        <w:top w:val="none" w:sz="0" w:space="0" w:color="auto"/>
        <w:left w:val="none" w:sz="0" w:space="0" w:color="auto"/>
        <w:bottom w:val="none" w:sz="0" w:space="0" w:color="auto"/>
        <w:right w:val="none" w:sz="0" w:space="0" w:color="auto"/>
      </w:divBdr>
    </w:div>
    <w:div w:id="1021203623">
      <w:marLeft w:val="480"/>
      <w:marRight w:val="0"/>
      <w:marTop w:val="0"/>
      <w:marBottom w:val="0"/>
      <w:divBdr>
        <w:top w:val="none" w:sz="0" w:space="0" w:color="auto"/>
        <w:left w:val="none" w:sz="0" w:space="0" w:color="auto"/>
        <w:bottom w:val="none" w:sz="0" w:space="0" w:color="auto"/>
        <w:right w:val="none" w:sz="0" w:space="0" w:color="auto"/>
      </w:divBdr>
    </w:div>
    <w:div w:id="1024359037">
      <w:marLeft w:val="480"/>
      <w:marRight w:val="0"/>
      <w:marTop w:val="0"/>
      <w:marBottom w:val="0"/>
      <w:divBdr>
        <w:top w:val="none" w:sz="0" w:space="0" w:color="auto"/>
        <w:left w:val="none" w:sz="0" w:space="0" w:color="auto"/>
        <w:bottom w:val="none" w:sz="0" w:space="0" w:color="auto"/>
        <w:right w:val="none" w:sz="0" w:space="0" w:color="auto"/>
      </w:divBdr>
    </w:div>
    <w:div w:id="1040057642">
      <w:marLeft w:val="480"/>
      <w:marRight w:val="0"/>
      <w:marTop w:val="0"/>
      <w:marBottom w:val="0"/>
      <w:divBdr>
        <w:top w:val="none" w:sz="0" w:space="0" w:color="auto"/>
        <w:left w:val="none" w:sz="0" w:space="0" w:color="auto"/>
        <w:bottom w:val="none" w:sz="0" w:space="0" w:color="auto"/>
        <w:right w:val="none" w:sz="0" w:space="0" w:color="auto"/>
      </w:divBdr>
    </w:div>
    <w:div w:id="1041829001">
      <w:marLeft w:val="480"/>
      <w:marRight w:val="0"/>
      <w:marTop w:val="0"/>
      <w:marBottom w:val="0"/>
      <w:divBdr>
        <w:top w:val="none" w:sz="0" w:space="0" w:color="auto"/>
        <w:left w:val="none" w:sz="0" w:space="0" w:color="auto"/>
        <w:bottom w:val="none" w:sz="0" w:space="0" w:color="auto"/>
        <w:right w:val="none" w:sz="0" w:space="0" w:color="auto"/>
      </w:divBdr>
    </w:div>
    <w:div w:id="1041978398">
      <w:marLeft w:val="480"/>
      <w:marRight w:val="0"/>
      <w:marTop w:val="0"/>
      <w:marBottom w:val="0"/>
      <w:divBdr>
        <w:top w:val="none" w:sz="0" w:space="0" w:color="auto"/>
        <w:left w:val="none" w:sz="0" w:space="0" w:color="auto"/>
        <w:bottom w:val="none" w:sz="0" w:space="0" w:color="auto"/>
        <w:right w:val="none" w:sz="0" w:space="0" w:color="auto"/>
      </w:divBdr>
    </w:div>
    <w:div w:id="1044600762">
      <w:marLeft w:val="480"/>
      <w:marRight w:val="0"/>
      <w:marTop w:val="0"/>
      <w:marBottom w:val="0"/>
      <w:divBdr>
        <w:top w:val="none" w:sz="0" w:space="0" w:color="auto"/>
        <w:left w:val="none" w:sz="0" w:space="0" w:color="auto"/>
        <w:bottom w:val="none" w:sz="0" w:space="0" w:color="auto"/>
        <w:right w:val="none" w:sz="0" w:space="0" w:color="auto"/>
      </w:divBdr>
    </w:div>
    <w:div w:id="1045986676">
      <w:marLeft w:val="480"/>
      <w:marRight w:val="0"/>
      <w:marTop w:val="0"/>
      <w:marBottom w:val="0"/>
      <w:divBdr>
        <w:top w:val="none" w:sz="0" w:space="0" w:color="auto"/>
        <w:left w:val="none" w:sz="0" w:space="0" w:color="auto"/>
        <w:bottom w:val="none" w:sz="0" w:space="0" w:color="auto"/>
        <w:right w:val="none" w:sz="0" w:space="0" w:color="auto"/>
      </w:divBdr>
    </w:div>
    <w:div w:id="1047028045">
      <w:marLeft w:val="480"/>
      <w:marRight w:val="0"/>
      <w:marTop w:val="0"/>
      <w:marBottom w:val="0"/>
      <w:divBdr>
        <w:top w:val="none" w:sz="0" w:space="0" w:color="auto"/>
        <w:left w:val="none" w:sz="0" w:space="0" w:color="auto"/>
        <w:bottom w:val="none" w:sz="0" w:space="0" w:color="auto"/>
        <w:right w:val="none" w:sz="0" w:space="0" w:color="auto"/>
      </w:divBdr>
    </w:div>
    <w:div w:id="1047097326">
      <w:marLeft w:val="480"/>
      <w:marRight w:val="0"/>
      <w:marTop w:val="0"/>
      <w:marBottom w:val="0"/>
      <w:divBdr>
        <w:top w:val="none" w:sz="0" w:space="0" w:color="auto"/>
        <w:left w:val="none" w:sz="0" w:space="0" w:color="auto"/>
        <w:bottom w:val="none" w:sz="0" w:space="0" w:color="auto"/>
        <w:right w:val="none" w:sz="0" w:space="0" w:color="auto"/>
      </w:divBdr>
    </w:div>
    <w:div w:id="1047800859">
      <w:marLeft w:val="480"/>
      <w:marRight w:val="0"/>
      <w:marTop w:val="0"/>
      <w:marBottom w:val="0"/>
      <w:divBdr>
        <w:top w:val="none" w:sz="0" w:space="0" w:color="auto"/>
        <w:left w:val="none" w:sz="0" w:space="0" w:color="auto"/>
        <w:bottom w:val="none" w:sz="0" w:space="0" w:color="auto"/>
        <w:right w:val="none" w:sz="0" w:space="0" w:color="auto"/>
      </w:divBdr>
    </w:div>
    <w:div w:id="1048844063">
      <w:marLeft w:val="480"/>
      <w:marRight w:val="0"/>
      <w:marTop w:val="0"/>
      <w:marBottom w:val="0"/>
      <w:divBdr>
        <w:top w:val="none" w:sz="0" w:space="0" w:color="auto"/>
        <w:left w:val="none" w:sz="0" w:space="0" w:color="auto"/>
        <w:bottom w:val="none" w:sz="0" w:space="0" w:color="auto"/>
        <w:right w:val="none" w:sz="0" w:space="0" w:color="auto"/>
      </w:divBdr>
    </w:div>
    <w:div w:id="1049112102">
      <w:marLeft w:val="480"/>
      <w:marRight w:val="0"/>
      <w:marTop w:val="0"/>
      <w:marBottom w:val="0"/>
      <w:divBdr>
        <w:top w:val="none" w:sz="0" w:space="0" w:color="auto"/>
        <w:left w:val="none" w:sz="0" w:space="0" w:color="auto"/>
        <w:bottom w:val="none" w:sz="0" w:space="0" w:color="auto"/>
        <w:right w:val="none" w:sz="0" w:space="0" w:color="auto"/>
      </w:divBdr>
    </w:div>
    <w:div w:id="1049299085">
      <w:marLeft w:val="480"/>
      <w:marRight w:val="0"/>
      <w:marTop w:val="0"/>
      <w:marBottom w:val="0"/>
      <w:divBdr>
        <w:top w:val="none" w:sz="0" w:space="0" w:color="auto"/>
        <w:left w:val="none" w:sz="0" w:space="0" w:color="auto"/>
        <w:bottom w:val="none" w:sz="0" w:space="0" w:color="auto"/>
        <w:right w:val="none" w:sz="0" w:space="0" w:color="auto"/>
      </w:divBdr>
    </w:div>
    <w:div w:id="1050496865">
      <w:marLeft w:val="480"/>
      <w:marRight w:val="0"/>
      <w:marTop w:val="0"/>
      <w:marBottom w:val="0"/>
      <w:divBdr>
        <w:top w:val="none" w:sz="0" w:space="0" w:color="auto"/>
        <w:left w:val="none" w:sz="0" w:space="0" w:color="auto"/>
        <w:bottom w:val="none" w:sz="0" w:space="0" w:color="auto"/>
        <w:right w:val="none" w:sz="0" w:space="0" w:color="auto"/>
      </w:divBdr>
    </w:div>
    <w:div w:id="1054238714">
      <w:marLeft w:val="480"/>
      <w:marRight w:val="0"/>
      <w:marTop w:val="0"/>
      <w:marBottom w:val="0"/>
      <w:divBdr>
        <w:top w:val="none" w:sz="0" w:space="0" w:color="auto"/>
        <w:left w:val="none" w:sz="0" w:space="0" w:color="auto"/>
        <w:bottom w:val="none" w:sz="0" w:space="0" w:color="auto"/>
        <w:right w:val="none" w:sz="0" w:space="0" w:color="auto"/>
      </w:divBdr>
    </w:div>
    <w:div w:id="1055156564">
      <w:marLeft w:val="480"/>
      <w:marRight w:val="0"/>
      <w:marTop w:val="0"/>
      <w:marBottom w:val="0"/>
      <w:divBdr>
        <w:top w:val="none" w:sz="0" w:space="0" w:color="auto"/>
        <w:left w:val="none" w:sz="0" w:space="0" w:color="auto"/>
        <w:bottom w:val="none" w:sz="0" w:space="0" w:color="auto"/>
        <w:right w:val="none" w:sz="0" w:space="0" w:color="auto"/>
      </w:divBdr>
    </w:div>
    <w:div w:id="1055660875">
      <w:marLeft w:val="480"/>
      <w:marRight w:val="0"/>
      <w:marTop w:val="0"/>
      <w:marBottom w:val="0"/>
      <w:divBdr>
        <w:top w:val="none" w:sz="0" w:space="0" w:color="auto"/>
        <w:left w:val="none" w:sz="0" w:space="0" w:color="auto"/>
        <w:bottom w:val="none" w:sz="0" w:space="0" w:color="auto"/>
        <w:right w:val="none" w:sz="0" w:space="0" w:color="auto"/>
      </w:divBdr>
    </w:div>
    <w:div w:id="1055742595">
      <w:marLeft w:val="480"/>
      <w:marRight w:val="0"/>
      <w:marTop w:val="0"/>
      <w:marBottom w:val="0"/>
      <w:divBdr>
        <w:top w:val="none" w:sz="0" w:space="0" w:color="auto"/>
        <w:left w:val="none" w:sz="0" w:space="0" w:color="auto"/>
        <w:bottom w:val="none" w:sz="0" w:space="0" w:color="auto"/>
        <w:right w:val="none" w:sz="0" w:space="0" w:color="auto"/>
      </w:divBdr>
    </w:div>
    <w:div w:id="1061557872">
      <w:marLeft w:val="480"/>
      <w:marRight w:val="0"/>
      <w:marTop w:val="0"/>
      <w:marBottom w:val="0"/>
      <w:divBdr>
        <w:top w:val="none" w:sz="0" w:space="0" w:color="auto"/>
        <w:left w:val="none" w:sz="0" w:space="0" w:color="auto"/>
        <w:bottom w:val="none" w:sz="0" w:space="0" w:color="auto"/>
        <w:right w:val="none" w:sz="0" w:space="0" w:color="auto"/>
      </w:divBdr>
    </w:div>
    <w:div w:id="1062022513">
      <w:marLeft w:val="480"/>
      <w:marRight w:val="0"/>
      <w:marTop w:val="0"/>
      <w:marBottom w:val="0"/>
      <w:divBdr>
        <w:top w:val="none" w:sz="0" w:space="0" w:color="auto"/>
        <w:left w:val="none" w:sz="0" w:space="0" w:color="auto"/>
        <w:bottom w:val="none" w:sz="0" w:space="0" w:color="auto"/>
        <w:right w:val="none" w:sz="0" w:space="0" w:color="auto"/>
      </w:divBdr>
    </w:div>
    <w:div w:id="1068303096">
      <w:marLeft w:val="480"/>
      <w:marRight w:val="0"/>
      <w:marTop w:val="0"/>
      <w:marBottom w:val="0"/>
      <w:divBdr>
        <w:top w:val="none" w:sz="0" w:space="0" w:color="auto"/>
        <w:left w:val="none" w:sz="0" w:space="0" w:color="auto"/>
        <w:bottom w:val="none" w:sz="0" w:space="0" w:color="auto"/>
        <w:right w:val="none" w:sz="0" w:space="0" w:color="auto"/>
      </w:divBdr>
    </w:div>
    <w:div w:id="1068653617">
      <w:marLeft w:val="480"/>
      <w:marRight w:val="0"/>
      <w:marTop w:val="0"/>
      <w:marBottom w:val="0"/>
      <w:divBdr>
        <w:top w:val="none" w:sz="0" w:space="0" w:color="auto"/>
        <w:left w:val="none" w:sz="0" w:space="0" w:color="auto"/>
        <w:bottom w:val="none" w:sz="0" w:space="0" w:color="auto"/>
        <w:right w:val="none" w:sz="0" w:space="0" w:color="auto"/>
      </w:divBdr>
    </w:div>
    <w:div w:id="1069156088">
      <w:marLeft w:val="480"/>
      <w:marRight w:val="0"/>
      <w:marTop w:val="0"/>
      <w:marBottom w:val="0"/>
      <w:divBdr>
        <w:top w:val="none" w:sz="0" w:space="0" w:color="auto"/>
        <w:left w:val="none" w:sz="0" w:space="0" w:color="auto"/>
        <w:bottom w:val="none" w:sz="0" w:space="0" w:color="auto"/>
        <w:right w:val="none" w:sz="0" w:space="0" w:color="auto"/>
      </w:divBdr>
    </w:div>
    <w:div w:id="1071192187">
      <w:marLeft w:val="480"/>
      <w:marRight w:val="0"/>
      <w:marTop w:val="0"/>
      <w:marBottom w:val="0"/>
      <w:divBdr>
        <w:top w:val="none" w:sz="0" w:space="0" w:color="auto"/>
        <w:left w:val="none" w:sz="0" w:space="0" w:color="auto"/>
        <w:bottom w:val="none" w:sz="0" w:space="0" w:color="auto"/>
        <w:right w:val="none" w:sz="0" w:space="0" w:color="auto"/>
      </w:divBdr>
    </w:div>
    <w:div w:id="1073232841">
      <w:marLeft w:val="480"/>
      <w:marRight w:val="0"/>
      <w:marTop w:val="0"/>
      <w:marBottom w:val="0"/>
      <w:divBdr>
        <w:top w:val="none" w:sz="0" w:space="0" w:color="auto"/>
        <w:left w:val="none" w:sz="0" w:space="0" w:color="auto"/>
        <w:bottom w:val="none" w:sz="0" w:space="0" w:color="auto"/>
        <w:right w:val="none" w:sz="0" w:space="0" w:color="auto"/>
      </w:divBdr>
    </w:div>
    <w:div w:id="1074232691">
      <w:marLeft w:val="480"/>
      <w:marRight w:val="0"/>
      <w:marTop w:val="0"/>
      <w:marBottom w:val="0"/>
      <w:divBdr>
        <w:top w:val="none" w:sz="0" w:space="0" w:color="auto"/>
        <w:left w:val="none" w:sz="0" w:space="0" w:color="auto"/>
        <w:bottom w:val="none" w:sz="0" w:space="0" w:color="auto"/>
        <w:right w:val="none" w:sz="0" w:space="0" w:color="auto"/>
      </w:divBdr>
    </w:div>
    <w:div w:id="1074544264">
      <w:marLeft w:val="480"/>
      <w:marRight w:val="0"/>
      <w:marTop w:val="0"/>
      <w:marBottom w:val="0"/>
      <w:divBdr>
        <w:top w:val="none" w:sz="0" w:space="0" w:color="auto"/>
        <w:left w:val="none" w:sz="0" w:space="0" w:color="auto"/>
        <w:bottom w:val="none" w:sz="0" w:space="0" w:color="auto"/>
        <w:right w:val="none" w:sz="0" w:space="0" w:color="auto"/>
      </w:divBdr>
    </w:div>
    <w:div w:id="1076198570">
      <w:marLeft w:val="480"/>
      <w:marRight w:val="0"/>
      <w:marTop w:val="0"/>
      <w:marBottom w:val="0"/>
      <w:divBdr>
        <w:top w:val="none" w:sz="0" w:space="0" w:color="auto"/>
        <w:left w:val="none" w:sz="0" w:space="0" w:color="auto"/>
        <w:bottom w:val="none" w:sz="0" w:space="0" w:color="auto"/>
        <w:right w:val="none" w:sz="0" w:space="0" w:color="auto"/>
      </w:divBdr>
    </w:div>
    <w:div w:id="1076586379">
      <w:marLeft w:val="480"/>
      <w:marRight w:val="0"/>
      <w:marTop w:val="0"/>
      <w:marBottom w:val="0"/>
      <w:divBdr>
        <w:top w:val="none" w:sz="0" w:space="0" w:color="auto"/>
        <w:left w:val="none" w:sz="0" w:space="0" w:color="auto"/>
        <w:bottom w:val="none" w:sz="0" w:space="0" w:color="auto"/>
        <w:right w:val="none" w:sz="0" w:space="0" w:color="auto"/>
      </w:divBdr>
    </w:div>
    <w:div w:id="1077090746">
      <w:marLeft w:val="480"/>
      <w:marRight w:val="0"/>
      <w:marTop w:val="0"/>
      <w:marBottom w:val="0"/>
      <w:divBdr>
        <w:top w:val="none" w:sz="0" w:space="0" w:color="auto"/>
        <w:left w:val="none" w:sz="0" w:space="0" w:color="auto"/>
        <w:bottom w:val="none" w:sz="0" w:space="0" w:color="auto"/>
        <w:right w:val="none" w:sz="0" w:space="0" w:color="auto"/>
      </w:divBdr>
    </w:div>
    <w:div w:id="1078407036">
      <w:marLeft w:val="480"/>
      <w:marRight w:val="0"/>
      <w:marTop w:val="0"/>
      <w:marBottom w:val="0"/>
      <w:divBdr>
        <w:top w:val="none" w:sz="0" w:space="0" w:color="auto"/>
        <w:left w:val="none" w:sz="0" w:space="0" w:color="auto"/>
        <w:bottom w:val="none" w:sz="0" w:space="0" w:color="auto"/>
        <w:right w:val="none" w:sz="0" w:space="0" w:color="auto"/>
      </w:divBdr>
    </w:div>
    <w:div w:id="1080443517">
      <w:marLeft w:val="480"/>
      <w:marRight w:val="0"/>
      <w:marTop w:val="0"/>
      <w:marBottom w:val="0"/>
      <w:divBdr>
        <w:top w:val="none" w:sz="0" w:space="0" w:color="auto"/>
        <w:left w:val="none" w:sz="0" w:space="0" w:color="auto"/>
        <w:bottom w:val="none" w:sz="0" w:space="0" w:color="auto"/>
        <w:right w:val="none" w:sz="0" w:space="0" w:color="auto"/>
      </w:divBdr>
    </w:div>
    <w:div w:id="1082333640">
      <w:marLeft w:val="480"/>
      <w:marRight w:val="0"/>
      <w:marTop w:val="0"/>
      <w:marBottom w:val="0"/>
      <w:divBdr>
        <w:top w:val="none" w:sz="0" w:space="0" w:color="auto"/>
        <w:left w:val="none" w:sz="0" w:space="0" w:color="auto"/>
        <w:bottom w:val="none" w:sz="0" w:space="0" w:color="auto"/>
        <w:right w:val="none" w:sz="0" w:space="0" w:color="auto"/>
      </w:divBdr>
    </w:div>
    <w:div w:id="1086226395">
      <w:marLeft w:val="480"/>
      <w:marRight w:val="0"/>
      <w:marTop w:val="0"/>
      <w:marBottom w:val="0"/>
      <w:divBdr>
        <w:top w:val="none" w:sz="0" w:space="0" w:color="auto"/>
        <w:left w:val="none" w:sz="0" w:space="0" w:color="auto"/>
        <w:bottom w:val="none" w:sz="0" w:space="0" w:color="auto"/>
        <w:right w:val="none" w:sz="0" w:space="0" w:color="auto"/>
      </w:divBdr>
    </w:div>
    <w:div w:id="1088772844">
      <w:marLeft w:val="480"/>
      <w:marRight w:val="0"/>
      <w:marTop w:val="0"/>
      <w:marBottom w:val="0"/>
      <w:divBdr>
        <w:top w:val="none" w:sz="0" w:space="0" w:color="auto"/>
        <w:left w:val="none" w:sz="0" w:space="0" w:color="auto"/>
        <w:bottom w:val="none" w:sz="0" w:space="0" w:color="auto"/>
        <w:right w:val="none" w:sz="0" w:space="0" w:color="auto"/>
      </w:divBdr>
    </w:div>
    <w:div w:id="1089157512">
      <w:bodyDiv w:val="1"/>
      <w:marLeft w:val="0"/>
      <w:marRight w:val="0"/>
      <w:marTop w:val="0"/>
      <w:marBottom w:val="0"/>
      <w:divBdr>
        <w:top w:val="none" w:sz="0" w:space="0" w:color="auto"/>
        <w:left w:val="none" w:sz="0" w:space="0" w:color="auto"/>
        <w:bottom w:val="none" w:sz="0" w:space="0" w:color="auto"/>
        <w:right w:val="none" w:sz="0" w:space="0" w:color="auto"/>
      </w:divBdr>
    </w:div>
    <w:div w:id="1089884483">
      <w:marLeft w:val="480"/>
      <w:marRight w:val="0"/>
      <w:marTop w:val="0"/>
      <w:marBottom w:val="0"/>
      <w:divBdr>
        <w:top w:val="none" w:sz="0" w:space="0" w:color="auto"/>
        <w:left w:val="none" w:sz="0" w:space="0" w:color="auto"/>
        <w:bottom w:val="none" w:sz="0" w:space="0" w:color="auto"/>
        <w:right w:val="none" w:sz="0" w:space="0" w:color="auto"/>
      </w:divBdr>
    </w:div>
    <w:div w:id="1091392263">
      <w:marLeft w:val="480"/>
      <w:marRight w:val="0"/>
      <w:marTop w:val="0"/>
      <w:marBottom w:val="0"/>
      <w:divBdr>
        <w:top w:val="none" w:sz="0" w:space="0" w:color="auto"/>
        <w:left w:val="none" w:sz="0" w:space="0" w:color="auto"/>
        <w:bottom w:val="none" w:sz="0" w:space="0" w:color="auto"/>
        <w:right w:val="none" w:sz="0" w:space="0" w:color="auto"/>
      </w:divBdr>
    </w:div>
    <w:div w:id="1092508896">
      <w:marLeft w:val="480"/>
      <w:marRight w:val="0"/>
      <w:marTop w:val="0"/>
      <w:marBottom w:val="0"/>
      <w:divBdr>
        <w:top w:val="none" w:sz="0" w:space="0" w:color="auto"/>
        <w:left w:val="none" w:sz="0" w:space="0" w:color="auto"/>
        <w:bottom w:val="none" w:sz="0" w:space="0" w:color="auto"/>
        <w:right w:val="none" w:sz="0" w:space="0" w:color="auto"/>
      </w:divBdr>
    </w:div>
    <w:div w:id="1095007457">
      <w:marLeft w:val="480"/>
      <w:marRight w:val="0"/>
      <w:marTop w:val="0"/>
      <w:marBottom w:val="0"/>
      <w:divBdr>
        <w:top w:val="none" w:sz="0" w:space="0" w:color="auto"/>
        <w:left w:val="none" w:sz="0" w:space="0" w:color="auto"/>
        <w:bottom w:val="none" w:sz="0" w:space="0" w:color="auto"/>
        <w:right w:val="none" w:sz="0" w:space="0" w:color="auto"/>
      </w:divBdr>
    </w:div>
    <w:div w:id="1097410798">
      <w:marLeft w:val="480"/>
      <w:marRight w:val="0"/>
      <w:marTop w:val="0"/>
      <w:marBottom w:val="0"/>
      <w:divBdr>
        <w:top w:val="none" w:sz="0" w:space="0" w:color="auto"/>
        <w:left w:val="none" w:sz="0" w:space="0" w:color="auto"/>
        <w:bottom w:val="none" w:sz="0" w:space="0" w:color="auto"/>
        <w:right w:val="none" w:sz="0" w:space="0" w:color="auto"/>
      </w:divBdr>
    </w:div>
    <w:div w:id="1097672921">
      <w:marLeft w:val="480"/>
      <w:marRight w:val="0"/>
      <w:marTop w:val="0"/>
      <w:marBottom w:val="0"/>
      <w:divBdr>
        <w:top w:val="none" w:sz="0" w:space="0" w:color="auto"/>
        <w:left w:val="none" w:sz="0" w:space="0" w:color="auto"/>
        <w:bottom w:val="none" w:sz="0" w:space="0" w:color="auto"/>
        <w:right w:val="none" w:sz="0" w:space="0" w:color="auto"/>
      </w:divBdr>
    </w:div>
    <w:div w:id="1100371307">
      <w:marLeft w:val="480"/>
      <w:marRight w:val="0"/>
      <w:marTop w:val="0"/>
      <w:marBottom w:val="0"/>
      <w:divBdr>
        <w:top w:val="none" w:sz="0" w:space="0" w:color="auto"/>
        <w:left w:val="none" w:sz="0" w:space="0" w:color="auto"/>
        <w:bottom w:val="none" w:sz="0" w:space="0" w:color="auto"/>
        <w:right w:val="none" w:sz="0" w:space="0" w:color="auto"/>
      </w:divBdr>
    </w:div>
    <w:div w:id="1102919484">
      <w:marLeft w:val="480"/>
      <w:marRight w:val="0"/>
      <w:marTop w:val="0"/>
      <w:marBottom w:val="0"/>
      <w:divBdr>
        <w:top w:val="none" w:sz="0" w:space="0" w:color="auto"/>
        <w:left w:val="none" w:sz="0" w:space="0" w:color="auto"/>
        <w:bottom w:val="none" w:sz="0" w:space="0" w:color="auto"/>
        <w:right w:val="none" w:sz="0" w:space="0" w:color="auto"/>
      </w:divBdr>
    </w:div>
    <w:div w:id="1103234149">
      <w:marLeft w:val="480"/>
      <w:marRight w:val="0"/>
      <w:marTop w:val="0"/>
      <w:marBottom w:val="0"/>
      <w:divBdr>
        <w:top w:val="none" w:sz="0" w:space="0" w:color="auto"/>
        <w:left w:val="none" w:sz="0" w:space="0" w:color="auto"/>
        <w:bottom w:val="none" w:sz="0" w:space="0" w:color="auto"/>
        <w:right w:val="none" w:sz="0" w:space="0" w:color="auto"/>
      </w:divBdr>
    </w:div>
    <w:div w:id="1107390551">
      <w:marLeft w:val="480"/>
      <w:marRight w:val="0"/>
      <w:marTop w:val="0"/>
      <w:marBottom w:val="0"/>
      <w:divBdr>
        <w:top w:val="none" w:sz="0" w:space="0" w:color="auto"/>
        <w:left w:val="none" w:sz="0" w:space="0" w:color="auto"/>
        <w:bottom w:val="none" w:sz="0" w:space="0" w:color="auto"/>
        <w:right w:val="none" w:sz="0" w:space="0" w:color="auto"/>
      </w:divBdr>
    </w:div>
    <w:div w:id="1108233447">
      <w:marLeft w:val="480"/>
      <w:marRight w:val="0"/>
      <w:marTop w:val="0"/>
      <w:marBottom w:val="0"/>
      <w:divBdr>
        <w:top w:val="none" w:sz="0" w:space="0" w:color="auto"/>
        <w:left w:val="none" w:sz="0" w:space="0" w:color="auto"/>
        <w:bottom w:val="none" w:sz="0" w:space="0" w:color="auto"/>
        <w:right w:val="none" w:sz="0" w:space="0" w:color="auto"/>
      </w:divBdr>
    </w:div>
    <w:div w:id="1108699048">
      <w:marLeft w:val="480"/>
      <w:marRight w:val="0"/>
      <w:marTop w:val="0"/>
      <w:marBottom w:val="0"/>
      <w:divBdr>
        <w:top w:val="none" w:sz="0" w:space="0" w:color="auto"/>
        <w:left w:val="none" w:sz="0" w:space="0" w:color="auto"/>
        <w:bottom w:val="none" w:sz="0" w:space="0" w:color="auto"/>
        <w:right w:val="none" w:sz="0" w:space="0" w:color="auto"/>
      </w:divBdr>
    </w:div>
    <w:div w:id="1109663060">
      <w:marLeft w:val="480"/>
      <w:marRight w:val="0"/>
      <w:marTop w:val="0"/>
      <w:marBottom w:val="0"/>
      <w:divBdr>
        <w:top w:val="none" w:sz="0" w:space="0" w:color="auto"/>
        <w:left w:val="none" w:sz="0" w:space="0" w:color="auto"/>
        <w:bottom w:val="none" w:sz="0" w:space="0" w:color="auto"/>
        <w:right w:val="none" w:sz="0" w:space="0" w:color="auto"/>
      </w:divBdr>
    </w:div>
    <w:div w:id="1110931133">
      <w:marLeft w:val="480"/>
      <w:marRight w:val="0"/>
      <w:marTop w:val="0"/>
      <w:marBottom w:val="0"/>
      <w:divBdr>
        <w:top w:val="none" w:sz="0" w:space="0" w:color="auto"/>
        <w:left w:val="none" w:sz="0" w:space="0" w:color="auto"/>
        <w:bottom w:val="none" w:sz="0" w:space="0" w:color="auto"/>
        <w:right w:val="none" w:sz="0" w:space="0" w:color="auto"/>
      </w:divBdr>
    </w:div>
    <w:div w:id="1116169676">
      <w:marLeft w:val="480"/>
      <w:marRight w:val="0"/>
      <w:marTop w:val="0"/>
      <w:marBottom w:val="0"/>
      <w:divBdr>
        <w:top w:val="none" w:sz="0" w:space="0" w:color="auto"/>
        <w:left w:val="none" w:sz="0" w:space="0" w:color="auto"/>
        <w:bottom w:val="none" w:sz="0" w:space="0" w:color="auto"/>
        <w:right w:val="none" w:sz="0" w:space="0" w:color="auto"/>
      </w:divBdr>
    </w:div>
    <w:div w:id="1120300859">
      <w:marLeft w:val="480"/>
      <w:marRight w:val="0"/>
      <w:marTop w:val="0"/>
      <w:marBottom w:val="0"/>
      <w:divBdr>
        <w:top w:val="none" w:sz="0" w:space="0" w:color="auto"/>
        <w:left w:val="none" w:sz="0" w:space="0" w:color="auto"/>
        <w:bottom w:val="none" w:sz="0" w:space="0" w:color="auto"/>
        <w:right w:val="none" w:sz="0" w:space="0" w:color="auto"/>
      </w:divBdr>
    </w:div>
    <w:div w:id="1121729586">
      <w:marLeft w:val="480"/>
      <w:marRight w:val="0"/>
      <w:marTop w:val="0"/>
      <w:marBottom w:val="0"/>
      <w:divBdr>
        <w:top w:val="none" w:sz="0" w:space="0" w:color="auto"/>
        <w:left w:val="none" w:sz="0" w:space="0" w:color="auto"/>
        <w:bottom w:val="none" w:sz="0" w:space="0" w:color="auto"/>
        <w:right w:val="none" w:sz="0" w:space="0" w:color="auto"/>
      </w:divBdr>
    </w:div>
    <w:div w:id="1122190193">
      <w:marLeft w:val="480"/>
      <w:marRight w:val="0"/>
      <w:marTop w:val="0"/>
      <w:marBottom w:val="0"/>
      <w:divBdr>
        <w:top w:val="none" w:sz="0" w:space="0" w:color="auto"/>
        <w:left w:val="none" w:sz="0" w:space="0" w:color="auto"/>
        <w:bottom w:val="none" w:sz="0" w:space="0" w:color="auto"/>
        <w:right w:val="none" w:sz="0" w:space="0" w:color="auto"/>
      </w:divBdr>
    </w:div>
    <w:div w:id="1122650778">
      <w:marLeft w:val="480"/>
      <w:marRight w:val="0"/>
      <w:marTop w:val="0"/>
      <w:marBottom w:val="0"/>
      <w:divBdr>
        <w:top w:val="none" w:sz="0" w:space="0" w:color="auto"/>
        <w:left w:val="none" w:sz="0" w:space="0" w:color="auto"/>
        <w:bottom w:val="none" w:sz="0" w:space="0" w:color="auto"/>
        <w:right w:val="none" w:sz="0" w:space="0" w:color="auto"/>
      </w:divBdr>
    </w:div>
    <w:div w:id="1124621038">
      <w:marLeft w:val="480"/>
      <w:marRight w:val="0"/>
      <w:marTop w:val="0"/>
      <w:marBottom w:val="0"/>
      <w:divBdr>
        <w:top w:val="none" w:sz="0" w:space="0" w:color="auto"/>
        <w:left w:val="none" w:sz="0" w:space="0" w:color="auto"/>
        <w:bottom w:val="none" w:sz="0" w:space="0" w:color="auto"/>
        <w:right w:val="none" w:sz="0" w:space="0" w:color="auto"/>
      </w:divBdr>
    </w:div>
    <w:div w:id="1125002547">
      <w:marLeft w:val="480"/>
      <w:marRight w:val="0"/>
      <w:marTop w:val="0"/>
      <w:marBottom w:val="0"/>
      <w:divBdr>
        <w:top w:val="none" w:sz="0" w:space="0" w:color="auto"/>
        <w:left w:val="none" w:sz="0" w:space="0" w:color="auto"/>
        <w:bottom w:val="none" w:sz="0" w:space="0" w:color="auto"/>
        <w:right w:val="none" w:sz="0" w:space="0" w:color="auto"/>
      </w:divBdr>
    </w:div>
    <w:div w:id="1125737127">
      <w:marLeft w:val="480"/>
      <w:marRight w:val="0"/>
      <w:marTop w:val="0"/>
      <w:marBottom w:val="0"/>
      <w:divBdr>
        <w:top w:val="none" w:sz="0" w:space="0" w:color="auto"/>
        <w:left w:val="none" w:sz="0" w:space="0" w:color="auto"/>
        <w:bottom w:val="none" w:sz="0" w:space="0" w:color="auto"/>
        <w:right w:val="none" w:sz="0" w:space="0" w:color="auto"/>
      </w:divBdr>
    </w:div>
    <w:div w:id="1126971051">
      <w:marLeft w:val="480"/>
      <w:marRight w:val="0"/>
      <w:marTop w:val="0"/>
      <w:marBottom w:val="0"/>
      <w:divBdr>
        <w:top w:val="none" w:sz="0" w:space="0" w:color="auto"/>
        <w:left w:val="none" w:sz="0" w:space="0" w:color="auto"/>
        <w:bottom w:val="none" w:sz="0" w:space="0" w:color="auto"/>
        <w:right w:val="none" w:sz="0" w:space="0" w:color="auto"/>
      </w:divBdr>
    </w:div>
    <w:div w:id="1127049100">
      <w:marLeft w:val="480"/>
      <w:marRight w:val="0"/>
      <w:marTop w:val="0"/>
      <w:marBottom w:val="0"/>
      <w:divBdr>
        <w:top w:val="none" w:sz="0" w:space="0" w:color="auto"/>
        <w:left w:val="none" w:sz="0" w:space="0" w:color="auto"/>
        <w:bottom w:val="none" w:sz="0" w:space="0" w:color="auto"/>
        <w:right w:val="none" w:sz="0" w:space="0" w:color="auto"/>
      </w:divBdr>
    </w:div>
    <w:div w:id="1131703155">
      <w:marLeft w:val="480"/>
      <w:marRight w:val="0"/>
      <w:marTop w:val="0"/>
      <w:marBottom w:val="0"/>
      <w:divBdr>
        <w:top w:val="none" w:sz="0" w:space="0" w:color="auto"/>
        <w:left w:val="none" w:sz="0" w:space="0" w:color="auto"/>
        <w:bottom w:val="none" w:sz="0" w:space="0" w:color="auto"/>
        <w:right w:val="none" w:sz="0" w:space="0" w:color="auto"/>
      </w:divBdr>
    </w:div>
    <w:div w:id="1131749207">
      <w:marLeft w:val="480"/>
      <w:marRight w:val="0"/>
      <w:marTop w:val="0"/>
      <w:marBottom w:val="0"/>
      <w:divBdr>
        <w:top w:val="none" w:sz="0" w:space="0" w:color="auto"/>
        <w:left w:val="none" w:sz="0" w:space="0" w:color="auto"/>
        <w:bottom w:val="none" w:sz="0" w:space="0" w:color="auto"/>
        <w:right w:val="none" w:sz="0" w:space="0" w:color="auto"/>
      </w:divBdr>
    </w:div>
    <w:div w:id="1133065182">
      <w:marLeft w:val="480"/>
      <w:marRight w:val="0"/>
      <w:marTop w:val="0"/>
      <w:marBottom w:val="0"/>
      <w:divBdr>
        <w:top w:val="none" w:sz="0" w:space="0" w:color="auto"/>
        <w:left w:val="none" w:sz="0" w:space="0" w:color="auto"/>
        <w:bottom w:val="none" w:sz="0" w:space="0" w:color="auto"/>
        <w:right w:val="none" w:sz="0" w:space="0" w:color="auto"/>
      </w:divBdr>
    </w:div>
    <w:div w:id="1136337517">
      <w:marLeft w:val="480"/>
      <w:marRight w:val="0"/>
      <w:marTop w:val="0"/>
      <w:marBottom w:val="0"/>
      <w:divBdr>
        <w:top w:val="none" w:sz="0" w:space="0" w:color="auto"/>
        <w:left w:val="none" w:sz="0" w:space="0" w:color="auto"/>
        <w:bottom w:val="none" w:sz="0" w:space="0" w:color="auto"/>
        <w:right w:val="none" w:sz="0" w:space="0" w:color="auto"/>
      </w:divBdr>
    </w:div>
    <w:div w:id="1137147647">
      <w:marLeft w:val="480"/>
      <w:marRight w:val="0"/>
      <w:marTop w:val="0"/>
      <w:marBottom w:val="0"/>
      <w:divBdr>
        <w:top w:val="none" w:sz="0" w:space="0" w:color="auto"/>
        <w:left w:val="none" w:sz="0" w:space="0" w:color="auto"/>
        <w:bottom w:val="none" w:sz="0" w:space="0" w:color="auto"/>
        <w:right w:val="none" w:sz="0" w:space="0" w:color="auto"/>
      </w:divBdr>
    </w:div>
    <w:div w:id="1138062549">
      <w:marLeft w:val="480"/>
      <w:marRight w:val="0"/>
      <w:marTop w:val="0"/>
      <w:marBottom w:val="0"/>
      <w:divBdr>
        <w:top w:val="none" w:sz="0" w:space="0" w:color="auto"/>
        <w:left w:val="none" w:sz="0" w:space="0" w:color="auto"/>
        <w:bottom w:val="none" w:sz="0" w:space="0" w:color="auto"/>
        <w:right w:val="none" w:sz="0" w:space="0" w:color="auto"/>
      </w:divBdr>
    </w:div>
    <w:div w:id="1138571010">
      <w:marLeft w:val="480"/>
      <w:marRight w:val="0"/>
      <w:marTop w:val="0"/>
      <w:marBottom w:val="0"/>
      <w:divBdr>
        <w:top w:val="none" w:sz="0" w:space="0" w:color="auto"/>
        <w:left w:val="none" w:sz="0" w:space="0" w:color="auto"/>
        <w:bottom w:val="none" w:sz="0" w:space="0" w:color="auto"/>
        <w:right w:val="none" w:sz="0" w:space="0" w:color="auto"/>
      </w:divBdr>
    </w:div>
    <w:div w:id="1141387209">
      <w:marLeft w:val="480"/>
      <w:marRight w:val="0"/>
      <w:marTop w:val="0"/>
      <w:marBottom w:val="0"/>
      <w:divBdr>
        <w:top w:val="none" w:sz="0" w:space="0" w:color="auto"/>
        <w:left w:val="none" w:sz="0" w:space="0" w:color="auto"/>
        <w:bottom w:val="none" w:sz="0" w:space="0" w:color="auto"/>
        <w:right w:val="none" w:sz="0" w:space="0" w:color="auto"/>
      </w:divBdr>
    </w:div>
    <w:div w:id="1145507869">
      <w:marLeft w:val="480"/>
      <w:marRight w:val="0"/>
      <w:marTop w:val="0"/>
      <w:marBottom w:val="0"/>
      <w:divBdr>
        <w:top w:val="none" w:sz="0" w:space="0" w:color="auto"/>
        <w:left w:val="none" w:sz="0" w:space="0" w:color="auto"/>
        <w:bottom w:val="none" w:sz="0" w:space="0" w:color="auto"/>
        <w:right w:val="none" w:sz="0" w:space="0" w:color="auto"/>
      </w:divBdr>
    </w:div>
    <w:div w:id="1145971398">
      <w:marLeft w:val="480"/>
      <w:marRight w:val="0"/>
      <w:marTop w:val="0"/>
      <w:marBottom w:val="0"/>
      <w:divBdr>
        <w:top w:val="none" w:sz="0" w:space="0" w:color="auto"/>
        <w:left w:val="none" w:sz="0" w:space="0" w:color="auto"/>
        <w:bottom w:val="none" w:sz="0" w:space="0" w:color="auto"/>
        <w:right w:val="none" w:sz="0" w:space="0" w:color="auto"/>
      </w:divBdr>
    </w:div>
    <w:div w:id="1146704002">
      <w:marLeft w:val="480"/>
      <w:marRight w:val="0"/>
      <w:marTop w:val="0"/>
      <w:marBottom w:val="0"/>
      <w:divBdr>
        <w:top w:val="none" w:sz="0" w:space="0" w:color="auto"/>
        <w:left w:val="none" w:sz="0" w:space="0" w:color="auto"/>
        <w:bottom w:val="none" w:sz="0" w:space="0" w:color="auto"/>
        <w:right w:val="none" w:sz="0" w:space="0" w:color="auto"/>
      </w:divBdr>
    </w:div>
    <w:div w:id="1148210331">
      <w:marLeft w:val="480"/>
      <w:marRight w:val="0"/>
      <w:marTop w:val="0"/>
      <w:marBottom w:val="0"/>
      <w:divBdr>
        <w:top w:val="none" w:sz="0" w:space="0" w:color="auto"/>
        <w:left w:val="none" w:sz="0" w:space="0" w:color="auto"/>
        <w:bottom w:val="none" w:sz="0" w:space="0" w:color="auto"/>
        <w:right w:val="none" w:sz="0" w:space="0" w:color="auto"/>
      </w:divBdr>
    </w:div>
    <w:div w:id="1148786256">
      <w:marLeft w:val="480"/>
      <w:marRight w:val="0"/>
      <w:marTop w:val="0"/>
      <w:marBottom w:val="0"/>
      <w:divBdr>
        <w:top w:val="none" w:sz="0" w:space="0" w:color="auto"/>
        <w:left w:val="none" w:sz="0" w:space="0" w:color="auto"/>
        <w:bottom w:val="none" w:sz="0" w:space="0" w:color="auto"/>
        <w:right w:val="none" w:sz="0" w:space="0" w:color="auto"/>
      </w:divBdr>
    </w:div>
    <w:div w:id="1152017926">
      <w:marLeft w:val="480"/>
      <w:marRight w:val="0"/>
      <w:marTop w:val="0"/>
      <w:marBottom w:val="0"/>
      <w:divBdr>
        <w:top w:val="none" w:sz="0" w:space="0" w:color="auto"/>
        <w:left w:val="none" w:sz="0" w:space="0" w:color="auto"/>
        <w:bottom w:val="none" w:sz="0" w:space="0" w:color="auto"/>
        <w:right w:val="none" w:sz="0" w:space="0" w:color="auto"/>
      </w:divBdr>
    </w:div>
    <w:div w:id="1152410727">
      <w:marLeft w:val="480"/>
      <w:marRight w:val="0"/>
      <w:marTop w:val="0"/>
      <w:marBottom w:val="0"/>
      <w:divBdr>
        <w:top w:val="none" w:sz="0" w:space="0" w:color="auto"/>
        <w:left w:val="none" w:sz="0" w:space="0" w:color="auto"/>
        <w:bottom w:val="none" w:sz="0" w:space="0" w:color="auto"/>
        <w:right w:val="none" w:sz="0" w:space="0" w:color="auto"/>
      </w:divBdr>
    </w:div>
    <w:div w:id="1155216934">
      <w:marLeft w:val="480"/>
      <w:marRight w:val="0"/>
      <w:marTop w:val="0"/>
      <w:marBottom w:val="0"/>
      <w:divBdr>
        <w:top w:val="none" w:sz="0" w:space="0" w:color="auto"/>
        <w:left w:val="none" w:sz="0" w:space="0" w:color="auto"/>
        <w:bottom w:val="none" w:sz="0" w:space="0" w:color="auto"/>
        <w:right w:val="none" w:sz="0" w:space="0" w:color="auto"/>
      </w:divBdr>
    </w:div>
    <w:div w:id="1155488824">
      <w:marLeft w:val="480"/>
      <w:marRight w:val="0"/>
      <w:marTop w:val="0"/>
      <w:marBottom w:val="0"/>
      <w:divBdr>
        <w:top w:val="none" w:sz="0" w:space="0" w:color="auto"/>
        <w:left w:val="none" w:sz="0" w:space="0" w:color="auto"/>
        <w:bottom w:val="none" w:sz="0" w:space="0" w:color="auto"/>
        <w:right w:val="none" w:sz="0" w:space="0" w:color="auto"/>
      </w:divBdr>
    </w:div>
    <w:div w:id="1157575525">
      <w:marLeft w:val="480"/>
      <w:marRight w:val="0"/>
      <w:marTop w:val="0"/>
      <w:marBottom w:val="0"/>
      <w:divBdr>
        <w:top w:val="none" w:sz="0" w:space="0" w:color="auto"/>
        <w:left w:val="none" w:sz="0" w:space="0" w:color="auto"/>
        <w:bottom w:val="none" w:sz="0" w:space="0" w:color="auto"/>
        <w:right w:val="none" w:sz="0" w:space="0" w:color="auto"/>
      </w:divBdr>
    </w:div>
    <w:div w:id="1159271514">
      <w:marLeft w:val="480"/>
      <w:marRight w:val="0"/>
      <w:marTop w:val="0"/>
      <w:marBottom w:val="0"/>
      <w:divBdr>
        <w:top w:val="none" w:sz="0" w:space="0" w:color="auto"/>
        <w:left w:val="none" w:sz="0" w:space="0" w:color="auto"/>
        <w:bottom w:val="none" w:sz="0" w:space="0" w:color="auto"/>
        <w:right w:val="none" w:sz="0" w:space="0" w:color="auto"/>
      </w:divBdr>
    </w:div>
    <w:div w:id="1159617010">
      <w:marLeft w:val="480"/>
      <w:marRight w:val="0"/>
      <w:marTop w:val="0"/>
      <w:marBottom w:val="0"/>
      <w:divBdr>
        <w:top w:val="none" w:sz="0" w:space="0" w:color="auto"/>
        <w:left w:val="none" w:sz="0" w:space="0" w:color="auto"/>
        <w:bottom w:val="none" w:sz="0" w:space="0" w:color="auto"/>
        <w:right w:val="none" w:sz="0" w:space="0" w:color="auto"/>
      </w:divBdr>
    </w:div>
    <w:div w:id="1160778682">
      <w:marLeft w:val="480"/>
      <w:marRight w:val="0"/>
      <w:marTop w:val="0"/>
      <w:marBottom w:val="0"/>
      <w:divBdr>
        <w:top w:val="none" w:sz="0" w:space="0" w:color="auto"/>
        <w:left w:val="none" w:sz="0" w:space="0" w:color="auto"/>
        <w:bottom w:val="none" w:sz="0" w:space="0" w:color="auto"/>
        <w:right w:val="none" w:sz="0" w:space="0" w:color="auto"/>
      </w:divBdr>
    </w:div>
    <w:div w:id="1161432777">
      <w:marLeft w:val="480"/>
      <w:marRight w:val="0"/>
      <w:marTop w:val="0"/>
      <w:marBottom w:val="0"/>
      <w:divBdr>
        <w:top w:val="none" w:sz="0" w:space="0" w:color="auto"/>
        <w:left w:val="none" w:sz="0" w:space="0" w:color="auto"/>
        <w:bottom w:val="none" w:sz="0" w:space="0" w:color="auto"/>
        <w:right w:val="none" w:sz="0" w:space="0" w:color="auto"/>
      </w:divBdr>
    </w:div>
    <w:div w:id="1163819949">
      <w:marLeft w:val="480"/>
      <w:marRight w:val="0"/>
      <w:marTop w:val="0"/>
      <w:marBottom w:val="0"/>
      <w:divBdr>
        <w:top w:val="none" w:sz="0" w:space="0" w:color="auto"/>
        <w:left w:val="none" w:sz="0" w:space="0" w:color="auto"/>
        <w:bottom w:val="none" w:sz="0" w:space="0" w:color="auto"/>
        <w:right w:val="none" w:sz="0" w:space="0" w:color="auto"/>
      </w:divBdr>
    </w:div>
    <w:div w:id="1164008336">
      <w:marLeft w:val="480"/>
      <w:marRight w:val="0"/>
      <w:marTop w:val="0"/>
      <w:marBottom w:val="0"/>
      <w:divBdr>
        <w:top w:val="none" w:sz="0" w:space="0" w:color="auto"/>
        <w:left w:val="none" w:sz="0" w:space="0" w:color="auto"/>
        <w:bottom w:val="none" w:sz="0" w:space="0" w:color="auto"/>
        <w:right w:val="none" w:sz="0" w:space="0" w:color="auto"/>
      </w:divBdr>
    </w:div>
    <w:div w:id="1164053786">
      <w:marLeft w:val="480"/>
      <w:marRight w:val="0"/>
      <w:marTop w:val="0"/>
      <w:marBottom w:val="0"/>
      <w:divBdr>
        <w:top w:val="none" w:sz="0" w:space="0" w:color="auto"/>
        <w:left w:val="none" w:sz="0" w:space="0" w:color="auto"/>
        <w:bottom w:val="none" w:sz="0" w:space="0" w:color="auto"/>
        <w:right w:val="none" w:sz="0" w:space="0" w:color="auto"/>
      </w:divBdr>
    </w:div>
    <w:div w:id="1165246542">
      <w:marLeft w:val="480"/>
      <w:marRight w:val="0"/>
      <w:marTop w:val="0"/>
      <w:marBottom w:val="0"/>
      <w:divBdr>
        <w:top w:val="none" w:sz="0" w:space="0" w:color="auto"/>
        <w:left w:val="none" w:sz="0" w:space="0" w:color="auto"/>
        <w:bottom w:val="none" w:sz="0" w:space="0" w:color="auto"/>
        <w:right w:val="none" w:sz="0" w:space="0" w:color="auto"/>
      </w:divBdr>
    </w:div>
    <w:div w:id="1167016237">
      <w:marLeft w:val="480"/>
      <w:marRight w:val="0"/>
      <w:marTop w:val="0"/>
      <w:marBottom w:val="0"/>
      <w:divBdr>
        <w:top w:val="none" w:sz="0" w:space="0" w:color="auto"/>
        <w:left w:val="none" w:sz="0" w:space="0" w:color="auto"/>
        <w:bottom w:val="none" w:sz="0" w:space="0" w:color="auto"/>
        <w:right w:val="none" w:sz="0" w:space="0" w:color="auto"/>
      </w:divBdr>
    </w:div>
    <w:div w:id="1168791819">
      <w:marLeft w:val="480"/>
      <w:marRight w:val="0"/>
      <w:marTop w:val="0"/>
      <w:marBottom w:val="0"/>
      <w:divBdr>
        <w:top w:val="none" w:sz="0" w:space="0" w:color="auto"/>
        <w:left w:val="none" w:sz="0" w:space="0" w:color="auto"/>
        <w:bottom w:val="none" w:sz="0" w:space="0" w:color="auto"/>
        <w:right w:val="none" w:sz="0" w:space="0" w:color="auto"/>
      </w:divBdr>
    </w:div>
    <w:div w:id="1170218087">
      <w:marLeft w:val="480"/>
      <w:marRight w:val="0"/>
      <w:marTop w:val="0"/>
      <w:marBottom w:val="0"/>
      <w:divBdr>
        <w:top w:val="none" w:sz="0" w:space="0" w:color="auto"/>
        <w:left w:val="none" w:sz="0" w:space="0" w:color="auto"/>
        <w:bottom w:val="none" w:sz="0" w:space="0" w:color="auto"/>
        <w:right w:val="none" w:sz="0" w:space="0" w:color="auto"/>
      </w:divBdr>
    </w:div>
    <w:div w:id="1171990822">
      <w:marLeft w:val="480"/>
      <w:marRight w:val="0"/>
      <w:marTop w:val="0"/>
      <w:marBottom w:val="0"/>
      <w:divBdr>
        <w:top w:val="none" w:sz="0" w:space="0" w:color="auto"/>
        <w:left w:val="none" w:sz="0" w:space="0" w:color="auto"/>
        <w:bottom w:val="none" w:sz="0" w:space="0" w:color="auto"/>
        <w:right w:val="none" w:sz="0" w:space="0" w:color="auto"/>
      </w:divBdr>
    </w:div>
    <w:div w:id="1172143215">
      <w:marLeft w:val="480"/>
      <w:marRight w:val="0"/>
      <w:marTop w:val="0"/>
      <w:marBottom w:val="0"/>
      <w:divBdr>
        <w:top w:val="none" w:sz="0" w:space="0" w:color="auto"/>
        <w:left w:val="none" w:sz="0" w:space="0" w:color="auto"/>
        <w:bottom w:val="none" w:sz="0" w:space="0" w:color="auto"/>
        <w:right w:val="none" w:sz="0" w:space="0" w:color="auto"/>
      </w:divBdr>
    </w:div>
    <w:div w:id="1174032874">
      <w:marLeft w:val="480"/>
      <w:marRight w:val="0"/>
      <w:marTop w:val="0"/>
      <w:marBottom w:val="0"/>
      <w:divBdr>
        <w:top w:val="none" w:sz="0" w:space="0" w:color="auto"/>
        <w:left w:val="none" w:sz="0" w:space="0" w:color="auto"/>
        <w:bottom w:val="none" w:sz="0" w:space="0" w:color="auto"/>
        <w:right w:val="none" w:sz="0" w:space="0" w:color="auto"/>
      </w:divBdr>
    </w:div>
    <w:div w:id="1174296079">
      <w:marLeft w:val="480"/>
      <w:marRight w:val="0"/>
      <w:marTop w:val="0"/>
      <w:marBottom w:val="0"/>
      <w:divBdr>
        <w:top w:val="none" w:sz="0" w:space="0" w:color="auto"/>
        <w:left w:val="none" w:sz="0" w:space="0" w:color="auto"/>
        <w:bottom w:val="none" w:sz="0" w:space="0" w:color="auto"/>
        <w:right w:val="none" w:sz="0" w:space="0" w:color="auto"/>
      </w:divBdr>
    </w:div>
    <w:div w:id="1176309832">
      <w:marLeft w:val="480"/>
      <w:marRight w:val="0"/>
      <w:marTop w:val="0"/>
      <w:marBottom w:val="0"/>
      <w:divBdr>
        <w:top w:val="none" w:sz="0" w:space="0" w:color="auto"/>
        <w:left w:val="none" w:sz="0" w:space="0" w:color="auto"/>
        <w:bottom w:val="none" w:sz="0" w:space="0" w:color="auto"/>
        <w:right w:val="none" w:sz="0" w:space="0" w:color="auto"/>
      </w:divBdr>
    </w:div>
    <w:div w:id="1178622019">
      <w:marLeft w:val="480"/>
      <w:marRight w:val="0"/>
      <w:marTop w:val="0"/>
      <w:marBottom w:val="0"/>
      <w:divBdr>
        <w:top w:val="none" w:sz="0" w:space="0" w:color="auto"/>
        <w:left w:val="none" w:sz="0" w:space="0" w:color="auto"/>
        <w:bottom w:val="none" w:sz="0" w:space="0" w:color="auto"/>
        <w:right w:val="none" w:sz="0" w:space="0" w:color="auto"/>
      </w:divBdr>
    </w:div>
    <w:div w:id="1182859474">
      <w:marLeft w:val="480"/>
      <w:marRight w:val="0"/>
      <w:marTop w:val="0"/>
      <w:marBottom w:val="0"/>
      <w:divBdr>
        <w:top w:val="none" w:sz="0" w:space="0" w:color="auto"/>
        <w:left w:val="none" w:sz="0" w:space="0" w:color="auto"/>
        <w:bottom w:val="none" w:sz="0" w:space="0" w:color="auto"/>
        <w:right w:val="none" w:sz="0" w:space="0" w:color="auto"/>
      </w:divBdr>
    </w:div>
    <w:div w:id="1183084974">
      <w:marLeft w:val="480"/>
      <w:marRight w:val="0"/>
      <w:marTop w:val="0"/>
      <w:marBottom w:val="0"/>
      <w:divBdr>
        <w:top w:val="none" w:sz="0" w:space="0" w:color="auto"/>
        <w:left w:val="none" w:sz="0" w:space="0" w:color="auto"/>
        <w:bottom w:val="none" w:sz="0" w:space="0" w:color="auto"/>
        <w:right w:val="none" w:sz="0" w:space="0" w:color="auto"/>
      </w:divBdr>
    </w:div>
    <w:div w:id="1183398891">
      <w:marLeft w:val="480"/>
      <w:marRight w:val="0"/>
      <w:marTop w:val="0"/>
      <w:marBottom w:val="0"/>
      <w:divBdr>
        <w:top w:val="none" w:sz="0" w:space="0" w:color="auto"/>
        <w:left w:val="none" w:sz="0" w:space="0" w:color="auto"/>
        <w:bottom w:val="none" w:sz="0" w:space="0" w:color="auto"/>
        <w:right w:val="none" w:sz="0" w:space="0" w:color="auto"/>
      </w:divBdr>
    </w:div>
    <w:div w:id="1185628036">
      <w:marLeft w:val="480"/>
      <w:marRight w:val="0"/>
      <w:marTop w:val="0"/>
      <w:marBottom w:val="0"/>
      <w:divBdr>
        <w:top w:val="none" w:sz="0" w:space="0" w:color="auto"/>
        <w:left w:val="none" w:sz="0" w:space="0" w:color="auto"/>
        <w:bottom w:val="none" w:sz="0" w:space="0" w:color="auto"/>
        <w:right w:val="none" w:sz="0" w:space="0" w:color="auto"/>
      </w:divBdr>
    </w:div>
    <w:div w:id="1187670285">
      <w:marLeft w:val="480"/>
      <w:marRight w:val="0"/>
      <w:marTop w:val="0"/>
      <w:marBottom w:val="0"/>
      <w:divBdr>
        <w:top w:val="none" w:sz="0" w:space="0" w:color="auto"/>
        <w:left w:val="none" w:sz="0" w:space="0" w:color="auto"/>
        <w:bottom w:val="none" w:sz="0" w:space="0" w:color="auto"/>
        <w:right w:val="none" w:sz="0" w:space="0" w:color="auto"/>
      </w:divBdr>
    </w:div>
    <w:div w:id="1188524802">
      <w:marLeft w:val="480"/>
      <w:marRight w:val="0"/>
      <w:marTop w:val="0"/>
      <w:marBottom w:val="0"/>
      <w:divBdr>
        <w:top w:val="none" w:sz="0" w:space="0" w:color="auto"/>
        <w:left w:val="none" w:sz="0" w:space="0" w:color="auto"/>
        <w:bottom w:val="none" w:sz="0" w:space="0" w:color="auto"/>
        <w:right w:val="none" w:sz="0" w:space="0" w:color="auto"/>
      </w:divBdr>
    </w:div>
    <w:div w:id="1188837426">
      <w:marLeft w:val="480"/>
      <w:marRight w:val="0"/>
      <w:marTop w:val="0"/>
      <w:marBottom w:val="0"/>
      <w:divBdr>
        <w:top w:val="none" w:sz="0" w:space="0" w:color="auto"/>
        <w:left w:val="none" w:sz="0" w:space="0" w:color="auto"/>
        <w:bottom w:val="none" w:sz="0" w:space="0" w:color="auto"/>
        <w:right w:val="none" w:sz="0" w:space="0" w:color="auto"/>
      </w:divBdr>
    </w:div>
    <w:div w:id="1189106986">
      <w:marLeft w:val="480"/>
      <w:marRight w:val="0"/>
      <w:marTop w:val="0"/>
      <w:marBottom w:val="0"/>
      <w:divBdr>
        <w:top w:val="none" w:sz="0" w:space="0" w:color="auto"/>
        <w:left w:val="none" w:sz="0" w:space="0" w:color="auto"/>
        <w:bottom w:val="none" w:sz="0" w:space="0" w:color="auto"/>
        <w:right w:val="none" w:sz="0" w:space="0" w:color="auto"/>
      </w:divBdr>
    </w:div>
    <w:div w:id="1190219188">
      <w:marLeft w:val="480"/>
      <w:marRight w:val="0"/>
      <w:marTop w:val="0"/>
      <w:marBottom w:val="0"/>
      <w:divBdr>
        <w:top w:val="none" w:sz="0" w:space="0" w:color="auto"/>
        <w:left w:val="none" w:sz="0" w:space="0" w:color="auto"/>
        <w:bottom w:val="none" w:sz="0" w:space="0" w:color="auto"/>
        <w:right w:val="none" w:sz="0" w:space="0" w:color="auto"/>
      </w:divBdr>
    </w:div>
    <w:div w:id="1192449891">
      <w:marLeft w:val="480"/>
      <w:marRight w:val="0"/>
      <w:marTop w:val="0"/>
      <w:marBottom w:val="0"/>
      <w:divBdr>
        <w:top w:val="none" w:sz="0" w:space="0" w:color="auto"/>
        <w:left w:val="none" w:sz="0" w:space="0" w:color="auto"/>
        <w:bottom w:val="none" w:sz="0" w:space="0" w:color="auto"/>
        <w:right w:val="none" w:sz="0" w:space="0" w:color="auto"/>
      </w:divBdr>
    </w:div>
    <w:div w:id="1195537800">
      <w:marLeft w:val="480"/>
      <w:marRight w:val="0"/>
      <w:marTop w:val="0"/>
      <w:marBottom w:val="0"/>
      <w:divBdr>
        <w:top w:val="none" w:sz="0" w:space="0" w:color="auto"/>
        <w:left w:val="none" w:sz="0" w:space="0" w:color="auto"/>
        <w:bottom w:val="none" w:sz="0" w:space="0" w:color="auto"/>
        <w:right w:val="none" w:sz="0" w:space="0" w:color="auto"/>
      </w:divBdr>
    </w:div>
    <w:div w:id="1195658157">
      <w:marLeft w:val="480"/>
      <w:marRight w:val="0"/>
      <w:marTop w:val="0"/>
      <w:marBottom w:val="0"/>
      <w:divBdr>
        <w:top w:val="none" w:sz="0" w:space="0" w:color="auto"/>
        <w:left w:val="none" w:sz="0" w:space="0" w:color="auto"/>
        <w:bottom w:val="none" w:sz="0" w:space="0" w:color="auto"/>
        <w:right w:val="none" w:sz="0" w:space="0" w:color="auto"/>
      </w:divBdr>
    </w:div>
    <w:div w:id="1195848181">
      <w:marLeft w:val="480"/>
      <w:marRight w:val="0"/>
      <w:marTop w:val="0"/>
      <w:marBottom w:val="0"/>
      <w:divBdr>
        <w:top w:val="none" w:sz="0" w:space="0" w:color="auto"/>
        <w:left w:val="none" w:sz="0" w:space="0" w:color="auto"/>
        <w:bottom w:val="none" w:sz="0" w:space="0" w:color="auto"/>
        <w:right w:val="none" w:sz="0" w:space="0" w:color="auto"/>
      </w:divBdr>
    </w:div>
    <w:div w:id="1197045639">
      <w:marLeft w:val="480"/>
      <w:marRight w:val="0"/>
      <w:marTop w:val="0"/>
      <w:marBottom w:val="0"/>
      <w:divBdr>
        <w:top w:val="none" w:sz="0" w:space="0" w:color="auto"/>
        <w:left w:val="none" w:sz="0" w:space="0" w:color="auto"/>
        <w:bottom w:val="none" w:sz="0" w:space="0" w:color="auto"/>
        <w:right w:val="none" w:sz="0" w:space="0" w:color="auto"/>
      </w:divBdr>
    </w:div>
    <w:div w:id="1201089009">
      <w:marLeft w:val="480"/>
      <w:marRight w:val="0"/>
      <w:marTop w:val="0"/>
      <w:marBottom w:val="0"/>
      <w:divBdr>
        <w:top w:val="none" w:sz="0" w:space="0" w:color="auto"/>
        <w:left w:val="none" w:sz="0" w:space="0" w:color="auto"/>
        <w:bottom w:val="none" w:sz="0" w:space="0" w:color="auto"/>
        <w:right w:val="none" w:sz="0" w:space="0" w:color="auto"/>
      </w:divBdr>
    </w:div>
    <w:div w:id="1203206336">
      <w:marLeft w:val="480"/>
      <w:marRight w:val="0"/>
      <w:marTop w:val="0"/>
      <w:marBottom w:val="0"/>
      <w:divBdr>
        <w:top w:val="none" w:sz="0" w:space="0" w:color="auto"/>
        <w:left w:val="none" w:sz="0" w:space="0" w:color="auto"/>
        <w:bottom w:val="none" w:sz="0" w:space="0" w:color="auto"/>
        <w:right w:val="none" w:sz="0" w:space="0" w:color="auto"/>
      </w:divBdr>
    </w:div>
    <w:div w:id="1203860093">
      <w:marLeft w:val="480"/>
      <w:marRight w:val="0"/>
      <w:marTop w:val="0"/>
      <w:marBottom w:val="0"/>
      <w:divBdr>
        <w:top w:val="none" w:sz="0" w:space="0" w:color="auto"/>
        <w:left w:val="none" w:sz="0" w:space="0" w:color="auto"/>
        <w:bottom w:val="none" w:sz="0" w:space="0" w:color="auto"/>
        <w:right w:val="none" w:sz="0" w:space="0" w:color="auto"/>
      </w:divBdr>
    </w:div>
    <w:div w:id="1204098582">
      <w:marLeft w:val="480"/>
      <w:marRight w:val="0"/>
      <w:marTop w:val="0"/>
      <w:marBottom w:val="0"/>
      <w:divBdr>
        <w:top w:val="none" w:sz="0" w:space="0" w:color="auto"/>
        <w:left w:val="none" w:sz="0" w:space="0" w:color="auto"/>
        <w:bottom w:val="none" w:sz="0" w:space="0" w:color="auto"/>
        <w:right w:val="none" w:sz="0" w:space="0" w:color="auto"/>
      </w:divBdr>
    </w:div>
    <w:div w:id="1205173957">
      <w:marLeft w:val="480"/>
      <w:marRight w:val="0"/>
      <w:marTop w:val="0"/>
      <w:marBottom w:val="0"/>
      <w:divBdr>
        <w:top w:val="none" w:sz="0" w:space="0" w:color="auto"/>
        <w:left w:val="none" w:sz="0" w:space="0" w:color="auto"/>
        <w:bottom w:val="none" w:sz="0" w:space="0" w:color="auto"/>
        <w:right w:val="none" w:sz="0" w:space="0" w:color="auto"/>
      </w:divBdr>
    </w:div>
    <w:div w:id="1206604691">
      <w:marLeft w:val="480"/>
      <w:marRight w:val="0"/>
      <w:marTop w:val="0"/>
      <w:marBottom w:val="0"/>
      <w:divBdr>
        <w:top w:val="none" w:sz="0" w:space="0" w:color="auto"/>
        <w:left w:val="none" w:sz="0" w:space="0" w:color="auto"/>
        <w:bottom w:val="none" w:sz="0" w:space="0" w:color="auto"/>
        <w:right w:val="none" w:sz="0" w:space="0" w:color="auto"/>
      </w:divBdr>
    </w:div>
    <w:div w:id="1207449293">
      <w:marLeft w:val="480"/>
      <w:marRight w:val="0"/>
      <w:marTop w:val="0"/>
      <w:marBottom w:val="0"/>
      <w:divBdr>
        <w:top w:val="none" w:sz="0" w:space="0" w:color="auto"/>
        <w:left w:val="none" w:sz="0" w:space="0" w:color="auto"/>
        <w:bottom w:val="none" w:sz="0" w:space="0" w:color="auto"/>
        <w:right w:val="none" w:sz="0" w:space="0" w:color="auto"/>
      </w:divBdr>
    </w:div>
    <w:div w:id="1207992040">
      <w:marLeft w:val="480"/>
      <w:marRight w:val="0"/>
      <w:marTop w:val="0"/>
      <w:marBottom w:val="0"/>
      <w:divBdr>
        <w:top w:val="none" w:sz="0" w:space="0" w:color="auto"/>
        <w:left w:val="none" w:sz="0" w:space="0" w:color="auto"/>
        <w:bottom w:val="none" w:sz="0" w:space="0" w:color="auto"/>
        <w:right w:val="none" w:sz="0" w:space="0" w:color="auto"/>
      </w:divBdr>
    </w:div>
    <w:div w:id="1210069006">
      <w:marLeft w:val="480"/>
      <w:marRight w:val="0"/>
      <w:marTop w:val="0"/>
      <w:marBottom w:val="0"/>
      <w:divBdr>
        <w:top w:val="none" w:sz="0" w:space="0" w:color="auto"/>
        <w:left w:val="none" w:sz="0" w:space="0" w:color="auto"/>
        <w:bottom w:val="none" w:sz="0" w:space="0" w:color="auto"/>
        <w:right w:val="none" w:sz="0" w:space="0" w:color="auto"/>
      </w:divBdr>
    </w:div>
    <w:div w:id="1210914742">
      <w:marLeft w:val="480"/>
      <w:marRight w:val="0"/>
      <w:marTop w:val="0"/>
      <w:marBottom w:val="0"/>
      <w:divBdr>
        <w:top w:val="none" w:sz="0" w:space="0" w:color="auto"/>
        <w:left w:val="none" w:sz="0" w:space="0" w:color="auto"/>
        <w:bottom w:val="none" w:sz="0" w:space="0" w:color="auto"/>
        <w:right w:val="none" w:sz="0" w:space="0" w:color="auto"/>
      </w:divBdr>
    </w:div>
    <w:div w:id="1212113172">
      <w:marLeft w:val="480"/>
      <w:marRight w:val="0"/>
      <w:marTop w:val="0"/>
      <w:marBottom w:val="0"/>
      <w:divBdr>
        <w:top w:val="none" w:sz="0" w:space="0" w:color="auto"/>
        <w:left w:val="none" w:sz="0" w:space="0" w:color="auto"/>
        <w:bottom w:val="none" w:sz="0" w:space="0" w:color="auto"/>
        <w:right w:val="none" w:sz="0" w:space="0" w:color="auto"/>
      </w:divBdr>
    </w:div>
    <w:div w:id="1213227743">
      <w:marLeft w:val="480"/>
      <w:marRight w:val="0"/>
      <w:marTop w:val="0"/>
      <w:marBottom w:val="0"/>
      <w:divBdr>
        <w:top w:val="none" w:sz="0" w:space="0" w:color="auto"/>
        <w:left w:val="none" w:sz="0" w:space="0" w:color="auto"/>
        <w:bottom w:val="none" w:sz="0" w:space="0" w:color="auto"/>
        <w:right w:val="none" w:sz="0" w:space="0" w:color="auto"/>
      </w:divBdr>
    </w:div>
    <w:div w:id="1216965926">
      <w:marLeft w:val="480"/>
      <w:marRight w:val="0"/>
      <w:marTop w:val="0"/>
      <w:marBottom w:val="0"/>
      <w:divBdr>
        <w:top w:val="none" w:sz="0" w:space="0" w:color="auto"/>
        <w:left w:val="none" w:sz="0" w:space="0" w:color="auto"/>
        <w:bottom w:val="none" w:sz="0" w:space="0" w:color="auto"/>
        <w:right w:val="none" w:sz="0" w:space="0" w:color="auto"/>
      </w:divBdr>
    </w:div>
    <w:div w:id="1217006023">
      <w:marLeft w:val="480"/>
      <w:marRight w:val="0"/>
      <w:marTop w:val="0"/>
      <w:marBottom w:val="0"/>
      <w:divBdr>
        <w:top w:val="none" w:sz="0" w:space="0" w:color="auto"/>
        <w:left w:val="none" w:sz="0" w:space="0" w:color="auto"/>
        <w:bottom w:val="none" w:sz="0" w:space="0" w:color="auto"/>
        <w:right w:val="none" w:sz="0" w:space="0" w:color="auto"/>
      </w:divBdr>
    </w:div>
    <w:div w:id="1219052960">
      <w:marLeft w:val="480"/>
      <w:marRight w:val="0"/>
      <w:marTop w:val="0"/>
      <w:marBottom w:val="0"/>
      <w:divBdr>
        <w:top w:val="none" w:sz="0" w:space="0" w:color="auto"/>
        <w:left w:val="none" w:sz="0" w:space="0" w:color="auto"/>
        <w:bottom w:val="none" w:sz="0" w:space="0" w:color="auto"/>
        <w:right w:val="none" w:sz="0" w:space="0" w:color="auto"/>
      </w:divBdr>
    </w:div>
    <w:div w:id="1219435968">
      <w:marLeft w:val="480"/>
      <w:marRight w:val="0"/>
      <w:marTop w:val="0"/>
      <w:marBottom w:val="0"/>
      <w:divBdr>
        <w:top w:val="none" w:sz="0" w:space="0" w:color="auto"/>
        <w:left w:val="none" w:sz="0" w:space="0" w:color="auto"/>
        <w:bottom w:val="none" w:sz="0" w:space="0" w:color="auto"/>
        <w:right w:val="none" w:sz="0" w:space="0" w:color="auto"/>
      </w:divBdr>
    </w:div>
    <w:div w:id="1219514908">
      <w:marLeft w:val="480"/>
      <w:marRight w:val="0"/>
      <w:marTop w:val="0"/>
      <w:marBottom w:val="0"/>
      <w:divBdr>
        <w:top w:val="none" w:sz="0" w:space="0" w:color="auto"/>
        <w:left w:val="none" w:sz="0" w:space="0" w:color="auto"/>
        <w:bottom w:val="none" w:sz="0" w:space="0" w:color="auto"/>
        <w:right w:val="none" w:sz="0" w:space="0" w:color="auto"/>
      </w:divBdr>
    </w:div>
    <w:div w:id="1221595593">
      <w:marLeft w:val="480"/>
      <w:marRight w:val="0"/>
      <w:marTop w:val="0"/>
      <w:marBottom w:val="0"/>
      <w:divBdr>
        <w:top w:val="none" w:sz="0" w:space="0" w:color="auto"/>
        <w:left w:val="none" w:sz="0" w:space="0" w:color="auto"/>
        <w:bottom w:val="none" w:sz="0" w:space="0" w:color="auto"/>
        <w:right w:val="none" w:sz="0" w:space="0" w:color="auto"/>
      </w:divBdr>
    </w:div>
    <w:div w:id="1222016068">
      <w:marLeft w:val="480"/>
      <w:marRight w:val="0"/>
      <w:marTop w:val="0"/>
      <w:marBottom w:val="0"/>
      <w:divBdr>
        <w:top w:val="none" w:sz="0" w:space="0" w:color="auto"/>
        <w:left w:val="none" w:sz="0" w:space="0" w:color="auto"/>
        <w:bottom w:val="none" w:sz="0" w:space="0" w:color="auto"/>
        <w:right w:val="none" w:sz="0" w:space="0" w:color="auto"/>
      </w:divBdr>
    </w:div>
    <w:div w:id="1223295370">
      <w:marLeft w:val="480"/>
      <w:marRight w:val="0"/>
      <w:marTop w:val="0"/>
      <w:marBottom w:val="0"/>
      <w:divBdr>
        <w:top w:val="none" w:sz="0" w:space="0" w:color="auto"/>
        <w:left w:val="none" w:sz="0" w:space="0" w:color="auto"/>
        <w:bottom w:val="none" w:sz="0" w:space="0" w:color="auto"/>
        <w:right w:val="none" w:sz="0" w:space="0" w:color="auto"/>
      </w:divBdr>
    </w:div>
    <w:div w:id="1223442706">
      <w:marLeft w:val="480"/>
      <w:marRight w:val="0"/>
      <w:marTop w:val="0"/>
      <w:marBottom w:val="0"/>
      <w:divBdr>
        <w:top w:val="none" w:sz="0" w:space="0" w:color="auto"/>
        <w:left w:val="none" w:sz="0" w:space="0" w:color="auto"/>
        <w:bottom w:val="none" w:sz="0" w:space="0" w:color="auto"/>
        <w:right w:val="none" w:sz="0" w:space="0" w:color="auto"/>
      </w:divBdr>
    </w:div>
    <w:div w:id="1225599486">
      <w:marLeft w:val="480"/>
      <w:marRight w:val="0"/>
      <w:marTop w:val="0"/>
      <w:marBottom w:val="0"/>
      <w:divBdr>
        <w:top w:val="none" w:sz="0" w:space="0" w:color="auto"/>
        <w:left w:val="none" w:sz="0" w:space="0" w:color="auto"/>
        <w:bottom w:val="none" w:sz="0" w:space="0" w:color="auto"/>
        <w:right w:val="none" w:sz="0" w:space="0" w:color="auto"/>
      </w:divBdr>
    </w:div>
    <w:div w:id="1228227031">
      <w:marLeft w:val="480"/>
      <w:marRight w:val="0"/>
      <w:marTop w:val="0"/>
      <w:marBottom w:val="0"/>
      <w:divBdr>
        <w:top w:val="none" w:sz="0" w:space="0" w:color="auto"/>
        <w:left w:val="none" w:sz="0" w:space="0" w:color="auto"/>
        <w:bottom w:val="none" w:sz="0" w:space="0" w:color="auto"/>
        <w:right w:val="none" w:sz="0" w:space="0" w:color="auto"/>
      </w:divBdr>
    </w:div>
    <w:div w:id="1231960224">
      <w:marLeft w:val="480"/>
      <w:marRight w:val="0"/>
      <w:marTop w:val="0"/>
      <w:marBottom w:val="0"/>
      <w:divBdr>
        <w:top w:val="none" w:sz="0" w:space="0" w:color="auto"/>
        <w:left w:val="none" w:sz="0" w:space="0" w:color="auto"/>
        <w:bottom w:val="none" w:sz="0" w:space="0" w:color="auto"/>
        <w:right w:val="none" w:sz="0" w:space="0" w:color="auto"/>
      </w:divBdr>
    </w:div>
    <w:div w:id="1233656489">
      <w:marLeft w:val="480"/>
      <w:marRight w:val="0"/>
      <w:marTop w:val="0"/>
      <w:marBottom w:val="0"/>
      <w:divBdr>
        <w:top w:val="none" w:sz="0" w:space="0" w:color="auto"/>
        <w:left w:val="none" w:sz="0" w:space="0" w:color="auto"/>
        <w:bottom w:val="none" w:sz="0" w:space="0" w:color="auto"/>
        <w:right w:val="none" w:sz="0" w:space="0" w:color="auto"/>
      </w:divBdr>
    </w:div>
    <w:div w:id="1233735228">
      <w:marLeft w:val="480"/>
      <w:marRight w:val="0"/>
      <w:marTop w:val="0"/>
      <w:marBottom w:val="0"/>
      <w:divBdr>
        <w:top w:val="none" w:sz="0" w:space="0" w:color="auto"/>
        <w:left w:val="none" w:sz="0" w:space="0" w:color="auto"/>
        <w:bottom w:val="none" w:sz="0" w:space="0" w:color="auto"/>
        <w:right w:val="none" w:sz="0" w:space="0" w:color="auto"/>
      </w:divBdr>
    </w:div>
    <w:div w:id="1234664403">
      <w:marLeft w:val="480"/>
      <w:marRight w:val="0"/>
      <w:marTop w:val="0"/>
      <w:marBottom w:val="0"/>
      <w:divBdr>
        <w:top w:val="none" w:sz="0" w:space="0" w:color="auto"/>
        <w:left w:val="none" w:sz="0" w:space="0" w:color="auto"/>
        <w:bottom w:val="none" w:sz="0" w:space="0" w:color="auto"/>
        <w:right w:val="none" w:sz="0" w:space="0" w:color="auto"/>
      </w:divBdr>
    </w:div>
    <w:div w:id="1236625399">
      <w:marLeft w:val="480"/>
      <w:marRight w:val="0"/>
      <w:marTop w:val="0"/>
      <w:marBottom w:val="0"/>
      <w:divBdr>
        <w:top w:val="none" w:sz="0" w:space="0" w:color="auto"/>
        <w:left w:val="none" w:sz="0" w:space="0" w:color="auto"/>
        <w:bottom w:val="none" w:sz="0" w:space="0" w:color="auto"/>
        <w:right w:val="none" w:sz="0" w:space="0" w:color="auto"/>
      </w:divBdr>
    </w:div>
    <w:div w:id="1237594820">
      <w:marLeft w:val="480"/>
      <w:marRight w:val="0"/>
      <w:marTop w:val="0"/>
      <w:marBottom w:val="0"/>
      <w:divBdr>
        <w:top w:val="none" w:sz="0" w:space="0" w:color="auto"/>
        <w:left w:val="none" w:sz="0" w:space="0" w:color="auto"/>
        <w:bottom w:val="none" w:sz="0" w:space="0" w:color="auto"/>
        <w:right w:val="none" w:sz="0" w:space="0" w:color="auto"/>
      </w:divBdr>
    </w:div>
    <w:div w:id="1238369217">
      <w:marLeft w:val="480"/>
      <w:marRight w:val="0"/>
      <w:marTop w:val="0"/>
      <w:marBottom w:val="0"/>
      <w:divBdr>
        <w:top w:val="none" w:sz="0" w:space="0" w:color="auto"/>
        <w:left w:val="none" w:sz="0" w:space="0" w:color="auto"/>
        <w:bottom w:val="none" w:sz="0" w:space="0" w:color="auto"/>
        <w:right w:val="none" w:sz="0" w:space="0" w:color="auto"/>
      </w:divBdr>
    </w:div>
    <w:div w:id="1238980816">
      <w:marLeft w:val="480"/>
      <w:marRight w:val="0"/>
      <w:marTop w:val="0"/>
      <w:marBottom w:val="0"/>
      <w:divBdr>
        <w:top w:val="none" w:sz="0" w:space="0" w:color="auto"/>
        <w:left w:val="none" w:sz="0" w:space="0" w:color="auto"/>
        <w:bottom w:val="none" w:sz="0" w:space="0" w:color="auto"/>
        <w:right w:val="none" w:sz="0" w:space="0" w:color="auto"/>
      </w:divBdr>
    </w:div>
    <w:div w:id="1239943530">
      <w:marLeft w:val="480"/>
      <w:marRight w:val="0"/>
      <w:marTop w:val="0"/>
      <w:marBottom w:val="0"/>
      <w:divBdr>
        <w:top w:val="none" w:sz="0" w:space="0" w:color="auto"/>
        <w:left w:val="none" w:sz="0" w:space="0" w:color="auto"/>
        <w:bottom w:val="none" w:sz="0" w:space="0" w:color="auto"/>
        <w:right w:val="none" w:sz="0" w:space="0" w:color="auto"/>
      </w:divBdr>
    </w:div>
    <w:div w:id="1242570173">
      <w:marLeft w:val="480"/>
      <w:marRight w:val="0"/>
      <w:marTop w:val="0"/>
      <w:marBottom w:val="0"/>
      <w:divBdr>
        <w:top w:val="none" w:sz="0" w:space="0" w:color="auto"/>
        <w:left w:val="none" w:sz="0" w:space="0" w:color="auto"/>
        <w:bottom w:val="none" w:sz="0" w:space="0" w:color="auto"/>
        <w:right w:val="none" w:sz="0" w:space="0" w:color="auto"/>
      </w:divBdr>
    </w:div>
    <w:div w:id="1248728403">
      <w:marLeft w:val="480"/>
      <w:marRight w:val="0"/>
      <w:marTop w:val="0"/>
      <w:marBottom w:val="0"/>
      <w:divBdr>
        <w:top w:val="none" w:sz="0" w:space="0" w:color="auto"/>
        <w:left w:val="none" w:sz="0" w:space="0" w:color="auto"/>
        <w:bottom w:val="none" w:sz="0" w:space="0" w:color="auto"/>
        <w:right w:val="none" w:sz="0" w:space="0" w:color="auto"/>
      </w:divBdr>
    </w:div>
    <w:div w:id="1248886391">
      <w:marLeft w:val="480"/>
      <w:marRight w:val="0"/>
      <w:marTop w:val="0"/>
      <w:marBottom w:val="0"/>
      <w:divBdr>
        <w:top w:val="none" w:sz="0" w:space="0" w:color="auto"/>
        <w:left w:val="none" w:sz="0" w:space="0" w:color="auto"/>
        <w:bottom w:val="none" w:sz="0" w:space="0" w:color="auto"/>
        <w:right w:val="none" w:sz="0" w:space="0" w:color="auto"/>
      </w:divBdr>
    </w:div>
    <w:div w:id="1251239549">
      <w:marLeft w:val="480"/>
      <w:marRight w:val="0"/>
      <w:marTop w:val="0"/>
      <w:marBottom w:val="0"/>
      <w:divBdr>
        <w:top w:val="none" w:sz="0" w:space="0" w:color="auto"/>
        <w:left w:val="none" w:sz="0" w:space="0" w:color="auto"/>
        <w:bottom w:val="none" w:sz="0" w:space="0" w:color="auto"/>
        <w:right w:val="none" w:sz="0" w:space="0" w:color="auto"/>
      </w:divBdr>
    </w:div>
    <w:div w:id="1259561335">
      <w:marLeft w:val="480"/>
      <w:marRight w:val="0"/>
      <w:marTop w:val="0"/>
      <w:marBottom w:val="0"/>
      <w:divBdr>
        <w:top w:val="none" w:sz="0" w:space="0" w:color="auto"/>
        <w:left w:val="none" w:sz="0" w:space="0" w:color="auto"/>
        <w:bottom w:val="none" w:sz="0" w:space="0" w:color="auto"/>
        <w:right w:val="none" w:sz="0" w:space="0" w:color="auto"/>
      </w:divBdr>
    </w:div>
    <w:div w:id="1259681756">
      <w:marLeft w:val="480"/>
      <w:marRight w:val="0"/>
      <w:marTop w:val="0"/>
      <w:marBottom w:val="0"/>
      <w:divBdr>
        <w:top w:val="none" w:sz="0" w:space="0" w:color="auto"/>
        <w:left w:val="none" w:sz="0" w:space="0" w:color="auto"/>
        <w:bottom w:val="none" w:sz="0" w:space="0" w:color="auto"/>
        <w:right w:val="none" w:sz="0" w:space="0" w:color="auto"/>
      </w:divBdr>
    </w:div>
    <w:div w:id="1263220681">
      <w:marLeft w:val="480"/>
      <w:marRight w:val="0"/>
      <w:marTop w:val="0"/>
      <w:marBottom w:val="0"/>
      <w:divBdr>
        <w:top w:val="none" w:sz="0" w:space="0" w:color="auto"/>
        <w:left w:val="none" w:sz="0" w:space="0" w:color="auto"/>
        <w:bottom w:val="none" w:sz="0" w:space="0" w:color="auto"/>
        <w:right w:val="none" w:sz="0" w:space="0" w:color="auto"/>
      </w:divBdr>
    </w:div>
    <w:div w:id="1264848191">
      <w:marLeft w:val="480"/>
      <w:marRight w:val="0"/>
      <w:marTop w:val="0"/>
      <w:marBottom w:val="0"/>
      <w:divBdr>
        <w:top w:val="none" w:sz="0" w:space="0" w:color="auto"/>
        <w:left w:val="none" w:sz="0" w:space="0" w:color="auto"/>
        <w:bottom w:val="none" w:sz="0" w:space="0" w:color="auto"/>
        <w:right w:val="none" w:sz="0" w:space="0" w:color="auto"/>
      </w:divBdr>
    </w:div>
    <w:div w:id="1266309755">
      <w:marLeft w:val="480"/>
      <w:marRight w:val="0"/>
      <w:marTop w:val="0"/>
      <w:marBottom w:val="0"/>
      <w:divBdr>
        <w:top w:val="none" w:sz="0" w:space="0" w:color="auto"/>
        <w:left w:val="none" w:sz="0" w:space="0" w:color="auto"/>
        <w:bottom w:val="none" w:sz="0" w:space="0" w:color="auto"/>
        <w:right w:val="none" w:sz="0" w:space="0" w:color="auto"/>
      </w:divBdr>
    </w:div>
    <w:div w:id="1267616337">
      <w:marLeft w:val="480"/>
      <w:marRight w:val="0"/>
      <w:marTop w:val="0"/>
      <w:marBottom w:val="0"/>
      <w:divBdr>
        <w:top w:val="none" w:sz="0" w:space="0" w:color="auto"/>
        <w:left w:val="none" w:sz="0" w:space="0" w:color="auto"/>
        <w:bottom w:val="none" w:sz="0" w:space="0" w:color="auto"/>
        <w:right w:val="none" w:sz="0" w:space="0" w:color="auto"/>
      </w:divBdr>
    </w:div>
    <w:div w:id="1269898193">
      <w:marLeft w:val="480"/>
      <w:marRight w:val="0"/>
      <w:marTop w:val="0"/>
      <w:marBottom w:val="0"/>
      <w:divBdr>
        <w:top w:val="none" w:sz="0" w:space="0" w:color="auto"/>
        <w:left w:val="none" w:sz="0" w:space="0" w:color="auto"/>
        <w:bottom w:val="none" w:sz="0" w:space="0" w:color="auto"/>
        <w:right w:val="none" w:sz="0" w:space="0" w:color="auto"/>
      </w:divBdr>
    </w:div>
    <w:div w:id="1272472631">
      <w:marLeft w:val="480"/>
      <w:marRight w:val="0"/>
      <w:marTop w:val="0"/>
      <w:marBottom w:val="0"/>
      <w:divBdr>
        <w:top w:val="none" w:sz="0" w:space="0" w:color="auto"/>
        <w:left w:val="none" w:sz="0" w:space="0" w:color="auto"/>
        <w:bottom w:val="none" w:sz="0" w:space="0" w:color="auto"/>
        <w:right w:val="none" w:sz="0" w:space="0" w:color="auto"/>
      </w:divBdr>
    </w:div>
    <w:div w:id="1273980916">
      <w:marLeft w:val="480"/>
      <w:marRight w:val="0"/>
      <w:marTop w:val="0"/>
      <w:marBottom w:val="0"/>
      <w:divBdr>
        <w:top w:val="none" w:sz="0" w:space="0" w:color="auto"/>
        <w:left w:val="none" w:sz="0" w:space="0" w:color="auto"/>
        <w:bottom w:val="none" w:sz="0" w:space="0" w:color="auto"/>
        <w:right w:val="none" w:sz="0" w:space="0" w:color="auto"/>
      </w:divBdr>
    </w:div>
    <w:div w:id="1275400509">
      <w:marLeft w:val="480"/>
      <w:marRight w:val="0"/>
      <w:marTop w:val="0"/>
      <w:marBottom w:val="0"/>
      <w:divBdr>
        <w:top w:val="none" w:sz="0" w:space="0" w:color="auto"/>
        <w:left w:val="none" w:sz="0" w:space="0" w:color="auto"/>
        <w:bottom w:val="none" w:sz="0" w:space="0" w:color="auto"/>
        <w:right w:val="none" w:sz="0" w:space="0" w:color="auto"/>
      </w:divBdr>
    </w:div>
    <w:div w:id="1275869933">
      <w:marLeft w:val="480"/>
      <w:marRight w:val="0"/>
      <w:marTop w:val="0"/>
      <w:marBottom w:val="0"/>
      <w:divBdr>
        <w:top w:val="none" w:sz="0" w:space="0" w:color="auto"/>
        <w:left w:val="none" w:sz="0" w:space="0" w:color="auto"/>
        <w:bottom w:val="none" w:sz="0" w:space="0" w:color="auto"/>
        <w:right w:val="none" w:sz="0" w:space="0" w:color="auto"/>
      </w:divBdr>
    </w:div>
    <w:div w:id="1276327047">
      <w:marLeft w:val="480"/>
      <w:marRight w:val="0"/>
      <w:marTop w:val="0"/>
      <w:marBottom w:val="0"/>
      <w:divBdr>
        <w:top w:val="none" w:sz="0" w:space="0" w:color="auto"/>
        <w:left w:val="none" w:sz="0" w:space="0" w:color="auto"/>
        <w:bottom w:val="none" w:sz="0" w:space="0" w:color="auto"/>
        <w:right w:val="none" w:sz="0" w:space="0" w:color="auto"/>
      </w:divBdr>
    </w:div>
    <w:div w:id="1277757677">
      <w:marLeft w:val="480"/>
      <w:marRight w:val="0"/>
      <w:marTop w:val="0"/>
      <w:marBottom w:val="0"/>
      <w:divBdr>
        <w:top w:val="none" w:sz="0" w:space="0" w:color="auto"/>
        <w:left w:val="none" w:sz="0" w:space="0" w:color="auto"/>
        <w:bottom w:val="none" w:sz="0" w:space="0" w:color="auto"/>
        <w:right w:val="none" w:sz="0" w:space="0" w:color="auto"/>
      </w:divBdr>
    </w:div>
    <w:div w:id="1278100630">
      <w:marLeft w:val="480"/>
      <w:marRight w:val="0"/>
      <w:marTop w:val="0"/>
      <w:marBottom w:val="0"/>
      <w:divBdr>
        <w:top w:val="none" w:sz="0" w:space="0" w:color="auto"/>
        <w:left w:val="none" w:sz="0" w:space="0" w:color="auto"/>
        <w:bottom w:val="none" w:sz="0" w:space="0" w:color="auto"/>
        <w:right w:val="none" w:sz="0" w:space="0" w:color="auto"/>
      </w:divBdr>
    </w:div>
    <w:div w:id="1280720448">
      <w:marLeft w:val="480"/>
      <w:marRight w:val="0"/>
      <w:marTop w:val="0"/>
      <w:marBottom w:val="0"/>
      <w:divBdr>
        <w:top w:val="none" w:sz="0" w:space="0" w:color="auto"/>
        <w:left w:val="none" w:sz="0" w:space="0" w:color="auto"/>
        <w:bottom w:val="none" w:sz="0" w:space="0" w:color="auto"/>
        <w:right w:val="none" w:sz="0" w:space="0" w:color="auto"/>
      </w:divBdr>
    </w:div>
    <w:div w:id="1281258981">
      <w:marLeft w:val="480"/>
      <w:marRight w:val="0"/>
      <w:marTop w:val="0"/>
      <w:marBottom w:val="0"/>
      <w:divBdr>
        <w:top w:val="none" w:sz="0" w:space="0" w:color="auto"/>
        <w:left w:val="none" w:sz="0" w:space="0" w:color="auto"/>
        <w:bottom w:val="none" w:sz="0" w:space="0" w:color="auto"/>
        <w:right w:val="none" w:sz="0" w:space="0" w:color="auto"/>
      </w:divBdr>
    </w:div>
    <w:div w:id="1283852186">
      <w:marLeft w:val="480"/>
      <w:marRight w:val="0"/>
      <w:marTop w:val="0"/>
      <w:marBottom w:val="0"/>
      <w:divBdr>
        <w:top w:val="none" w:sz="0" w:space="0" w:color="auto"/>
        <w:left w:val="none" w:sz="0" w:space="0" w:color="auto"/>
        <w:bottom w:val="none" w:sz="0" w:space="0" w:color="auto"/>
        <w:right w:val="none" w:sz="0" w:space="0" w:color="auto"/>
      </w:divBdr>
    </w:div>
    <w:div w:id="1285113030">
      <w:marLeft w:val="480"/>
      <w:marRight w:val="0"/>
      <w:marTop w:val="0"/>
      <w:marBottom w:val="0"/>
      <w:divBdr>
        <w:top w:val="none" w:sz="0" w:space="0" w:color="auto"/>
        <w:left w:val="none" w:sz="0" w:space="0" w:color="auto"/>
        <w:bottom w:val="none" w:sz="0" w:space="0" w:color="auto"/>
        <w:right w:val="none" w:sz="0" w:space="0" w:color="auto"/>
      </w:divBdr>
    </w:div>
    <w:div w:id="1286083455">
      <w:marLeft w:val="480"/>
      <w:marRight w:val="0"/>
      <w:marTop w:val="0"/>
      <w:marBottom w:val="0"/>
      <w:divBdr>
        <w:top w:val="none" w:sz="0" w:space="0" w:color="auto"/>
        <w:left w:val="none" w:sz="0" w:space="0" w:color="auto"/>
        <w:bottom w:val="none" w:sz="0" w:space="0" w:color="auto"/>
        <w:right w:val="none" w:sz="0" w:space="0" w:color="auto"/>
      </w:divBdr>
    </w:div>
    <w:div w:id="1286427101">
      <w:marLeft w:val="480"/>
      <w:marRight w:val="0"/>
      <w:marTop w:val="0"/>
      <w:marBottom w:val="0"/>
      <w:divBdr>
        <w:top w:val="none" w:sz="0" w:space="0" w:color="auto"/>
        <w:left w:val="none" w:sz="0" w:space="0" w:color="auto"/>
        <w:bottom w:val="none" w:sz="0" w:space="0" w:color="auto"/>
        <w:right w:val="none" w:sz="0" w:space="0" w:color="auto"/>
      </w:divBdr>
    </w:div>
    <w:div w:id="1289506988">
      <w:marLeft w:val="480"/>
      <w:marRight w:val="0"/>
      <w:marTop w:val="0"/>
      <w:marBottom w:val="0"/>
      <w:divBdr>
        <w:top w:val="none" w:sz="0" w:space="0" w:color="auto"/>
        <w:left w:val="none" w:sz="0" w:space="0" w:color="auto"/>
        <w:bottom w:val="none" w:sz="0" w:space="0" w:color="auto"/>
        <w:right w:val="none" w:sz="0" w:space="0" w:color="auto"/>
      </w:divBdr>
    </w:div>
    <w:div w:id="1289892769">
      <w:marLeft w:val="480"/>
      <w:marRight w:val="0"/>
      <w:marTop w:val="0"/>
      <w:marBottom w:val="0"/>
      <w:divBdr>
        <w:top w:val="none" w:sz="0" w:space="0" w:color="auto"/>
        <w:left w:val="none" w:sz="0" w:space="0" w:color="auto"/>
        <w:bottom w:val="none" w:sz="0" w:space="0" w:color="auto"/>
        <w:right w:val="none" w:sz="0" w:space="0" w:color="auto"/>
      </w:divBdr>
    </w:div>
    <w:div w:id="1290942329">
      <w:marLeft w:val="480"/>
      <w:marRight w:val="0"/>
      <w:marTop w:val="0"/>
      <w:marBottom w:val="0"/>
      <w:divBdr>
        <w:top w:val="none" w:sz="0" w:space="0" w:color="auto"/>
        <w:left w:val="none" w:sz="0" w:space="0" w:color="auto"/>
        <w:bottom w:val="none" w:sz="0" w:space="0" w:color="auto"/>
        <w:right w:val="none" w:sz="0" w:space="0" w:color="auto"/>
      </w:divBdr>
    </w:div>
    <w:div w:id="1295988748">
      <w:marLeft w:val="480"/>
      <w:marRight w:val="0"/>
      <w:marTop w:val="0"/>
      <w:marBottom w:val="0"/>
      <w:divBdr>
        <w:top w:val="none" w:sz="0" w:space="0" w:color="auto"/>
        <w:left w:val="none" w:sz="0" w:space="0" w:color="auto"/>
        <w:bottom w:val="none" w:sz="0" w:space="0" w:color="auto"/>
        <w:right w:val="none" w:sz="0" w:space="0" w:color="auto"/>
      </w:divBdr>
    </w:div>
    <w:div w:id="1296567729">
      <w:marLeft w:val="480"/>
      <w:marRight w:val="0"/>
      <w:marTop w:val="0"/>
      <w:marBottom w:val="0"/>
      <w:divBdr>
        <w:top w:val="none" w:sz="0" w:space="0" w:color="auto"/>
        <w:left w:val="none" w:sz="0" w:space="0" w:color="auto"/>
        <w:bottom w:val="none" w:sz="0" w:space="0" w:color="auto"/>
        <w:right w:val="none" w:sz="0" w:space="0" w:color="auto"/>
      </w:divBdr>
    </w:div>
    <w:div w:id="1296833584">
      <w:marLeft w:val="480"/>
      <w:marRight w:val="0"/>
      <w:marTop w:val="0"/>
      <w:marBottom w:val="0"/>
      <w:divBdr>
        <w:top w:val="none" w:sz="0" w:space="0" w:color="auto"/>
        <w:left w:val="none" w:sz="0" w:space="0" w:color="auto"/>
        <w:bottom w:val="none" w:sz="0" w:space="0" w:color="auto"/>
        <w:right w:val="none" w:sz="0" w:space="0" w:color="auto"/>
      </w:divBdr>
    </w:div>
    <w:div w:id="1296907176">
      <w:marLeft w:val="480"/>
      <w:marRight w:val="0"/>
      <w:marTop w:val="0"/>
      <w:marBottom w:val="0"/>
      <w:divBdr>
        <w:top w:val="none" w:sz="0" w:space="0" w:color="auto"/>
        <w:left w:val="none" w:sz="0" w:space="0" w:color="auto"/>
        <w:bottom w:val="none" w:sz="0" w:space="0" w:color="auto"/>
        <w:right w:val="none" w:sz="0" w:space="0" w:color="auto"/>
      </w:divBdr>
    </w:div>
    <w:div w:id="1302686231">
      <w:marLeft w:val="480"/>
      <w:marRight w:val="0"/>
      <w:marTop w:val="0"/>
      <w:marBottom w:val="0"/>
      <w:divBdr>
        <w:top w:val="none" w:sz="0" w:space="0" w:color="auto"/>
        <w:left w:val="none" w:sz="0" w:space="0" w:color="auto"/>
        <w:bottom w:val="none" w:sz="0" w:space="0" w:color="auto"/>
        <w:right w:val="none" w:sz="0" w:space="0" w:color="auto"/>
      </w:divBdr>
    </w:div>
    <w:div w:id="1303922586">
      <w:marLeft w:val="480"/>
      <w:marRight w:val="0"/>
      <w:marTop w:val="0"/>
      <w:marBottom w:val="0"/>
      <w:divBdr>
        <w:top w:val="none" w:sz="0" w:space="0" w:color="auto"/>
        <w:left w:val="none" w:sz="0" w:space="0" w:color="auto"/>
        <w:bottom w:val="none" w:sz="0" w:space="0" w:color="auto"/>
        <w:right w:val="none" w:sz="0" w:space="0" w:color="auto"/>
      </w:divBdr>
    </w:div>
    <w:div w:id="1304389819">
      <w:marLeft w:val="480"/>
      <w:marRight w:val="0"/>
      <w:marTop w:val="0"/>
      <w:marBottom w:val="0"/>
      <w:divBdr>
        <w:top w:val="none" w:sz="0" w:space="0" w:color="auto"/>
        <w:left w:val="none" w:sz="0" w:space="0" w:color="auto"/>
        <w:bottom w:val="none" w:sz="0" w:space="0" w:color="auto"/>
        <w:right w:val="none" w:sz="0" w:space="0" w:color="auto"/>
      </w:divBdr>
    </w:div>
    <w:div w:id="1305964047">
      <w:marLeft w:val="480"/>
      <w:marRight w:val="0"/>
      <w:marTop w:val="0"/>
      <w:marBottom w:val="0"/>
      <w:divBdr>
        <w:top w:val="none" w:sz="0" w:space="0" w:color="auto"/>
        <w:left w:val="none" w:sz="0" w:space="0" w:color="auto"/>
        <w:bottom w:val="none" w:sz="0" w:space="0" w:color="auto"/>
        <w:right w:val="none" w:sz="0" w:space="0" w:color="auto"/>
      </w:divBdr>
    </w:div>
    <w:div w:id="1306396853">
      <w:marLeft w:val="480"/>
      <w:marRight w:val="0"/>
      <w:marTop w:val="0"/>
      <w:marBottom w:val="0"/>
      <w:divBdr>
        <w:top w:val="none" w:sz="0" w:space="0" w:color="auto"/>
        <w:left w:val="none" w:sz="0" w:space="0" w:color="auto"/>
        <w:bottom w:val="none" w:sz="0" w:space="0" w:color="auto"/>
        <w:right w:val="none" w:sz="0" w:space="0" w:color="auto"/>
      </w:divBdr>
    </w:div>
    <w:div w:id="1306621461">
      <w:marLeft w:val="480"/>
      <w:marRight w:val="0"/>
      <w:marTop w:val="0"/>
      <w:marBottom w:val="0"/>
      <w:divBdr>
        <w:top w:val="none" w:sz="0" w:space="0" w:color="auto"/>
        <w:left w:val="none" w:sz="0" w:space="0" w:color="auto"/>
        <w:bottom w:val="none" w:sz="0" w:space="0" w:color="auto"/>
        <w:right w:val="none" w:sz="0" w:space="0" w:color="auto"/>
      </w:divBdr>
    </w:div>
    <w:div w:id="1309479202">
      <w:marLeft w:val="480"/>
      <w:marRight w:val="0"/>
      <w:marTop w:val="0"/>
      <w:marBottom w:val="0"/>
      <w:divBdr>
        <w:top w:val="none" w:sz="0" w:space="0" w:color="auto"/>
        <w:left w:val="none" w:sz="0" w:space="0" w:color="auto"/>
        <w:bottom w:val="none" w:sz="0" w:space="0" w:color="auto"/>
        <w:right w:val="none" w:sz="0" w:space="0" w:color="auto"/>
      </w:divBdr>
    </w:div>
    <w:div w:id="1309936169">
      <w:marLeft w:val="480"/>
      <w:marRight w:val="0"/>
      <w:marTop w:val="0"/>
      <w:marBottom w:val="0"/>
      <w:divBdr>
        <w:top w:val="none" w:sz="0" w:space="0" w:color="auto"/>
        <w:left w:val="none" w:sz="0" w:space="0" w:color="auto"/>
        <w:bottom w:val="none" w:sz="0" w:space="0" w:color="auto"/>
        <w:right w:val="none" w:sz="0" w:space="0" w:color="auto"/>
      </w:divBdr>
    </w:div>
    <w:div w:id="1310283151">
      <w:marLeft w:val="480"/>
      <w:marRight w:val="0"/>
      <w:marTop w:val="0"/>
      <w:marBottom w:val="0"/>
      <w:divBdr>
        <w:top w:val="none" w:sz="0" w:space="0" w:color="auto"/>
        <w:left w:val="none" w:sz="0" w:space="0" w:color="auto"/>
        <w:bottom w:val="none" w:sz="0" w:space="0" w:color="auto"/>
        <w:right w:val="none" w:sz="0" w:space="0" w:color="auto"/>
      </w:divBdr>
    </w:div>
    <w:div w:id="1310474118">
      <w:marLeft w:val="480"/>
      <w:marRight w:val="0"/>
      <w:marTop w:val="0"/>
      <w:marBottom w:val="0"/>
      <w:divBdr>
        <w:top w:val="none" w:sz="0" w:space="0" w:color="auto"/>
        <w:left w:val="none" w:sz="0" w:space="0" w:color="auto"/>
        <w:bottom w:val="none" w:sz="0" w:space="0" w:color="auto"/>
        <w:right w:val="none" w:sz="0" w:space="0" w:color="auto"/>
      </w:divBdr>
    </w:div>
    <w:div w:id="1312952045">
      <w:marLeft w:val="480"/>
      <w:marRight w:val="0"/>
      <w:marTop w:val="0"/>
      <w:marBottom w:val="0"/>
      <w:divBdr>
        <w:top w:val="none" w:sz="0" w:space="0" w:color="auto"/>
        <w:left w:val="none" w:sz="0" w:space="0" w:color="auto"/>
        <w:bottom w:val="none" w:sz="0" w:space="0" w:color="auto"/>
        <w:right w:val="none" w:sz="0" w:space="0" w:color="auto"/>
      </w:divBdr>
    </w:div>
    <w:div w:id="1313221542">
      <w:marLeft w:val="480"/>
      <w:marRight w:val="0"/>
      <w:marTop w:val="0"/>
      <w:marBottom w:val="0"/>
      <w:divBdr>
        <w:top w:val="none" w:sz="0" w:space="0" w:color="auto"/>
        <w:left w:val="none" w:sz="0" w:space="0" w:color="auto"/>
        <w:bottom w:val="none" w:sz="0" w:space="0" w:color="auto"/>
        <w:right w:val="none" w:sz="0" w:space="0" w:color="auto"/>
      </w:divBdr>
    </w:div>
    <w:div w:id="1314288882">
      <w:marLeft w:val="480"/>
      <w:marRight w:val="0"/>
      <w:marTop w:val="0"/>
      <w:marBottom w:val="0"/>
      <w:divBdr>
        <w:top w:val="none" w:sz="0" w:space="0" w:color="auto"/>
        <w:left w:val="none" w:sz="0" w:space="0" w:color="auto"/>
        <w:bottom w:val="none" w:sz="0" w:space="0" w:color="auto"/>
        <w:right w:val="none" w:sz="0" w:space="0" w:color="auto"/>
      </w:divBdr>
    </w:div>
    <w:div w:id="1314410555">
      <w:marLeft w:val="480"/>
      <w:marRight w:val="0"/>
      <w:marTop w:val="0"/>
      <w:marBottom w:val="0"/>
      <w:divBdr>
        <w:top w:val="none" w:sz="0" w:space="0" w:color="auto"/>
        <w:left w:val="none" w:sz="0" w:space="0" w:color="auto"/>
        <w:bottom w:val="none" w:sz="0" w:space="0" w:color="auto"/>
        <w:right w:val="none" w:sz="0" w:space="0" w:color="auto"/>
      </w:divBdr>
    </w:div>
    <w:div w:id="1316451377">
      <w:marLeft w:val="480"/>
      <w:marRight w:val="0"/>
      <w:marTop w:val="0"/>
      <w:marBottom w:val="0"/>
      <w:divBdr>
        <w:top w:val="none" w:sz="0" w:space="0" w:color="auto"/>
        <w:left w:val="none" w:sz="0" w:space="0" w:color="auto"/>
        <w:bottom w:val="none" w:sz="0" w:space="0" w:color="auto"/>
        <w:right w:val="none" w:sz="0" w:space="0" w:color="auto"/>
      </w:divBdr>
    </w:div>
    <w:div w:id="1318806116">
      <w:marLeft w:val="480"/>
      <w:marRight w:val="0"/>
      <w:marTop w:val="0"/>
      <w:marBottom w:val="0"/>
      <w:divBdr>
        <w:top w:val="none" w:sz="0" w:space="0" w:color="auto"/>
        <w:left w:val="none" w:sz="0" w:space="0" w:color="auto"/>
        <w:bottom w:val="none" w:sz="0" w:space="0" w:color="auto"/>
        <w:right w:val="none" w:sz="0" w:space="0" w:color="auto"/>
      </w:divBdr>
    </w:div>
    <w:div w:id="1319650604">
      <w:marLeft w:val="480"/>
      <w:marRight w:val="0"/>
      <w:marTop w:val="0"/>
      <w:marBottom w:val="0"/>
      <w:divBdr>
        <w:top w:val="none" w:sz="0" w:space="0" w:color="auto"/>
        <w:left w:val="none" w:sz="0" w:space="0" w:color="auto"/>
        <w:bottom w:val="none" w:sz="0" w:space="0" w:color="auto"/>
        <w:right w:val="none" w:sz="0" w:space="0" w:color="auto"/>
      </w:divBdr>
    </w:div>
    <w:div w:id="1320382741">
      <w:marLeft w:val="480"/>
      <w:marRight w:val="0"/>
      <w:marTop w:val="0"/>
      <w:marBottom w:val="0"/>
      <w:divBdr>
        <w:top w:val="none" w:sz="0" w:space="0" w:color="auto"/>
        <w:left w:val="none" w:sz="0" w:space="0" w:color="auto"/>
        <w:bottom w:val="none" w:sz="0" w:space="0" w:color="auto"/>
        <w:right w:val="none" w:sz="0" w:space="0" w:color="auto"/>
      </w:divBdr>
    </w:div>
    <w:div w:id="1324042016">
      <w:marLeft w:val="480"/>
      <w:marRight w:val="0"/>
      <w:marTop w:val="0"/>
      <w:marBottom w:val="0"/>
      <w:divBdr>
        <w:top w:val="none" w:sz="0" w:space="0" w:color="auto"/>
        <w:left w:val="none" w:sz="0" w:space="0" w:color="auto"/>
        <w:bottom w:val="none" w:sz="0" w:space="0" w:color="auto"/>
        <w:right w:val="none" w:sz="0" w:space="0" w:color="auto"/>
      </w:divBdr>
    </w:div>
    <w:div w:id="1326974633">
      <w:marLeft w:val="480"/>
      <w:marRight w:val="0"/>
      <w:marTop w:val="0"/>
      <w:marBottom w:val="0"/>
      <w:divBdr>
        <w:top w:val="none" w:sz="0" w:space="0" w:color="auto"/>
        <w:left w:val="none" w:sz="0" w:space="0" w:color="auto"/>
        <w:bottom w:val="none" w:sz="0" w:space="0" w:color="auto"/>
        <w:right w:val="none" w:sz="0" w:space="0" w:color="auto"/>
      </w:divBdr>
    </w:div>
    <w:div w:id="1327441475">
      <w:marLeft w:val="480"/>
      <w:marRight w:val="0"/>
      <w:marTop w:val="0"/>
      <w:marBottom w:val="0"/>
      <w:divBdr>
        <w:top w:val="none" w:sz="0" w:space="0" w:color="auto"/>
        <w:left w:val="none" w:sz="0" w:space="0" w:color="auto"/>
        <w:bottom w:val="none" w:sz="0" w:space="0" w:color="auto"/>
        <w:right w:val="none" w:sz="0" w:space="0" w:color="auto"/>
      </w:divBdr>
    </w:div>
    <w:div w:id="1328434350">
      <w:marLeft w:val="480"/>
      <w:marRight w:val="0"/>
      <w:marTop w:val="0"/>
      <w:marBottom w:val="0"/>
      <w:divBdr>
        <w:top w:val="none" w:sz="0" w:space="0" w:color="auto"/>
        <w:left w:val="none" w:sz="0" w:space="0" w:color="auto"/>
        <w:bottom w:val="none" w:sz="0" w:space="0" w:color="auto"/>
        <w:right w:val="none" w:sz="0" w:space="0" w:color="auto"/>
      </w:divBdr>
    </w:div>
    <w:div w:id="1330407574">
      <w:marLeft w:val="480"/>
      <w:marRight w:val="0"/>
      <w:marTop w:val="0"/>
      <w:marBottom w:val="0"/>
      <w:divBdr>
        <w:top w:val="none" w:sz="0" w:space="0" w:color="auto"/>
        <w:left w:val="none" w:sz="0" w:space="0" w:color="auto"/>
        <w:bottom w:val="none" w:sz="0" w:space="0" w:color="auto"/>
        <w:right w:val="none" w:sz="0" w:space="0" w:color="auto"/>
      </w:divBdr>
    </w:div>
    <w:div w:id="1333486437">
      <w:marLeft w:val="480"/>
      <w:marRight w:val="0"/>
      <w:marTop w:val="0"/>
      <w:marBottom w:val="0"/>
      <w:divBdr>
        <w:top w:val="none" w:sz="0" w:space="0" w:color="auto"/>
        <w:left w:val="none" w:sz="0" w:space="0" w:color="auto"/>
        <w:bottom w:val="none" w:sz="0" w:space="0" w:color="auto"/>
        <w:right w:val="none" w:sz="0" w:space="0" w:color="auto"/>
      </w:divBdr>
    </w:div>
    <w:div w:id="1334920522">
      <w:marLeft w:val="480"/>
      <w:marRight w:val="0"/>
      <w:marTop w:val="0"/>
      <w:marBottom w:val="0"/>
      <w:divBdr>
        <w:top w:val="none" w:sz="0" w:space="0" w:color="auto"/>
        <w:left w:val="none" w:sz="0" w:space="0" w:color="auto"/>
        <w:bottom w:val="none" w:sz="0" w:space="0" w:color="auto"/>
        <w:right w:val="none" w:sz="0" w:space="0" w:color="auto"/>
      </w:divBdr>
    </w:div>
    <w:div w:id="1335255976">
      <w:marLeft w:val="480"/>
      <w:marRight w:val="0"/>
      <w:marTop w:val="0"/>
      <w:marBottom w:val="0"/>
      <w:divBdr>
        <w:top w:val="none" w:sz="0" w:space="0" w:color="auto"/>
        <w:left w:val="none" w:sz="0" w:space="0" w:color="auto"/>
        <w:bottom w:val="none" w:sz="0" w:space="0" w:color="auto"/>
        <w:right w:val="none" w:sz="0" w:space="0" w:color="auto"/>
      </w:divBdr>
    </w:div>
    <w:div w:id="1335841342">
      <w:marLeft w:val="480"/>
      <w:marRight w:val="0"/>
      <w:marTop w:val="0"/>
      <w:marBottom w:val="0"/>
      <w:divBdr>
        <w:top w:val="none" w:sz="0" w:space="0" w:color="auto"/>
        <w:left w:val="none" w:sz="0" w:space="0" w:color="auto"/>
        <w:bottom w:val="none" w:sz="0" w:space="0" w:color="auto"/>
        <w:right w:val="none" w:sz="0" w:space="0" w:color="auto"/>
      </w:divBdr>
    </w:div>
    <w:div w:id="1335960174">
      <w:marLeft w:val="480"/>
      <w:marRight w:val="0"/>
      <w:marTop w:val="0"/>
      <w:marBottom w:val="0"/>
      <w:divBdr>
        <w:top w:val="none" w:sz="0" w:space="0" w:color="auto"/>
        <w:left w:val="none" w:sz="0" w:space="0" w:color="auto"/>
        <w:bottom w:val="none" w:sz="0" w:space="0" w:color="auto"/>
        <w:right w:val="none" w:sz="0" w:space="0" w:color="auto"/>
      </w:divBdr>
    </w:div>
    <w:div w:id="1337341961">
      <w:marLeft w:val="480"/>
      <w:marRight w:val="0"/>
      <w:marTop w:val="0"/>
      <w:marBottom w:val="0"/>
      <w:divBdr>
        <w:top w:val="none" w:sz="0" w:space="0" w:color="auto"/>
        <w:left w:val="none" w:sz="0" w:space="0" w:color="auto"/>
        <w:bottom w:val="none" w:sz="0" w:space="0" w:color="auto"/>
        <w:right w:val="none" w:sz="0" w:space="0" w:color="auto"/>
      </w:divBdr>
    </w:div>
    <w:div w:id="1340886037">
      <w:marLeft w:val="480"/>
      <w:marRight w:val="0"/>
      <w:marTop w:val="0"/>
      <w:marBottom w:val="0"/>
      <w:divBdr>
        <w:top w:val="none" w:sz="0" w:space="0" w:color="auto"/>
        <w:left w:val="none" w:sz="0" w:space="0" w:color="auto"/>
        <w:bottom w:val="none" w:sz="0" w:space="0" w:color="auto"/>
        <w:right w:val="none" w:sz="0" w:space="0" w:color="auto"/>
      </w:divBdr>
    </w:div>
    <w:div w:id="1342125472">
      <w:marLeft w:val="480"/>
      <w:marRight w:val="0"/>
      <w:marTop w:val="0"/>
      <w:marBottom w:val="0"/>
      <w:divBdr>
        <w:top w:val="none" w:sz="0" w:space="0" w:color="auto"/>
        <w:left w:val="none" w:sz="0" w:space="0" w:color="auto"/>
        <w:bottom w:val="none" w:sz="0" w:space="0" w:color="auto"/>
        <w:right w:val="none" w:sz="0" w:space="0" w:color="auto"/>
      </w:divBdr>
    </w:div>
    <w:div w:id="1342971658">
      <w:marLeft w:val="480"/>
      <w:marRight w:val="0"/>
      <w:marTop w:val="0"/>
      <w:marBottom w:val="0"/>
      <w:divBdr>
        <w:top w:val="none" w:sz="0" w:space="0" w:color="auto"/>
        <w:left w:val="none" w:sz="0" w:space="0" w:color="auto"/>
        <w:bottom w:val="none" w:sz="0" w:space="0" w:color="auto"/>
        <w:right w:val="none" w:sz="0" w:space="0" w:color="auto"/>
      </w:divBdr>
    </w:div>
    <w:div w:id="1345092119">
      <w:marLeft w:val="480"/>
      <w:marRight w:val="0"/>
      <w:marTop w:val="0"/>
      <w:marBottom w:val="0"/>
      <w:divBdr>
        <w:top w:val="none" w:sz="0" w:space="0" w:color="auto"/>
        <w:left w:val="none" w:sz="0" w:space="0" w:color="auto"/>
        <w:bottom w:val="none" w:sz="0" w:space="0" w:color="auto"/>
        <w:right w:val="none" w:sz="0" w:space="0" w:color="auto"/>
      </w:divBdr>
    </w:div>
    <w:div w:id="1346521164">
      <w:marLeft w:val="480"/>
      <w:marRight w:val="0"/>
      <w:marTop w:val="0"/>
      <w:marBottom w:val="0"/>
      <w:divBdr>
        <w:top w:val="none" w:sz="0" w:space="0" w:color="auto"/>
        <w:left w:val="none" w:sz="0" w:space="0" w:color="auto"/>
        <w:bottom w:val="none" w:sz="0" w:space="0" w:color="auto"/>
        <w:right w:val="none" w:sz="0" w:space="0" w:color="auto"/>
      </w:divBdr>
    </w:div>
    <w:div w:id="1347631805">
      <w:marLeft w:val="480"/>
      <w:marRight w:val="0"/>
      <w:marTop w:val="0"/>
      <w:marBottom w:val="0"/>
      <w:divBdr>
        <w:top w:val="none" w:sz="0" w:space="0" w:color="auto"/>
        <w:left w:val="none" w:sz="0" w:space="0" w:color="auto"/>
        <w:bottom w:val="none" w:sz="0" w:space="0" w:color="auto"/>
        <w:right w:val="none" w:sz="0" w:space="0" w:color="auto"/>
      </w:divBdr>
    </w:div>
    <w:div w:id="1347752592">
      <w:marLeft w:val="480"/>
      <w:marRight w:val="0"/>
      <w:marTop w:val="0"/>
      <w:marBottom w:val="0"/>
      <w:divBdr>
        <w:top w:val="none" w:sz="0" w:space="0" w:color="auto"/>
        <w:left w:val="none" w:sz="0" w:space="0" w:color="auto"/>
        <w:bottom w:val="none" w:sz="0" w:space="0" w:color="auto"/>
        <w:right w:val="none" w:sz="0" w:space="0" w:color="auto"/>
      </w:divBdr>
    </w:div>
    <w:div w:id="1348362378">
      <w:marLeft w:val="480"/>
      <w:marRight w:val="0"/>
      <w:marTop w:val="0"/>
      <w:marBottom w:val="0"/>
      <w:divBdr>
        <w:top w:val="none" w:sz="0" w:space="0" w:color="auto"/>
        <w:left w:val="none" w:sz="0" w:space="0" w:color="auto"/>
        <w:bottom w:val="none" w:sz="0" w:space="0" w:color="auto"/>
        <w:right w:val="none" w:sz="0" w:space="0" w:color="auto"/>
      </w:divBdr>
    </w:div>
    <w:div w:id="1349986884">
      <w:marLeft w:val="480"/>
      <w:marRight w:val="0"/>
      <w:marTop w:val="0"/>
      <w:marBottom w:val="0"/>
      <w:divBdr>
        <w:top w:val="none" w:sz="0" w:space="0" w:color="auto"/>
        <w:left w:val="none" w:sz="0" w:space="0" w:color="auto"/>
        <w:bottom w:val="none" w:sz="0" w:space="0" w:color="auto"/>
        <w:right w:val="none" w:sz="0" w:space="0" w:color="auto"/>
      </w:divBdr>
    </w:div>
    <w:div w:id="1352757154">
      <w:marLeft w:val="480"/>
      <w:marRight w:val="0"/>
      <w:marTop w:val="0"/>
      <w:marBottom w:val="0"/>
      <w:divBdr>
        <w:top w:val="none" w:sz="0" w:space="0" w:color="auto"/>
        <w:left w:val="none" w:sz="0" w:space="0" w:color="auto"/>
        <w:bottom w:val="none" w:sz="0" w:space="0" w:color="auto"/>
        <w:right w:val="none" w:sz="0" w:space="0" w:color="auto"/>
      </w:divBdr>
    </w:div>
    <w:div w:id="1354267415">
      <w:marLeft w:val="480"/>
      <w:marRight w:val="0"/>
      <w:marTop w:val="0"/>
      <w:marBottom w:val="0"/>
      <w:divBdr>
        <w:top w:val="none" w:sz="0" w:space="0" w:color="auto"/>
        <w:left w:val="none" w:sz="0" w:space="0" w:color="auto"/>
        <w:bottom w:val="none" w:sz="0" w:space="0" w:color="auto"/>
        <w:right w:val="none" w:sz="0" w:space="0" w:color="auto"/>
      </w:divBdr>
    </w:div>
    <w:div w:id="1356688833">
      <w:marLeft w:val="480"/>
      <w:marRight w:val="0"/>
      <w:marTop w:val="0"/>
      <w:marBottom w:val="0"/>
      <w:divBdr>
        <w:top w:val="none" w:sz="0" w:space="0" w:color="auto"/>
        <w:left w:val="none" w:sz="0" w:space="0" w:color="auto"/>
        <w:bottom w:val="none" w:sz="0" w:space="0" w:color="auto"/>
        <w:right w:val="none" w:sz="0" w:space="0" w:color="auto"/>
      </w:divBdr>
    </w:div>
    <w:div w:id="1356923150">
      <w:marLeft w:val="480"/>
      <w:marRight w:val="0"/>
      <w:marTop w:val="0"/>
      <w:marBottom w:val="0"/>
      <w:divBdr>
        <w:top w:val="none" w:sz="0" w:space="0" w:color="auto"/>
        <w:left w:val="none" w:sz="0" w:space="0" w:color="auto"/>
        <w:bottom w:val="none" w:sz="0" w:space="0" w:color="auto"/>
        <w:right w:val="none" w:sz="0" w:space="0" w:color="auto"/>
      </w:divBdr>
    </w:div>
    <w:div w:id="1357081002">
      <w:marLeft w:val="480"/>
      <w:marRight w:val="0"/>
      <w:marTop w:val="0"/>
      <w:marBottom w:val="0"/>
      <w:divBdr>
        <w:top w:val="none" w:sz="0" w:space="0" w:color="auto"/>
        <w:left w:val="none" w:sz="0" w:space="0" w:color="auto"/>
        <w:bottom w:val="none" w:sz="0" w:space="0" w:color="auto"/>
        <w:right w:val="none" w:sz="0" w:space="0" w:color="auto"/>
      </w:divBdr>
    </w:div>
    <w:div w:id="1361121995">
      <w:marLeft w:val="480"/>
      <w:marRight w:val="0"/>
      <w:marTop w:val="0"/>
      <w:marBottom w:val="0"/>
      <w:divBdr>
        <w:top w:val="none" w:sz="0" w:space="0" w:color="auto"/>
        <w:left w:val="none" w:sz="0" w:space="0" w:color="auto"/>
        <w:bottom w:val="none" w:sz="0" w:space="0" w:color="auto"/>
        <w:right w:val="none" w:sz="0" w:space="0" w:color="auto"/>
      </w:divBdr>
    </w:div>
    <w:div w:id="1362559055">
      <w:marLeft w:val="480"/>
      <w:marRight w:val="0"/>
      <w:marTop w:val="0"/>
      <w:marBottom w:val="0"/>
      <w:divBdr>
        <w:top w:val="none" w:sz="0" w:space="0" w:color="auto"/>
        <w:left w:val="none" w:sz="0" w:space="0" w:color="auto"/>
        <w:bottom w:val="none" w:sz="0" w:space="0" w:color="auto"/>
        <w:right w:val="none" w:sz="0" w:space="0" w:color="auto"/>
      </w:divBdr>
    </w:div>
    <w:div w:id="1363626195">
      <w:marLeft w:val="480"/>
      <w:marRight w:val="0"/>
      <w:marTop w:val="0"/>
      <w:marBottom w:val="0"/>
      <w:divBdr>
        <w:top w:val="none" w:sz="0" w:space="0" w:color="auto"/>
        <w:left w:val="none" w:sz="0" w:space="0" w:color="auto"/>
        <w:bottom w:val="none" w:sz="0" w:space="0" w:color="auto"/>
        <w:right w:val="none" w:sz="0" w:space="0" w:color="auto"/>
      </w:divBdr>
    </w:div>
    <w:div w:id="1367559126">
      <w:marLeft w:val="480"/>
      <w:marRight w:val="0"/>
      <w:marTop w:val="0"/>
      <w:marBottom w:val="0"/>
      <w:divBdr>
        <w:top w:val="none" w:sz="0" w:space="0" w:color="auto"/>
        <w:left w:val="none" w:sz="0" w:space="0" w:color="auto"/>
        <w:bottom w:val="none" w:sz="0" w:space="0" w:color="auto"/>
        <w:right w:val="none" w:sz="0" w:space="0" w:color="auto"/>
      </w:divBdr>
    </w:div>
    <w:div w:id="1368991714">
      <w:marLeft w:val="480"/>
      <w:marRight w:val="0"/>
      <w:marTop w:val="0"/>
      <w:marBottom w:val="0"/>
      <w:divBdr>
        <w:top w:val="none" w:sz="0" w:space="0" w:color="auto"/>
        <w:left w:val="none" w:sz="0" w:space="0" w:color="auto"/>
        <w:bottom w:val="none" w:sz="0" w:space="0" w:color="auto"/>
        <w:right w:val="none" w:sz="0" w:space="0" w:color="auto"/>
      </w:divBdr>
    </w:div>
    <w:div w:id="1370833992">
      <w:marLeft w:val="480"/>
      <w:marRight w:val="0"/>
      <w:marTop w:val="0"/>
      <w:marBottom w:val="0"/>
      <w:divBdr>
        <w:top w:val="none" w:sz="0" w:space="0" w:color="auto"/>
        <w:left w:val="none" w:sz="0" w:space="0" w:color="auto"/>
        <w:bottom w:val="none" w:sz="0" w:space="0" w:color="auto"/>
        <w:right w:val="none" w:sz="0" w:space="0" w:color="auto"/>
      </w:divBdr>
    </w:div>
    <w:div w:id="1373845320">
      <w:marLeft w:val="480"/>
      <w:marRight w:val="0"/>
      <w:marTop w:val="0"/>
      <w:marBottom w:val="0"/>
      <w:divBdr>
        <w:top w:val="none" w:sz="0" w:space="0" w:color="auto"/>
        <w:left w:val="none" w:sz="0" w:space="0" w:color="auto"/>
        <w:bottom w:val="none" w:sz="0" w:space="0" w:color="auto"/>
        <w:right w:val="none" w:sz="0" w:space="0" w:color="auto"/>
      </w:divBdr>
    </w:div>
    <w:div w:id="1379016231">
      <w:marLeft w:val="480"/>
      <w:marRight w:val="0"/>
      <w:marTop w:val="0"/>
      <w:marBottom w:val="0"/>
      <w:divBdr>
        <w:top w:val="none" w:sz="0" w:space="0" w:color="auto"/>
        <w:left w:val="none" w:sz="0" w:space="0" w:color="auto"/>
        <w:bottom w:val="none" w:sz="0" w:space="0" w:color="auto"/>
        <w:right w:val="none" w:sz="0" w:space="0" w:color="auto"/>
      </w:divBdr>
    </w:div>
    <w:div w:id="1380856917">
      <w:marLeft w:val="480"/>
      <w:marRight w:val="0"/>
      <w:marTop w:val="0"/>
      <w:marBottom w:val="0"/>
      <w:divBdr>
        <w:top w:val="none" w:sz="0" w:space="0" w:color="auto"/>
        <w:left w:val="none" w:sz="0" w:space="0" w:color="auto"/>
        <w:bottom w:val="none" w:sz="0" w:space="0" w:color="auto"/>
        <w:right w:val="none" w:sz="0" w:space="0" w:color="auto"/>
      </w:divBdr>
    </w:div>
    <w:div w:id="1382291330">
      <w:marLeft w:val="480"/>
      <w:marRight w:val="0"/>
      <w:marTop w:val="0"/>
      <w:marBottom w:val="0"/>
      <w:divBdr>
        <w:top w:val="none" w:sz="0" w:space="0" w:color="auto"/>
        <w:left w:val="none" w:sz="0" w:space="0" w:color="auto"/>
        <w:bottom w:val="none" w:sz="0" w:space="0" w:color="auto"/>
        <w:right w:val="none" w:sz="0" w:space="0" w:color="auto"/>
      </w:divBdr>
    </w:div>
    <w:div w:id="1383023029">
      <w:marLeft w:val="480"/>
      <w:marRight w:val="0"/>
      <w:marTop w:val="0"/>
      <w:marBottom w:val="0"/>
      <w:divBdr>
        <w:top w:val="none" w:sz="0" w:space="0" w:color="auto"/>
        <w:left w:val="none" w:sz="0" w:space="0" w:color="auto"/>
        <w:bottom w:val="none" w:sz="0" w:space="0" w:color="auto"/>
        <w:right w:val="none" w:sz="0" w:space="0" w:color="auto"/>
      </w:divBdr>
    </w:div>
    <w:div w:id="1384988709">
      <w:marLeft w:val="480"/>
      <w:marRight w:val="0"/>
      <w:marTop w:val="0"/>
      <w:marBottom w:val="0"/>
      <w:divBdr>
        <w:top w:val="none" w:sz="0" w:space="0" w:color="auto"/>
        <w:left w:val="none" w:sz="0" w:space="0" w:color="auto"/>
        <w:bottom w:val="none" w:sz="0" w:space="0" w:color="auto"/>
        <w:right w:val="none" w:sz="0" w:space="0" w:color="auto"/>
      </w:divBdr>
    </w:div>
    <w:div w:id="1389692502">
      <w:marLeft w:val="480"/>
      <w:marRight w:val="0"/>
      <w:marTop w:val="0"/>
      <w:marBottom w:val="0"/>
      <w:divBdr>
        <w:top w:val="none" w:sz="0" w:space="0" w:color="auto"/>
        <w:left w:val="none" w:sz="0" w:space="0" w:color="auto"/>
        <w:bottom w:val="none" w:sz="0" w:space="0" w:color="auto"/>
        <w:right w:val="none" w:sz="0" w:space="0" w:color="auto"/>
      </w:divBdr>
    </w:div>
    <w:div w:id="1391073496">
      <w:marLeft w:val="480"/>
      <w:marRight w:val="0"/>
      <w:marTop w:val="0"/>
      <w:marBottom w:val="0"/>
      <w:divBdr>
        <w:top w:val="none" w:sz="0" w:space="0" w:color="auto"/>
        <w:left w:val="none" w:sz="0" w:space="0" w:color="auto"/>
        <w:bottom w:val="none" w:sz="0" w:space="0" w:color="auto"/>
        <w:right w:val="none" w:sz="0" w:space="0" w:color="auto"/>
      </w:divBdr>
    </w:div>
    <w:div w:id="1392389148">
      <w:marLeft w:val="480"/>
      <w:marRight w:val="0"/>
      <w:marTop w:val="0"/>
      <w:marBottom w:val="0"/>
      <w:divBdr>
        <w:top w:val="none" w:sz="0" w:space="0" w:color="auto"/>
        <w:left w:val="none" w:sz="0" w:space="0" w:color="auto"/>
        <w:bottom w:val="none" w:sz="0" w:space="0" w:color="auto"/>
        <w:right w:val="none" w:sz="0" w:space="0" w:color="auto"/>
      </w:divBdr>
    </w:div>
    <w:div w:id="1393577977">
      <w:marLeft w:val="480"/>
      <w:marRight w:val="0"/>
      <w:marTop w:val="0"/>
      <w:marBottom w:val="0"/>
      <w:divBdr>
        <w:top w:val="none" w:sz="0" w:space="0" w:color="auto"/>
        <w:left w:val="none" w:sz="0" w:space="0" w:color="auto"/>
        <w:bottom w:val="none" w:sz="0" w:space="0" w:color="auto"/>
        <w:right w:val="none" w:sz="0" w:space="0" w:color="auto"/>
      </w:divBdr>
    </w:div>
    <w:div w:id="1395423564">
      <w:marLeft w:val="480"/>
      <w:marRight w:val="0"/>
      <w:marTop w:val="0"/>
      <w:marBottom w:val="0"/>
      <w:divBdr>
        <w:top w:val="none" w:sz="0" w:space="0" w:color="auto"/>
        <w:left w:val="none" w:sz="0" w:space="0" w:color="auto"/>
        <w:bottom w:val="none" w:sz="0" w:space="0" w:color="auto"/>
        <w:right w:val="none" w:sz="0" w:space="0" w:color="auto"/>
      </w:divBdr>
    </w:div>
    <w:div w:id="1395471006">
      <w:marLeft w:val="480"/>
      <w:marRight w:val="0"/>
      <w:marTop w:val="0"/>
      <w:marBottom w:val="0"/>
      <w:divBdr>
        <w:top w:val="none" w:sz="0" w:space="0" w:color="auto"/>
        <w:left w:val="none" w:sz="0" w:space="0" w:color="auto"/>
        <w:bottom w:val="none" w:sz="0" w:space="0" w:color="auto"/>
        <w:right w:val="none" w:sz="0" w:space="0" w:color="auto"/>
      </w:divBdr>
    </w:div>
    <w:div w:id="1395473414">
      <w:marLeft w:val="480"/>
      <w:marRight w:val="0"/>
      <w:marTop w:val="0"/>
      <w:marBottom w:val="0"/>
      <w:divBdr>
        <w:top w:val="none" w:sz="0" w:space="0" w:color="auto"/>
        <w:left w:val="none" w:sz="0" w:space="0" w:color="auto"/>
        <w:bottom w:val="none" w:sz="0" w:space="0" w:color="auto"/>
        <w:right w:val="none" w:sz="0" w:space="0" w:color="auto"/>
      </w:divBdr>
    </w:div>
    <w:div w:id="1402212589">
      <w:marLeft w:val="480"/>
      <w:marRight w:val="0"/>
      <w:marTop w:val="0"/>
      <w:marBottom w:val="0"/>
      <w:divBdr>
        <w:top w:val="none" w:sz="0" w:space="0" w:color="auto"/>
        <w:left w:val="none" w:sz="0" w:space="0" w:color="auto"/>
        <w:bottom w:val="none" w:sz="0" w:space="0" w:color="auto"/>
        <w:right w:val="none" w:sz="0" w:space="0" w:color="auto"/>
      </w:divBdr>
    </w:div>
    <w:div w:id="1403288304">
      <w:marLeft w:val="480"/>
      <w:marRight w:val="0"/>
      <w:marTop w:val="0"/>
      <w:marBottom w:val="0"/>
      <w:divBdr>
        <w:top w:val="none" w:sz="0" w:space="0" w:color="auto"/>
        <w:left w:val="none" w:sz="0" w:space="0" w:color="auto"/>
        <w:bottom w:val="none" w:sz="0" w:space="0" w:color="auto"/>
        <w:right w:val="none" w:sz="0" w:space="0" w:color="auto"/>
      </w:divBdr>
    </w:div>
    <w:div w:id="1404060116">
      <w:marLeft w:val="480"/>
      <w:marRight w:val="0"/>
      <w:marTop w:val="0"/>
      <w:marBottom w:val="0"/>
      <w:divBdr>
        <w:top w:val="none" w:sz="0" w:space="0" w:color="auto"/>
        <w:left w:val="none" w:sz="0" w:space="0" w:color="auto"/>
        <w:bottom w:val="none" w:sz="0" w:space="0" w:color="auto"/>
        <w:right w:val="none" w:sz="0" w:space="0" w:color="auto"/>
      </w:divBdr>
    </w:div>
    <w:div w:id="1404176977">
      <w:marLeft w:val="480"/>
      <w:marRight w:val="0"/>
      <w:marTop w:val="0"/>
      <w:marBottom w:val="0"/>
      <w:divBdr>
        <w:top w:val="none" w:sz="0" w:space="0" w:color="auto"/>
        <w:left w:val="none" w:sz="0" w:space="0" w:color="auto"/>
        <w:bottom w:val="none" w:sz="0" w:space="0" w:color="auto"/>
        <w:right w:val="none" w:sz="0" w:space="0" w:color="auto"/>
      </w:divBdr>
    </w:div>
    <w:div w:id="1406143990">
      <w:marLeft w:val="480"/>
      <w:marRight w:val="0"/>
      <w:marTop w:val="0"/>
      <w:marBottom w:val="0"/>
      <w:divBdr>
        <w:top w:val="none" w:sz="0" w:space="0" w:color="auto"/>
        <w:left w:val="none" w:sz="0" w:space="0" w:color="auto"/>
        <w:bottom w:val="none" w:sz="0" w:space="0" w:color="auto"/>
        <w:right w:val="none" w:sz="0" w:space="0" w:color="auto"/>
      </w:divBdr>
    </w:div>
    <w:div w:id="1406486358">
      <w:marLeft w:val="480"/>
      <w:marRight w:val="0"/>
      <w:marTop w:val="0"/>
      <w:marBottom w:val="0"/>
      <w:divBdr>
        <w:top w:val="none" w:sz="0" w:space="0" w:color="auto"/>
        <w:left w:val="none" w:sz="0" w:space="0" w:color="auto"/>
        <w:bottom w:val="none" w:sz="0" w:space="0" w:color="auto"/>
        <w:right w:val="none" w:sz="0" w:space="0" w:color="auto"/>
      </w:divBdr>
    </w:div>
    <w:div w:id="1408381589">
      <w:marLeft w:val="480"/>
      <w:marRight w:val="0"/>
      <w:marTop w:val="0"/>
      <w:marBottom w:val="0"/>
      <w:divBdr>
        <w:top w:val="none" w:sz="0" w:space="0" w:color="auto"/>
        <w:left w:val="none" w:sz="0" w:space="0" w:color="auto"/>
        <w:bottom w:val="none" w:sz="0" w:space="0" w:color="auto"/>
        <w:right w:val="none" w:sz="0" w:space="0" w:color="auto"/>
      </w:divBdr>
    </w:div>
    <w:div w:id="1413284142">
      <w:marLeft w:val="480"/>
      <w:marRight w:val="0"/>
      <w:marTop w:val="0"/>
      <w:marBottom w:val="0"/>
      <w:divBdr>
        <w:top w:val="none" w:sz="0" w:space="0" w:color="auto"/>
        <w:left w:val="none" w:sz="0" w:space="0" w:color="auto"/>
        <w:bottom w:val="none" w:sz="0" w:space="0" w:color="auto"/>
        <w:right w:val="none" w:sz="0" w:space="0" w:color="auto"/>
      </w:divBdr>
    </w:div>
    <w:div w:id="1414935847">
      <w:marLeft w:val="480"/>
      <w:marRight w:val="0"/>
      <w:marTop w:val="0"/>
      <w:marBottom w:val="0"/>
      <w:divBdr>
        <w:top w:val="none" w:sz="0" w:space="0" w:color="auto"/>
        <w:left w:val="none" w:sz="0" w:space="0" w:color="auto"/>
        <w:bottom w:val="none" w:sz="0" w:space="0" w:color="auto"/>
        <w:right w:val="none" w:sz="0" w:space="0" w:color="auto"/>
      </w:divBdr>
    </w:div>
    <w:div w:id="1416629222">
      <w:marLeft w:val="480"/>
      <w:marRight w:val="0"/>
      <w:marTop w:val="0"/>
      <w:marBottom w:val="0"/>
      <w:divBdr>
        <w:top w:val="none" w:sz="0" w:space="0" w:color="auto"/>
        <w:left w:val="none" w:sz="0" w:space="0" w:color="auto"/>
        <w:bottom w:val="none" w:sz="0" w:space="0" w:color="auto"/>
        <w:right w:val="none" w:sz="0" w:space="0" w:color="auto"/>
      </w:divBdr>
    </w:div>
    <w:div w:id="1418861264">
      <w:marLeft w:val="480"/>
      <w:marRight w:val="0"/>
      <w:marTop w:val="0"/>
      <w:marBottom w:val="0"/>
      <w:divBdr>
        <w:top w:val="none" w:sz="0" w:space="0" w:color="auto"/>
        <w:left w:val="none" w:sz="0" w:space="0" w:color="auto"/>
        <w:bottom w:val="none" w:sz="0" w:space="0" w:color="auto"/>
        <w:right w:val="none" w:sz="0" w:space="0" w:color="auto"/>
      </w:divBdr>
    </w:div>
    <w:div w:id="1420903931">
      <w:marLeft w:val="480"/>
      <w:marRight w:val="0"/>
      <w:marTop w:val="0"/>
      <w:marBottom w:val="0"/>
      <w:divBdr>
        <w:top w:val="none" w:sz="0" w:space="0" w:color="auto"/>
        <w:left w:val="none" w:sz="0" w:space="0" w:color="auto"/>
        <w:bottom w:val="none" w:sz="0" w:space="0" w:color="auto"/>
        <w:right w:val="none" w:sz="0" w:space="0" w:color="auto"/>
      </w:divBdr>
    </w:div>
    <w:div w:id="1421558584">
      <w:marLeft w:val="480"/>
      <w:marRight w:val="0"/>
      <w:marTop w:val="0"/>
      <w:marBottom w:val="0"/>
      <w:divBdr>
        <w:top w:val="none" w:sz="0" w:space="0" w:color="auto"/>
        <w:left w:val="none" w:sz="0" w:space="0" w:color="auto"/>
        <w:bottom w:val="none" w:sz="0" w:space="0" w:color="auto"/>
        <w:right w:val="none" w:sz="0" w:space="0" w:color="auto"/>
      </w:divBdr>
    </w:div>
    <w:div w:id="1422336376">
      <w:marLeft w:val="480"/>
      <w:marRight w:val="0"/>
      <w:marTop w:val="0"/>
      <w:marBottom w:val="0"/>
      <w:divBdr>
        <w:top w:val="none" w:sz="0" w:space="0" w:color="auto"/>
        <w:left w:val="none" w:sz="0" w:space="0" w:color="auto"/>
        <w:bottom w:val="none" w:sz="0" w:space="0" w:color="auto"/>
        <w:right w:val="none" w:sz="0" w:space="0" w:color="auto"/>
      </w:divBdr>
    </w:div>
    <w:div w:id="1422486335">
      <w:marLeft w:val="480"/>
      <w:marRight w:val="0"/>
      <w:marTop w:val="0"/>
      <w:marBottom w:val="0"/>
      <w:divBdr>
        <w:top w:val="none" w:sz="0" w:space="0" w:color="auto"/>
        <w:left w:val="none" w:sz="0" w:space="0" w:color="auto"/>
        <w:bottom w:val="none" w:sz="0" w:space="0" w:color="auto"/>
        <w:right w:val="none" w:sz="0" w:space="0" w:color="auto"/>
      </w:divBdr>
    </w:div>
    <w:div w:id="1423793157">
      <w:marLeft w:val="480"/>
      <w:marRight w:val="0"/>
      <w:marTop w:val="0"/>
      <w:marBottom w:val="0"/>
      <w:divBdr>
        <w:top w:val="none" w:sz="0" w:space="0" w:color="auto"/>
        <w:left w:val="none" w:sz="0" w:space="0" w:color="auto"/>
        <w:bottom w:val="none" w:sz="0" w:space="0" w:color="auto"/>
        <w:right w:val="none" w:sz="0" w:space="0" w:color="auto"/>
      </w:divBdr>
    </w:div>
    <w:div w:id="1428499781">
      <w:marLeft w:val="480"/>
      <w:marRight w:val="0"/>
      <w:marTop w:val="0"/>
      <w:marBottom w:val="0"/>
      <w:divBdr>
        <w:top w:val="none" w:sz="0" w:space="0" w:color="auto"/>
        <w:left w:val="none" w:sz="0" w:space="0" w:color="auto"/>
        <w:bottom w:val="none" w:sz="0" w:space="0" w:color="auto"/>
        <w:right w:val="none" w:sz="0" w:space="0" w:color="auto"/>
      </w:divBdr>
    </w:div>
    <w:div w:id="1431242352">
      <w:marLeft w:val="480"/>
      <w:marRight w:val="0"/>
      <w:marTop w:val="0"/>
      <w:marBottom w:val="0"/>
      <w:divBdr>
        <w:top w:val="none" w:sz="0" w:space="0" w:color="auto"/>
        <w:left w:val="none" w:sz="0" w:space="0" w:color="auto"/>
        <w:bottom w:val="none" w:sz="0" w:space="0" w:color="auto"/>
        <w:right w:val="none" w:sz="0" w:space="0" w:color="auto"/>
      </w:divBdr>
    </w:div>
    <w:div w:id="1431974647">
      <w:marLeft w:val="480"/>
      <w:marRight w:val="0"/>
      <w:marTop w:val="0"/>
      <w:marBottom w:val="0"/>
      <w:divBdr>
        <w:top w:val="none" w:sz="0" w:space="0" w:color="auto"/>
        <w:left w:val="none" w:sz="0" w:space="0" w:color="auto"/>
        <w:bottom w:val="none" w:sz="0" w:space="0" w:color="auto"/>
        <w:right w:val="none" w:sz="0" w:space="0" w:color="auto"/>
      </w:divBdr>
    </w:div>
    <w:div w:id="1432555159">
      <w:marLeft w:val="480"/>
      <w:marRight w:val="0"/>
      <w:marTop w:val="0"/>
      <w:marBottom w:val="0"/>
      <w:divBdr>
        <w:top w:val="none" w:sz="0" w:space="0" w:color="auto"/>
        <w:left w:val="none" w:sz="0" w:space="0" w:color="auto"/>
        <w:bottom w:val="none" w:sz="0" w:space="0" w:color="auto"/>
        <w:right w:val="none" w:sz="0" w:space="0" w:color="auto"/>
      </w:divBdr>
    </w:div>
    <w:div w:id="1434475519">
      <w:marLeft w:val="480"/>
      <w:marRight w:val="0"/>
      <w:marTop w:val="0"/>
      <w:marBottom w:val="0"/>
      <w:divBdr>
        <w:top w:val="none" w:sz="0" w:space="0" w:color="auto"/>
        <w:left w:val="none" w:sz="0" w:space="0" w:color="auto"/>
        <w:bottom w:val="none" w:sz="0" w:space="0" w:color="auto"/>
        <w:right w:val="none" w:sz="0" w:space="0" w:color="auto"/>
      </w:divBdr>
    </w:div>
    <w:div w:id="1435591454">
      <w:marLeft w:val="480"/>
      <w:marRight w:val="0"/>
      <w:marTop w:val="0"/>
      <w:marBottom w:val="0"/>
      <w:divBdr>
        <w:top w:val="none" w:sz="0" w:space="0" w:color="auto"/>
        <w:left w:val="none" w:sz="0" w:space="0" w:color="auto"/>
        <w:bottom w:val="none" w:sz="0" w:space="0" w:color="auto"/>
        <w:right w:val="none" w:sz="0" w:space="0" w:color="auto"/>
      </w:divBdr>
    </w:div>
    <w:div w:id="1436242574">
      <w:marLeft w:val="480"/>
      <w:marRight w:val="0"/>
      <w:marTop w:val="0"/>
      <w:marBottom w:val="0"/>
      <w:divBdr>
        <w:top w:val="none" w:sz="0" w:space="0" w:color="auto"/>
        <w:left w:val="none" w:sz="0" w:space="0" w:color="auto"/>
        <w:bottom w:val="none" w:sz="0" w:space="0" w:color="auto"/>
        <w:right w:val="none" w:sz="0" w:space="0" w:color="auto"/>
      </w:divBdr>
    </w:div>
    <w:div w:id="1436707358">
      <w:marLeft w:val="480"/>
      <w:marRight w:val="0"/>
      <w:marTop w:val="0"/>
      <w:marBottom w:val="0"/>
      <w:divBdr>
        <w:top w:val="none" w:sz="0" w:space="0" w:color="auto"/>
        <w:left w:val="none" w:sz="0" w:space="0" w:color="auto"/>
        <w:bottom w:val="none" w:sz="0" w:space="0" w:color="auto"/>
        <w:right w:val="none" w:sz="0" w:space="0" w:color="auto"/>
      </w:divBdr>
    </w:div>
    <w:div w:id="1437095802">
      <w:marLeft w:val="480"/>
      <w:marRight w:val="0"/>
      <w:marTop w:val="0"/>
      <w:marBottom w:val="0"/>
      <w:divBdr>
        <w:top w:val="none" w:sz="0" w:space="0" w:color="auto"/>
        <w:left w:val="none" w:sz="0" w:space="0" w:color="auto"/>
        <w:bottom w:val="none" w:sz="0" w:space="0" w:color="auto"/>
        <w:right w:val="none" w:sz="0" w:space="0" w:color="auto"/>
      </w:divBdr>
    </w:div>
    <w:div w:id="1437602013">
      <w:marLeft w:val="480"/>
      <w:marRight w:val="0"/>
      <w:marTop w:val="0"/>
      <w:marBottom w:val="0"/>
      <w:divBdr>
        <w:top w:val="none" w:sz="0" w:space="0" w:color="auto"/>
        <w:left w:val="none" w:sz="0" w:space="0" w:color="auto"/>
        <w:bottom w:val="none" w:sz="0" w:space="0" w:color="auto"/>
        <w:right w:val="none" w:sz="0" w:space="0" w:color="auto"/>
      </w:divBdr>
    </w:div>
    <w:div w:id="1437603722">
      <w:marLeft w:val="480"/>
      <w:marRight w:val="0"/>
      <w:marTop w:val="0"/>
      <w:marBottom w:val="0"/>
      <w:divBdr>
        <w:top w:val="none" w:sz="0" w:space="0" w:color="auto"/>
        <w:left w:val="none" w:sz="0" w:space="0" w:color="auto"/>
        <w:bottom w:val="none" w:sz="0" w:space="0" w:color="auto"/>
        <w:right w:val="none" w:sz="0" w:space="0" w:color="auto"/>
      </w:divBdr>
    </w:div>
    <w:div w:id="1439108027">
      <w:marLeft w:val="480"/>
      <w:marRight w:val="0"/>
      <w:marTop w:val="0"/>
      <w:marBottom w:val="0"/>
      <w:divBdr>
        <w:top w:val="none" w:sz="0" w:space="0" w:color="auto"/>
        <w:left w:val="none" w:sz="0" w:space="0" w:color="auto"/>
        <w:bottom w:val="none" w:sz="0" w:space="0" w:color="auto"/>
        <w:right w:val="none" w:sz="0" w:space="0" w:color="auto"/>
      </w:divBdr>
    </w:div>
    <w:div w:id="1439565281">
      <w:marLeft w:val="480"/>
      <w:marRight w:val="0"/>
      <w:marTop w:val="0"/>
      <w:marBottom w:val="0"/>
      <w:divBdr>
        <w:top w:val="none" w:sz="0" w:space="0" w:color="auto"/>
        <w:left w:val="none" w:sz="0" w:space="0" w:color="auto"/>
        <w:bottom w:val="none" w:sz="0" w:space="0" w:color="auto"/>
        <w:right w:val="none" w:sz="0" w:space="0" w:color="auto"/>
      </w:divBdr>
    </w:div>
    <w:div w:id="1442607143">
      <w:marLeft w:val="480"/>
      <w:marRight w:val="0"/>
      <w:marTop w:val="0"/>
      <w:marBottom w:val="0"/>
      <w:divBdr>
        <w:top w:val="none" w:sz="0" w:space="0" w:color="auto"/>
        <w:left w:val="none" w:sz="0" w:space="0" w:color="auto"/>
        <w:bottom w:val="none" w:sz="0" w:space="0" w:color="auto"/>
        <w:right w:val="none" w:sz="0" w:space="0" w:color="auto"/>
      </w:divBdr>
    </w:div>
    <w:div w:id="1445535290">
      <w:marLeft w:val="480"/>
      <w:marRight w:val="0"/>
      <w:marTop w:val="0"/>
      <w:marBottom w:val="0"/>
      <w:divBdr>
        <w:top w:val="none" w:sz="0" w:space="0" w:color="auto"/>
        <w:left w:val="none" w:sz="0" w:space="0" w:color="auto"/>
        <w:bottom w:val="none" w:sz="0" w:space="0" w:color="auto"/>
        <w:right w:val="none" w:sz="0" w:space="0" w:color="auto"/>
      </w:divBdr>
    </w:div>
    <w:div w:id="1446149545">
      <w:marLeft w:val="480"/>
      <w:marRight w:val="0"/>
      <w:marTop w:val="0"/>
      <w:marBottom w:val="0"/>
      <w:divBdr>
        <w:top w:val="none" w:sz="0" w:space="0" w:color="auto"/>
        <w:left w:val="none" w:sz="0" w:space="0" w:color="auto"/>
        <w:bottom w:val="none" w:sz="0" w:space="0" w:color="auto"/>
        <w:right w:val="none" w:sz="0" w:space="0" w:color="auto"/>
      </w:divBdr>
    </w:div>
    <w:div w:id="1446659929">
      <w:marLeft w:val="480"/>
      <w:marRight w:val="0"/>
      <w:marTop w:val="0"/>
      <w:marBottom w:val="0"/>
      <w:divBdr>
        <w:top w:val="none" w:sz="0" w:space="0" w:color="auto"/>
        <w:left w:val="none" w:sz="0" w:space="0" w:color="auto"/>
        <w:bottom w:val="none" w:sz="0" w:space="0" w:color="auto"/>
        <w:right w:val="none" w:sz="0" w:space="0" w:color="auto"/>
      </w:divBdr>
    </w:div>
    <w:div w:id="1448621224">
      <w:marLeft w:val="480"/>
      <w:marRight w:val="0"/>
      <w:marTop w:val="0"/>
      <w:marBottom w:val="0"/>
      <w:divBdr>
        <w:top w:val="none" w:sz="0" w:space="0" w:color="auto"/>
        <w:left w:val="none" w:sz="0" w:space="0" w:color="auto"/>
        <w:bottom w:val="none" w:sz="0" w:space="0" w:color="auto"/>
        <w:right w:val="none" w:sz="0" w:space="0" w:color="auto"/>
      </w:divBdr>
    </w:div>
    <w:div w:id="1451125571">
      <w:marLeft w:val="480"/>
      <w:marRight w:val="0"/>
      <w:marTop w:val="0"/>
      <w:marBottom w:val="0"/>
      <w:divBdr>
        <w:top w:val="none" w:sz="0" w:space="0" w:color="auto"/>
        <w:left w:val="none" w:sz="0" w:space="0" w:color="auto"/>
        <w:bottom w:val="none" w:sz="0" w:space="0" w:color="auto"/>
        <w:right w:val="none" w:sz="0" w:space="0" w:color="auto"/>
      </w:divBdr>
    </w:div>
    <w:div w:id="1455099172">
      <w:marLeft w:val="480"/>
      <w:marRight w:val="0"/>
      <w:marTop w:val="0"/>
      <w:marBottom w:val="0"/>
      <w:divBdr>
        <w:top w:val="none" w:sz="0" w:space="0" w:color="auto"/>
        <w:left w:val="none" w:sz="0" w:space="0" w:color="auto"/>
        <w:bottom w:val="none" w:sz="0" w:space="0" w:color="auto"/>
        <w:right w:val="none" w:sz="0" w:space="0" w:color="auto"/>
      </w:divBdr>
    </w:div>
    <w:div w:id="1456213385">
      <w:marLeft w:val="480"/>
      <w:marRight w:val="0"/>
      <w:marTop w:val="0"/>
      <w:marBottom w:val="0"/>
      <w:divBdr>
        <w:top w:val="none" w:sz="0" w:space="0" w:color="auto"/>
        <w:left w:val="none" w:sz="0" w:space="0" w:color="auto"/>
        <w:bottom w:val="none" w:sz="0" w:space="0" w:color="auto"/>
        <w:right w:val="none" w:sz="0" w:space="0" w:color="auto"/>
      </w:divBdr>
    </w:div>
    <w:div w:id="1456824250">
      <w:marLeft w:val="480"/>
      <w:marRight w:val="0"/>
      <w:marTop w:val="0"/>
      <w:marBottom w:val="0"/>
      <w:divBdr>
        <w:top w:val="none" w:sz="0" w:space="0" w:color="auto"/>
        <w:left w:val="none" w:sz="0" w:space="0" w:color="auto"/>
        <w:bottom w:val="none" w:sz="0" w:space="0" w:color="auto"/>
        <w:right w:val="none" w:sz="0" w:space="0" w:color="auto"/>
      </w:divBdr>
    </w:div>
    <w:div w:id="1460345552">
      <w:marLeft w:val="480"/>
      <w:marRight w:val="0"/>
      <w:marTop w:val="0"/>
      <w:marBottom w:val="0"/>
      <w:divBdr>
        <w:top w:val="none" w:sz="0" w:space="0" w:color="auto"/>
        <w:left w:val="none" w:sz="0" w:space="0" w:color="auto"/>
        <w:bottom w:val="none" w:sz="0" w:space="0" w:color="auto"/>
        <w:right w:val="none" w:sz="0" w:space="0" w:color="auto"/>
      </w:divBdr>
    </w:div>
    <w:div w:id="1460956787">
      <w:marLeft w:val="480"/>
      <w:marRight w:val="0"/>
      <w:marTop w:val="0"/>
      <w:marBottom w:val="0"/>
      <w:divBdr>
        <w:top w:val="none" w:sz="0" w:space="0" w:color="auto"/>
        <w:left w:val="none" w:sz="0" w:space="0" w:color="auto"/>
        <w:bottom w:val="none" w:sz="0" w:space="0" w:color="auto"/>
        <w:right w:val="none" w:sz="0" w:space="0" w:color="auto"/>
      </w:divBdr>
    </w:div>
    <w:div w:id="1461998144">
      <w:marLeft w:val="480"/>
      <w:marRight w:val="0"/>
      <w:marTop w:val="0"/>
      <w:marBottom w:val="0"/>
      <w:divBdr>
        <w:top w:val="none" w:sz="0" w:space="0" w:color="auto"/>
        <w:left w:val="none" w:sz="0" w:space="0" w:color="auto"/>
        <w:bottom w:val="none" w:sz="0" w:space="0" w:color="auto"/>
        <w:right w:val="none" w:sz="0" w:space="0" w:color="auto"/>
      </w:divBdr>
    </w:div>
    <w:div w:id="1463962481">
      <w:marLeft w:val="480"/>
      <w:marRight w:val="0"/>
      <w:marTop w:val="0"/>
      <w:marBottom w:val="0"/>
      <w:divBdr>
        <w:top w:val="none" w:sz="0" w:space="0" w:color="auto"/>
        <w:left w:val="none" w:sz="0" w:space="0" w:color="auto"/>
        <w:bottom w:val="none" w:sz="0" w:space="0" w:color="auto"/>
        <w:right w:val="none" w:sz="0" w:space="0" w:color="auto"/>
      </w:divBdr>
    </w:div>
    <w:div w:id="1467159913">
      <w:marLeft w:val="480"/>
      <w:marRight w:val="0"/>
      <w:marTop w:val="0"/>
      <w:marBottom w:val="0"/>
      <w:divBdr>
        <w:top w:val="none" w:sz="0" w:space="0" w:color="auto"/>
        <w:left w:val="none" w:sz="0" w:space="0" w:color="auto"/>
        <w:bottom w:val="none" w:sz="0" w:space="0" w:color="auto"/>
        <w:right w:val="none" w:sz="0" w:space="0" w:color="auto"/>
      </w:divBdr>
    </w:div>
    <w:div w:id="1470243083">
      <w:marLeft w:val="480"/>
      <w:marRight w:val="0"/>
      <w:marTop w:val="0"/>
      <w:marBottom w:val="0"/>
      <w:divBdr>
        <w:top w:val="none" w:sz="0" w:space="0" w:color="auto"/>
        <w:left w:val="none" w:sz="0" w:space="0" w:color="auto"/>
        <w:bottom w:val="none" w:sz="0" w:space="0" w:color="auto"/>
        <w:right w:val="none" w:sz="0" w:space="0" w:color="auto"/>
      </w:divBdr>
    </w:div>
    <w:div w:id="1471440855">
      <w:marLeft w:val="480"/>
      <w:marRight w:val="0"/>
      <w:marTop w:val="0"/>
      <w:marBottom w:val="0"/>
      <w:divBdr>
        <w:top w:val="none" w:sz="0" w:space="0" w:color="auto"/>
        <w:left w:val="none" w:sz="0" w:space="0" w:color="auto"/>
        <w:bottom w:val="none" w:sz="0" w:space="0" w:color="auto"/>
        <w:right w:val="none" w:sz="0" w:space="0" w:color="auto"/>
      </w:divBdr>
    </w:div>
    <w:div w:id="1471900802">
      <w:marLeft w:val="480"/>
      <w:marRight w:val="0"/>
      <w:marTop w:val="0"/>
      <w:marBottom w:val="0"/>
      <w:divBdr>
        <w:top w:val="none" w:sz="0" w:space="0" w:color="auto"/>
        <w:left w:val="none" w:sz="0" w:space="0" w:color="auto"/>
        <w:bottom w:val="none" w:sz="0" w:space="0" w:color="auto"/>
        <w:right w:val="none" w:sz="0" w:space="0" w:color="auto"/>
      </w:divBdr>
    </w:div>
    <w:div w:id="1472869885">
      <w:marLeft w:val="480"/>
      <w:marRight w:val="0"/>
      <w:marTop w:val="0"/>
      <w:marBottom w:val="0"/>
      <w:divBdr>
        <w:top w:val="none" w:sz="0" w:space="0" w:color="auto"/>
        <w:left w:val="none" w:sz="0" w:space="0" w:color="auto"/>
        <w:bottom w:val="none" w:sz="0" w:space="0" w:color="auto"/>
        <w:right w:val="none" w:sz="0" w:space="0" w:color="auto"/>
      </w:divBdr>
    </w:div>
    <w:div w:id="1476799122">
      <w:marLeft w:val="480"/>
      <w:marRight w:val="0"/>
      <w:marTop w:val="0"/>
      <w:marBottom w:val="0"/>
      <w:divBdr>
        <w:top w:val="none" w:sz="0" w:space="0" w:color="auto"/>
        <w:left w:val="none" w:sz="0" w:space="0" w:color="auto"/>
        <w:bottom w:val="none" w:sz="0" w:space="0" w:color="auto"/>
        <w:right w:val="none" w:sz="0" w:space="0" w:color="auto"/>
      </w:divBdr>
    </w:div>
    <w:div w:id="1477645905">
      <w:marLeft w:val="480"/>
      <w:marRight w:val="0"/>
      <w:marTop w:val="0"/>
      <w:marBottom w:val="0"/>
      <w:divBdr>
        <w:top w:val="none" w:sz="0" w:space="0" w:color="auto"/>
        <w:left w:val="none" w:sz="0" w:space="0" w:color="auto"/>
        <w:bottom w:val="none" w:sz="0" w:space="0" w:color="auto"/>
        <w:right w:val="none" w:sz="0" w:space="0" w:color="auto"/>
      </w:divBdr>
    </w:div>
    <w:div w:id="1482036288">
      <w:marLeft w:val="480"/>
      <w:marRight w:val="0"/>
      <w:marTop w:val="0"/>
      <w:marBottom w:val="0"/>
      <w:divBdr>
        <w:top w:val="none" w:sz="0" w:space="0" w:color="auto"/>
        <w:left w:val="none" w:sz="0" w:space="0" w:color="auto"/>
        <w:bottom w:val="none" w:sz="0" w:space="0" w:color="auto"/>
        <w:right w:val="none" w:sz="0" w:space="0" w:color="auto"/>
      </w:divBdr>
    </w:div>
    <w:div w:id="1485589572">
      <w:bodyDiv w:val="1"/>
      <w:marLeft w:val="0"/>
      <w:marRight w:val="0"/>
      <w:marTop w:val="0"/>
      <w:marBottom w:val="0"/>
      <w:divBdr>
        <w:top w:val="none" w:sz="0" w:space="0" w:color="auto"/>
        <w:left w:val="none" w:sz="0" w:space="0" w:color="auto"/>
        <w:bottom w:val="none" w:sz="0" w:space="0" w:color="auto"/>
        <w:right w:val="none" w:sz="0" w:space="0" w:color="auto"/>
      </w:divBdr>
    </w:div>
    <w:div w:id="1488742120">
      <w:marLeft w:val="480"/>
      <w:marRight w:val="0"/>
      <w:marTop w:val="0"/>
      <w:marBottom w:val="0"/>
      <w:divBdr>
        <w:top w:val="none" w:sz="0" w:space="0" w:color="auto"/>
        <w:left w:val="none" w:sz="0" w:space="0" w:color="auto"/>
        <w:bottom w:val="none" w:sz="0" w:space="0" w:color="auto"/>
        <w:right w:val="none" w:sz="0" w:space="0" w:color="auto"/>
      </w:divBdr>
    </w:div>
    <w:div w:id="1488859871">
      <w:marLeft w:val="480"/>
      <w:marRight w:val="0"/>
      <w:marTop w:val="0"/>
      <w:marBottom w:val="0"/>
      <w:divBdr>
        <w:top w:val="none" w:sz="0" w:space="0" w:color="auto"/>
        <w:left w:val="none" w:sz="0" w:space="0" w:color="auto"/>
        <w:bottom w:val="none" w:sz="0" w:space="0" w:color="auto"/>
        <w:right w:val="none" w:sz="0" w:space="0" w:color="auto"/>
      </w:divBdr>
    </w:div>
    <w:div w:id="1488861202">
      <w:marLeft w:val="480"/>
      <w:marRight w:val="0"/>
      <w:marTop w:val="0"/>
      <w:marBottom w:val="0"/>
      <w:divBdr>
        <w:top w:val="none" w:sz="0" w:space="0" w:color="auto"/>
        <w:left w:val="none" w:sz="0" w:space="0" w:color="auto"/>
        <w:bottom w:val="none" w:sz="0" w:space="0" w:color="auto"/>
        <w:right w:val="none" w:sz="0" w:space="0" w:color="auto"/>
      </w:divBdr>
    </w:div>
    <w:div w:id="1491558185">
      <w:marLeft w:val="480"/>
      <w:marRight w:val="0"/>
      <w:marTop w:val="0"/>
      <w:marBottom w:val="0"/>
      <w:divBdr>
        <w:top w:val="none" w:sz="0" w:space="0" w:color="auto"/>
        <w:left w:val="none" w:sz="0" w:space="0" w:color="auto"/>
        <w:bottom w:val="none" w:sz="0" w:space="0" w:color="auto"/>
        <w:right w:val="none" w:sz="0" w:space="0" w:color="auto"/>
      </w:divBdr>
    </w:div>
    <w:div w:id="1492912397">
      <w:marLeft w:val="480"/>
      <w:marRight w:val="0"/>
      <w:marTop w:val="0"/>
      <w:marBottom w:val="0"/>
      <w:divBdr>
        <w:top w:val="none" w:sz="0" w:space="0" w:color="auto"/>
        <w:left w:val="none" w:sz="0" w:space="0" w:color="auto"/>
        <w:bottom w:val="none" w:sz="0" w:space="0" w:color="auto"/>
        <w:right w:val="none" w:sz="0" w:space="0" w:color="auto"/>
      </w:divBdr>
    </w:div>
    <w:div w:id="1494027318">
      <w:marLeft w:val="480"/>
      <w:marRight w:val="0"/>
      <w:marTop w:val="0"/>
      <w:marBottom w:val="0"/>
      <w:divBdr>
        <w:top w:val="none" w:sz="0" w:space="0" w:color="auto"/>
        <w:left w:val="none" w:sz="0" w:space="0" w:color="auto"/>
        <w:bottom w:val="none" w:sz="0" w:space="0" w:color="auto"/>
        <w:right w:val="none" w:sz="0" w:space="0" w:color="auto"/>
      </w:divBdr>
    </w:div>
    <w:div w:id="1495488659">
      <w:marLeft w:val="480"/>
      <w:marRight w:val="0"/>
      <w:marTop w:val="0"/>
      <w:marBottom w:val="0"/>
      <w:divBdr>
        <w:top w:val="none" w:sz="0" w:space="0" w:color="auto"/>
        <w:left w:val="none" w:sz="0" w:space="0" w:color="auto"/>
        <w:bottom w:val="none" w:sz="0" w:space="0" w:color="auto"/>
        <w:right w:val="none" w:sz="0" w:space="0" w:color="auto"/>
      </w:divBdr>
    </w:div>
    <w:div w:id="1496409069">
      <w:marLeft w:val="480"/>
      <w:marRight w:val="0"/>
      <w:marTop w:val="0"/>
      <w:marBottom w:val="0"/>
      <w:divBdr>
        <w:top w:val="none" w:sz="0" w:space="0" w:color="auto"/>
        <w:left w:val="none" w:sz="0" w:space="0" w:color="auto"/>
        <w:bottom w:val="none" w:sz="0" w:space="0" w:color="auto"/>
        <w:right w:val="none" w:sz="0" w:space="0" w:color="auto"/>
      </w:divBdr>
    </w:div>
    <w:div w:id="1501000776">
      <w:marLeft w:val="480"/>
      <w:marRight w:val="0"/>
      <w:marTop w:val="0"/>
      <w:marBottom w:val="0"/>
      <w:divBdr>
        <w:top w:val="none" w:sz="0" w:space="0" w:color="auto"/>
        <w:left w:val="none" w:sz="0" w:space="0" w:color="auto"/>
        <w:bottom w:val="none" w:sz="0" w:space="0" w:color="auto"/>
        <w:right w:val="none" w:sz="0" w:space="0" w:color="auto"/>
      </w:divBdr>
    </w:div>
    <w:div w:id="1501117520">
      <w:marLeft w:val="480"/>
      <w:marRight w:val="0"/>
      <w:marTop w:val="0"/>
      <w:marBottom w:val="0"/>
      <w:divBdr>
        <w:top w:val="none" w:sz="0" w:space="0" w:color="auto"/>
        <w:left w:val="none" w:sz="0" w:space="0" w:color="auto"/>
        <w:bottom w:val="none" w:sz="0" w:space="0" w:color="auto"/>
        <w:right w:val="none" w:sz="0" w:space="0" w:color="auto"/>
      </w:divBdr>
    </w:div>
    <w:div w:id="1507211652">
      <w:marLeft w:val="480"/>
      <w:marRight w:val="0"/>
      <w:marTop w:val="0"/>
      <w:marBottom w:val="0"/>
      <w:divBdr>
        <w:top w:val="none" w:sz="0" w:space="0" w:color="auto"/>
        <w:left w:val="none" w:sz="0" w:space="0" w:color="auto"/>
        <w:bottom w:val="none" w:sz="0" w:space="0" w:color="auto"/>
        <w:right w:val="none" w:sz="0" w:space="0" w:color="auto"/>
      </w:divBdr>
    </w:div>
    <w:div w:id="1507476764">
      <w:marLeft w:val="480"/>
      <w:marRight w:val="0"/>
      <w:marTop w:val="0"/>
      <w:marBottom w:val="0"/>
      <w:divBdr>
        <w:top w:val="none" w:sz="0" w:space="0" w:color="auto"/>
        <w:left w:val="none" w:sz="0" w:space="0" w:color="auto"/>
        <w:bottom w:val="none" w:sz="0" w:space="0" w:color="auto"/>
        <w:right w:val="none" w:sz="0" w:space="0" w:color="auto"/>
      </w:divBdr>
    </w:div>
    <w:div w:id="1514302271">
      <w:marLeft w:val="480"/>
      <w:marRight w:val="0"/>
      <w:marTop w:val="0"/>
      <w:marBottom w:val="0"/>
      <w:divBdr>
        <w:top w:val="none" w:sz="0" w:space="0" w:color="auto"/>
        <w:left w:val="none" w:sz="0" w:space="0" w:color="auto"/>
        <w:bottom w:val="none" w:sz="0" w:space="0" w:color="auto"/>
        <w:right w:val="none" w:sz="0" w:space="0" w:color="auto"/>
      </w:divBdr>
    </w:div>
    <w:div w:id="1515608621">
      <w:marLeft w:val="480"/>
      <w:marRight w:val="0"/>
      <w:marTop w:val="0"/>
      <w:marBottom w:val="0"/>
      <w:divBdr>
        <w:top w:val="none" w:sz="0" w:space="0" w:color="auto"/>
        <w:left w:val="none" w:sz="0" w:space="0" w:color="auto"/>
        <w:bottom w:val="none" w:sz="0" w:space="0" w:color="auto"/>
        <w:right w:val="none" w:sz="0" w:space="0" w:color="auto"/>
      </w:divBdr>
    </w:div>
    <w:div w:id="1515799964">
      <w:marLeft w:val="480"/>
      <w:marRight w:val="0"/>
      <w:marTop w:val="0"/>
      <w:marBottom w:val="0"/>
      <w:divBdr>
        <w:top w:val="none" w:sz="0" w:space="0" w:color="auto"/>
        <w:left w:val="none" w:sz="0" w:space="0" w:color="auto"/>
        <w:bottom w:val="none" w:sz="0" w:space="0" w:color="auto"/>
        <w:right w:val="none" w:sz="0" w:space="0" w:color="auto"/>
      </w:divBdr>
    </w:div>
    <w:div w:id="1515800601">
      <w:marLeft w:val="480"/>
      <w:marRight w:val="0"/>
      <w:marTop w:val="0"/>
      <w:marBottom w:val="0"/>
      <w:divBdr>
        <w:top w:val="none" w:sz="0" w:space="0" w:color="auto"/>
        <w:left w:val="none" w:sz="0" w:space="0" w:color="auto"/>
        <w:bottom w:val="none" w:sz="0" w:space="0" w:color="auto"/>
        <w:right w:val="none" w:sz="0" w:space="0" w:color="auto"/>
      </w:divBdr>
    </w:div>
    <w:div w:id="1518812151">
      <w:marLeft w:val="480"/>
      <w:marRight w:val="0"/>
      <w:marTop w:val="0"/>
      <w:marBottom w:val="0"/>
      <w:divBdr>
        <w:top w:val="none" w:sz="0" w:space="0" w:color="auto"/>
        <w:left w:val="none" w:sz="0" w:space="0" w:color="auto"/>
        <w:bottom w:val="none" w:sz="0" w:space="0" w:color="auto"/>
        <w:right w:val="none" w:sz="0" w:space="0" w:color="auto"/>
      </w:divBdr>
    </w:div>
    <w:div w:id="1519730729">
      <w:marLeft w:val="480"/>
      <w:marRight w:val="0"/>
      <w:marTop w:val="0"/>
      <w:marBottom w:val="0"/>
      <w:divBdr>
        <w:top w:val="none" w:sz="0" w:space="0" w:color="auto"/>
        <w:left w:val="none" w:sz="0" w:space="0" w:color="auto"/>
        <w:bottom w:val="none" w:sz="0" w:space="0" w:color="auto"/>
        <w:right w:val="none" w:sz="0" w:space="0" w:color="auto"/>
      </w:divBdr>
    </w:div>
    <w:div w:id="1520662503">
      <w:marLeft w:val="480"/>
      <w:marRight w:val="0"/>
      <w:marTop w:val="0"/>
      <w:marBottom w:val="0"/>
      <w:divBdr>
        <w:top w:val="none" w:sz="0" w:space="0" w:color="auto"/>
        <w:left w:val="none" w:sz="0" w:space="0" w:color="auto"/>
        <w:bottom w:val="none" w:sz="0" w:space="0" w:color="auto"/>
        <w:right w:val="none" w:sz="0" w:space="0" w:color="auto"/>
      </w:divBdr>
    </w:div>
    <w:div w:id="1522284486">
      <w:marLeft w:val="480"/>
      <w:marRight w:val="0"/>
      <w:marTop w:val="0"/>
      <w:marBottom w:val="0"/>
      <w:divBdr>
        <w:top w:val="none" w:sz="0" w:space="0" w:color="auto"/>
        <w:left w:val="none" w:sz="0" w:space="0" w:color="auto"/>
        <w:bottom w:val="none" w:sz="0" w:space="0" w:color="auto"/>
        <w:right w:val="none" w:sz="0" w:space="0" w:color="auto"/>
      </w:divBdr>
    </w:div>
    <w:div w:id="1522550051">
      <w:marLeft w:val="480"/>
      <w:marRight w:val="0"/>
      <w:marTop w:val="0"/>
      <w:marBottom w:val="0"/>
      <w:divBdr>
        <w:top w:val="none" w:sz="0" w:space="0" w:color="auto"/>
        <w:left w:val="none" w:sz="0" w:space="0" w:color="auto"/>
        <w:bottom w:val="none" w:sz="0" w:space="0" w:color="auto"/>
        <w:right w:val="none" w:sz="0" w:space="0" w:color="auto"/>
      </w:divBdr>
    </w:div>
    <w:div w:id="1529024609">
      <w:marLeft w:val="480"/>
      <w:marRight w:val="0"/>
      <w:marTop w:val="0"/>
      <w:marBottom w:val="0"/>
      <w:divBdr>
        <w:top w:val="none" w:sz="0" w:space="0" w:color="auto"/>
        <w:left w:val="none" w:sz="0" w:space="0" w:color="auto"/>
        <w:bottom w:val="none" w:sz="0" w:space="0" w:color="auto"/>
        <w:right w:val="none" w:sz="0" w:space="0" w:color="auto"/>
      </w:divBdr>
    </w:div>
    <w:div w:id="1529756728">
      <w:marLeft w:val="480"/>
      <w:marRight w:val="0"/>
      <w:marTop w:val="0"/>
      <w:marBottom w:val="0"/>
      <w:divBdr>
        <w:top w:val="none" w:sz="0" w:space="0" w:color="auto"/>
        <w:left w:val="none" w:sz="0" w:space="0" w:color="auto"/>
        <w:bottom w:val="none" w:sz="0" w:space="0" w:color="auto"/>
        <w:right w:val="none" w:sz="0" w:space="0" w:color="auto"/>
      </w:divBdr>
    </w:div>
    <w:div w:id="1530874222">
      <w:marLeft w:val="480"/>
      <w:marRight w:val="0"/>
      <w:marTop w:val="0"/>
      <w:marBottom w:val="0"/>
      <w:divBdr>
        <w:top w:val="none" w:sz="0" w:space="0" w:color="auto"/>
        <w:left w:val="none" w:sz="0" w:space="0" w:color="auto"/>
        <w:bottom w:val="none" w:sz="0" w:space="0" w:color="auto"/>
        <w:right w:val="none" w:sz="0" w:space="0" w:color="auto"/>
      </w:divBdr>
    </w:div>
    <w:div w:id="1531527805">
      <w:marLeft w:val="480"/>
      <w:marRight w:val="0"/>
      <w:marTop w:val="0"/>
      <w:marBottom w:val="0"/>
      <w:divBdr>
        <w:top w:val="none" w:sz="0" w:space="0" w:color="auto"/>
        <w:left w:val="none" w:sz="0" w:space="0" w:color="auto"/>
        <w:bottom w:val="none" w:sz="0" w:space="0" w:color="auto"/>
        <w:right w:val="none" w:sz="0" w:space="0" w:color="auto"/>
      </w:divBdr>
    </w:div>
    <w:div w:id="1532843078">
      <w:marLeft w:val="480"/>
      <w:marRight w:val="0"/>
      <w:marTop w:val="0"/>
      <w:marBottom w:val="0"/>
      <w:divBdr>
        <w:top w:val="none" w:sz="0" w:space="0" w:color="auto"/>
        <w:left w:val="none" w:sz="0" w:space="0" w:color="auto"/>
        <w:bottom w:val="none" w:sz="0" w:space="0" w:color="auto"/>
        <w:right w:val="none" w:sz="0" w:space="0" w:color="auto"/>
      </w:divBdr>
    </w:div>
    <w:div w:id="1535002532">
      <w:marLeft w:val="480"/>
      <w:marRight w:val="0"/>
      <w:marTop w:val="0"/>
      <w:marBottom w:val="0"/>
      <w:divBdr>
        <w:top w:val="none" w:sz="0" w:space="0" w:color="auto"/>
        <w:left w:val="none" w:sz="0" w:space="0" w:color="auto"/>
        <w:bottom w:val="none" w:sz="0" w:space="0" w:color="auto"/>
        <w:right w:val="none" w:sz="0" w:space="0" w:color="auto"/>
      </w:divBdr>
    </w:div>
    <w:div w:id="1536189370">
      <w:marLeft w:val="480"/>
      <w:marRight w:val="0"/>
      <w:marTop w:val="0"/>
      <w:marBottom w:val="0"/>
      <w:divBdr>
        <w:top w:val="none" w:sz="0" w:space="0" w:color="auto"/>
        <w:left w:val="none" w:sz="0" w:space="0" w:color="auto"/>
        <w:bottom w:val="none" w:sz="0" w:space="0" w:color="auto"/>
        <w:right w:val="none" w:sz="0" w:space="0" w:color="auto"/>
      </w:divBdr>
    </w:div>
    <w:div w:id="1536846975">
      <w:marLeft w:val="480"/>
      <w:marRight w:val="0"/>
      <w:marTop w:val="0"/>
      <w:marBottom w:val="0"/>
      <w:divBdr>
        <w:top w:val="none" w:sz="0" w:space="0" w:color="auto"/>
        <w:left w:val="none" w:sz="0" w:space="0" w:color="auto"/>
        <w:bottom w:val="none" w:sz="0" w:space="0" w:color="auto"/>
        <w:right w:val="none" w:sz="0" w:space="0" w:color="auto"/>
      </w:divBdr>
    </w:div>
    <w:div w:id="1539121446">
      <w:marLeft w:val="480"/>
      <w:marRight w:val="0"/>
      <w:marTop w:val="0"/>
      <w:marBottom w:val="0"/>
      <w:divBdr>
        <w:top w:val="none" w:sz="0" w:space="0" w:color="auto"/>
        <w:left w:val="none" w:sz="0" w:space="0" w:color="auto"/>
        <w:bottom w:val="none" w:sz="0" w:space="0" w:color="auto"/>
        <w:right w:val="none" w:sz="0" w:space="0" w:color="auto"/>
      </w:divBdr>
    </w:div>
    <w:div w:id="1540628843">
      <w:marLeft w:val="480"/>
      <w:marRight w:val="0"/>
      <w:marTop w:val="0"/>
      <w:marBottom w:val="0"/>
      <w:divBdr>
        <w:top w:val="none" w:sz="0" w:space="0" w:color="auto"/>
        <w:left w:val="none" w:sz="0" w:space="0" w:color="auto"/>
        <w:bottom w:val="none" w:sz="0" w:space="0" w:color="auto"/>
        <w:right w:val="none" w:sz="0" w:space="0" w:color="auto"/>
      </w:divBdr>
    </w:div>
    <w:div w:id="1541936026">
      <w:marLeft w:val="480"/>
      <w:marRight w:val="0"/>
      <w:marTop w:val="0"/>
      <w:marBottom w:val="0"/>
      <w:divBdr>
        <w:top w:val="none" w:sz="0" w:space="0" w:color="auto"/>
        <w:left w:val="none" w:sz="0" w:space="0" w:color="auto"/>
        <w:bottom w:val="none" w:sz="0" w:space="0" w:color="auto"/>
        <w:right w:val="none" w:sz="0" w:space="0" w:color="auto"/>
      </w:divBdr>
    </w:div>
    <w:div w:id="1548563025">
      <w:marLeft w:val="480"/>
      <w:marRight w:val="0"/>
      <w:marTop w:val="0"/>
      <w:marBottom w:val="0"/>
      <w:divBdr>
        <w:top w:val="none" w:sz="0" w:space="0" w:color="auto"/>
        <w:left w:val="none" w:sz="0" w:space="0" w:color="auto"/>
        <w:bottom w:val="none" w:sz="0" w:space="0" w:color="auto"/>
        <w:right w:val="none" w:sz="0" w:space="0" w:color="auto"/>
      </w:divBdr>
    </w:div>
    <w:div w:id="1550651165">
      <w:marLeft w:val="480"/>
      <w:marRight w:val="0"/>
      <w:marTop w:val="0"/>
      <w:marBottom w:val="0"/>
      <w:divBdr>
        <w:top w:val="none" w:sz="0" w:space="0" w:color="auto"/>
        <w:left w:val="none" w:sz="0" w:space="0" w:color="auto"/>
        <w:bottom w:val="none" w:sz="0" w:space="0" w:color="auto"/>
        <w:right w:val="none" w:sz="0" w:space="0" w:color="auto"/>
      </w:divBdr>
    </w:div>
    <w:div w:id="1553465898">
      <w:marLeft w:val="480"/>
      <w:marRight w:val="0"/>
      <w:marTop w:val="0"/>
      <w:marBottom w:val="0"/>
      <w:divBdr>
        <w:top w:val="none" w:sz="0" w:space="0" w:color="auto"/>
        <w:left w:val="none" w:sz="0" w:space="0" w:color="auto"/>
        <w:bottom w:val="none" w:sz="0" w:space="0" w:color="auto"/>
        <w:right w:val="none" w:sz="0" w:space="0" w:color="auto"/>
      </w:divBdr>
    </w:div>
    <w:div w:id="1555004389">
      <w:marLeft w:val="480"/>
      <w:marRight w:val="0"/>
      <w:marTop w:val="0"/>
      <w:marBottom w:val="0"/>
      <w:divBdr>
        <w:top w:val="none" w:sz="0" w:space="0" w:color="auto"/>
        <w:left w:val="none" w:sz="0" w:space="0" w:color="auto"/>
        <w:bottom w:val="none" w:sz="0" w:space="0" w:color="auto"/>
        <w:right w:val="none" w:sz="0" w:space="0" w:color="auto"/>
      </w:divBdr>
    </w:div>
    <w:div w:id="1555123050">
      <w:marLeft w:val="480"/>
      <w:marRight w:val="0"/>
      <w:marTop w:val="0"/>
      <w:marBottom w:val="0"/>
      <w:divBdr>
        <w:top w:val="none" w:sz="0" w:space="0" w:color="auto"/>
        <w:left w:val="none" w:sz="0" w:space="0" w:color="auto"/>
        <w:bottom w:val="none" w:sz="0" w:space="0" w:color="auto"/>
        <w:right w:val="none" w:sz="0" w:space="0" w:color="auto"/>
      </w:divBdr>
    </w:div>
    <w:div w:id="1556238393">
      <w:marLeft w:val="480"/>
      <w:marRight w:val="0"/>
      <w:marTop w:val="0"/>
      <w:marBottom w:val="0"/>
      <w:divBdr>
        <w:top w:val="none" w:sz="0" w:space="0" w:color="auto"/>
        <w:left w:val="none" w:sz="0" w:space="0" w:color="auto"/>
        <w:bottom w:val="none" w:sz="0" w:space="0" w:color="auto"/>
        <w:right w:val="none" w:sz="0" w:space="0" w:color="auto"/>
      </w:divBdr>
    </w:div>
    <w:div w:id="1557932079">
      <w:marLeft w:val="480"/>
      <w:marRight w:val="0"/>
      <w:marTop w:val="0"/>
      <w:marBottom w:val="0"/>
      <w:divBdr>
        <w:top w:val="none" w:sz="0" w:space="0" w:color="auto"/>
        <w:left w:val="none" w:sz="0" w:space="0" w:color="auto"/>
        <w:bottom w:val="none" w:sz="0" w:space="0" w:color="auto"/>
        <w:right w:val="none" w:sz="0" w:space="0" w:color="auto"/>
      </w:divBdr>
    </w:div>
    <w:div w:id="1559363765">
      <w:marLeft w:val="480"/>
      <w:marRight w:val="0"/>
      <w:marTop w:val="0"/>
      <w:marBottom w:val="0"/>
      <w:divBdr>
        <w:top w:val="none" w:sz="0" w:space="0" w:color="auto"/>
        <w:left w:val="none" w:sz="0" w:space="0" w:color="auto"/>
        <w:bottom w:val="none" w:sz="0" w:space="0" w:color="auto"/>
        <w:right w:val="none" w:sz="0" w:space="0" w:color="auto"/>
      </w:divBdr>
    </w:div>
    <w:div w:id="1563177294">
      <w:marLeft w:val="480"/>
      <w:marRight w:val="0"/>
      <w:marTop w:val="0"/>
      <w:marBottom w:val="0"/>
      <w:divBdr>
        <w:top w:val="none" w:sz="0" w:space="0" w:color="auto"/>
        <w:left w:val="none" w:sz="0" w:space="0" w:color="auto"/>
        <w:bottom w:val="none" w:sz="0" w:space="0" w:color="auto"/>
        <w:right w:val="none" w:sz="0" w:space="0" w:color="auto"/>
      </w:divBdr>
    </w:div>
    <w:div w:id="1563445858">
      <w:marLeft w:val="480"/>
      <w:marRight w:val="0"/>
      <w:marTop w:val="0"/>
      <w:marBottom w:val="0"/>
      <w:divBdr>
        <w:top w:val="none" w:sz="0" w:space="0" w:color="auto"/>
        <w:left w:val="none" w:sz="0" w:space="0" w:color="auto"/>
        <w:bottom w:val="none" w:sz="0" w:space="0" w:color="auto"/>
        <w:right w:val="none" w:sz="0" w:space="0" w:color="auto"/>
      </w:divBdr>
    </w:div>
    <w:div w:id="1566184956">
      <w:marLeft w:val="480"/>
      <w:marRight w:val="0"/>
      <w:marTop w:val="0"/>
      <w:marBottom w:val="0"/>
      <w:divBdr>
        <w:top w:val="none" w:sz="0" w:space="0" w:color="auto"/>
        <w:left w:val="none" w:sz="0" w:space="0" w:color="auto"/>
        <w:bottom w:val="none" w:sz="0" w:space="0" w:color="auto"/>
        <w:right w:val="none" w:sz="0" w:space="0" w:color="auto"/>
      </w:divBdr>
    </w:div>
    <w:div w:id="1569222304">
      <w:marLeft w:val="480"/>
      <w:marRight w:val="0"/>
      <w:marTop w:val="0"/>
      <w:marBottom w:val="0"/>
      <w:divBdr>
        <w:top w:val="none" w:sz="0" w:space="0" w:color="auto"/>
        <w:left w:val="none" w:sz="0" w:space="0" w:color="auto"/>
        <w:bottom w:val="none" w:sz="0" w:space="0" w:color="auto"/>
        <w:right w:val="none" w:sz="0" w:space="0" w:color="auto"/>
      </w:divBdr>
    </w:div>
    <w:div w:id="1573196976">
      <w:marLeft w:val="480"/>
      <w:marRight w:val="0"/>
      <w:marTop w:val="0"/>
      <w:marBottom w:val="0"/>
      <w:divBdr>
        <w:top w:val="none" w:sz="0" w:space="0" w:color="auto"/>
        <w:left w:val="none" w:sz="0" w:space="0" w:color="auto"/>
        <w:bottom w:val="none" w:sz="0" w:space="0" w:color="auto"/>
        <w:right w:val="none" w:sz="0" w:space="0" w:color="auto"/>
      </w:divBdr>
    </w:div>
    <w:div w:id="1575625376">
      <w:marLeft w:val="480"/>
      <w:marRight w:val="0"/>
      <w:marTop w:val="0"/>
      <w:marBottom w:val="0"/>
      <w:divBdr>
        <w:top w:val="none" w:sz="0" w:space="0" w:color="auto"/>
        <w:left w:val="none" w:sz="0" w:space="0" w:color="auto"/>
        <w:bottom w:val="none" w:sz="0" w:space="0" w:color="auto"/>
        <w:right w:val="none" w:sz="0" w:space="0" w:color="auto"/>
      </w:divBdr>
    </w:div>
    <w:div w:id="1576433935">
      <w:marLeft w:val="480"/>
      <w:marRight w:val="0"/>
      <w:marTop w:val="0"/>
      <w:marBottom w:val="0"/>
      <w:divBdr>
        <w:top w:val="none" w:sz="0" w:space="0" w:color="auto"/>
        <w:left w:val="none" w:sz="0" w:space="0" w:color="auto"/>
        <w:bottom w:val="none" w:sz="0" w:space="0" w:color="auto"/>
        <w:right w:val="none" w:sz="0" w:space="0" w:color="auto"/>
      </w:divBdr>
    </w:div>
    <w:div w:id="1580288565">
      <w:marLeft w:val="480"/>
      <w:marRight w:val="0"/>
      <w:marTop w:val="0"/>
      <w:marBottom w:val="0"/>
      <w:divBdr>
        <w:top w:val="none" w:sz="0" w:space="0" w:color="auto"/>
        <w:left w:val="none" w:sz="0" w:space="0" w:color="auto"/>
        <w:bottom w:val="none" w:sz="0" w:space="0" w:color="auto"/>
        <w:right w:val="none" w:sz="0" w:space="0" w:color="auto"/>
      </w:divBdr>
    </w:div>
    <w:div w:id="1583568918">
      <w:marLeft w:val="480"/>
      <w:marRight w:val="0"/>
      <w:marTop w:val="0"/>
      <w:marBottom w:val="0"/>
      <w:divBdr>
        <w:top w:val="none" w:sz="0" w:space="0" w:color="auto"/>
        <w:left w:val="none" w:sz="0" w:space="0" w:color="auto"/>
        <w:bottom w:val="none" w:sz="0" w:space="0" w:color="auto"/>
        <w:right w:val="none" w:sz="0" w:space="0" w:color="auto"/>
      </w:divBdr>
    </w:div>
    <w:div w:id="1584559848">
      <w:marLeft w:val="480"/>
      <w:marRight w:val="0"/>
      <w:marTop w:val="0"/>
      <w:marBottom w:val="0"/>
      <w:divBdr>
        <w:top w:val="none" w:sz="0" w:space="0" w:color="auto"/>
        <w:left w:val="none" w:sz="0" w:space="0" w:color="auto"/>
        <w:bottom w:val="none" w:sz="0" w:space="0" w:color="auto"/>
        <w:right w:val="none" w:sz="0" w:space="0" w:color="auto"/>
      </w:divBdr>
    </w:div>
    <w:div w:id="1586189101">
      <w:marLeft w:val="480"/>
      <w:marRight w:val="0"/>
      <w:marTop w:val="0"/>
      <w:marBottom w:val="0"/>
      <w:divBdr>
        <w:top w:val="none" w:sz="0" w:space="0" w:color="auto"/>
        <w:left w:val="none" w:sz="0" w:space="0" w:color="auto"/>
        <w:bottom w:val="none" w:sz="0" w:space="0" w:color="auto"/>
        <w:right w:val="none" w:sz="0" w:space="0" w:color="auto"/>
      </w:divBdr>
    </w:div>
    <w:div w:id="1587688294">
      <w:marLeft w:val="480"/>
      <w:marRight w:val="0"/>
      <w:marTop w:val="0"/>
      <w:marBottom w:val="0"/>
      <w:divBdr>
        <w:top w:val="none" w:sz="0" w:space="0" w:color="auto"/>
        <w:left w:val="none" w:sz="0" w:space="0" w:color="auto"/>
        <w:bottom w:val="none" w:sz="0" w:space="0" w:color="auto"/>
        <w:right w:val="none" w:sz="0" w:space="0" w:color="auto"/>
      </w:divBdr>
    </w:div>
    <w:div w:id="1588996530">
      <w:marLeft w:val="480"/>
      <w:marRight w:val="0"/>
      <w:marTop w:val="0"/>
      <w:marBottom w:val="0"/>
      <w:divBdr>
        <w:top w:val="none" w:sz="0" w:space="0" w:color="auto"/>
        <w:left w:val="none" w:sz="0" w:space="0" w:color="auto"/>
        <w:bottom w:val="none" w:sz="0" w:space="0" w:color="auto"/>
        <w:right w:val="none" w:sz="0" w:space="0" w:color="auto"/>
      </w:divBdr>
    </w:div>
    <w:div w:id="1591618068">
      <w:marLeft w:val="480"/>
      <w:marRight w:val="0"/>
      <w:marTop w:val="0"/>
      <w:marBottom w:val="0"/>
      <w:divBdr>
        <w:top w:val="none" w:sz="0" w:space="0" w:color="auto"/>
        <w:left w:val="none" w:sz="0" w:space="0" w:color="auto"/>
        <w:bottom w:val="none" w:sz="0" w:space="0" w:color="auto"/>
        <w:right w:val="none" w:sz="0" w:space="0" w:color="auto"/>
      </w:divBdr>
    </w:div>
    <w:div w:id="1592009356">
      <w:marLeft w:val="480"/>
      <w:marRight w:val="0"/>
      <w:marTop w:val="0"/>
      <w:marBottom w:val="0"/>
      <w:divBdr>
        <w:top w:val="none" w:sz="0" w:space="0" w:color="auto"/>
        <w:left w:val="none" w:sz="0" w:space="0" w:color="auto"/>
        <w:bottom w:val="none" w:sz="0" w:space="0" w:color="auto"/>
        <w:right w:val="none" w:sz="0" w:space="0" w:color="auto"/>
      </w:divBdr>
    </w:div>
    <w:div w:id="1592159044">
      <w:marLeft w:val="480"/>
      <w:marRight w:val="0"/>
      <w:marTop w:val="0"/>
      <w:marBottom w:val="0"/>
      <w:divBdr>
        <w:top w:val="none" w:sz="0" w:space="0" w:color="auto"/>
        <w:left w:val="none" w:sz="0" w:space="0" w:color="auto"/>
        <w:bottom w:val="none" w:sz="0" w:space="0" w:color="auto"/>
        <w:right w:val="none" w:sz="0" w:space="0" w:color="auto"/>
      </w:divBdr>
    </w:div>
    <w:div w:id="1595477967">
      <w:marLeft w:val="480"/>
      <w:marRight w:val="0"/>
      <w:marTop w:val="0"/>
      <w:marBottom w:val="0"/>
      <w:divBdr>
        <w:top w:val="none" w:sz="0" w:space="0" w:color="auto"/>
        <w:left w:val="none" w:sz="0" w:space="0" w:color="auto"/>
        <w:bottom w:val="none" w:sz="0" w:space="0" w:color="auto"/>
        <w:right w:val="none" w:sz="0" w:space="0" w:color="auto"/>
      </w:divBdr>
    </w:div>
    <w:div w:id="1597598314">
      <w:marLeft w:val="480"/>
      <w:marRight w:val="0"/>
      <w:marTop w:val="0"/>
      <w:marBottom w:val="0"/>
      <w:divBdr>
        <w:top w:val="none" w:sz="0" w:space="0" w:color="auto"/>
        <w:left w:val="none" w:sz="0" w:space="0" w:color="auto"/>
        <w:bottom w:val="none" w:sz="0" w:space="0" w:color="auto"/>
        <w:right w:val="none" w:sz="0" w:space="0" w:color="auto"/>
      </w:divBdr>
    </w:div>
    <w:div w:id="1598638399">
      <w:marLeft w:val="480"/>
      <w:marRight w:val="0"/>
      <w:marTop w:val="0"/>
      <w:marBottom w:val="0"/>
      <w:divBdr>
        <w:top w:val="none" w:sz="0" w:space="0" w:color="auto"/>
        <w:left w:val="none" w:sz="0" w:space="0" w:color="auto"/>
        <w:bottom w:val="none" w:sz="0" w:space="0" w:color="auto"/>
        <w:right w:val="none" w:sz="0" w:space="0" w:color="auto"/>
      </w:divBdr>
    </w:div>
    <w:div w:id="1598714297">
      <w:marLeft w:val="480"/>
      <w:marRight w:val="0"/>
      <w:marTop w:val="0"/>
      <w:marBottom w:val="0"/>
      <w:divBdr>
        <w:top w:val="none" w:sz="0" w:space="0" w:color="auto"/>
        <w:left w:val="none" w:sz="0" w:space="0" w:color="auto"/>
        <w:bottom w:val="none" w:sz="0" w:space="0" w:color="auto"/>
        <w:right w:val="none" w:sz="0" w:space="0" w:color="auto"/>
      </w:divBdr>
    </w:div>
    <w:div w:id="1599486301">
      <w:marLeft w:val="480"/>
      <w:marRight w:val="0"/>
      <w:marTop w:val="0"/>
      <w:marBottom w:val="0"/>
      <w:divBdr>
        <w:top w:val="none" w:sz="0" w:space="0" w:color="auto"/>
        <w:left w:val="none" w:sz="0" w:space="0" w:color="auto"/>
        <w:bottom w:val="none" w:sz="0" w:space="0" w:color="auto"/>
        <w:right w:val="none" w:sz="0" w:space="0" w:color="auto"/>
      </w:divBdr>
    </w:div>
    <w:div w:id="1603099919">
      <w:marLeft w:val="480"/>
      <w:marRight w:val="0"/>
      <w:marTop w:val="0"/>
      <w:marBottom w:val="0"/>
      <w:divBdr>
        <w:top w:val="none" w:sz="0" w:space="0" w:color="auto"/>
        <w:left w:val="none" w:sz="0" w:space="0" w:color="auto"/>
        <w:bottom w:val="none" w:sz="0" w:space="0" w:color="auto"/>
        <w:right w:val="none" w:sz="0" w:space="0" w:color="auto"/>
      </w:divBdr>
    </w:div>
    <w:div w:id="1603101839">
      <w:marLeft w:val="480"/>
      <w:marRight w:val="0"/>
      <w:marTop w:val="0"/>
      <w:marBottom w:val="0"/>
      <w:divBdr>
        <w:top w:val="none" w:sz="0" w:space="0" w:color="auto"/>
        <w:left w:val="none" w:sz="0" w:space="0" w:color="auto"/>
        <w:bottom w:val="none" w:sz="0" w:space="0" w:color="auto"/>
        <w:right w:val="none" w:sz="0" w:space="0" w:color="auto"/>
      </w:divBdr>
    </w:div>
    <w:div w:id="1603994337">
      <w:marLeft w:val="480"/>
      <w:marRight w:val="0"/>
      <w:marTop w:val="0"/>
      <w:marBottom w:val="0"/>
      <w:divBdr>
        <w:top w:val="none" w:sz="0" w:space="0" w:color="auto"/>
        <w:left w:val="none" w:sz="0" w:space="0" w:color="auto"/>
        <w:bottom w:val="none" w:sz="0" w:space="0" w:color="auto"/>
        <w:right w:val="none" w:sz="0" w:space="0" w:color="auto"/>
      </w:divBdr>
    </w:div>
    <w:div w:id="1603995775">
      <w:marLeft w:val="480"/>
      <w:marRight w:val="0"/>
      <w:marTop w:val="0"/>
      <w:marBottom w:val="0"/>
      <w:divBdr>
        <w:top w:val="none" w:sz="0" w:space="0" w:color="auto"/>
        <w:left w:val="none" w:sz="0" w:space="0" w:color="auto"/>
        <w:bottom w:val="none" w:sz="0" w:space="0" w:color="auto"/>
        <w:right w:val="none" w:sz="0" w:space="0" w:color="auto"/>
      </w:divBdr>
    </w:div>
    <w:div w:id="1606957620">
      <w:marLeft w:val="480"/>
      <w:marRight w:val="0"/>
      <w:marTop w:val="0"/>
      <w:marBottom w:val="0"/>
      <w:divBdr>
        <w:top w:val="none" w:sz="0" w:space="0" w:color="auto"/>
        <w:left w:val="none" w:sz="0" w:space="0" w:color="auto"/>
        <w:bottom w:val="none" w:sz="0" w:space="0" w:color="auto"/>
        <w:right w:val="none" w:sz="0" w:space="0" w:color="auto"/>
      </w:divBdr>
    </w:div>
    <w:div w:id="1609699940">
      <w:marLeft w:val="480"/>
      <w:marRight w:val="0"/>
      <w:marTop w:val="0"/>
      <w:marBottom w:val="0"/>
      <w:divBdr>
        <w:top w:val="none" w:sz="0" w:space="0" w:color="auto"/>
        <w:left w:val="none" w:sz="0" w:space="0" w:color="auto"/>
        <w:bottom w:val="none" w:sz="0" w:space="0" w:color="auto"/>
        <w:right w:val="none" w:sz="0" w:space="0" w:color="auto"/>
      </w:divBdr>
    </w:div>
    <w:div w:id="1610435165">
      <w:marLeft w:val="480"/>
      <w:marRight w:val="0"/>
      <w:marTop w:val="0"/>
      <w:marBottom w:val="0"/>
      <w:divBdr>
        <w:top w:val="none" w:sz="0" w:space="0" w:color="auto"/>
        <w:left w:val="none" w:sz="0" w:space="0" w:color="auto"/>
        <w:bottom w:val="none" w:sz="0" w:space="0" w:color="auto"/>
        <w:right w:val="none" w:sz="0" w:space="0" w:color="auto"/>
      </w:divBdr>
    </w:div>
    <w:div w:id="1610509183">
      <w:marLeft w:val="480"/>
      <w:marRight w:val="0"/>
      <w:marTop w:val="0"/>
      <w:marBottom w:val="0"/>
      <w:divBdr>
        <w:top w:val="none" w:sz="0" w:space="0" w:color="auto"/>
        <w:left w:val="none" w:sz="0" w:space="0" w:color="auto"/>
        <w:bottom w:val="none" w:sz="0" w:space="0" w:color="auto"/>
        <w:right w:val="none" w:sz="0" w:space="0" w:color="auto"/>
      </w:divBdr>
    </w:div>
    <w:div w:id="1612199259">
      <w:marLeft w:val="480"/>
      <w:marRight w:val="0"/>
      <w:marTop w:val="0"/>
      <w:marBottom w:val="0"/>
      <w:divBdr>
        <w:top w:val="none" w:sz="0" w:space="0" w:color="auto"/>
        <w:left w:val="none" w:sz="0" w:space="0" w:color="auto"/>
        <w:bottom w:val="none" w:sz="0" w:space="0" w:color="auto"/>
        <w:right w:val="none" w:sz="0" w:space="0" w:color="auto"/>
      </w:divBdr>
    </w:div>
    <w:div w:id="1615401978">
      <w:marLeft w:val="480"/>
      <w:marRight w:val="0"/>
      <w:marTop w:val="0"/>
      <w:marBottom w:val="0"/>
      <w:divBdr>
        <w:top w:val="none" w:sz="0" w:space="0" w:color="auto"/>
        <w:left w:val="none" w:sz="0" w:space="0" w:color="auto"/>
        <w:bottom w:val="none" w:sz="0" w:space="0" w:color="auto"/>
        <w:right w:val="none" w:sz="0" w:space="0" w:color="auto"/>
      </w:divBdr>
    </w:div>
    <w:div w:id="1619608725">
      <w:marLeft w:val="480"/>
      <w:marRight w:val="0"/>
      <w:marTop w:val="0"/>
      <w:marBottom w:val="0"/>
      <w:divBdr>
        <w:top w:val="none" w:sz="0" w:space="0" w:color="auto"/>
        <w:left w:val="none" w:sz="0" w:space="0" w:color="auto"/>
        <w:bottom w:val="none" w:sz="0" w:space="0" w:color="auto"/>
        <w:right w:val="none" w:sz="0" w:space="0" w:color="auto"/>
      </w:divBdr>
    </w:div>
    <w:div w:id="1622302561">
      <w:marLeft w:val="480"/>
      <w:marRight w:val="0"/>
      <w:marTop w:val="0"/>
      <w:marBottom w:val="0"/>
      <w:divBdr>
        <w:top w:val="none" w:sz="0" w:space="0" w:color="auto"/>
        <w:left w:val="none" w:sz="0" w:space="0" w:color="auto"/>
        <w:bottom w:val="none" w:sz="0" w:space="0" w:color="auto"/>
        <w:right w:val="none" w:sz="0" w:space="0" w:color="auto"/>
      </w:divBdr>
    </w:div>
    <w:div w:id="1623028851">
      <w:marLeft w:val="480"/>
      <w:marRight w:val="0"/>
      <w:marTop w:val="0"/>
      <w:marBottom w:val="0"/>
      <w:divBdr>
        <w:top w:val="none" w:sz="0" w:space="0" w:color="auto"/>
        <w:left w:val="none" w:sz="0" w:space="0" w:color="auto"/>
        <w:bottom w:val="none" w:sz="0" w:space="0" w:color="auto"/>
        <w:right w:val="none" w:sz="0" w:space="0" w:color="auto"/>
      </w:divBdr>
    </w:div>
    <w:div w:id="1625843045">
      <w:marLeft w:val="480"/>
      <w:marRight w:val="0"/>
      <w:marTop w:val="0"/>
      <w:marBottom w:val="0"/>
      <w:divBdr>
        <w:top w:val="none" w:sz="0" w:space="0" w:color="auto"/>
        <w:left w:val="none" w:sz="0" w:space="0" w:color="auto"/>
        <w:bottom w:val="none" w:sz="0" w:space="0" w:color="auto"/>
        <w:right w:val="none" w:sz="0" w:space="0" w:color="auto"/>
      </w:divBdr>
    </w:div>
    <w:div w:id="1626620452">
      <w:marLeft w:val="480"/>
      <w:marRight w:val="0"/>
      <w:marTop w:val="0"/>
      <w:marBottom w:val="0"/>
      <w:divBdr>
        <w:top w:val="none" w:sz="0" w:space="0" w:color="auto"/>
        <w:left w:val="none" w:sz="0" w:space="0" w:color="auto"/>
        <w:bottom w:val="none" w:sz="0" w:space="0" w:color="auto"/>
        <w:right w:val="none" w:sz="0" w:space="0" w:color="auto"/>
      </w:divBdr>
    </w:div>
    <w:div w:id="1631740002">
      <w:marLeft w:val="480"/>
      <w:marRight w:val="0"/>
      <w:marTop w:val="0"/>
      <w:marBottom w:val="0"/>
      <w:divBdr>
        <w:top w:val="none" w:sz="0" w:space="0" w:color="auto"/>
        <w:left w:val="none" w:sz="0" w:space="0" w:color="auto"/>
        <w:bottom w:val="none" w:sz="0" w:space="0" w:color="auto"/>
        <w:right w:val="none" w:sz="0" w:space="0" w:color="auto"/>
      </w:divBdr>
    </w:div>
    <w:div w:id="1631936935">
      <w:marLeft w:val="480"/>
      <w:marRight w:val="0"/>
      <w:marTop w:val="0"/>
      <w:marBottom w:val="0"/>
      <w:divBdr>
        <w:top w:val="none" w:sz="0" w:space="0" w:color="auto"/>
        <w:left w:val="none" w:sz="0" w:space="0" w:color="auto"/>
        <w:bottom w:val="none" w:sz="0" w:space="0" w:color="auto"/>
        <w:right w:val="none" w:sz="0" w:space="0" w:color="auto"/>
      </w:divBdr>
    </w:div>
    <w:div w:id="1632251906">
      <w:marLeft w:val="480"/>
      <w:marRight w:val="0"/>
      <w:marTop w:val="0"/>
      <w:marBottom w:val="0"/>
      <w:divBdr>
        <w:top w:val="none" w:sz="0" w:space="0" w:color="auto"/>
        <w:left w:val="none" w:sz="0" w:space="0" w:color="auto"/>
        <w:bottom w:val="none" w:sz="0" w:space="0" w:color="auto"/>
        <w:right w:val="none" w:sz="0" w:space="0" w:color="auto"/>
      </w:divBdr>
    </w:div>
    <w:div w:id="1633556861">
      <w:marLeft w:val="480"/>
      <w:marRight w:val="0"/>
      <w:marTop w:val="0"/>
      <w:marBottom w:val="0"/>
      <w:divBdr>
        <w:top w:val="none" w:sz="0" w:space="0" w:color="auto"/>
        <w:left w:val="none" w:sz="0" w:space="0" w:color="auto"/>
        <w:bottom w:val="none" w:sz="0" w:space="0" w:color="auto"/>
        <w:right w:val="none" w:sz="0" w:space="0" w:color="auto"/>
      </w:divBdr>
    </w:div>
    <w:div w:id="1635598494">
      <w:marLeft w:val="480"/>
      <w:marRight w:val="0"/>
      <w:marTop w:val="0"/>
      <w:marBottom w:val="0"/>
      <w:divBdr>
        <w:top w:val="none" w:sz="0" w:space="0" w:color="auto"/>
        <w:left w:val="none" w:sz="0" w:space="0" w:color="auto"/>
        <w:bottom w:val="none" w:sz="0" w:space="0" w:color="auto"/>
        <w:right w:val="none" w:sz="0" w:space="0" w:color="auto"/>
      </w:divBdr>
    </w:div>
    <w:div w:id="1636326966">
      <w:marLeft w:val="480"/>
      <w:marRight w:val="0"/>
      <w:marTop w:val="0"/>
      <w:marBottom w:val="0"/>
      <w:divBdr>
        <w:top w:val="none" w:sz="0" w:space="0" w:color="auto"/>
        <w:left w:val="none" w:sz="0" w:space="0" w:color="auto"/>
        <w:bottom w:val="none" w:sz="0" w:space="0" w:color="auto"/>
        <w:right w:val="none" w:sz="0" w:space="0" w:color="auto"/>
      </w:divBdr>
    </w:div>
    <w:div w:id="1637369010">
      <w:marLeft w:val="480"/>
      <w:marRight w:val="0"/>
      <w:marTop w:val="0"/>
      <w:marBottom w:val="0"/>
      <w:divBdr>
        <w:top w:val="none" w:sz="0" w:space="0" w:color="auto"/>
        <w:left w:val="none" w:sz="0" w:space="0" w:color="auto"/>
        <w:bottom w:val="none" w:sz="0" w:space="0" w:color="auto"/>
        <w:right w:val="none" w:sz="0" w:space="0" w:color="auto"/>
      </w:divBdr>
    </w:div>
    <w:div w:id="1639804448">
      <w:marLeft w:val="480"/>
      <w:marRight w:val="0"/>
      <w:marTop w:val="0"/>
      <w:marBottom w:val="0"/>
      <w:divBdr>
        <w:top w:val="none" w:sz="0" w:space="0" w:color="auto"/>
        <w:left w:val="none" w:sz="0" w:space="0" w:color="auto"/>
        <w:bottom w:val="none" w:sz="0" w:space="0" w:color="auto"/>
        <w:right w:val="none" w:sz="0" w:space="0" w:color="auto"/>
      </w:divBdr>
    </w:div>
    <w:div w:id="1641030569">
      <w:marLeft w:val="480"/>
      <w:marRight w:val="0"/>
      <w:marTop w:val="0"/>
      <w:marBottom w:val="0"/>
      <w:divBdr>
        <w:top w:val="none" w:sz="0" w:space="0" w:color="auto"/>
        <w:left w:val="none" w:sz="0" w:space="0" w:color="auto"/>
        <w:bottom w:val="none" w:sz="0" w:space="0" w:color="auto"/>
        <w:right w:val="none" w:sz="0" w:space="0" w:color="auto"/>
      </w:divBdr>
    </w:div>
    <w:div w:id="1641691698">
      <w:marLeft w:val="480"/>
      <w:marRight w:val="0"/>
      <w:marTop w:val="0"/>
      <w:marBottom w:val="0"/>
      <w:divBdr>
        <w:top w:val="none" w:sz="0" w:space="0" w:color="auto"/>
        <w:left w:val="none" w:sz="0" w:space="0" w:color="auto"/>
        <w:bottom w:val="none" w:sz="0" w:space="0" w:color="auto"/>
        <w:right w:val="none" w:sz="0" w:space="0" w:color="auto"/>
      </w:divBdr>
    </w:div>
    <w:div w:id="1643000595">
      <w:marLeft w:val="480"/>
      <w:marRight w:val="0"/>
      <w:marTop w:val="0"/>
      <w:marBottom w:val="0"/>
      <w:divBdr>
        <w:top w:val="none" w:sz="0" w:space="0" w:color="auto"/>
        <w:left w:val="none" w:sz="0" w:space="0" w:color="auto"/>
        <w:bottom w:val="none" w:sz="0" w:space="0" w:color="auto"/>
        <w:right w:val="none" w:sz="0" w:space="0" w:color="auto"/>
      </w:divBdr>
    </w:div>
    <w:div w:id="1643535844">
      <w:marLeft w:val="480"/>
      <w:marRight w:val="0"/>
      <w:marTop w:val="0"/>
      <w:marBottom w:val="0"/>
      <w:divBdr>
        <w:top w:val="none" w:sz="0" w:space="0" w:color="auto"/>
        <w:left w:val="none" w:sz="0" w:space="0" w:color="auto"/>
        <w:bottom w:val="none" w:sz="0" w:space="0" w:color="auto"/>
        <w:right w:val="none" w:sz="0" w:space="0" w:color="auto"/>
      </w:divBdr>
    </w:div>
    <w:div w:id="1646083142">
      <w:marLeft w:val="480"/>
      <w:marRight w:val="0"/>
      <w:marTop w:val="0"/>
      <w:marBottom w:val="0"/>
      <w:divBdr>
        <w:top w:val="none" w:sz="0" w:space="0" w:color="auto"/>
        <w:left w:val="none" w:sz="0" w:space="0" w:color="auto"/>
        <w:bottom w:val="none" w:sz="0" w:space="0" w:color="auto"/>
        <w:right w:val="none" w:sz="0" w:space="0" w:color="auto"/>
      </w:divBdr>
    </w:div>
    <w:div w:id="1646087333">
      <w:marLeft w:val="480"/>
      <w:marRight w:val="0"/>
      <w:marTop w:val="0"/>
      <w:marBottom w:val="0"/>
      <w:divBdr>
        <w:top w:val="none" w:sz="0" w:space="0" w:color="auto"/>
        <w:left w:val="none" w:sz="0" w:space="0" w:color="auto"/>
        <w:bottom w:val="none" w:sz="0" w:space="0" w:color="auto"/>
        <w:right w:val="none" w:sz="0" w:space="0" w:color="auto"/>
      </w:divBdr>
    </w:div>
    <w:div w:id="1646934869">
      <w:marLeft w:val="480"/>
      <w:marRight w:val="0"/>
      <w:marTop w:val="0"/>
      <w:marBottom w:val="0"/>
      <w:divBdr>
        <w:top w:val="none" w:sz="0" w:space="0" w:color="auto"/>
        <w:left w:val="none" w:sz="0" w:space="0" w:color="auto"/>
        <w:bottom w:val="none" w:sz="0" w:space="0" w:color="auto"/>
        <w:right w:val="none" w:sz="0" w:space="0" w:color="auto"/>
      </w:divBdr>
    </w:div>
    <w:div w:id="1647390880">
      <w:marLeft w:val="480"/>
      <w:marRight w:val="0"/>
      <w:marTop w:val="0"/>
      <w:marBottom w:val="0"/>
      <w:divBdr>
        <w:top w:val="none" w:sz="0" w:space="0" w:color="auto"/>
        <w:left w:val="none" w:sz="0" w:space="0" w:color="auto"/>
        <w:bottom w:val="none" w:sz="0" w:space="0" w:color="auto"/>
        <w:right w:val="none" w:sz="0" w:space="0" w:color="auto"/>
      </w:divBdr>
    </w:div>
    <w:div w:id="1647978642">
      <w:marLeft w:val="480"/>
      <w:marRight w:val="0"/>
      <w:marTop w:val="0"/>
      <w:marBottom w:val="0"/>
      <w:divBdr>
        <w:top w:val="none" w:sz="0" w:space="0" w:color="auto"/>
        <w:left w:val="none" w:sz="0" w:space="0" w:color="auto"/>
        <w:bottom w:val="none" w:sz="0" w:space="0" w:color="auto"/>
        <w:right w:val="none" w:sz="0" w:space="0" w:color="auto"/>
      </w:divBdr>
    </w:div>
    <w:div w:id="1650865493">
      <w:marLeft w:val="480"/>
      <w:marRight w:val="0"/>
      <w:marTop w:val="0"/>
      <w:marBottom w:val="0"/>
      <w:divBdr>
        <w:top w:val="none" w:sz="0" w:space="0" w:color="auto"/>
        <w:left w:val="none" w:sz="0" w:space="0" w:color="auto"/>
        <w:bottom w:val="none" w:sz="0" w:space="0" w:color="auto"/>
        <w:right w:val="none" w:sz="0" w:space="0" w:color="auto"/>
      </w:divBdr>
    </w:div>
    <w:div w:id="1651014006">
      <w:marLeft w:val="480"/>
      <w:marRight w:val="0"/>
      <w:marTop w:val="0"/>
      <w:marBottom w:val="0"/>
      <w:divBdr>
        <w:top w:val="none" w:sz="0" w:space="0" w:color="auto"/>
        <w:left w:val="none" w:sz="0" w:space="0" w:color="auto"/>
        <w:bottom w:val="none" w:sz="0" w:space="0" w:color="auto"/>
        <w:right w:val="none" w:sz="0" w:space="0" w:color="auto"/>
      </w:divBdr>
    </w:div>
    <w:div w:id="1652563333">
      <w:marLeft w:val="480"/>
      <w:marRight w:val="0"/>
      <w:marTop w:val="0"/>
      <w:marBottom w:val="0"/>
      <w:divBdr>
        <w:top w:val="none" w:sz="0" w:space="0" w:color="auto"/>
        <w:left w:val="none" w:sz="0" w:space="0" w:color="auto"/>
        <w:bottom w:val="none" w:sz="0" w:space="0" w:color="auto"/>
        <w:right w:val="none" w:sz="0" w:space="0" w:color="auto"/>
      </w:divBdr>
    </w:div>
    <w:div w:id="1654405565">
      <w:marLeft w:val="480"/>
      <w:marRight w:val="0"/>
      <w:marTop w:val="0"/>
      <w:marBottom w:val="0"/>
      <w:divBdr>
        <w:top w:val="none" w:sz="0" w:space="0" w:color="auto"/>
        <w:left w:val="none" w:sz="0" w:space="0" w:color="auto"/>
        <w:bottom w:val="none" w:sz="0" w:space="0" w:color="auto"/>
        <w:right w:val="none" w:sz="0" w:space="0" w:color="auto"/>
      </w:divBdr>
    </w:div>
    <w:div w:id="1657102344">
      <w:marLeft w:val="480"/>
      <w:marRight w:val="0"/>
      <w:marTop w:val="0"/>
      <w:marBottom w:val="0"/>
      <w:divBdr>
        <w:top w:val="none" w:sz="0" w:space="0" w:color="auto"/>
        <w:left w:val="none" w:sz="0" w:space="0" w:color="auto"/>
        <w:bottom w:val="none" w:sz="0" w:space="0" w:color="auto"/>
        <w:right w:val="none" w:sz="0" w:space="0" w:color="auto"/>
      </w:divBdr>
    </w:div>
    <w:div w:id="1657999454">
      <w:marLeft w:val="480"/>
      <w:marRight w:val="0"/>
      <w:marTop w:val="0"/>
      <w:marBottom w:val="0"/>
      <w:divBdr>
        <w:top w:val="none" w:sz="0" w:space="0" w:color="auto"/>
        <w:left w:val="none" w:sz="0" w:space="0" w:color="auto"/>
        <w:bottom w:val="none" w:sz="0" w:space="0" w:color="auto"/>
        <w:right w:val="none" w:sz="0" w:space="0" w:color="auto"/>
      </w:divBdr>
    </w:div>
    <w:div w:id="1658537758">
      <w:marLeft w:val="480"/>
      <w:marRight w:val="0"/>
      <w:marTop w:val="0"/>
      <w:marBottom w:val="0"/>
      <w:divBdr>
        <w:top w:val="none" w:sz="0" w:space="0" w:color="auto"/>
        <w:left w:val="none" w:sz="0" w:space="0" w:color="auto"/>
        <w:bottom w:val="none" w:sz="0" w:space="0" w:color="auto"/>
        <w:right w:val="none" w:sz="0" w:space="0" w:color="auto"/>
      </w:divBdr>
    </w:div>
    <w:div w:id="1660229840">
      <w:marLeft w:val="480"/>
      <w:marRight w:val="0"/>
      <w:marTop w:val="0"/>
      <w:marBottom w:val="0"/>
      <w:divBdr>
        <w:top w:val="none" w:sz="0" w:space="0" w:color="auto"/>
        <w:left w:val="none" w:sz="0" w:space="0" w:color="auto"/>
        <w:bottom w:val="none" w:sz="0" w:space="0" w:color="auto"/>
        <w:right w:val="none" w:sz="0" w:space="0" w:color="auto"/>
      </w:divBdr>
    </w:div>
    <w:div w:id="1663585906">
      <w:marLeft w:val="480"/>
      <w:marRight w:val="0"/>
      <w:marTop w:val="0"/>
      <w:marBottom w:val="0"/>
      <w:divBdr>
        <w:top w:val="none" w:sz="0" w:space="0" w:color="auto"/>
        <w:left w:val="none" w:sz="0" w:space="0" w:color="auto"/>
        <w:bottom w:val="none" w:sz="0" w:space="0" w:color="auto"/>
        <w:right w:val="none" w:sz="0" w:space="0" w:color="auto"/>
      </w:divBdr>
    </w:div>
    <w:div w:id="1664357623">
      <w:marLeft w:val="480"/>
      <w:marRight w:val="0"/>
      <w:marTop w:val="0"/>
      <w:marBottom w:val="0"/>
      <w:divBdr>
        <w:top w:val="none" w:sz="0" w:space="0" w:color="auto"/>
        <w:left w:val="none" w:sz="0" w:space="0" w:color="auto"/>
        <w:bottom w:val="none" w:sz="0" w:space="0" w:color="auto"/>
        <w:right w:val="none" w:sz="0" w:space="0" w:color="auto"/>
      </w:divBdr>
    </w:div>
    <w:div w:id="1664967912">
      <w:marLeft w:val="480"/>
      <w:marRight w:val="0"/>
      <w:marTop w:val="0"/>
      <w:marBottom w:val="0"/>
      <w:divBdr>
        <w:top w:val="none" w:sz="0" w:space="0" w:color="auto"/>
        <w:left w:val="none" w:sz="0" w:space="0" w:color="auto"/>
        <w:bottom w:val="none" w:sz="0" w:space="0" w:color="auto"/>
        <w:right w:val="none" w:sz="0" w:space="0" w:color="auto"/>
      </w:divBdr>
    </w:div>
    <w:div w:id="1667240802">
      <w:marLeft w:val="480"/>
      <w:marRight w:val="0"/>
      <w:marTop w:val="0"/>
      <w:marBottom w:val="0"/>
      <w:divBdr>
        <w:top w:val="none" w:sz="0" w:space="0" w:color="auto"/>
        <w:left w:val="none" w:sz="0" w:space="0" w:color="auto"/>
        <w:bottom w:val="none" w:sz="0" w:space="0" w:color="auto"/>
        <w:right w:val="none" w:sz="0" w:space="0" w:color="auto"/>
      </w:divBdr>
    </w:div>
    <w:div w:id="1669097462">
      <w:marLeft w:val="480"/>
      <w:marRight w:val="0"/>
      <w:marTop w:val="0"/>
      <w:marBottom w:val="0"/>
      <w:divBdr>
        <w:top w:val="none" w:sz="0" w:space="0" w:color="auto"/>
        <w:left w:val="none" w:sz="0" w:space="0" w:color="auto"/>
        <w:bottom w:val="none" w:sz="0" w:space="0" w:color="auto"/>
        <w:right w:val="none" w:sz="0" w:space="0" w:color="auto"/>
      </w:divBdr>
    </w:div>
    <w:div w:id="1671711587">
      <w:marLeft w:val="480"/>
      <w:marRight w:val="0"/>
      <w:marTop w:val="0"/>
      <w:marBottom w:val="0"/>
      <w:divBdr>
        <w:top w:val="none" w:sz="0" w:space="0" w:color="auto"/>
        <w:left w:val="none" w:sz="0" w:space="0" w:color="auto"/>
        <w:bottom w:val="none" w:sz="0" w:space="0" w:color="auto"/>
        <w:right w:val="none" w:sz="0" w:space="0" w:color="auto"/>
      </w:divBdr>
    </w:div>
    <w:div w:id="1677999503">
      <w:marLeft w:val="480"/>
      <w:marRight w:val="0"/>
      <w:marTop w:val="0"/>
      <w:marBottom w:val="0"/>
      <w:divBdr>
        <w:top w:val="none" w:sz="0" w:space="0" w:color="auto"/>
        <w:left w:val="none" w:sz="0" w:space="0" w:color="auto"/>
        <w:bottom w:val="none" w:sz="0" w:space="0" w:color="auto"/>
        <w:right w:val="none" w:sz="0" w:space="0" w:color="auto"/>
      </w:divBdr>
    </w:div>
    <w:div w:id="1678001663">
      <w:marLeft w:val="480"/>
      <w:marRight w:val="0"/>
      <w:marTop w:val="0"/>
      <w:marBottom w:val="0"/>
      <w:divBdr>
        <w:top w:val="none" w:sz="0" w:space="0" w:color="auto"/>
        <w:left w:val="none" w:sz="0" w:space="0" w:color="auto"/>
        <w:bottom w:val="none" w:sz="0" w:space="0" w:color="auto"/>
        <w:right w:val="none" w:sz="0" w:space="0" w:color="auto"/>
      </w:divBdr>
    </w:div>
    <w:div w:id="1680695172">
      <w:marLeft w:val="480"/>
      <w:marRight w:val="0"/>
      <w:marTop w:val="0"/>
      <w:marBottom w:val="0"/>
      <w:divBdr>
        <w:top w:val="none" w:sz="0" w:space="0" w:color="auto"/>
        <w:left w:val="none" w:sz="0" w:space="0" w:color="auto"/>
        <w:bottom w:val="none" w:sz="0" w:space="0" w:color="auto"/>
        <w:right w:val="none" w:sz="0" w:space="0" w:color="auto"/>
      </w:divBdr>
    </w:div>
    <w:div w:id="1681463349">
      <w:marLeft w:val="480"/>
      <w:marRight w:val="0"/>
      <w:marTop w:val="0"/>
      <w:marBottom w:val="0"/>
      <w:divBdr>
        <w:top w:val="none" w:sz="0" w:space="0" w:color="auto"/>
        <w:left w:val="none" w:sz="0" w:space="0" w:color="auto"/>
        <w:bottom w:val="none" w:sz="0" w:space="0" w:color="auto"/>
        <w:right w:val="none" w:sz="0" w:space="0" w:color="auto"/>
      </w:divBdr>
    </w:div>
    <w:div w:id="1683125012">
      <w:marLeft w:val="480"/>
      <w:marRight w:val="0"/>
      <w:marTop w:val="0"/>
      <w:marBottom w:val="0"/>
      <w:divBdr>
        <w:top w:val="none" w:sz="0" w:space="0" w:color="auto"/>
        <w:left w:val="none" w:sz="0" w:space="0" w:color="auto"/>
        <w:bottom w:val="none" w:sz="0" w:space="0" w:color="auto"/>
        <w:right w:val="none" w:sz="0" w:space="0" w:color="auto"/>
      </w:divBdr>
    </w:div>
    <w:div w:id="1686201805">
      <w:marLeft w:val="480"/>
      <w:marRight w:val="0"/>
      <w:marTop w:val="0"/>
      <w:marBottom w:val="0"/>
      <w:divBdr>
        <w:top w:val="none" w:sz="0" w:space="0" w:color="auto"/>
        <w:left w:val="none" w:sz="0" w:space="0" w:color="auto"/>
        <w:bottom w:val="none" w:sz="0" w:space="0" w:color="auto"/>
        <w:right w:val="none" w:sz="0" w:space="0" w:color="auto"/>
      </w:divBdr>
    </w:div>
    <w:div w:id="1686403829">
      <w:marLeft w:val="480"/>
      <w:marRight w:val="0"/>
      <w:marTop w:val="0"/>
      <w:marBottom w:val="0"/>
      <w:divBdr>
        <w:top w:val="none" w:sz="0" w:space="0" w:color="auto"/>
        <w:left w:val="none" w:sz="0" w:space="0" w:color="auto"/>
        <w:bottom w:val="none" w:sz="0" w:space="0" w:color="auto"/>
        <w:right w:val="none" w:sz="0" w:space="0" w:color="auto"/>
      </w:divBdr>
    </w:div>
    <w:div w:id="1687246951">
      <w:marLeft w:val="480"/>
      <w:marRight w:val="0"/>
      <w:marTop w:val="0"/>
      <w:marBottom w:val="0"/>
      <w:divBdr>
        <w:top w:val="none" w:sz="0" w:space="0" w:color="auto"/>
        <w:left w:val="none" w:sz="0" w:space="0" w:color="auto"/>
        <w:bottom w:val="none" w:sz="0" w:space="0" w:color="auto"/>
        <w:right w:val="none" w:sz="0" w:space="0" w:color="auto"/>
      </w:divBdr>
    </w:div>
    <w:div w:id="1688020878">
      <w:marLeft w:val="480"/>
      <w:marRight w:val="0"/>
      <w:marTop w:val="0"/>
      <w:marBottom w:val="0"/>
      <w:divBdr>
        <w:top w:val="none" w:sz="0" w:space="0" w:color="auto"/>
        <w:left w:val="none" w:sz="0" w:space="0" w:color="auto"/>
        <w:bottom w:val="none" w:sz="0" w:space="0" w:color="auto"/>
        <w:right w:val="none" w:sz="0" w:space="0" w:color="auto"/>
      </w:divBdr>
    </w:div>
    <w:div w:id="1688753491">
      <w:marLeft w:val="480"/>
      <w:marRight w:val="0"/>
      <w:marTop w:val="0"/>
      <w:marBottom w:val="0"/>
      <w:divBdr>
        <w:top w:val="none" w:sz="0" w:space="0" w:color="auto"/>
        <w:left w:val="none" w:sz="0" w:space="0" w:color="auto"/>
        <w:bottom w:val="none" w:sz="0" w:space="0" w:color="auto"/>
        <w:right w:val="none" w:sz="0" w:space="0" w:color="auto"/>
      </w:divBdr>
    </w:div>
    <w:div w:id="1693073635">
      <w:marLeft w:val="480"/>
      <w:marRight w:val="0"/>
      <w:marTop w:val="0"/>
      <w:marBottom w:val="0"/>
      <w:divBdr>
        <w:top w:val="none" w:sz="0" w:space="0" w:color="auto"/>
        <w:left w:val="none" w:sz="0" w:space="0" w:color="auto"/>
        <w:bottom w:val="none" w:sz="0" w:space="0" w:color="auto"/>
        <w:right w:val="none" w:sz="0" w:space="0" w:color="auto"/>
      </w:divBdr>
    </w:div>
    <w:div w:id="1694183949">
      <w:marLeft w:val="480"/>
      <w:marRight w:val="0"/>
      <w:marTop w:val="0"/>
      <w:marBottom w:val="0"/>
      <w:divBdr>
        <w:top w:val="none" w:sz="0" w:space="0" w:color="auto"/>
        <w:left w:val="none" w:sz="0" w:space="0" w:color="auto"/>
        <w:bottom w:val="none" w:sz="0" w:space="0" w:color="auto"/>
        <w:right w:val="none" w:sz="0" w:space="0" w:color="auto"/>
      </w:divBdr>
    </w:div>
    <w:div w:id="1697123188">
      <w:marLeft w:val="480"/>
      <w:marRight w:val="0"/>
      <w:marTop w:val="0"/>
      <w:marBottom w:val="0"/>
      <w:divBdr>
        <w:top w:val="none" w:sz="0" w:space="0" w:color="auto"/>
        <w:left w:val="none" w:sz="0" w:space="0" w:color="auto"/>
        <w:bottom w:val="none" w:sz="0" w:space="0" w:color="auto"/>
        <w:right w:val="none" w:sz="0" w:space="0" w:color="auto"/>
      </w:divBdr>
    </w:div>
    <w:div w:id="1697385299">
      <w:marLeft w:val="480"/>
      <w:marRight w:val="0"/>
      <w:marTop w:val="0"/>
      <w:marBottom w:val="0"/>
      <w:divBdr>
        <w:top w:val="none" w:sz="0" w:space="0" w:color="auto"/>
        <w:left w:val="none" w:sz="0" w:space="0" w:color="auto"/>
        <w:bottom w:val="none" w:sz="0" w:space="0" w:color="auto"/>
        <w:right w:val="none" w:sz="0" w:space="0" w:color="auto"/>
      </w:divBdr>
    </w:div>
    <w:div w:id="1698433809">
      <w:marLeft w:val="480"/>
      <w:marRight w:val="0"/>
      <w:marTop w:val="0"/>
      <w:marBottom w:val="0"/>
      <w:divBdr>
        <w:top w:val="none" w:sz="0" w:space="0" w:color="auto"/>
        <w:left w:val="none" w:sz="0" w:space="0" w:color="auto"/>
        <w:bottom w:val="none" w:sz="0" w:space="0" w:color="auto"/>
        <w:right w:val="none" w:sz="0" w:space="0" w:color="auto"/>
      </w:divBdr>
    </w:div>
    <w:div w:id="1698703072">
      <w:marLeft w:val="480"/>
      <w:marRight w:val="0"/>
      <w:marTop w:val="0"/>
      <w:marBottom w:val="0"/>
      <w:divBdr>
        <w:top w:val="none" w:sz="0" w:space="0" w:color="auto"/>
        <w:left w:val="none" w:sz="0" w:space="0" w:color="auto"/>
        <w:bottom w:val="none" w:sz="0" w:space="0" w:color="auto"/>
        <w:right w:val="none" w:sz="0" w:space="0" w:color="auto"/>
      </w:divBdr>
    </w:div>
    <w:div w:id="1700736918">
      <w:marLeft w:val="480"/>
      <w:marRight w:val="0"/>
      <w:marTop w:val="0"/>
      <w:marBottom w:val="0"/>
      <w:divBdr>
        <w:top w:val="none" w:sz="0" w:space="0" w:color="auto"/>
        <w:left w:val="none" w:sz="0" w:space="0" w:color="auto"/>
        <w:bottom w:val="none" w:sz="0" w:space="0" w:color="auto"/>
        <w:right w:val="none" w:sz="0" w:space="0" w:color="auto"/>
      </w:divBdr>
    </w:div>
    <w:div w:id="1702509693">
      <w:marLeft w:val="480"/>
      <w:marRight w:val="0"/>
      <w:marTop w:val="0"/>
      <w:marBottom w:val="0"/>
      <w:divBdr>
        <w:top w:val="none" w:sz="0" w:space="0" w:color="auto"/>
        <w:left w:val="none" w:sz="0" w:space="0" w:color="auto"/>
        <w:bottom w:val="none" w:sz="0" w:space="0" w:color="auto"/>
        <w:right w:val="none" w:sz="0" w:space="0" w:color="auto"/>
      </w:divBdr>
    </w:div>
    <w:div w:id="1704819079">
      <w:marLeft w:val="480"/>
      <w:marRight w:val="0"/>
      <w:marTop w:val="0"/>
      <w:marBottom w:val="0"/>
      <w:divBdr>
        <w:top w:val="none" w:sz="0" w:space="0" w:color="auto"/>
        <w:left w:val="none" w:sz="0" w:space="0" w:color="auto"/>
        <w:bottom w:val="none" w:sz="0" w:space="0" w:color="auto"/>
        <w:right w:val="none" w:sz="0" w:space="0" w:color="auto"/>
      </w:divBdr>
    </w:div>
    <w:div w:id="1706172664">
      <w:marLeft w:val="480"/>
      <w:marRight w:val="0"/>
      <w:marTop w:val="0"/>
      <w:marBottom w:val="0"/>
      <w:divBdr>
        <w:top w:val="none" w:sz="0" w:space="0" w:color="auto"/>
        <w:left w:val="none" w:sz="0" w:space="0" w:color="auto"/>
        <w:bottom w:val="none" w:sz="0" w:space="0" w:color="auto"/>
        <w:right w:val="none" w:sz="0" w:space="0" w:color="auto"/>
      </w:divBdr>
    </w:div>
    <w:div w:id="1712995441">
      <w:marLeft w:val="480"/>
      <w:marRight w:val="0"/>
      <w:marTop w:val="0"/>
      <w:marBottom w:val="0"/>
      <w:divBdr>
        <w:top w:val="none" w:sz="0" w:space="0" w:color="auto"/>
        <w:left w:val="none" w:sz="0" w:space="0" w:color="auto"/>
        <w:bottom w:val="none" w:sz="0" w:space="0" w:color="auto"/>
        <w:right w:val="none" w:sz="0" w:space="0" w:color="auto"/>
      </w:divBdr>
    </w:div>
    <w:div w:id="1714845322">
      <w:marLeft w:val="480"/>
      <w:marRight w:val="0"/>
      <w:marTop w:val="0"/>
      <w:marBottom w:val="0"/>
      <w:divBdr>
        <w:top w:val="none" w:sz="0" w:space="0" w:color="auto"/>
        <w:left w:val="none" w:sz="0" w:space="0" w:color="auto"/>
        <w:bottom w:val="none" w:sz="0" w:space="0" w:color="auto"/>
        <w:right w:val="none" w:sz="0" w:space="0" w:color="auto"/>
      </w:divBdr>
    </w:div>
    <w:div w:id="1715421768">
      <w:marLeft w:val="480"/>
      <w:marRight w:val="0"/>
      <w:marTop w:val="0"/>
      <w:marBottom w:val="0"/>
      <w:divBdr>
        <w:top w:val="none" w:sz="0" w:space="0" w:color="auto"/>
        <w:left w:val="none" w:sz="0" w:space="0" w:color="auto"/>
        <w:bottom w:val="none" w:sz="0" w:space="0" w:color="auto"/>
        <w:right w:val="none" w:sz="0" w:space="0" w:color="auto"/>
      </w:divBdr>
    </w:div>
    <w:div w:id="1717776937">
      <w:marLeft w:val="480"/>
      <w:marRight w:val="0"/>
      <w:marTop w:val="0"/>
      <w:marBottom w:val="0"/>
      <w:divBdr>
        <w:top w:val="none" w:sz="0" w:space="0" w:color="auto"/>
        <w:left w:val="none" w:sz="0" w:space="0" w:color="auto"/>
        <w:bottom w:val="none" w:sz="0" w:space="0" w:color="auto"/>
        <w:right w:val="none" w:sz="0" w:space="0" w:color="auto"/>
      </w:divBdr>
    </w:div>
    <w:div w:id="1718046430">
      <w:marLeft w:val="480"/>
      <w:marRight w:val="0"/>
      <w:marTop w:val="0"/>
      <w:marBottom w:val="0"/>
      <w:divBdr>
        <w:top w:val="none" w:sz="0" w:space="0" w:color="auto"/>
        <w:left w:val="none" w:sz="0" w:space="0" w:color="auto"/>
        <w:bottom w:val="none" w:sz="0" w:space="0" w:color="auto"/>
        <w:right w:val="none" w:sz="0" w:space="0" w:color="auto"/>
      </w:divBdr>
    </w:div>
    <w:div w:id="1725447301">
      <w:marLeft w:val="480"/>
      <w:marRight w:val="0"/>
      <w:marTop w:val="0"/>
      <w:marBottom w:val="0"/>
      <w:divBdr>
        <w:top w:val="none" w:sz="0" w:space="0" w:color="auto"/>
        <w:left w:val="none" w:sz="0" w:space="0" w:color="auto"/>
        <w:bottom w:val="none" w:sz="0" w:space="0" w:color="auto"/>
        <w:right w:val="none" w:sz="0" w:space="0" w:color="auto"/>
      </w:divBdr>
    </w:div>
    <w:div w:id="1725563831">
      <w:marLeft w:val="480"/>
      <w:marRight w:val="0"/>
      <w:marTop w:val="0"/>
      <w:marBottom w:val="0"/>
      <w:divBdr>
        <w:top w:val="none" w:sz="0" w:space="0" w:color="auto"/>
        <w:left w:val="none" w:sz="0" w:space="0" w:color="auto"/>
        <w:bottom w:val="none" w:sz="0" w:space="0" w:color="auto"/>
        <w:right w:val="none" w:sz="0" w:space="0" w:color="auto"/>
      </w:divBdr>
    </w:div>
    <w:div w:id="1726177354">
      <w:marLeft w:val="480"/>
      <w:marRight w:val="0"/>
      <w:marTop w:val="0"/>
      <w:marBottom w:val="0"/>
      <w:divBdr>
        <w:top w:val="none" w:sz="0" w:space="0" w:color="auto"/>
        <w:left w:val="none" w:sz="0" w:space="0" w:color="auto"/>
        <w:bottom w:val="none" w:sz="0" w:space="0" w:color="auto"/>
        <w:right w:val="none" w:sz="0" w:space="0" w:color="auto"/>
      </w:divBdr>
    </w:div>
    <w:div w:id="1727990861">
      <w:marLeft w:val="480"/>
      <w:marRight w:val="0"/>
      <w:marTop w:val="0"/>
      <w:marBottom w:val="0"/>
      <w:divBdr>
        <w:top w:val="none" w:sz="0" w:space="0" w:color="auto"/>
        <w:left w:val="none" w:sz="0" w:space="0" w:color="auto"/>
        <w:bottom w:val="none" w:sz="0" w:space="0" w:color="auto"/>
        <w:right w:val="none" w:sz="0" w:space="0" w:color="auto"/>
      </w:divBdr>
    </w:div>
    <w:div w:id="1728215735">
      <w:marLeft w:val="480"/>
      <w:marRight w:val="0"/>
      <w:marTop w:val="0"/>
      <w:marBottom w:val="0"/>
      <w:divBdr>
        <w:top w:val="none" w:sz="0" w:space="0" w:color="auto"/>
        <w:left w:val="none" w:sz="0" w:space="0" w:color="auto"/>
        <w:bottom w:val="none" w:sz="0" w:space="0" w:color="auto"/>
        <w:right w:val="none" w:sz="0" w:space="0" w:color="auto"/>
      </w:divBdr>
    </w:div>
    <w:div w:id="1728529571">
      <w:marLeft w:val="480"/>
      <w:marRight w:val="0"/>
      <w:marTop w:val="0"/>
      <w:marBottom w:val="0"/>
      <w:divBdr>
        <w:top w:val="none" w:sz="0" w:space="0" w:color="auto"/>
        <w:left w:val="none" w:sz="0" w:space="0" w:color="auto"/>
        <w:bottom w:val="none" w:sz="0" w:space="0" w:color="auto"/>
        <w:right w:val="none" w:sz="0" w:space="0" w:color="auto"/>
      </w:divBdr>
    </w:div>
    <w:div w:id="1730034175">
      <w:marLeft w:val="480"/>
      <w:marRight w:val="0"/>
      <w:marTop w:val="0"/>
      <w:marBottom w:val="0"/>
      <w:divBdr>
        <w:top w:val="none" w:sz="0" w:space="0" w:color="auto"/>
        <w:left w:val="none" w:sz="0" w:space="0" w:color="auto"/>
        <w:bottom w:val="none" w:sz="0" w:space="0" w:color="auto"/>
        <w:right w:val="none" w:sz="0" w:space="0" w:color="auto"/>
      </w:divBdr>
    </w:div>
    <w:div w:id="1731535931">
      <w:marLeft w:val="480"/>
      <w:marRight w:val="0"/>
      <w:marTop w:val="0"/>
      <w:marBottom w:val="0"/>
      <w:divBdr>
        <w:top w:val="none" w:sz="0" w:space="0" w:color="auto"/>
        <w:left w:val="none" w:sz="0" w:space="0" w:color="auto"/>
        <w:bottom w:val="none" w:sz="0" w:space="0" w:color="auto"/>
        <w:right w:val="none" w:sz="0" w:space="0" w:color="auto"/>
      </w:divBdr>
    </w:div>
    <w:div w:id="1735009423">
      <w:marLeft w:val="480"/>
      <w:marRight w:val="0"/>
      <w:marTop w:val="0"/>
      <w:marBottom w:val="0"/>
      <w:divBdr>
        <w:top w:val="none" w:sz="0" w:space="0" w:color="auto"/>
        <w:left w:val="none" w:sz="0" w:space="0" w:color="auto"/>
        <w:bottom w:val="none" w:sz="0" w:space="0" w:color="auto"/>
        <w:right w:val="none" w:sz="0" w:space="0" w:color="auto"/>
      </w:divBdr>
    </w:div>
    <w:div w:id="1735471859">
      <w:marLeft w:val="480"/>
      <w:marRight w:val="0"/>
      <w:marTop w:val="0"/>
      <w:marBottom w:val="0"/>
      <w:divBdr>
        <w:top w:val="none" w:sz="0" w:space="0" w:color="auto"/>
        <w:left w:val="none" w:sz="0" w:space="0" w:color="auto"/>
        <w:bottom w:val="none" w:sz="0" w:space="0" w:color="auto"/>
        <w:right w:val="none" w:sz="0" w:space="0" w:color="auto"/>
      </w:divBdr>
    </w:div>
    <w:div w:id="1738282890">
      <w:marLeft w:val="480"/>
      <w:marRight w:val="0"/>
      <w:marTop w:val="0"/>
      <w:marBottom w:val="0"/>
      <w:divBdr>
        <w:top w:val="none" w:sz="0" w:space="0" w:color="auto"/>
        <w:left w:val="none" w:sz="0" w:space="0" w:color="auto"/>
        <w:bottom w:val="none" w:sz="0" w:space="0" w:color="auto"/>
        <w:right w:val="none" w:sz="0" w:space="0" w:color="auto"/>
      </w:divBdr>
    </w:div>
    <w:div w:id="1741519115">
      <w:marLeft w:val="480"/>
      <w:marRight w:val="0"/>
      <w:marTop w:val="0"/>
      <w:marBottom w:val="0"/>
      <w:divBdr>
        <w:top w:val="none" w:sz="0" w:space="0" w:color="auto"/>
        <w:left w:val="none" w:sz="0" w:space="0" w:color="auto"/>
        <w:bottom w:val="none" w:sz="0" w:space="0" w:color="auto"/>
        <w:right w:val="none" w:sz="0" w:space="0" w:color="auto"/>
      </w:divBdr>
    </w:div>
    <w:div w:id="1743477982">
      <w:marLeft w:val="480"/>
      <w:marRight w:val="0"/>
      <w:marTop w:val="0"/>
      <w:marBottom w:val="0"/>
      <w:divBdr>
        <w:top w:val="none" w:sz="0" w:space="0" w:color="auto"/>
        <w:left w:val="none" w:sz="0" w:space="0" w:color="auto"/>
        <w:bottom w:val="none" w:sz="0" w:space="0" w:color="auto"/>
        <w:right w:val="none" w:sz="0" w:space="0" w:color="auto"/>
      </w:divBdr>
    </w:div>
    <w:div w:id="1745687832">
      <w:marLeft w:val="480"/>
      <w:marRight w:val="0"/>
      <w:marTop w:val="0"/>
      <w:marBottom w:val="0"/>
      <w:divBdr>
        <w:top w:val="none" w:sz="0" w:space="0" w:color="auto"/>
        <w:left w:val="none" w:sz="0" w:space="0" w:color="auto"/>
        <w:bottom w:val="none" w:sz="0" w:space="0" w:color="auto"/>
        <w:right w:val="none" w:sz="0" w:space="0" w:color="auto"/>
      </w:divBdr>
    </w:div>
    <w:div w:id="1749183006">
      <w:marLeft w:val="480"/>
      <w:marRight w:val="0"/>
      <w:marTop w:val="0"/>
      <w:marBottom w:val="0"/>
      <w:divBdr>
        <w:top w:val="none" w:sz="0" w:space="0" w:color="auto"/>
        <w:left w:val="none" w:sz="0" w:space="0" w:color="auto"/>
        <w:bottom w:val="none" w:sz="0" w:space="0" w:color="auto"/>
        <w:right w:val="none" w:sz="0" w:space="0" w:color="auto"/>
      </w:divBdr>
    </w:div>
    <w:div w:id="1750224076">
      <w:marLeft w:val="480"/>
      <w:marRight w:val="0"/>
      <w:marTop w:val="0"/>
      <w:marBottom w:val="0"/>
      <w:divBdr>
        <w:top w:val="none" w:sz="0" w:space="0" w:color="auto"/>
        <w:left w:val="none" w:sz="0" w:space="0" w:color="auto"/>
        <w:bottom w:val="none" w:sz="0" w:space="0" w:color="auto"/>
        <w:right w:val="none" w:sz="0" w:space="0" w:color="auto"/>
      </w:divBdr>
    </w:div>
    <w:div w:id="1751384663">
      <w:marLeft w:val="480"/>
      <w:marRight w:val="0"/>
      <w:marTop w:val="0"/>
      <w:marBottom w:val="0"/>
      <w:divBdr>
        <w:top w:val="none" w:sz="0" w:space="0" w:color="auto"/>
        <w:left w:val="none" w:sz="0" w:space="0" w:color="auto"/>
        <w:bottom w:val="none" w:sz="0" w:space="0" w:color="auto"/>
        <w:right w:val="none" w:sz="0" w:space="0" w:color="auto"/>
      </w:divBdr>
    </w:div>
    <w:div w:id="1751459674">
      <w:marLeft w:val="480"/>
      <w:marRight w:val="0"/>
      <w:marTop w:val="0"/>
      <w:marBottom w:val="0"/>
      <w:divBdr>
        <w:top w:val="none" w:sz="0" w:space="0" w:color="auto"/>
        <w:left w:val="none" w:sz="0" w:space="0" w:color="auto"/>
        <w:bottom w:val="none" w:sz="0" w:space="0" w:color="auto"/>
        <w:right w:val="none" w:sz="0" w:space="0" w:color="auto"/>
      </w:divBdr>
    </w:div>
    <w:div w:id="1752047073">
      <w:marLeft w:val="480"/>
      <w:marRight w:val="0"/>
      <w:marTop w:val="0"/>
      <w:marBottom w:val="0"/>
      <w:divBdr>
        <w:top w:val="none" w:sz="0" w:space="0" w:color="auto"/>
        <w:left w:val="none" w:sz="0" w:space="0" w:color="auto"/>
        <w:bottom w:val="none" w:sz="0" w:space="0" w:color="auto"/>
        <w:right w:val="none" w:sz="0" w:space="0" w:color="auto"/>
      </w:divBdr>
    </w:div>
    <w:div w:id="1754355260">
      <w:marLeft w:val="480"/>
      <w:marRight w:val="0"/>
      <w:marTop w:val="0"/>
      <w:marBottom w:val="0"/>
      <w:divBdr>
        <w:top w:val="none" w:sz="0" w:space="0" w:color="auto"/>
        <w:left w:val="none" w:sz="0" w:space="0" w:color="auto"/>
        <w:bottom w:val="none" w:sz="0" w:space="0" w:color="auto"/>
        <w:right w:val="none" w:sz="0" w:space="0" w:color="auto"/>
      </w:divBdr>
    </w:div>
    <w:div w:id="1756124357">
      <w:marLeft w:val="480"/>
      <w:marRight w:val="0"/>
      <w:marTop w:val="0"/>
      <w:marBottom w:val="0"/>
      <w:divBdr>
        <w:top w:val="none" w:sz="0" w:space="0" w:color="auto"/>
        <w:left w:val="none" w:sz="0" w:space="0" w:color="auto"/>
        <w:bottom w:val="none" w:sz="0" w:space="0" w:color="auto"/>
        <w:right w:val="none" w:sz="0" w:space="0" w:color="auto"/>
      </w:divBdr>
    </w:div>
    <w:div w:id="1756825395">
      <w:marLeft w:val="480"/>
      <w:marRight w:val="0"/>
      <w:marTop w:val="0"/>
      <w:marBottom w:val="0"/>
      <w:divBdr>
        <w:top w:val="none" w:sz="0" w:space="0" w:color="auto"/>
        <w:left w:val="none" w:sz="0" w:space="0" w:color="auto"/>
        <w:bottom w:val="none" w:sz="0" w:space="0" w:color="auto"/>
        <w:right w:val="none" w:sz="0" w:space="0" w:color="auto"/>
      </w:divBdr>
    </w:div>
    <w:div w:id="1757752828">
      <w:marLeft w:val="480"/>
      <w:marRight w:val="0"/>
      <w:marTop w:val="0"/>
      <w:marBottom w:val="0"/>
      <w:divBdr>
        <w:top w:val="none" w:sz="0" w:space="0" w:color="auto"/>
        <w:left w:val="none" w:sz="0" w:space="0" w:color="auto"/>
        <w:bottom w:val="none" w:sz="0" w:space="0" w:color="auto"/>
        <w:right w:val="none" w:sz="0" w:space="0" w:color="auto"/>
      </w:divBdr>
    </w:div>
    <w:div w:id="1760131013">
      <w:marLeft w:val="480"/>
      <w:marRight w:val="0"/>
      <w:marTop w:val="0"/>
      <w:marBottom w:val="0"/>
      <w:divBdr>
        <w:top w:val="none" w:sz="0" w:space="0" w:color="auto"/>
        <w:left w:val="none" w:sz="0" w:space="0" w:color="auto"/>
        <w:bottom w:val="none" w:sz="0" w:space="0" w:color="auto"/>
        <w:right w:val="none" w:sz="0" w:space="0" w:color="auto"/>
      </w:divBdr>
    </w:div>
    <w:div w:id="1764645567">
      <w:marLeft w:val="480"/>
      <w:marRight w:val="0"/>
      <w:marTop w:val="0"/>
      <w:marBottom w:val="0"/>
      <w:divBdr>
        <w:top w:val="none" w:sz="0" w:space="0" w:color="auto"/>
        <w:left w:val="none" w:sz="0" w:space="0" w:color="auto"/>
        <w:bottom w:val="none" w:sz="0" w:space="0" w:color="auto"/>
        <w:right w:val="none" w:sz="0" w:space="0" w:color="auto"/>
      </w:divBdr>
    </w:div>
    <w:div w:id="1766195261">
      <w:marLeft w:val="480"/>
      <w:marRight w:val="0"/>
      <w:marTop w:val="0"/>
      <w:marBottom w:val="0"/>
      <w:divBdr>
        <w:top w:val="none" w:sz="0" w:space="0" w:color="auto"/>
        <w:left w:val="none" w:sz="0" w:space="0" w:color="auto"/>
        <w:bottom w:val="none" w:sz="0" w:space="0" w:color="auto"/>
        <w:right w:val="none" w:sz="0" w:space="0" w:color="auto"/>
      </w:divBdr>
    </w:div>
    <w:div w:id="1766607827">
      <w:marLeft w:val="480"/>
      <w:marRight w:val="0"/>
      <w:marTop w:val="0"/>
      <w:marBottom w:val="0"/>
      <w:divBdr>
        <w:top w:val="none" w:sz="0" w:space="0" w:color="auto"/>
        <w:left w:val="none" w:sz="0" w:space="0" w:color="auto"/>
        <w:bottom w:val="none" w:sz="0" w:space="0" w:color="auto"/>
        <w:right w:val="none" w:sz="0" w:space="0" w:color="auto"/>
      </w:divBdr>
    </w:div>
    <w:div w:id="1766874854">
      <w:marLeft w:val="480"/>
      <w:marRight w:val="0"/>
      <w:marTop w:val="0"/>
      <w:marBottom w:val="0"/>
      <w:divBdr>
        <w:top w:val="none" w:sz="0" w:space="0" w:color="auto"/>
        <w:left w:val="none" w:sz="0" w:space="0" w:color="auto"/>
        <w:bottom w:val="none" w:sz="0" w:space="0" w:color="auto"/>
        <w:right w:val="none" w:sz="0" w:space="0" w:color="auto"/>
      </w:divBdr>
    </w:div>
    <w:div w:id="1767967837">
      <w:marLeft w:val="480"/>
      <w:marRight w:val="0"/>
      <w:marTop w:val="0"/>
      <w:marBottom w:val="0"/>
      <w:divBdr>
        <w:top w:val="none" w:sz="0" w:space="0" w:color="auto"/>
        <w:left w:val="none" w:sz="0" w:space="0" w:color="auto"/>
        <w:bottom w:val="none" w:sz="0" w:space="0" w:color="auto"/>
        <w:right w:val="none" w:sz="0" w:space="0" w:color="auto"/>
      </w:divBdr>
    </w:div>
    <w:div w:id="1768304115">
      <w:marLeft w:val="480"/>
      <w:marRight w:val="0"/>
      <w:marTop w:val="0"/>
      <w:marBottom w:val="0"/>
      <w:divBdr>
        <w:top w:val="none" w:sz="0" w:space="0" w:color="auto"/>
        <w:left w:val="none" w:sz="0" w:space="0" w:color="auto"/>
        <w:bottom w:val="none" w:sz="0" w:space="0" w:color="auto"/>
        <w:right w:val="none" w:sz="0" w:space="0" w:color="auto"/>
      </w:divBdr>
    </w:div>
    <w:div w:id="1775831588">
      <w:marLeft w:val="480"/>
      <w:marRight w:val="0"/>
      <w:marTop w:val="0"/>
      <w:marBottom w:val="0"/>
      <w:divBdr>
        <w:top w:val="none" w:sz="0" w:space="0" w:color="auto"/>
        <w:left w:val="none" w:sz="0" w:space="0" w:color="auto"/>
        <w:bottom w:val="none" w:sz="0" w:space="0" w:color="auto"/>
        <w:right w:val="none" w:sz="0" w:space="0" w:color="auto"/>
      </w:divBdr>
    </w:div>
    <w:div w:id="1778910785">
      <w:marLeft w:val="480"/>
      <w:marRight w:val="0"/>
      <w:marTop w:val="0"/>
      <w:marBottom w:val="0"/>
      <w:divBdr>
        <w:top w:val="none" w:sz="0" w:space="0" w:color="auto"/>
        <w:left w:val="none" w:sz="0" w:space="0" w:color="auto"/>
        <w:bottom w:val="none" w:sz="0" w:space="0" w:color="auto"/>
        <w:right w:val="none" w:sz="0" w:space="0" w:color="auto"/>
      </w:divBdr>
    </w:div>
    <w:div w:id="1780834157">
      <w:marLeft w:val="480"/>
      <w:marRight w:val="0"/>
      <w:marTop w:val="0"/>
      <w:marBottom w:val="0"/>
      <w:divBdr>
        <w:top w:val="none" w:sz="0" w:space="0" w:color="auto"/>
        <w:left w:val="none" w:sz="0" w:space="0" w:color="auto"/>
        <w:bottom w:val="none" w:sz="0" w:space="0" w:color="auto"/>
        <w:right w:val="none" w:sz="0" w:space="0" w:color="auto"/>
      </w:divBdr>
    </w:div>
    <w:div w:id="1783960787">
      <w:marLeft w:val="480"/>
      <w:marRight w:val="0"/>
      <w:marTop w:val="0"/>
      <w:marBottom w:val="0"/>
      <w:divBdr>
        <w:top w:val="none" w:sz="0" w:space="0" w:color="auto"/>
        <w:left w:val="none" w:sz="0" w:space="0" w:color="auto"/>
        <w:bottom w:val="none" w:sz="0" w:space="0" w:color="auto"/>
        <w:right w:val="none" w:sz="0" w:space="0" w:color="auto"/>
      </w:divBdr>
    </w:div>
    <w:div w:id="1784421178">
      <w:marLeft w:val="480"/>
      <w:marRight w:val="0"/>
      <w:marTop w:val="0"/>
      <w:marBottom w:val="0"/>
      <w:divBdr>
        <w:top w:val="none" w:sz="0" w:space="0" w:color="auto"/>
        <w:left w:val="none" w:sz="0" w:space="0" w:color="auto"/>
        <w:bottom w:val="none" w:sz="0" w:space="0" w:color="auto"/>
        <w:right w:val="none" w:sz="0" w:space="0" w:color="auto"/>
      </w:divBdr>
    </w:div>
    <w:div w:id="1787305662">
      <w:marLeft w:val="480"/>
      <w:marRight w:val="0"/>
      <w:marTop w:val="0"/>
      <w:marBottom w:val="0"/>
      <w:divBdr>
        <w:top w:val="none" w:sz="0" w:space="0" w:color="auto"/>
        <w:left w:val="none" w:sz="0" w:space="0" w:color="auto"/>
        <w:bottom w:val="none" w:sz="0" w:space="0" w:color="auto"/>
        <w:right w:val="none" w:sz="0" w:space="0" w:color="auto"/>
      </w:divBdr>
    </w:div>
    <w:div w:id="1788154471">
      <w:marLeft w:val="480"/>
      <w:marRight w:val="0"/>
      <w:marTop w:val="0"/>
      <w:marBottom w:val="0"/>
      <w:divBdr>
        <w:top w:val="none" w:sz="0" w:space="0" w:color="auto"/>
        <w:left w:val="none" w:sz="0" w:space="0" w:color="auto"/>
        <w:bottom w:val="none" w:sz="0" w:space="0" w:color="auto"/>
        <w:right w:val="none" w:sz="0" w:space="0" w:color="auto"/>
      </w:divBdr>
    </w:div>
    <w:div w:id="1788237182">
      <w:marLeft w:val="480"/>
      <w:marRight w:val="0"/>
      <w:marTop w:val="0"/>
      <w:marBottom w:val="0"/>
      <w:divBdr>
        <w:top w:val="none" w:sz="0" w:space="0" w:color="auto"/>
        <w:left w:val="none" w:sz="0" w:space="0" w:color="auto"/>
        <w:bottom w:val="none" w:sz="0" w:space="0" w:color="auto"/>
        <w:right w:val="none" w:sz="0" w:space="0" w:color="auto"/>
      </w:divBdr>
    </w:div>
    <w:div w:id="1789155411">
      <w:marLeft w:val="480"/>
      <w:marRight w:val="0"/>
      <w:marTop w:val="0"/>
      <w:marBottom w:val="0"/>
      <w:divBdr>
        <w:top w:val="none" w:sz="0" w:space="0" w:color="auto"/>
        <w:left w:val="none" w:sz="0" w:space="0" w:color="auto"/>
        <w:bottom w:val="none" w:sz="0" w:space="0" w:color="auto"/>
        <w:right w:val="none" w:sz="0" w:space="0" w:color="auto"/>
      </w:divBdr>
    </w:div>
    <w:div w:id="1791431830">
      <w:marLeft w:val="480"/>
      <w:marRight w:val="0"/>
      <w:marTop w:val="0"/>
      <w:marBottom w:val="0"/>
      <w:divBdr>
        <w:top w:val="none" w:sz="0" w:space="0" w:color="auto"/>
        <w:left w:val="none" w:sz="0" w:space="0" w:color="auto"/>
        <w:bottom w:val="none" w:sz="0" w:space="0" w:color="auto"/>
        <w:right w:val="none" w:sz="0" w:space="0" w:color="auto"/>
      </w:divBdr>
    </w:div>
    <w:div w:id="1791893315">
      <w:marLeft w:val="480"/>
      <w:marRight w:val="0"/>
      <w:marTop w:val="0"/>
      <w:marBottom w:val="0"/>
      <w:divBdr>
        <w:top w:val="none" w:sz="0" w:space="0" w:color="auto"/>
        <w:left w:val="none" w:sz="0" w:space="0" w:color="auto"/>
        <w:bottom w:val="none" w:sz="0" w:space="0" w:color="auto"/>
        <w:right w:val="none" w:sz="0" w:space="0" w:color="auto"/>
      </w:divBdr>
    </w:div>
    <w:div w:id="1793402417">
      <w:marLeft w:val="480"/>
      <w:marRight w:val="0"/>
      <w:marTop w:val="0"/>
      <w:marBottom w:val="0"/>
      <w:divBdr>
        <w:top w:val="none" w:sz="0" w:space="0" w:color="auto"/>
        <w:left w:val="none" w:sz="0" w:space="0" w:color="auto"/>
        <w:bottom w:val="none" w:sz="0" w:space="0" w:color="auto"/>
        <w:right w:val="none" w:sz="0" w:space="0" w:color="auto"/>
      </w:divBdr>
    </w:div>
    <w:div w:id="1794325610">
      <w:marLeft w:val="480"/>
      <w:marRight w:val="0"/>
      <w:marTop w:val="0"/>
      <w:marBottom w:val="0"/>
      <w:divBdr>
        <w:top w:val="none" w:sz="0" w:space="0" w:color="auto"/>
        <w:left w:val="none" w:sz="0" w:space="0" w:color="auto"/>
        <w:bottom w:val="none" w:sz="0" w:space="0" w:color="auto"/>
        <w:right w:val="none" w:sz="0" w:space="0" w:color="auto"/>
      </w:divBdr>
    </w:div>
    <w:div w:id="1795781964">
      <w:marLeft w:val="480"/>
      <w:marRight w:val="0"/>
      <w:marTop w:val="0"/>
      <w:marBottom w:val="0"/>
      <w:divBdr>
        <w:top w:val="none" w:sz="0" w:space="0" w:color="auto"/>
        <w:left w:val="none" w:sz="0" w:space="0" w:color="auto"/>
        <w:bottom w:val="none" w:sz="0" w:space="0" w:color="auto"/>
        <w:right w:val="none" w:sz="0" w:space="0" w:color="auto"/>
      </w:divBdr>
    </w:div>
    <w:div w:id="1797677246">
      <w:marLeft w:val="480"/>
      <w:marRight w:val="0"/>
      <w:marTop w:val="0"/>
      <w:marBottom w:val="0"/>
      <w:divBdr>
        <w:top w:val="none" w:sz="0" w:space="0" w:color="auto"/>
        <w:left w:val="none" w:sz="0" w:space="0" w:color="auto"/>
        <w:bottom w:val="none" w:sz="0" w:space="0" w:color="auto"/>
        <w:right w:val="none" w:sz="0" w:space="0" w:color="auto"/>
      </w:divBdr>
    </w:div>
    <w:div w:id="1797748129">
      <w:marLeft w:val="480"/>
      <w:marRight w:val="0"/>
      <w:marTop w:val="0"/>
      <w:marBottom w:val="0"/>
      <w:divBdr>
        <w:top w:val="none" w:sz="0" w:space="0" w:color="auto"/>
        <w:left w:val="none" w:sz="0" w:space="0" w:color="auto"/>
        <w:bottom w:val="none" w:sz="0" w:space="0" w:color="auto"/>
        <w:right w:val="none" w:sz="0" w:space="0" w:color="auto"/>
      </w:divBdr>
    </w:div>
    <w:div w:id="1797748519">
      <w:marLeft w:val="480"/>
      <w:marRight w:val="0"/>
      <w:marTop w:val="0"/>
      <w:marBottom w:val="0"/>
      <w:divBdr>
        <w:top w:val="none" w:sz="0" w:space="0" w:color="auto"/>
        <w:left w:val="none" w:sz="0" w:space="0" w:color="auto"/>
        <w:bottom w:val="none" w:sz="0" w:space="0" w:color="auto"/>
        <w:right w:val="none" w:sz="0" w:space="0" w:color="auto"/>
      </w:divBdr>
    </w:div>
    <w:div w:id="1798832930">
      <w:marLeft w:val="480"/>
      <w:marRight w:val="0"/>
      <w:marTop w:val="0"/>
      <w:marBottom w:val="0"/>
      <w:divBdr>
        <w:top w:val="none" w:sz="0" w:space="0" w:color="auto"/>
        <w:left w:val="none" w:sz="0" w:space="0" w:color="auto"/>
        <w:bottom w:val="none" w:sz="0" w:space="0" w:color="auto"/>
        <w:right w:val="none" w:sz="0" w:space="0" w:color="auto"/>
      </w:divBdr>
    </w:div>
    <w:div w:id="1800030453">
      <w:marLeft w:val="480"/>
      <w:marRight w:val="0"/>
      <w:marTop w:val="0"/>
      <w:marBottom w:val="0"/>
      <w:divBdr>
        <w:top w:val="none" w:sz="0" w:space="0" w:color="auto"/>
        <w:left w:val="none" w:sz="0" w:space="0" w:color="auto"/>
        <w:bottom w:val="none" w:sz="0" w:space="0" w:color="auto"/>
        <w:right w:val="none" w:sz="0" w:space="0" w:color="auto"/>
      </w:divBdr>
    </w:div>
    <w:div w:id="1807162939">
      <w:marLeft w:val="480"/>
      <w:marRight w:val="0"/>
      <w:marTop w:val="0"/>
      <w:marBottom w:val="0"/>
      <w:divBdr>
        <w:top w:val="none" w:sz="0" w:space="0" w:color="auto"/>
        <w:left w:val="none" w:sz="0" w:space="0" w:color="auto"/>
        <w:bottom w:val="none" w:sz="0" w:space="0" w:color="auto"/>
        <w:right w:val="none" w:sz="0" w:space="0" w:color="auto"/>
      </w:divBdr>
    </w:div>
    <w:div w:id="1808426058">
      <w:marLeft w:val="480"/>
      <w:marRight w:val="0"/>
      <w:marTop w:val="0"/>
      <w:marBottom w:val="0"/>
      <w:divBdr>
        <w:top w:val="none" w:sz="0" w:space="0" w:color="auto"/>
        <w:left w:val="none" w:sz="0" w:space="0" w:color="auto"/>
        <w:bottom w:val="none" w:sz="0" w:space="0" w:color="auto"/>
        <w:right w:val="none" w:sz="0" w:space="0" w:color="auto"/>
      </w:divBdr>
    </w:div>
    <w:div w:id="1811243140">
      <w:marLeft w:val="480"/>
      <w:marRight w:val="0"/>
      <w:marTop w:val="0"/>
      <w:marBottom w:val="0"/>
      <w:divBdr>
        <w:top w:val="none" w:sz="0" w:space="0" w:color="auto"/>
        <w:left w:val="none" w:sz="0" w:space="0" w:color="auto"/>
        <w:bottom w:val="none" w:sz="0" w:space="0" w:color="auto"/>
        <w:right w:val="none" w:sz="0" w:space="0" w:color="auto"/>
      </w:divBdr>
    </w:div>
    <w:div w:id="1811481178">
      <w:marLeft w:val="480"/>
      <w:marRight w:val="0"/>
      <w:marTop w:val="0"/>
      <w:marBottom w:val="0"/>
      <w:divBdr>
        <w:top w:val="none" w:sz="0" w:space="0" w:color="auto"/>
        <w:left w:val="none" w:sz="0" w:space="0" w:color="auto"/>
        <w:bottom w:val="none" w:sz="0" w:space="0" w:color="auto"/>
        <w:right w:val="none" w:sz="0" w:space="0" w:color="auto"/>
      </w:divBdr>
    </w:div>
    <w:div w:id="1811635246">
      <w:marLeft w:val="480"/>
      <w:marRight w:val="0"/>
      <w:marTop w:val="0"/>
      <w:marBottom w:val="0"/>
      <w:divBdr>
        <w:top w:val="none" w:sz="0" w:space="0" w:color="auto"/>
        <w:left w:val="none" w:sz="0" w:space="0" w:color="auto"/>
        <w:bottom w:val="none" w:sz="0" w:space="0" w:color="auto"/>
        <w:right w:val="none" w:sz="0" w:space="0" w:color="auto"/>
      </w:divBdr>
    </w:div>
    <w:div w:id="1811943825">
      <w:marLeft w:val="480"/>
      <w:marRight w:val="0"/>
      <w:marTop w:val="0"/>
      <w:marBottom w:val="0"/>
      <w:divBdr>
        <w:top w:val="none" w:sz="0" w:space="0" w:color="auto"/>
        <w:left w:val="none" w:sz="0" w:space="0" w:color="auto"/>
        <w:bottom w:val="none" w:sz="0" w:space="0" w:color="auto"/>
        <w:right w:val="none" w:sz="0" w:space="0" w:color="auto"/>
      </w:divBdr>
    </w:div>
    <w:div w:id="1816483857">
      <w:marLeft w:val="480"/>
      <w:marRight w:val="0"/>
      <w:marTop w:val="0"/>
      <w:marBottom w:val="0"/>
      <w:divBdr>
        <w:top w:val="none" w:sz="0" w:space="0" w:color="auto"/>
        <w:left w:val="none" w:sz="0" w:space="0" w:color="auto"/>
        <w:bottom w:val="none" w:sz="0" w:space="0" w:color="auto"/>
        <w:right w:val="none" w:sz="0" w:space="0" w:color="auto"/>
      </w:divBdr>
    </w:div>
    <w:div w:id="1819567351">
      <w:marLeft w:val="480"/>
      <w:marRight w:val="0"/>
      <w:marTop w:val="0"/>
      <w:marBottom w:val="0"/>
      <w:divBdr>
        <w:top w:val="none" w:sz="0" w:space="0" w:color="auto"/>
        <w:left w:val="none" w:sz="0" w:space="0" w:color="auto"/>
        <w:bottom w:val="none" w:sz="0" w:space="0" w:color="auto"/>
        <w:right w:val="none" w:sz="0" w:space="0" w:color="auto"/>
      </w:divBdr>
    </w:div>
    <w:div w:id="1821730970">
      <w:marLeft w:val="480"/>
      <w:marRight w:val="0"/>
      <w:marTop w:val="0"/>
      <w:marBottom w:val="0"/>
      <w:divBdr>
        <w:top w:val="none" w:sz="0" w:space="0" w:color="auto"/>
        <w:left w:val="none" w:sz="0" w:space="0" w:color="auto"/>
        <w:bottom w:val="none" w:sz="0" w:space="0" w:color="auto"/>
        <w:right w:val="none" w:sz="0" w:space="0" w:color="auto"/>
      </w:divBdr>
    </w:div>
    <w:div w:id="1822040996">
      <w:marLeft w:val="480"/>
      <w:marRight w:val="0"/>
      <w:marTop w:val="0"/>
      <w:marBottom w:val="0"/>
      <w:divBdr>
        <w:top w:val="none" w:sz="0" w:space="0" w:color="auto"/>
        <w:left w:val="none" w:sz="0" w:space="0" w:color="auto"/>
        <w:bottom w:val="none" w:sz="0" w:space="0" w:color="auto"/>
        <w:right w:val="none" w:sz="0" w:space="0" w:color="auto"/>
      </w:divBdr>
    </w:div>
    <w:div w:id="1822232934">
      <w:marLeft w:val="480"/>
      <w:marRight w:val="0"/>
      <w:marTop w:val="0"/>
      <w:marBottom w:val="0"/>
      <w:divBdr>
        <w:top w:val="none" w:sz="0" w:space="0" w:color="auto"/>
        <w:left w:val="none" w:sz="0" w:space="0" w:color="auto"/>
        <w:bottom w:val="none" w:sz="0" w:space="0" w:color="auto"/>
        <w:right w:val="none" w:sz="0" w:space="0" w:color="auto"/>
      </w:divBdr>
    </w:div>
    <w:div w:id="1822573485">
      <w:marLeft w:val="480"/>
      <w:marRight w:val="0"/>
      <w:marTop w:val="0"/>
      <w:marBottom w:val="0"/>
      <w:divBdr>
        <w:top w:val="none" w:sz="0" w:space="0" w:color="auto"/>
        <w:left w:val="none" w:sz="0" w:space="0" w:color="auto"/>
        <w:bottom w:val="none" w:sz="0" w:space="0" w:color="auto"/>
        <w:right w:val="none" w:sz="0" w:space="0" w:color="auto"/>
      </w:divBdr>
    </w:div>
    <w:div w:id="1824353327">
      <w:marLeft w:val="480"/>
      <w:marRight w:val="0"/>
      <w:marTop w:val="0"/>
      <w:marBottom w:val="0"/>
      <w:divBdr>
        <w:top w:val="none" w:sz="0" w:space="0" w:color="auto"/>
        <w:left w:val="none" w:sz="0" w:space="0" w:color="auto"/>
        <w:bottom w:val="none" w:sz="0" w:space="0" w:color="auto"/>
        <w:right w:val="none" w:sz="0" w:space="0" w:color="auto"/>
      </w:divBdr>
    </w:div>
    <w:div w:id="1827747355">
      <w:marLeft w:val="480"/>
      <w:marRight w:val="0"/>
      <w:marTop w:val="0"/>
      <w:marBottom w:val="0"/>
      <w:divBdr>
        <w:top w:val="none" w:sz="0" w:space="0" w:color="auto"/>
        <w:left w:val="none" w:sz="0" w:space="0" w:color="auto"/>
        <w:bottom w:val="none" w:sz="0" w:space="0" w:color="auto"/>
        <w:right w:val="none" w:sz="0" w:space="0" w:color="auto"/>
      </w:divBdr>
    </w:div>
    <w:div w:id="1830824700">
      <w:marLeft w:val="480"/>
      <w:marRight w:val="0"/>
      <w:marTop w:val="0"/>
      <w:marBottom w:val="0"/>
      <w:divBdr>
        <w:top w:val="none" w:sz="0" w:space="0" w:color="auto"/>
        <w:left w:val="none" w:sz="0" w:space="0" w:color="auto"/>
        <w:bottom w:val="none" w:sz="0" w:space="0" w:color="auto"/>
        <w:right w:val="none" w:sz="0" w:space="0" w:color="auto"/>
      </w:divBdr>
    </w:div>
    <w:div w:id="1833594808">
      <w:marLeft w:val="480"/>
      <w:marRight w:val="0"/>
      <w:marTop w:val="0"/>
      <w:marBottom w:val="0"/>
      <w:divBdr>
        <w:top w:val="none" w:sz="0" w:space="0" w:color="auto"/>
        <w:left w:val="none" w:sz="0" w:space="0" w:color="auto"/>
        <w:bottom w:val="none" w:sz="0" w:space="0" w:color="auto"/>
        <w:right w:val="none" w:sz="0" w:space="0" w:color="auto"/>
      </w:divBdr>
    </w:div>
    <w:div w:id="1833715971">
      <w:marLeft w:val="480"/>
      <w:marRight w:val="0"/>
      <w:marTop w:val="0"/>
      <w:marBottom w:val="0"/>
      <w:divBdr>
        <w:top w:val="none" w:sz="0" w:space="0" w:color="auto"/>
        <w:left w:val="none" w:sz="0" w:space="0" w:color="auto"/>
        <w:bottom w:val="none" w:sz="0" w:space="0" w:color="auto"/>
        <w:right w:val="none" w:sz="0" w:space="0" w:color="auto"/>
      </w:divBdr>
    </w:div>
    <w:div w:id="1834056486">
      <w:marLeft w:val="480"/>
      <w:marRight w:val="0"/>
      <w:marTop w:val="0"/>
      <w:marBottom w:val="0"/>
      <w:divBdr>
        <w:top w:val="none" w:sz="0" w:space="0" w:color="auto"/>
        <w:left w:val="none" w:sz="0" w:space="0" w:color="auto"/>
        <w:bottom w:val="none" w:sz="0" w:space="0" w:color="auto"/>
        <w:right w:val="none" w:sz="0" w:space="0" w:color="auto"/>
      </w:divBdr>
    </w:div>
    <w:div w:id="1834757128">
      <w:marLeft w:val="480"/>
      <w:marRight w:val="0"/>
      <w:marTop w:val="0"/>
      <w:marBottom w:val="0"/>
      <w:divBdr>
        <w:top w:val="none" w:sz="0" w:space="0" w:color="auto"/>
        <w:left w:val="none" w:sz="0" w:space="0" w:color="auto"/>
        <w:bottom w:val="none" w:sz="0" w:space="0" w:color="auto"/>
        <w:right w:val="none" w:sz="0" w:space="0" w:color="auto"/>
      </w:divBdr>
    </w:div>
    <w:div w:id="1836337797">
      <w:marLeft w:val="480"/>
      <w:marRight w:val="0"/>
      <w:marTop w:val="0"/>
      <w:marBottom w:val="0"/>
      <w:divBdr>
        <w:top w:val="none" w:sz="0" w:space="0" w:color="auto"/>
        <w:left w:val="none" w:sz="0" w:space="0" w:color="auto"/>
        <w:bottom w:val="none" w:sz="0" w:space="0" w:color="auto"/>
        <w:right w:val="none" w:sz="0" w:space="0" w:color="auto"/>
      </w:divBdr>
    </w:div>
    <w:div w:id="1839808089">
      <w:marLeft w:val="480"/>
      <w:marRight w:val="0"/>
      <w:marTop w:val="0"/>
      <w:marBottom w:val="0"/>
      <w:divBdr>
        <w:top w:val="none" w:sz="0" w:space="0" w:color="auto"/>
        <w:left w:val="none" w:sz="0" w:space="0" w:color="auto"/>
        <w:bottom w:val="none" w:sz="0" w:space="0" w:color="auto"/>
        <w:right w:val="none" w:sz="0" w:space="0" w:color="auto"/>
      </w:divBdr>
    </w:div>
    <w:div w:id="1842231673">
      <w:marLeft w:val="480"/>
      <w:marRight w:val="0"/>
      <w:marTop w:val="0"/>
      <w:marBottom w:val="0"/>
      <w:divBdr>
        <w:top w:val="none" w:sz="0" w:space="0" w:color="auto"/>
        <w:left w:val="none" w:sz="0" w:space="0" w:color="auto"/>
        <w:bottom w:val="none" w:sz="0" w:space="0" w:color="auto"/>
        <w:right w:val="none" w:sz="0" w:space="0" w:color="auto"/>
      </w:divBdr>
    </w:div>
    <w:div w:id="1842888326">
      <w:marLeft w:val="480"/>
      <w:marRight w:val="0"/>
      <w:marTop w:val="0"/>
      <w:marBottom w:val="0"/>
      <w:divBdr>
        <w:top w:val="none" w:sz="0" w:space="0" w:color="auto"/>
        <w:left w:val="none" w:sz="0" w:space="0" w:color="auto"/>
        <w:bottom w:val="none" w:sz="0" w:space="0" w:color="auto"/>
        <w:right w:val="none" w:sz="0" w:space="0" w:color="auto"/>
      </w:divBdr>
    </w:div>
    <w:div w:id="1845778789">
      <w:marLeft w:val="480"/>
      <w:marRight w:val="0"/>
      <w:marTop w:val="0"/>
      <w:marBottom w:val="0"/>
      <w:divBdr>
        <w:top w:val="none" w:sz="0" w:space="0" w:color="auto"/>
        <w:left w:val="none" w:sz="0" w:space="0" w:color="auto"/>
        <w:bottom w:val="none" w:sz="0" w:space="0" w:color="auto"/>
        <w:right w:val="none" w:sz="0" w:space="0" w:color="auto"/>
      </w:divBdr>
    </w:div>
    <w:div w:id="1846357766">
      <w:marLeft w:val="480"/>
      <w:marRight w:val="0"/>
      <w:marTop w:val="0"/>
      <w:marBottom w:val="0"/>
      <w:divBdr>
        <w:top w:val="none" w:sz="0" w:space="0" w:color="auto"/>
        <w:left w:val="none" w:sz="0" w:space="0" w:color="auto"/>
        <w:bottom w:val="none" w:sz="0" w:space="0" w:color="auto"/>
        <w:right w:val="none" w:sz="0" w:space="0" w:color="auto"/>
      </w:divBdr>
    </w:div>
    <w:div w:id="1846825314">
      <w:marLeft w:val="480"/>
      <w:marRight w:val="0"/>
      <w:marTop w:val="0"/>
      <w:marBottom w:val="0"/>
      <w:divBdr>
        <w:top w:val="none" w:sz="0" w:space="0" w:color="auto"/>
        <w:left w:val="none" w:sz="0" w:space="0" w:color="auto"/>
        <w:bottom w:val="none" w:sz="0" w:space="0" w:color="auto"/>
        <w:right w:val="none" w:sz="0" w:space="0" w:color="auto"/>
      </w:divBdr>
    </w:div>
    <w:div w:id="1847598258">
      <w:marLeft w:val="480"/>
      <w:marRight w:val="0"/>
      <w:marTop w:val="0"/>
      <w:marBottom w:val="0"/>
      <w:divBdr>
        <w:top w:val="none" w:sz="0" w:space="0" w:color="auto"/>
        <w:left w:val="none" w:sz="0" w:space="0" w:color="auto"/>
        <w:bottom w:val="none" w:sz="0" w:space="0" w:color="auto"/>
        <w:right w:val="none" w:sz="0" w:space="0" w:color="auto"/>
      </w:divBdr>
    </w:div>
    <w:div w:id="1847750490">
      <w:marLeft w:val="480"/>
      <w:marRight w:val="0"/>
      <w:marTop w:val="0"/>
      <w:marBottom w:val="0"/>
      <w:divBdr>
        <w:top w:val="none" w:sz="0" w:space="0" w:color="auto"/>
        <w:left w:val="none" w:sz="0" w:space="0" w:color="auto"/>
        <w:bottom w:val="none" w:sz="0" w:space="0" w:color="auto"/>
        <w:right w:val="none" w:sz="0" w:space="0" w:color="auto"/>
      </w:divBdr>
    </w:div>
    <w:div w:id="1847817145">
      <w:marLeft w:val="480"/>
      <w:marRight w:val="0"/>
      <w:marTop w:val="0"/>
      <w:marBottom w:val="0"/>
      <w:divBdr>
        <w:top w:val="none" w:sz="0" w:space="0" w:color="auto"/>
        <w:left w:val="none" w:sz="0" w:space="0" w:color="auto"/>
        <w:bottom w:val="none" w:sz="0" w:space="0" w:color="auto"/>
        <w:right w:val="none" w:sz="0" w:space="0" w:color="auto"/>
      </w:divBdr>
    </w:div>
    <w:div w:id="1849325228">
      <w:marLeft w:val="480"/>
      <w:marRight w:val="0"/>
      <w:marTop w:val="0"/>
      <w:marBottom w:val="0"/>
      <w:divBdr>
        <w:top w:val="none" w:sz="0" w:space="0" w:color="auto"/>
        <w:left w:val="none" w:sz="0" w:space="0" w:color="auto"/>
        <w:bottom w:val="none" w:sz="0" w:space="0" w:color="auto"/>
        <w:right w:val="none" w:sz="0" w:space="0" w:color="auto"/>
      </w:divBdr>
    </w:div>
    <w:div w:id="1853495020">
      <w:marLeft w:val="480"/>
      <w:marRight w:val="0"/>
      <w:marTop w:val="0"/>
      <w:marBottom w:val="0"/>
      <w:divBdr>
        <w:top w:val="none" w:sz="0" w:space="0" w:color="auto"/>
        <w:left w:val="none" w:sz="0" w:space="0" w:color="auto"/>
        <w:bottom w:val="none" w:sz="0" w:space="0" w:color="auto"/>
        <w:right w:val="none" w:sz="0" w:space="0" w:color="auto"/>
      </w:divBdr>
    </w:div>
    <w:div w:id="1856965152">
      <w:marLeft w:val="480"/>
      <w:marRight w:val="0"/>
      <w:marTop w:val="0"/>
      <w:marBottom w:val="0"/>
      <w:divBdr>
        <w:top w:val="none" w:sz="0" w:space="0" w:color="auto"/>
        <w:left w:val="none" w:sz="0" w:space="0" w:color="auto"/>
        <w:bottom w:val="none" w:sz="0" w:space="0" w:color="auto"/>
        <w:right w:val="none" w:sz="0" w:space="0" w:color="auto"/>
      </w:divBdr>
    </w:div>
    <w:div w:id="1859853389">
      <w:marLeft w:val="480"/>
      <w:marRight w:val="0"/>
      <w:marTop w:val="0"/>
      <w:marBottom w:val="0"/>
      <w:divBdr>
        <w:top w:val="none" w:sz="0" w:space="0" w:color="auto"/>
        <w:left w:val="none" w:sz="0" w:space="0" w:color="auto"/>
        <w:bottom w:val="none" w:sz="0" w:space="0" w:color="auto"/>
        <w:right w:val="none" w:sz="0" w:space="0" w:color="auto"/>
      </w:divBdr>
    </w:div>
    <w:div w:id="1861039736">
      <w:marLeft w:val="480"/>
      <w:marRight w:val="0"/>
      <w:marTop w:val="0"/>
      <w:marBottom w:val="0"/>
      <w:divBdr>
        <w:top w:val="none" w:sz="0" w:space="0" w:color="auto"/>
        <w:left w:val="none" w:sz="0" w:space="0" w:color="auto"/>
        <w:bottom w:val="none" w:sz="0" w:space="0" w:color="auto"/>
        <w:right w:val="none" w:sz="0" w:space="0" w:color="auto"/>
      </w:divBdr>
    </w:div>
    <w:div w:id="1862355535">
      <w:marLeft w:val="480"/>
      <w:marRight w:val="0"/>
      <w:marTop w:val="0"/>
      <w:marBottom w:val="0"/>
      <w:divBdr>
        <w:top w:val="none" w:sz="0" w:space="0" w:color="auto"/>
        <w:left w:val="none" w:sz="0" w:space="0" w:color="auto"/>
        <w:bottom w:val="none" w:sz="0" w:space="0" w:color="auto"/>
        <w:right w:val="none" w:sz="0" w:space="0" w:color="auto"/>
      </w:divBdr>
    </w:div>
    <w:div w:id="1869950900">
      <w:marLeft w:val="480"/>
      <w:marRight w:val="0"/>
      <w:marTop w:val="0"/>
      <w:marBottom w:val="0"/>
      <w:divBdr>
        <w:top w:val="none" w:sz="0" w:space="0" w:color="auto"/>
        <w:left w:val="none" w:sz="0" w:space="0" w:color="auto"/>
        <w:bottom w:val="none" w:sz="0" w:space="0" w:color="auto"/>
        <w:right w:val="none" w:sz="0" w:space="0" w:color="auto"/>
      </w:divBdr>
    </w:div>
    <w:div w:id="1872256895">
      <w:marLeft w:val="480"/>
      <w:marRight w:val="0"/>
      <w:marTop w:val="0"/>
      <w:marBottom w:val="0"/>
      <w:divBdr>
        <w:top w:val="none" w:sz="0" w:space="0" w:color="auto"/>
        <w:left w:val="none" w:sz="0" w:space="0" w:color="auto"/>
        <w:bottom w:val="none" w:sz="0" w:space="0" w:color="auto"/>
        <w:right w:val="none" w:sz="0" w:space="0" w:color="auto"/>
      </w:divBdr>
    </w:div>
    <w:div w:id="1872722950">
      <w:marLeft w:val="480"/>
      <w:marRight w:val="0"/>
      <w:marTop w:val="0"/>
      <w:marBottom w:val="0"/>
      <w:divBdr>
        <w:top w:val="none" w:sz="0" w:space="0" w:color="auto"/>
        <w:left w:val="none" w:sz="0" w:space="0" w:color="auto"/>
        <w:bottom w:val="none" w:sz="0" w:space="0" w:color="auto"/>
        <w:right w:val="none" w:sz="0" w:space="0" w:color="auto"/>
      </w:divBdr>
    </w:div>
    <w:div w:id="1873421682">
      <w:marLeft w:val="480"/>
      <w:marRight w:val="0"/>
      <w:marTop w:val="0"/>
      <w:marBottom w:val="0"/>
      <w:divBdr>
        <w:top w:val="none" w:sz="0" w:space="0" w:color="auto"/>
        <w:left w:val="none" w:sz="0" w:space="0" w:color="auto"/>
        <w:bottom w:val="none" w:sz="0" w:space="0" w:color="auto"/>
        <w:right w:val="none" w:sz="0" w:space="0" w:color="auto"/>
      </w:divBdr>
    </w:div>
    <w:div w:id="1875389945">
      <w:marLeft w:val="480"/>
      <w:marRight w:val="0"/>
      <w:marTop w:val="0"/>
      <w:marBottom w:val="0"/>
      <w:divBdr>
        <w:top w:val="none" w:sz="0" w:space="0" w:color="auto"/>
        <w:left w:val="none" w:sz="0" w:space="0" w:color="auto"/>
        <w:bottom w:val="none" w:sz="0" w:space="0" w:color="auto"/>
        <w:right w:val="none" w:sz="0" w:space="0" w:color="auto"/>
      </w:divBdr>
    </w:div>
    <w:div w:id="1876697958">
      <w:marLeft w:val="480"/>
      <w:marRight w:val="0"/>
      <w:marTop w:val="0"/>
      <w:marBottom w:val="0"/>
      <w:divBdr>
        <w:top w:val="none" w:sz="0" w:space="0" w:color="auto"/>
        <w:left w:val="none" w:sz="0" w:space="0" w:color="auto"/>
        <w:bottom w:val="none" w:sz="0" w:space="0" w:color="auto"/>
        <w:right w:val="none" w:sz="0" w:space="0" w:color="auto"/>
      </w:divBdr>
    </w:div>
    <w:div w:id="1880437295">
      <w:marLeft w:val="480"/>
      <w:marRight w:val="0"/>
      <w:marTop w:val="0"/>
      <w:marBottom w:val="0"/>
      <w:divBdr>
        <w:top w:val="none" w:sz="0" w:space="0" w:color="auto"/>
        <w:left w:val="none" w:sz="0" w:space="0" w:color="auto"/>
        <w:bottom w:val="none" w:sz="0" w:space="0" w:color="auto"/>
        <w:right w:val="none" w:sz="0" w:space="0" w:color="auto"/>
      </w:divBdr>
    </w:div>
    <w:div w:id="1880509815">
      <w:marLeft w:val="480"/>
      <w:marRight w:val="0"/>
      <w:marTop w:val="0"/>
      <w:marBottom w:val="0"/>
      <w:divBdr>
        <w:top w:val="none" w:sz="0" w:space="0" w:color="auto"/>
        <w:left w:val="none" w:sz="0" w:space="0" w:color="auto"/>
        <w:bottom w:val="none" w:sz="0" w:space="0" w:color="auto"/>
        <w:right w:val="none" w:sz="0" w:space="0" w:color="auto"/>
      </w:divBdr>
    </w:div>
    <w:div w:id="1880512918">
      <w:marLeft w:val="480"/>
      <w:marRight w:val="0"/>
      <w:marTop w:val="0"/>
      <w:marBottom w:val="0"/>
      <w:divBdr>
        <w:top w:val="none" w:sz="0" w:space="0" w:color="auto"/>
        <w:left w:val="none" w:sz="0" w:space="0" w:color="auto"/>
        <w:bottom w:val="none" w:sz="0" w:space="0" w:color="auto"/>
        <w:right w:val="none" w:sz="0" w:space="0" w:color="auto"/>
      </w:divBdr>
    </w:div>
    <w:div w:id="1887065197">
      <w:marLeft w:val="480"/>
      <w:marRight w:val="0"/>
      <w:marTop w:val="0"/>
      <w:marBottom w:val="0"/>
      <w:divBdr>
        <w:top w:val="none" w:sz="0" w:space="0" w:color="auto"/>
        <w:left w:val="none" w:sz="0" w:space="0" w:color="auto"/>
        <w:bottom w:val="none" w:sz="0" w:space="0" w:color="auto"/>
        <w:right w:val="none" w:sz="0" w:space="0" w:color="auto"/>
      </w:divBdr>
    </w:div>
    <w:div w:id="1891964419">
      <w:marLeft w:val="480"/>
      <w:marRight w:val="0"/>
      <w:marTop w:val="0"/>
      <w:marBottom w:val="0"/>
      <w:divBdr>
        <w:top w:val="none" w:sz="0" w:space="0" w:color="auto"/>
        <w:left w:val="none" w:sz="0" w:space="0" w:color="auto"/>
        <w:bottom w:val="none" w:sz="0" w:space="0" w:color="auto"/>
        <w:right w:val="none" w:sz="0" w:space="0" w:color="auto"/>
      </w:divBdr>
    </w:div>
    <w:div w:id="1893494452">
      <w:marLeft w:val="480"/>
      <w:marRight w:val="0"/>
      <w:marTop w:val="0"/>
      <w:marBottom w:val="0"/>
      <w:divBdr>
        <w:top w:val="none" w:sz="0" w:space="0" w:color="auto"/>
        <w:left w:val="none" w:sz="0" w:space="0" w:color="auto"/>
        <w:bottom w:val="none" w:sz="0" w:space="0" w:color="auto"/>
        <w:right w:val="none" w:sz="0" w:space="0" w:color="auto"/>
      </w:divBdr>
    </w:div>
    <w:div w:id="1899779061">
      <w:marLeft w:val="480"/>
      <w:marRight w:val="0"/>
      <w:marTop w:val="0"/>
      <w:marBottom w:val="0"/>
      <w:divBdr>
        <w:top w:val="none" w:sz="0" w:space="0" w:color="auto"/>
        <w:left w:val="none" w:sz="0" w:space="0" w:color="auto"/>
        <w:bottom w:val="none" w:sz="0" w:space="0" w:color="auto"/>
        <w:right w:val="none" w:sz="0" w:space="0" w:color="auto"/>
      </w:divBdr>
    </w:div>
    <w:div w:id="1902248943">
      <w:marLeft w:val="480"/>
      <w:marRight w:val="0"/>
      <w:marTop w:val="0"/>
      <w:marBottom w:val="0"/>
      <w:divBdr>
        <w:top w:val="none" w:sz="0" w:space="0" w:color="auto"/>
        <w:left w:val="none" w:sz="0" w:space="0" w:color="auto"/>
        <w:bottom w:val="none" w:sz="0" w:space="0" w:color="auto"/>
        <w:right w:val="none" w:sz="0" w:space="0" w:color="auto"/>
      </w:divBdr>
    </w:div>
    <w:div w:id="1903365506">
      <w:marLeft w:val="480"/>
      <w:marRight w:val="0"/>
      <w:marTop w:val="0"/>
      <w:marBottom w:val="0"/>
      <w:divBdr>
        <w:top w:val="none" w:sz="0" w:space="0" w:color="auto"/>
        <w:left w:val="none" w:sz="0" w:space="0" w:color="auto"/>
        <w:bottom w:val="none" w:sz="0" w:space="0" w:color="auto"/>
        <w:right w:val="none" w:sz="0" w:space="0" w:color="auto"/>
      </w:divBdr>
    </w:div>
    <w:div w:id="1908220089">
      <w:marLeft w:val="480"/>
      <w:marRight w:val="0"/>
      <w:marTop w:val="0"/>
      <w:marBottom w:val="0"/>
      <w:divBdr>
        <w:top w:val="none" w:sz="0" w:space="0" w:color="auto"/>
        <w:left w:val="none" w:sz="0" w:space="0" w:color="auto"/>
        <w:bottom w:val="none" w:sz="0" w:space="0" w:color="auto"/>
        <w:right w:val="none" w:sz="0" w:space="0" w:color="auto"/>
      </w:divBdr>
    </w:div>
    <w:div w:id="1910341168">
      <w:marLeft w:val="480"/>
      <w:marRight w:val="0"/>
      <w:marTop w:val="0"/>
      <w:marBottom w:val="0"/>
      <w:divBdr>
        <w:top w:val="none" w:sz="0" w:space="0" w:color="auto"/>
        <w:left w:val="none" w:sz="0" w:space="0" w:color="auto"/>
        <w:bottom w:val="none" w:sz="0" w:space="0" w:color="auto"/>
        <w:right w:val="none" w:sz="0" w:space="0" w:color="auto"/>
      </w:divBdr>
    </w:div>
    <w:div w:id="1911424118">
      <w:marLeft w:val="480"/>
      <w:marRight w:val="0"/>
      <w:marTop w:val="0"/>
      <w:marBottom w:val="0"/>
      <w:divBdr>
        <w:top w:val="none" w:sz="0" w:space="0" w:color="auto"/>
        <w:left w:val="none" w:sz="0" w:space="0" w:color="auto"/>
        <w:bottom w:val="none" w:sz="0" w:space="0" w:color="auto"/>
        <w:right w:val="none" w:sz="0" w:space="0" w:color="auto"/>
      </w:divBdr>
    </w:div>
    <w:div w:id="1912082478">
      <w:marLeft w:val="480"/>
      <w:marRight w:val="0"/>
      <w:marTop w:val="0"/>
      <w:marBottom w:val="0"/>
      <w:divBdr>
        <w:top w:val="none" w:sz="0" w:space="0" w:color="auto"/>
        <w:left w:val="none" w:sz="0" w:space="0" w:color="auto"/>
        <w:bottom w:val="none" w:sz="0" w:space="0" w:color="auto"/>
        <w:right w:val="none" w:sz="0" w:space="0" w:color="auto"/>
      </w:divBdr>
    </w:div>
    <w:div w:id="1913394350">
      <w:marLeft w:val="480"/>
      <w:marRight w:val="0"/>
      <w:marTop w:val="0"/>
      <w:marBottom w:val="0"/>
      <w:divBdr>
        <w:top w:val="none" w:sz="0" w:space="0" w:color="auto"/>
        <w:left w:val="none" w:sz="0" w:space="0" w:color="auto"/>
        <w:bottom w:val="none" w:sz="0" w:space="0" w:color="auto"/>
        <w:right w:val="none" w:sz="0" w:space="0" w:color="auto"/>
      </w:divBdr>
    </w:div>
    <w:div w:id="1914731851">
      <w:marLeft w:val="480"/>
      <w:marRight w:val="0"/>
      <w:marTop w:val="0"/>
      <w:marBottom w:val="0"/>
      <w:divBdr>
        <w:top w:val="none" w:sz="0" w:space="0" w:color="auto"/>
        <w:left w:val="none" w:sz="0" w:space="0" w:color="auto"/>
        <w:bottom w:val="none" w:sz="0" w:space="0" w:color="auto"/>
        <w:right w:val="none" w:sz="0" w:space="0" w:color="auto"/>
      </w:divBdr>
    </w:div>
    <w:div w:id="1916282245">
      <w:marLeft w:val="480"/>
      <w:marRight w:val="0"/>
      <w:marTop w:val="0"/>
      <w:marBottom w:val="0"/>
      <w:divBdr>
        <w:top w:val="none" w:sz="0" w:space="0" w:color="auto"/>
        <w:left w:val="none" w:sz="0" w:space="0" w:color="auto"/>
        <w:bottom w:val="none" w:sz="0" w:space="0" w:color="auto"/>
        <w:right w:val="none" w:sz="0" w:space="0" w:color="auto"/>
      </w:divBdr>
    </w:div>
    <w:div w:id="1919172161">
      <w:marLeft w:val="480"/>
      <w:marRight w:val="0"/>
      <w:marTop w:val="0"/>
      <w:marBottom w:val="0"/>
      <w:divBdr>
        <w:top w:val="none" w:sz="0" w:space="0" w:color="auto"/>
        <w:left w:val="none" w:sz="0" w:space="0" w:color="auto"/>
        <w:bottom w:val="none" w:sz="0" w:space="0" w:color="auto"/>
        <w:right w:val="none" w:sz="0" w:space="0" w:color="auto"/>
      </w:divBdr>
    </w:div>
    <w:div w:id="1921867056">
      <w:marLeft w:val="480"/>
      <w:marRight w:val="0"/>
      <w:marTop w:val="0"/>
      <w:marBottom w:val="0"/>
      <w:divBdr>
        <w:top w:val="none" w:sz="0" w:space="0" w:color="auto"/>
        <w:left w:val="none" w:sz="0" w:space="0" w:color="auto"/>
        <w:bottom w:val="none" w:sz="0" w:space="0" w:color="auto"/>
        <w:right w:val="none" w:sz="0" w:space="0" w:color="auto"/>
      </w:divBdr>
    </w:div>
    <w:div w:id="1922526225">
      <w:marLeft w:val="480"/>
      <w:marRight w:val="0"/>
      <w:marTop w:val="0"/>
      <w:marBottom w:val="0"/>
      <w:divBdr>
        <w:top w:val="none" w:sz="0" w:space="0" w:color="auto"/>
        <w:left w:val="none" w:sz="0" w:space="0" w:color="auto"/>
        <w:bottom w:val="none" w:sz="0" w:space="0" w:color="auto"/>
        <w:right w:val="none" w:sz="0" w:space="0" w:color="auto"/>
      </w:divBdr>
    </w:div>
    <w:div w:id="1925800342">
      <w:marLeft w:val="480"/>
      <w:marRight w:val="0"/>
      <w:marTop w:val="0"/>
      <w:marBottom w:val="0"/>
      <w:divBdr>
        <w:top w:val="none" w:sz="0" w:space="0" w:color="auto"/>
        <w:left w:val="none" w:sz="0" w:space="0" w:color="auto"/>
        <w:bottom w:val="none" w:sz="0" w:space="0" w:color="auto"/>
        <w:right w:val="none" w:sz="0" w:space="0" w:color="auto"/>
      </w:divBdr>
    </w:div>
    <w:div w:id="1925994732">
      <w:marLeft w:val="480"/>
      <w:marRight w:val="0"/>
      <w:marTop w:val="0"/>
      <w:marBottom w:val="0"/>
      <w:divBdr>
        <w:top w:val="none" w:sz="0" w:space="0" w:color="auto"/>
        <w:left w:val="none" w:sz="0" w:space="0" w:color="auto"/>
        <w:bottom w:val="none" w:sz="0" w:space="0" w:color="auto"/>
        <w:right w:val="none" w:sz="0" w:space="0" w:color="auto"/>
      </w:divBdr>
    </w:div>
    <w:div w:id="1927807396">
      <w:marLeft w:val="480"/>
      <w:marRight w:val="0"/>
      <w:marTop w:val="0"/>
      <w:marBottom w:val="0"/>
      <w:divBdr>
        <w:top w:val="none" w:sz="0" w:space="0" w:color="auto"/>
        <w:left w:val="none" w:sz="0" w:space="0" w:color="auto"/>
        <w:bottom w:val="none" w:sz="0" w:space="0" w:color="auto"/>
        <w:right w:val="none" w:sz="0" w:space="0" w:color="auto"/>
      </w:divBdr>
    </w:div>
    <w:div w:id="1928149385">
      <w:marLeft w:val="480"/>
      <w:marRight w:val="0"/>
      <w:marTop w:val="0"/>
      <w:marBottom w:val="0"/>
      <w:divBdr>
        <w:top w:val="none" w:sz="0" w:space="0" w:color="auto"/>
        <w:left w:val="none" w:sz="0" w:space="0" w:color="auto"/>
        <w:bottom w:val="none" w:sz="0" w:space="0" w:color="auto"/>
        <w:right w:val="none" w:sz="0" w:space="0" w:color="auto"/>
      </w:divBdr>
    </w:div>
    <w:div w:id="1930113147">
      <w:marLeft w:val="480"/>
      <w:marRight w:val="0"/>
      <w:marTop w:val="0"/>
      <w:marBottom w:val="0"/>
      <w:divBdr>
        <w:top w:val="none" w:sz="0" w:space="0" w:color="auto"/>
        <w:left w:val="none" w:sz="0" w:space="0" w:color="auto"/>
        <w:bottom w:val="none" w:sz="0" w:space="0" w:color="auto"/>
        <w:right w:val="none" w:sz="0" w:space="0" w:color="auto"/>
      </w:divBdr>
    </w:div>
    <w:div w:id="1935819443">
      <w:marLeft w:val="480"/>
      <w:marRight w:val="0"/>
      <w:marTop w:val="0"/>
      <w:marBottom w:val="0"/>
      <w:divBdr>
        <w:top w:val="none" w:sz="0" w:space="0" w:color="auto"/>
        <w:left w:val="none" w:sz="0" w:space="0" w:color="auto"/>
        <w:bottom w:val="none" w:sz="0" w:space="0" w:color="auto"/>
        <w:right w:val="none" w:sz="0" w:space="0" w:color="auto"/>
      </w:divBdr>
    </w:div>
    <w:div w:id="1936865452">
      <w:marLeft w:val="480"/>
      <w:marRight w:val="0"/>
      <w:marTop w:val="0"/>
      <w:marBottom w:val="0"/>
      <w:divBdr>
        <w:top w:val="none" w:sz="0" w:space="0" w:color="auto"/>
        <w:left w:val="none" w:sz="0" w:space="0" w:color="auto"/>
        <w:bottom w:val="none" w:sz="0" w:space="0" w:color="auto"/>
        <w:right w:val="none" w:sz="0" w:space="0" w:color="auto"/>
      </w:divBdr>
    </w:div>
    <w:div w:id="1938708176">
      <w:marLeft w:val="480"/>
      <w:marRight w:val="0"/>
      <w:marTop w:val="0"/>
      <w:marBottom w:val="0"/>
      <w:divBdr>
        <w:top w:val="none" w:sz="0" w:space="0" w:color="auto"/>
        <w:left w:val="none" w:sz="0" w:space="0" w:color="auto"/>
        <w:bottom w:val="none" w:sz="0" w:space="0" w:color="auto"/>
        <w:right w:val="none" w:sz="0" w:space="0" w:color="auto"/>
      </w:divBdr>
    </w:div>
    <w:div w:id="1939214767">
      <w:marLeft w:val="480"/>
      <w:marRight w:val="0"/>
      <w:marTop w:val="0"/>
      <w:marBottom w:val="0"/>
      <w:divBdr>
        <w:top w:val="none" w:sz="0" w:space="0" w:color="auto"/>
        <w:left w:val="none" w:sz="0" w:space="0" w:color="auto"/>
        <w:bottom w:val="none" w:sz="0" w:space="0" w:color="auto"/>
        <w:right w:val="none" w:sz="0" w:space="0" w:color="auto"/>
      </w:divBdr>
    </w:div>
    <w:div w:id="1939677268">
      <w:marLeft w:val="480"/>
      <w:marRight w:val="0"/>
      <w:marTop w:val="0"/>
      <w:marBottom w:val="0"/>
      <w:divBdr>
        <w:top w:val="none" w:sz="0" w:space="0" w:color="auto"/>
        <w:left w:val="none" w:sz="0" w:space="0" w:color="auto"/>
        <w:bottom w:val="none" w:sz="0" w:space="0" w:color="auto"/>
        <w:right w:val="none" w:sz="0" w:space="0" w:color="auto"/>
      </w:divBdr>
    </w:div>
    <w:div w:id="1941835732">
      <w:marLeft w:val="480"/>
      <w:marRight w:val="0"/>
      <w:marTop w:val="0"/>
      <w:marBottom w:val="0"/>
      <w:divBdr>
        <w:top w:val="none" w:sz="0" w:space="0" w:color="auto"/>
        <w:left w:val="none" w:sz="0" w:space="0" w:color="auto"/>
        <w:bottom w:val="none" w:sz="0" w:space="0" w:color="auto"/>
        <w:right w:val="none" w:sz="0" w:space="0" w:color="auto"/>
      </w:divBdr>
    </w:div>
    <w:div w:id="1943413536">
      <w:marLeft w:val="480"/>
      <w:marRight w:val="0"/>
      <w:marTop w:val="0"/>
      <w:marBottom w:val="0"/>
      <w:divBdr>
        <w:top w:val="none" w:sz="0" w:space="0" w:color="auto"/>
        <w:left w:val="none" w:sz="0" w:space="0" w:color="auto"/>
        <w:bottom w:val="none" w:sz="0" w:space="0" w:color="auto"/>
        <w:right w:val="none" w:sz="0" w:space="0" w:color="auto"/>
      </w:divBdr>
    </w:div>
    <w:div w:id="1944026776">
      <w:marLeft w:val="480"/>
      <w:marRight w:val="0"/>
      <w:marTop w:val="0"/>
      <w:marBottom w:val="0"/>
      <w:divBdr>
        <w:top w:val="none" w:sz="0" w:space="0" w:color="auto"/>
        <w:left w:val="none" w:sz="0" w:space="0" w:color="auto"/>
        <w:bottom w:val="none" w:sz="0" w:space="0" w:color="auto"/>
        <w:right w:val="none" w:sz="0" w:space="0" w:color="auto"/>
      </w:divBdr>
    </w:div>
    <w:div w:id="1945187956">
      <w:marLeft w:val="480"/>
      <w:marRight w:val="0"/>
      <w:marTop w:val="0"/>
      <w:marBottom w:val="0"/>
      <w:divBdr>
        <w:top w:val="none" w:sz="0" w:space="0" w:color="auto"/>
        <w:left w:val="none" w:sz="0" w:space="0" w:color="auto"/>
        <w:bottom w:val="none" w:sz="0" w:space="0" w:color="auto"/>
        <w:right w:val="none" w:sz="0" w:space="0" w:color="auto"/>
      </w:divBdr>
    </w:div>
    <w:div w:id="1945913896">
      <w:marLeft w:val="480"/>
      <w:marRight w:val="0"/>
      <w:marTop w:val="0"/>
      <w:marBottom w:val="0"/>
      <w:divBdr>
        <w:top w:val="none" w:sz="0" w:space="0" w:color="auto"/>
        <w:left w:val="none" w:sz="0" w:space="0" w:color="auto"/>
        <w:bottom w:val="none" w:sz="0" w:space="0" w:color="auto"/>
        <w:right w:val="none" w:sz="0" w:space="0" w:color="auto"/>
      </w:divBdr>
    </w:div>
    <w:div w:id="1947349488">
      <w:marLeft w:val="480"/>
      <w:marRight w:val="0"/>
      <w:marTop w:val="0"/>
      <w:marBottom w:val="0"/>
      <w:divBdr>
        <w:top w:val="none" w:sz="0" w:space="0" w:color="auto"/>
        <w:left w:val="none" w:sz="0" w:space="0" w:color="auto"/>
        <w:bottom w:val="none" w:sz="0" w:space="0" w:color="auto"/>
        <w:right w:val="none" w:sz="0" w:space="0" w:color="auto"/>
      </w:divBdr>
    </w:div>
    <w:div w:id="1947620013">
      <w:marLeft w:val="480"/>
      <w:marRight w:val="0"/>
      <w:marTop w:val="0"/>
      <w:marBottom w:val="0"/>
      <w:divBdr>
        <w:top w:val="none" w:sz="0" w:space="0" w:color="auto"/>
        <w:left w:val="none" w:sz="0" w:space="0" w:color="auto"/>
        <w:bottom w:val="none" w:sz="0" w:space="0" w:color="auto"/>
        <w:right w:val="none" w:sz="0" w:space="0" w:color="auto"/>
      </w:divBdr>
    </w:div>
    <w:div w:id="1948928925">
      <w:marLeft w:val="480"/>
      <w:marRight w:val="0"/>
      <w:marTop w:val="0"/>
      <w:marBottom w:val="0"/>
      <w:divBdr>
        <w:top w:val="none" w:sz="0" w:space="0" w:color="auto"/>
        <w:left w:val="none" w:sz="0" w:space="0" w:color="auto"/>
        <w:bottom w:val="none" w:sz="0" w:space="0" w:color="auto"/>
        <w:right w:val="none" w:sz="0" w:space="0" w:color="auto"/>
      </w:divBdr>
    </w:div>
    <w:div w:id="1949503783">
      <w:marLeft w:val="480"/>
      <w:marRight w:val="0"/>
      <w:marTop w:val="0"/>
      <w:marBottom w:val="0"/>
      <w:divBdr>
        <w:top w:val="none" w:sz="0" w:space="0" w:color="auto"/>
        <w:left w:val="none" w:sz="0" w:space="0" w:color="auto"/>
        <w:bottom w:val="none" w:sz="0" w:space="0" w:color="auto"/>
        <w:right w:val="none" w:sz="0" w:space="0" w:color="auto"/>
      </w:divBdr>
    </w:div>
    <w:div w:id="1949658051">
      <w:marLeft w:val="480"/>
      <w:marRight w:val="0"/>
      <w:marTop w:val="0"/>
      <w:marBottom w:val="0"/>
      <w:divBdr>
        <w:top w:val="none" w:sz="0" w:space="0" w:color="auto"/>
        <w:left w:val="none" w:sz="0" w:space="0" w:color="auto"/>
        <w:bottom w:val="none" w:sz="0" w:space="0" w:color="auto"/>
        <w:right w:val="none" w:sz="0" w:space="0" w:color="auto"/>
      </w:divBdr>
    </w:div>
    <w:div w:id="1949852422">
      <w:marLeft w:val="480"/>
      <w:marRight w:val="0"/>
      <w:marTop w:val="0"/>
      <w:marBottom w:val="0"/>
      <w:divBdr>
        <w:top w:val="none" w:sz="0" w:space="0" w:color="auto"/>
        <w:left w:val="none" w:sz="0" w:space="0" w:color="auto"/>
        <w:bottom w:val="none" w:sz="0" w:space="0" w:color="auto"/>
        <w:right w:val="none" w:sz="0" w:space="0" w:color="auto"/>
      </w:divBdr>
    </w:div>
    <w:div w:id="1950308344">
      <w:marLeft w:val="480"/>
      <w:marRight w:val="0"/>
      <w:marTop w:val="0"/>
      <w:marBottom w:val="0"/>
      <w:divBdr>
        <w:top w:val="none" w:sz="0" w:space="0" w:color="auto"/>
        <w:left w:val="none" w:sz="0" w:space="0" w:color="auto"/>
        <w:bottom w:val="none" w:sz="0" w:space="0" w:color="auto"/>
        <w:right w:val="none" w:sz="0" w:space="0" w:color="auto"/>
      </w:divBdr>
    </w:div>
    <w:div w:id="1951356662">
      <w:marLeft w:val="480"/>
      <w:marRight w:val="0"/>
      <w:marTop w:val="0"/>
      <w:marBottom w:val="0"/>
      <w:divBdr>
        <w:top w:val="none" w:sz="0" w:space="0" w:color="auto"/>
        <w:left w:val="none" w:sz="0" w:space="0" w:color="auto"/>
        <w:bottom w:val="none" w:sz="0" w:space="0" w:color="auto"/>
        <w:right w:val="none" w:sz="0" w:space="0" w:color="auto"/>
      </w:divBdr>
    </w:div>
    <w:div w:id="1951427721">
      <w:marLeft w:val="480"/>
      <w:marRight w:val="0"/>
      <w:marTop w:val="0"/>
      <w:marBottom w:val="0"/>
      <w:divBdr>
        <w:top w:val="none" w:sz="0" w:space="0" w:color="auto"/>
        <w:left w:val="none" w:sz="0" w:space="0" w:color="auto"/>
        <w:bottom w:val="none" w:sz="0" w:space="0" w:color="auto"/>
        <w:right w:val="none" w:sz="0" w:space="0" w:color="auto"/>
      </w:divBdr>
    </w:div>
    <w:div w:id="1952781117">
      <w:marLeft w:val="480"/>
      <w:marRight w:val="0"/>
      <w:marTop w:val="0"/>
      <w:marBottom w:val="0"/>
      <w:divBdr>
        <w:top w:val="none" w:sz="0" w:space="0" w:color="auto"/>
        <w:left w:val="none" w:sz="0" w:space="0" w:color="auto"/>
        <w:bottom w:val="none" w:sz="0" w:space="0" w:color="auto"/>
        <w:right w:val="none" w:sz="0" w:space="0" w:color="auto"/>
      </w:divBdr>
    </w:div>
    <w:div w:id="1953895674">
      <w:marLeft w:val="480"/>
      <w:marRight w:val="0"/>
      <w:marTop w:val="0"/>
      <w:marBottom w:val="0"/>
      <w:divBdr>
        <w:top w:val="none" w:sz="0" w:space="0" w:color="auto"/>
        <w:left w:val="none" w:sz="0" w:space="0" w:color="auto"/>
        <w:bottom w:val="none" w:sz="0" w:space="0" w:color="auto"/>
        <w:right w:val="none" w:sz="0" w:space="0" w:color="auto"/>
      </w:divBdr>
    </w:div>
    <w:div w:id="1954708989">
      <w:marLeft w:val="480"/>
      <w:marRight w:val="0"/>
      <w:marTop w:val="0"/>
      <w:marBottom w:val="0"/>
      <w:divBdr>
        <w:top w:val="none" w:sz="0" w:space="0" w:color="auto"/>
        <w:left w:val="none" w:sz="0" w:space="0" w:color="auto"/>
        <w:bottom w:val="none" w:sz="0" w:space="0" w:color="auto"/>
        <w:right w:val="none" w:sz="0" w:space="0" w:color="auto"/>
      </w:divBdr>
    </w:div>
    <w:div w:id="1954748766">
      <w:marLeft w:val="480"/>
      <w:marRight w:val="0"/>
      <w:marTop w:val="0"/>
      <w:marBottom w:val="0"/>
      <w:divBdr>
        <w:top w:val="none" w:sz="0" w:space="0" w:color="auto"/>
        <w:left w:val="none" w:sz="0" w:space="0" w:color="auto"/>
        <w:bottom w:val="none" w:sz="0" w:space="0" w:color="auto"/>
        <w:right w:val="none" w:sz="0" w:space="0" w:color="auto"/>
      </w:divBdr>
    </w:div>
    <w:div w:id="1957322446">
      <w:marLeft w:val="480"/>
      <w:marRight w:val="0"/>
      <w:marTop w:val="0"/>
      <w:marBottom w:val="0"/>
      <w:divBdr>
        <w:top w:val="none" w:sz="0" w:space="0" w:color="auto"/>
        <w:left w:val="none" w:sz="0" w:space="0" w:color="auto"/>
        <w:bottom w:val="none" w:sz="0" w:space="0" w:color="auto"/>
        <w:right w:val="none" w:sz="0" w:space="0" w:color="auto"/>
      </w:divBdr>
    </w:div>
    <w:div w:id="1958675276">
      <w:marLeft w:val="480"/>
      <w:marRight w:val="0"/>
      <w:marTop w:val="0"/>
      <w:marBottom w:val="0"/>
      <w:divBdr>
        <w:top w:val="none" w:sz="0" w:space="0" w:color="auto"/>
        <w:left w:val="none" w:sz="0" w:space="0" w:color="auto"/>
        <w:bottom w:val="none" w:sz="0" w:space="0" w:color="auto"/>
        <w:right w:val="none" w:sz="0" w:space="0" w:color="auto"/>
      </w:divBdr>
    </w:div>
    <w:div w:id="1958947765">
      <w:marLeft w:val="480"/>
      <w:marRight w:val="0"/>
      <w:marTop w:val="0"/>
      <w:marBottom w:val="0"/>
      <w:divBdr>
        <w:top w:val="none" w:sz="0" w:space="0" w:color="auto"/>
        <w:left w:val="none" w:sz="0" w:space="0" w:color="auto"/>
        <w:bottom w:val="none" w:sz="0" w:space="0" w:color="auto"/>
        <w:right w:val="none" w:sz="0" w:space="0" w:color="auto"/>
      </w:divBdr>
    </w:div>
    <w:div w:id="1959526438">
      <w:marLeft w:val="480"/>
      <w:marRight w:val="0"/>
      <w:marTop w:val="0"/>
      <w:marBottom w:val="0"/>
      <w:divBdr>
        <w:top w:val="none" w:sz="0" w:space="0" w:color="auto"/>
        <w:left w:val="none" w:sz="0" w:space="0" w:color="auto"/>
        <w:bottom w:val="none" w:sz="0" w:space="0" w:color="auto"/>
        <w:right w:val="none" w:sz="0" w:space="0" w:color="auto"/>
      </w:divBdr>
    </w:div>
    <w:div w:id="1962418037">
      <w:marLeft w:val="480"/>
      <w:marRight w:val="0"/>
      <w:marTop w:val="0"/>
      <w:marBottom w:val="0"/>
      <w:divBdr>
        <w:top w:val="none" w:sz="0" w:space="0" w:color="auto"/>
        <w:left w:val="none" w:sz="0" w:space="0" w:color="auto"/>
        <w:bottom w:val="none" w:sz="0" w:space="0" w:color="auto"/>
        <w:right w:val="none" w:sz="0" w:space="0" w:color="auto"/>
      </w:divBdr>
    </w:div>
    <w:div w:id="1962567335">
      <w:marLeft w:val="480"/>
      <w:marRight w:val="0"/>
      <w:marTop w:val="0"/>
      <w:marBottom w:val="0"/>
      <w:divBdr>
        <w:top w:val="none" w:sz="0" w:space="0" w:color="auto"/>
        <w:left w:val="none" w:sz="0" w:space="0" w:color="auto"/>
        <w:bottom w:val="none" w:sz="0" w:space="0" w:color="auto"/>
        <w:right w:val="none" w:sz="0" w:space="0" w:color="auto"/>
      </w:divBdr>
    </w:div>
    <w:div w:id="1962958204">
      <w:marLeft w:val="480"/>
      <w:marRight w:val="0"/>
      <w:marTop w:val="0"/>
      <w:marBottom w:val="0"/>
      <w:divBdr>
        <w:top w:val="none" w:sz="0" w:space="0" w:color="auto"/>
        <w:left w:val="none" w:sz="0" w:space="0" w:color="auto"/>
        <w:bottom w:val="none" w:sz="0" w:space="0" w:color="auto"/>
        <w:right w:val="none" w:sz="0" w:space="0" w:color="auto"/>
      </w:divBdr>
    </w:div>
    <w:div w:id="1963031044">
      <w:marLeft w:val="480"/>
      <w:marRight w:val="0"/>
      <w:marTop w:val="0"/>
      <w:marBottom w:val="0"/>
      <w:divBdr>
        <w:top w:val="none" w:sz="0" w:space="0" w:color="auto"/>
        <w:left w:val="none" w:sz="0" w:space="0" w:color="auto"/>
        <w:bottom w:val="none" w:sz="0" w:space="0" w:color="auto"/>
        <w:right w:val="none" w:sz="0" w:space="0" w:color="auto"/>
      </w:divBdr>
    </w:div>
    <w:div w:id="1964455934">
      <w:marLeft w:val="480"/>
      <w:marRight w:val="0"/>
      <w:marTop w:val="0"/>
      <w:marBottom w:val="0"/>
      <w:divBdr>
        <w:top w:val="none" w:sz="0" w:space="0" w:color="auto"/>
        <w:left w:val="none" w:sz="0" w:space="0" w:color="auto"/>
        <w:bottom w:val="none" w:sz="0" w:space="0" w:color="auto"/>
        <w:right w:val="none" w:sz="0" w:space="0" w:color="auto"/>
      </w:divBdr>
    </w:div>
    <w:div w:id="1965501207">
      <w:marLeft w:val="480"/>
      <w:marRight w:val="0"/>
      <w:marTop w:val="0"/>
      <w:marBottom w:val="0"/>
      <w:divBdr>
        <w:top w:val="none" w:sz="0" w:space="0" w:color="auto"/>
        <w:left w:val="none" w:sz="0" w:space="0" w:color="auto"/>
        <w:bottom w:val="none" w:sz="0" w:space="0" w:color="auto"/>
        <w:right w:val="none" w:sz="0" w:space="0" w:color="auto"/>
      </w:divBdr>
    </w:div>
    <w:div w:id="1965696433">
      <w:marLeft w:val="480"/>
      <w:marRight w:val="0"/>
      <w:marTop w:val="0"/>
      <w:marBottom w:val="0"/>
      <w:divBdr>
        <w:top w:val="none" w:sz="0" w:space="0" w:color="auto"/>
        <w:left w:val="none" w:sz="0" w:space="0" w:color="auto"/>
        <w:bottom w:val="none" w:sz="0" w:space="0" w:color="auto"/>
        <w:right w:val="none" w:sz="0" w:space="0" w:color="auto"/>
      </w:divBdr>
    </w:div>
    <w:div w:id="1968973864">
      <w:marLeft w:val="480"/>
      <w:marRight w:val="0"/>
      <w:marTop w:val="0"/>
      <w:marBottom w:val="0"/>
      <w:divBdr>
        <w:top w:val="none" w:sz="0" w:space="0" w:color="auto"/>
        <w:left w:val="none" w:sz="0" w:space="0" w:color="auto"/>
        <w:bottom w:val="none" w:sz="0" w:space="0" w:color="auto"/>
        <w:right w:val="none" w:sz="0" w:space="0" w:color="auto"/>
      </w:divBdr>
    </w:div>
    <w:div w:id="1969160228">
      <w:marLeft w:val="480"/>
      <w:marRight w:val="0"/>
      <w:marTop w:val="0"/>
      <w:marBottom w:val="0"/>
      <w:divBdr>
        <w:top w:val="none" w:sz="0" w:space="0" w:color="auto"/>
        <w:left w:val="none" w:sz="0" w:space="0" w:color="auto"/>
        <w:bottom w:val="none" w:sz="0" w:space="0" w:color="auto"/>
        <w:right w:val="none" w:sz="0" w:space="0" w:color="auto"/>
      </w:divBdr>
    </w:div>
    <w:div w:id="1970233782">
      <w:marLeft w:val="480"/>
      <w:marRight w:val="0"/>
      <w:marTop w:val="0"/>
      <w:marBottom w:val="0"/>
      <w:divBdr>
        <w:top w:val="none" w:sz="0" w:space="0" w:color="auto"/>
        <w:left w:val="none" w:sz="0" w:space="0" w:color="auto"/>
        <w:bottom w:val="none" w:sz="0" w:space="0" w:color="auto"/>
        <w:right w:val="none" w:sz="0" w:space="0" w:color="auto"/>
      </w:divBdr>
    </w:div>
    <w:div w:id="1973124974">
      <w:marLeft w:val="480"/>
      <w:marRight w:val="0"/>
      <w:marTop w:val="0"/>
      <w:marBottom w:val="0"/>
      <w:divBdr>
        <w:top w:val="none" w:sz="0" w:space="0" w:color="auto"/>
        <w:left w:val="none" w:sz="0" w:space="0" w:color="auto"/>
        <w:bottom w:val="none" w:sz="0" w:space="0" w:color="auto"/>
        <w:right w:val="none" w:sz="0" w:space="0" w:color="auto"/>
      </w:divBdr>
    </w:div>
    <w:div w:id="1975912517">
      <w:marLeft w:val="480"/>
      <w:marRight w:val="0"/>
      <w:marTop w:val="0"/>
      <w:marBottom w:val="0"/>
      <w:divBdr>
        <w:top w:val="none" w:sz="0" w:space="0" w:color="auto"/>
        <w:left w:val="none" w:sz="0" w:space="0" w:color="auto"/>
        <w:bottom w:val="none" w:sz="0" w:space="0" w:color="auto"/>
        <w:right w:val="none" w:sz="0" w:space="0" w:color="auto"/>
      </w:divBdr>
    </w:div>
    <w:div w:id="1976138312">
      <w:marLeft w:val="480"/>
      <w:marRight w:val="0"/>
      <w:marTop w:val="0"/>
      <w:marBottom w:val="0"/>
      <w:divBdr>
        <w:top w:val="none" w:sz="0" w:space="0" w:color="auto"/>
        <w:left w:val="none" w:sz="0" w:space="0" w:color="auto"/>
        <w:bottom w:val="none" w:sz="0" w:space="0" w:color="auto"/>
        <w:right w:val="none" w:sz="0" w:space="0" w:color="auto"/>
      </w:divBdr>
    </w:div>
    <w:div w:id="1976448481">
      <w:marLeft w:val="480"/>
      <w:marRight w:val="0"/>
      <w:marTop w:val="0"/>
      <w:marBottom w:val="0"/>
      <w:divBdr>
        <w:top w:val="none" w:sz="0" w:space="0" w:color="auto"/>
        <w:left w:val="none" w:sz="0" w:space="0" w:color="auto"/>
        <w:bottom w:val="none" w:sz="0" w:space="0" w:color="auto"/>
        <w:right w:val="none" w:sz="0" w:space="0" w:color="auto"/>
      </w:divBdr>
    </w:div>
    <w:div w:id="1977224534">
      <w:marLeft w:val="480"/>
      <w:marRight w:val="0"/>
      <w:marTop w:val="0"/>
      <w:marBottom w:val="0"/>
      <w:divBdr>
        <w:top w:val="none" w:sz="0" w:space="0" w:color="auto"/>
        <w:left w:val="none" w:sz="0" w:space="0" w:color="auto"/>
        <w:bottom w:val="none" w:sz="0" w:space="0" w:color="auto"/>
        <w:right w:val="none" w:sz="0" w:space="0" w:color="auto"/>
      </w:divBdr>
    </w:div>
    <w:div w:id="1979147589">
      <w:marLeft w:val="480"/>
      <w:marRight w:val="0"/>
      <w:marTop w:val="0"/>
      <w:marBottom w:val="0"/>
      <w:divBdr>
        <w:top w:val="none" w:sz="0" w:space="0" w:color="auto"/>
        <w:left w:val="none" w:sz="0" w:space="0" w:color="auto"/>
        <w:bottom w:val="none" w:sz="0" w:space="0" w:color="auto"/>
        <w:right w:val="none" w:sz="0" w:space="0" w:color="auto"/>
      </w:divBdr>
    </w:div>
    <w:div w:id="1979607240">
      <w:marLeft w:val="480"/>
      <w:marRight w:val="0"/>
      <w:marTop w:val="0"/>
      <w:marBottom w:val="0"/>
      <w:divBdr>
        <w:top w:val="none" w:sz="0" w:space="0" w:color="auto"/>
        <w:left w:val="none" w:sz="0" w:space="0" w:color="auto"/>
        <w:bottom w:val="none" w:sz="0" w:space="0" w:color="auto"/>
        <w:right w:val="none" w:sz="0" w:space="0" w:color="auto"/>
      </w:divBdr>
    </w:div>
    <w:div w:id="1980113197">
      <w:marLeft w:val="480"/>
      <w:marRight w:val="0"/>
      <w:marTop w:val="0"/>
      <w:marBottom w:val="0"/>
      <w:divBdr>
        <w:top w:val="none" w:sz="0" w:space="0" w:color="auto"/>
        <w:left w:val="none" w:sz="0" w:space="0" w:color="auto"/>
        <w:bottom w:val="none" w:sz="0" w:space="0" w:color="auto"/>
        <w:right w:val="none" w:sz="0" w:space="0" w:color="auto"/>
      </w:divBdr>
    </w:div>
    <w:div w:id="1982271329">
      <w:marLeft w:val="480"/>
      <w:marRight w:val="0"/>
      <w:marTop w:val="0"/>
      <w:marBottom w:val="0"/>
      <w:divBdr>
        <w:top w:val="none" w:sz="0" w:space="0" w:color="auto"/>
        <w:left w:val="none" w:sz="0" w:space="0" w:color="auto"/>
        <w:bottom w:val="none" w:sz="0" w:space="0" w:color="auto"/>
        <w:right w:val="none" w:sz="0" w:space="0" w:color="auto"/>
      </w:divBdr>
    </w:div>
    <w:div w:id="1988314720">
      <w:marLeft w:val="480"/>
      <w:marRight w:val="0"/>
      <w:marTop w:val="0"/>
      <w:marBottom w:val="0"/>
      <w:divBdr>
        <w:top w:val="none" w:sz="0" w:space="0" w:color="auto"/>
        <w:left w:val="none" w:sz="0" w:space="0" w:color="auto"/>
        <w:bottom w:val="none" w:sz="0" w:space="0" w:color="auto"/>
        <w:right w:val="none" w:sz="0" w:space="0" w:color="auto"/>
      </w:divBdr>
    </w:div>
    <w:div w:id="1993605828">
      <w:marLeft w:val="480"/>
      <w:marRight w:val="0"/>
      <w:marTop w:val="0"/>
      <w:marBottom w:val="0"/>
      <w:divBdr>
        <w:top w:val="none" w:sz="0" w:space="0" w:color="auto"/>
        <w:left w:val="none" w:sz="0" w:space="0" w:color="auto"/>
        <w:bottom w:val="none" w:sz="0" w:space="0" w:color="auto"/>
        <w:right w:val="none" w:sz="0" w:space="0" w:color="auto"/>
      </w:divBdr>
    </w:div>
    <w:div w:id="1994793565">
      <w:marLeft w:val="480"/>
      <w:marRight w:val="0"/>
      <w:marTop w:val="0"/>
      <w:marBottom w:val="0"/>
      <w:divBdr>
        <w:top w:val="none" w:sz="0" w:space="0" w:color="auto"/>
        <w:left w:val="none" w:sz="0" w:space="0" w:color="auto"/>
        <w:bottom w:val="none" w:sz="0" w:space="0" w:color="auto"/>
        <w:right w:val="none" w:sz="0" w:space="0" w:color="auto"/>
      </w:divBdr>
    </w:div>
    <w:div w:id="1995134538">
      <w:marLeft w:val="480"/>
      <w:marRight w:val="0"/>
      <w:marTop w:val="0"/>
      <w:marBottom w:val="0"/>
      <w:divBdr>
        <w:top w:val="none" w:sz="0" w:space="0" w:color="auto"/>
        <w:left w:val="none" w:sz="0" w:space="0" w:color="auto"/>
        <w:bottom w:val="none" w:sz="0" w:space="0" w:color="auto"/>
        <w:right w:val="none" w:sz="0" w:space="0" w:color="auto"/>
      </w:divBdr>
    </w:div>
    <w:div w:id="1995716135">
      <w:marLeft w:val="480"/>
      <w:marRight w:val="0"/>
      <w:marTop w:val="0"/>
      <w:marBottom w:val="0"/>
      <w:divBdr>
        <w:top w:val="none" w:sz="0" w:space="0" w:color="auto"/>
        <w:left w:val="none" w:sz="0" w:space="0" w:color="auto"/>
        <w:bottom w:val="none" w:sz="0" w:space="0" w:color="auto"/>
        <w:right w:val="none" w:sz="0" w:space="0" w:color="auto"/>
      </w:divBdr>
    </w:div>
    <w:div w:id="1998220848">
      <w:marLeft w:val="480"/>
      <w:marRight w:val="0"/>
      <w:marTop w:val="0"/>
      <w:marBottom w:val="0"/>
      <w:divBdr>
        <w:top w:val="none" w:sz="0" w:space="0" w:color="auto"/>
        <w:left w:val="none" w:sz="0" w:space="0" w:color="auto"/>
        <w:bottom w:val="none" w:sz="0" w:space="0" w:color="auto"/>
        <w:right w:val="none" w:sz="0" w:space="0" w:color="auto"/>
      </w:divBdr>
    </w:div>
    <w:div w:id="1999770227">
      <w:marLeft w:val="480"/>
      <w:marRight w:val="0"/>
      <w:marTop w:val="0"/>
      <w:marBottom w:val="0"/>
      <w:divBdr>
        <w:top w:val="none" w:sz="0" w:space="0" w:color="auto"/>
        <w:left w:val="none" w:sz="0" w:space="0" w:color="auto"/>
        <w:bottom w:val="none" w:sz="0" w:space="0" w:color="auto"/>
        <w:right w:val="none" w:sz="0" w:space="0" w:color="auto"/>
      </w:divBdr>
    </w:div>
    <w:div w:id="2000229015">
      <w:marLeft w:val="480"/>
      <w:marRight w:val="0"/>
      <w:marTop w:val="0"/>
      <w:marBottom w:val="0"/>
      <w:divBdr>
        <w:top w:val="none" w:sz="0" w:space="0" w:color="auto"/>
        <w:left w:val="none" w:sz="0" w:space="0" w:color="auto"/>
        <w:bottom w:val="none" w:sz="0" w:space="0" w:color="auto"/>
        <w:right w:val="none" w:sz="0" w:space="0" w:color="auto"/>
      </w:divBdr>
    </w:div>
    <w:div w:id="2000233190">
      <w:marLeft w:val="480"/>
      <w:marRight w:val="0"/>
      <w:marTop w:val="0"/>
      <w:marBottom w:val="0"/>
      <w:divBdr>
        <w:top w:val="none" w:sz="0" w:space="0" w:color="auto"/>
        <w:left w:val="none" w:sz="0" w:space="0" w:color="auto"/>
        <w:bottom w:val="none" w:sz="0" w:space="0" w:color="auto"/>
        <w:right w:val="none" w:sz="0" w:space="0" w:color="auto"/>
      </w:divBdr>
    </w:div>
    <w:div w:id="2000961457">
      <w:marLeft w:val="480"/>
      <w:marRight w:val="0"/>
      <w:marTop w:val="0"/>
      <w:marBottom w:val="0"/>
      <w:divBdr>
        <w:top w:val="none" w:sz="0" w:space="0" w:color="auto"/>
        <w:left w:val="none" w:sz="0" w:space="0" w:color="auto"/>
        <w:bottom w:val="none" w:sz="0" w:space="0" w:color="auto"/>
        <w:right w:val="none" w:sz="0" w:space="0" w:color="auto"/>
      </w:divBdr>
    </w:div>
    <w:div w:id="2004699609">
      <w:marLeft w:val="480"/>
      <w:marRight w:val="0"/>
      <w:marTop w:val="0"/>
      <w:marBottom w:val="0"/>
      <w:divBdr>
        <w:top w:val="none" w:sz="0" w:space="0" w:color="auto"/>
        <w:left w:val="none" w:sz="0" w:space="0" w:color="auto"/>
        <w:bottom w:val="none" w:sz="0" w:space="0" w:color="auto"/>
        <w:right w:val="none" w:sz="0" w:space="0" w:color="auto"/>
      </w:divBdr>
    </w:div>
    <w:div w:id="2005470502">
      <w:marLeft w:val="480"/>
      <w:marRight w:val="0"/>
      <w:marTop w:val="0"/>
      <w:marBottom w:val="0"/>
      <w:divBdr>
        <w:top w:val="none" w:sz="0" w:space="0" w:color="auto"/>
        <w:left w:val="none" w:sz="0" w:space="0" w:color="auto"/>
        <w:bottom w:val="none" w:sz="0" w:space="0" w:color="auto"/>
        <w:right w:val="none" w:sz="0" w:space="0" w:color="auto"/>
      </w:divBdr>
    </w:div>
    <w:div w:id="2008820580">
      <w:marLeft w:val="480"/>
      <w:marRight w:val="0"/>
      <w:marTop w:val="0"/>
      <w:marBottom w:val="0"/>
      <w:divBdr>
        <w:top w:val="none" w:sz="0" w:space="0" w:color="auto"/>
        <w:left w:val="none" w:sz="0" w:space="0" w:color="auto"/>
        <w:bottom w:val="none" w:sz="0" w:space="0" w:color="auto"/>
        <w:right w:val="none" w:sz="0" w:space="0" w:color="auto"/>
      </w:divBdr>
    </w:div>
    <w:div w:id="2011056790">
      <w:marLeft w:val="480"/>
      <w:marRight w:val="0"/>
      <w:marTop w:val="0"/>
      <w:marBottom w:val="0"/>
      <w:divBdr>
        <w:top w:val="none" w:sz="0" w:space="0" w:color="auto"/>
        <w:left w:val="none" w:sz="0" w:space="0" w:color="auto"/>
        <w:bottom w:val="none" w:sz="0" w:space="0" w:color="auto"/>
        <w:right w:val="none" w:sz="0" w:space="0" w:color="auto"/>
      </w:divBdr>
    </w:div>
    <w:div w:id="2011443547">
      <w:marLeft w:val="480"/>
      <w:marRight w:val="0"/>
      <w:marTop w:val="0"/>
      <w:marBottom w:val="0"/>
      <w:divBdr>
        <w:top w:val="none" w:sz="0" w:space="0" w:color="auto"/>
        <w:left w:val="none" w:sz="0" w:space="0" w:color="auto"/>
        <w:bottom w:val="none" w:sz="0" w:space="0" w:color="auto"/>
        <w:right w:val="none" w:sz="0" w:space="0" w:color="auto"/>
      </w:divBdr>
    </w:div>
    <w:div w:id="2012680912">
      <w:marLeft w:val="480"/>
      <w:marRight w:val="0"/>
      <w:marTop w:val="0"/>
      <w:marBottom w:val="0"/>
      <w:divBdr>
        <w:top w:val="none" w:sz="0" w:space="0" w:color="auto"/>
        <w:left w:val="none" w:sz="0" w:space="0" w:color="auto"/>
        <w:bottom w:val="none" w:sz="0" w:space="0" w:color="auto"/>
        <w:right w:val="none" w:sz="0" w:space="0" w:color="auto"/>
      </w:divBdr>
    </w:div>
    <w:div w:id="2016298766">
      <w:marLeft w:val="480"/>
      <w:marRight w:val="0"/>
      <w:marTop w:val="0"/>
      <w:marBottom w:val="0"/>
      <w:divBdr>
        <w:top w:val="none" w:sz="0" w:space="0" w:color="auto"/>
        <w:left w:val="none" w:sz="0" w:space="0" w:color="auto"/>
        <w:bottom w:val="none" w:sz="0" w:space="0" w:color="auto"/>
        <w:right w:val="none" w:sz="0" w:space="0" w:color="auto"/>
      </w:divBdr>
    </w:div>
    <w:div w:id="2016303184">
      <w:marLeft w:val="480"/>
      <w:marRight w:val="0"/>
      <w:marTop w:val="0"/>
      <w:marBottom w:val="0"/>
      <w:divBdr>
        <w:top w:val="none" w:sz="0" w:space="0" w:color="auto"/>
        <w:left w:val="none" w:sz="0" w:space="0" w:color="auto"/>
        <w:bottom w:val="none" w:sz="0" w:space="0" w:color="auto"/>
        <w:right w:val="none" w:sz="0" w:space="0" w:color="auto"/>
      </w:divBdr>
    </w:div>
    <w:div w:id="2016572566">
      <w:marLeft w:val="480"/>
      <w:marRight w:val="0"/>
      <w:marTop w:val="0"/>
      <w:marBottom w:val="0"/>
      <w:divBdr>
        <w:top w:val="none" w:sz="0" w:space="0" w:color="auto"/>
        <w:left w:val="none" w:sz="0" w:space="0" w:color="auto"/>
        <w:bottom w:val="none" w:sz="0" w:space="0" w:color="auto"/>
        <w:right w:val="none" w:sz="0" w:space="0" w:color="auto"/>
      </w:divBdr>
    </w:div>
    <w:div w:id="2018846442">
      <w:marLeft w:val="480"/>
      <w:marRight w:val="0"/>
      <w:marTop w:val="0"/>
      <w:marBottom w:val="0"/>
      <w:divBdr>
        <w:top w:val="none" w:sz="0" w:space="0" w:color="auto"/>
        <w:left w:val="none" w:sz="0" w:space="0" w:color="auto"/>
        <w:bottom w:val="none" w:sz="0" w:space="0" w:color="auto"/>
        <w:right w:val="none" w:sz="0" w:space="0" w:color="auto"/>
      </w:divBdr>
    </w:div>
    <w:div w:id="2020815919">
      <w:marLeft w:val="480"/>
      <w:marRight w:val="0"/>
      <w:marTop w:val="0"/>
      <w:marBottom w:val="0"/>
      <w:divBdr>
        <w:top w:val="none" w:sz="0" w:space="0" w:color="auto"/>
        <w:left w:val="none" w:sz="0" w:space="0" w:color="auto"/>
        <w:bottom w:val="none" w:sz="0" w:space="0" w:color="auto"/>
        <w:right w:val="none" w:sz="0" w:space="0" w:color="auto"/>
      </w:divBdr>
    </w:div>
    <w:div w:id="2021589243">
      <w:marLeft w:val="480"/>
      <w:marRight w:val="0"/>
      <w:marTop w:val="0"/>
      <w:marBottom w:val="0"/>
      <w:divBdr>
        <w:top w:val="none" w:sz="0" w:space="0" w:color="auto"/>
        <w:left w:val="none" w:sz="0" w:space="0" w:color="auto"/>
        <w:bottom w:val="none" w:sz="0" w:space="0" w:color="auto"/>
        <w:right w:val="none" w:sz="0" w:space="0" w:color="auto"/>
      </w:divBdr>
    </w:div>
    <w:div w:id="2021661138">
      <w:marLeft w:val="480"/>
      <w:marRight w:val="0"/>
      <w:marTop w:val="0"/>
      <w:marBottom w:val="0"/>
      <w:divBdr>
        <w:top w:val="none" w:sz="0" w:space="0" w:color="auto"/>
        <w:left w:val="none" w:sz="0" w:space="0" w:color="auto"/>
        <w:bottom w:val="none" w:sz="0" w:space="0" w:color="auto"/>
        <w:right w:val="none" w:sz="0" w:space="0" w:color="auto"/>
      </w:divBdr>
    </w:div>
    <w:div w:id="2025668997">
      <w:marLeft w:val="480"/>
      <w:marRight w:val="0"/>
      <w:marTop w:val="0"/>
      <w:marBottom w:val="0"/>
      <w:divBdr>
        <w:top w:val="none" w:sz="0" w:space="0" w:color="auto"/>
        <w:left w:val="none" w:sz="0" w:space="0" w:color="auto"/>
        <w:bottom w:val="none" w:sz="0" w:space="0" w:color="auto"/>
        <w:right w:val="none" w:sz="0" w:space="0" w:color="auto"/>
      </w:divBdr>
    </w:div>
    <w:div w:id="2027822402">
      <w:marLeft w:val="480"/>
      <w:marRight w:val="0"/>
      <w:marTop w:val="0"/>
      <w:marBottom w:val="0"/>
      <w:divBdr>
        <w:top w:val="none" w:sz="0" w:space="0" w:color="auto"/>
        <w:left w:val="none" w:sz="0" w:space="0" w:color="auto"/>
        <w:bottom w:val="none" w:sz="0" w:space="0" w:color="auto"/>
        <w:right w:val="none" w:sz="0" w:space="0" w:color="auto"/>
      </w:divBdr>
    </w:div>
    <w:div w:id="2030793448">
      <w:marLeft w:val="480"/>
      <w:marRight w:val="0"/>
      <w:marTop w:val="0"/>
      <w:marBottom w:val="0"/>
      <w:divBdr>
        <w:top w:val="none" w:sz="0" w:space="0" w:color="auto"/>
        <w:left w:val="none" w:sz="0" w:space="0" w:color="auto"/>
        <w:bottom w:val="none" w:sz="0" w:space="0" w:color="auto"/>
        <w:right w:val="none" w:sz="0" w:space="0" w:color="auto"/>
      </w:divBdr>
    </w:div>
    <w:div w:id="2030983731">
      <w:marLeft w:val="480"/>
      <w:marRight w:val="0"/>
      <w:marTop w:val="0"/>
      <w:marBottom w:val="0"/>
      <w:divBdr>
        <w:top w:val="none" w:sz="0" w:space="0" w:color="auto"/>
        <w:left w:val="none" w:sz="0" w:space="0" w:color="auto"/>
        <w:bottom w:val="none" w:sz="0" w:space="0" w:color="auto"/>
        <w:right w:val="none" w:sz="0" w:space="0" w:color="auto"/>
      </w:divBdr>
    </w:div>
    <w:div w:id="2032173051">
      <w:marLeft w:val="480"/>
      <w:marRight w:val="0"/>
      <w:marTop w:val="0"/>
      <w:marBottom w:val="0"/>
      <w:divBdr>
        <w:top w:val="none" w:sz="0" w:space="0" w:color="auto"/>
        <w:left w:val="none" w:sz="0" w:space="0" w:color="auto"/>
        <w:bottom w:val="none" w:sz="0" w:space="0" w:color="auto"/>
        <w:right w:val="none" w:sz="0" w:space="0" w:color="auto"/>
      </w:divBdr>
    </w:div>
    <w:div w:id="2034455679">
      <w:marLeft w:val="480"/>
      <w:marRight w:val="0"/>
      <w:marTop w:val="0"/>
      <w:marBottom w:val="0"/>
      <w:divBdr>
        <w:top w:val="none" w:sz="0" w:space="0" w:color="auto"/>
        <w:left w:val="none" w:sz="0" w:space="0" w:color="auto"/>
        <w:bottom w:val="none" w:sz="0" w:space="0" w:color="auto"/>
        <w:right w:val="none" w:sz="0" w:space="0" w:color="auto"/>
      </w:divBdr>
    </w:div>
    <w:div w:id="2034722374">
      <w:marLeft w:val="480"/>
      <w:marRight w:val="0"/>
      <w:marTop w:val="0"/>
      <w:marBottom w:val="0"/>
      <w:divBdr>
        <w:top w:val="none" w:sz="0" w:space="0" w:color="auto"/>
        <w:left w:val="none" w:sz="0" w:space="0" w:color="auto"/>
        <w:bottom w:val="none" w:sz="0" w:space="0" w:color="auto"/>
        <w:right w:val="none" w:sz="0" w:space="0" w:color="auto"/>
      </w:divBdr>
    </w:div>
    <w:div w:id="2035300341">
      <w:marLeft w:val="480"/>
      <w:marRight w:val="0"/>
      <w:marTop w:val="0"/>
      <w:marBottom w:val="0"/>
      <w:divBdr>
        <w:top w:val="none" w:sz="0" w:space="0" w:color="auto"/>
        <w:left w:val="none" w:sz="0" w:space="0" w:color="auto"/>
        <w:bottom w:val="none" w:sz="0" w:space="0" w:color="auto"/>
        <w:right w:val="none" w:sz="0" w:space="0" w:color="auto"/>
      </w:divBdr>
    </w:div>
    <w:div w:id="2046715305">
      <w:marLeft w:val="480"/>
      <w:marRight w:val="0"/>
      <w:marTop w:val="0"/>
      <w:marBottom w:val="0"/>
      <w:divBdr>
        <w:top w:val="none" w:sz="0" w:space="0" w:color="auto"/>
        <w:left w:val="none" w:sz="0" w:space="0" w:color="auto"/>
        <w:bottom w:val="none" w:sz="0" w:space="0" w:color="auto"/>
        <w:right w:val="none" w:sz="0" w:space="0" w:color="auto"/>
      </w:divBdr>
    </w:div>
    <w:div w:id="2047757164">
      <w:marLeft w:val="480"/>
      <w:marRight w:val="0"/>
      <w:marTop w:val="0"/>
      <w:marBottom w:val="0"/>
      <w:divBdr>
        <w:top w:val="none" w:sz="0" w:space="0" w:color="auto"/>
        <w:left w:val="none" w:sz="0" w:space="0" w:color="auto"/>
        <w:bottom w:val="none" w:sz="0" w:space="0" w:color="auto"/>
        <w:right w:val="none" w:sz="0" w:space="0" w:color="auto"/>
      </w:divBdr>
    </w:div>
    <w:div w:id="2047832074">
      <w:marLeft w:val="480"/>
      <w:marRight w:val="0"/>
      <w:marTop w:val="0"/>
      <w:marBottom w:val="0"/>
      <w:divBdr>
        <w:top w:val="none" w:sz="0" w:space="0" w:color="auto"/>
        <w:left w:val="none" w:sz="0" w:space="0" w:color="auto"/>
        <w:bottom w:val="none" w:sz="0" w:space="0" w:color="auto"/>
        <w:right w:val="none" w:sz="0" w:space="0" w:color="auto"/>
      </w:divBdr>
    </w:div>
    <w:div w:id="2050446970">
      <w:marLeft w:val="480"/>
      <w:marRight w:val="0"/>
      <w:marTop w:val="0"/>
      <w:marBottom w:val="0"/>
      <w:divBdr>
        <w:top w:val="none" w:sz="0" w:space="0" w:color="auto"/>
        <w:left w:val="none" w:sz="0" w:space="0" w:color="auto"/>
        <w:bottom w:val="none" w:sz="0" w:space="0" w:color="auto"/>
        <w:right w:val="none" w:sz="0" w:space="0" w:color="auto"/>
      </w:divBdr>
    </w:div>
    <w:div w:id="2050954833">
      <w:marLeft w:val="480"/>
      <w:marRight w:val="0"/>
      <w:marTop w:val="0"/>
      <w:marBottom w:val="0"/>
      <w:divBdr>
        <w:top w:val="none" w:sz="0" w:space="0" w:color="auto"/>
        <w:left w:val="none" w:sz="0" w:space="0" w:color="auto"/>
        <w:bottom w:val="none" w:sz="0" w:space="0" w:color="auto"/>
        <w:right w:val="none" w:sz="0" w:space="0" w:color="auto"/>
      </w:divBdr>
    </w:div>
    <w:div w:id="2051105384">
      <w:marLeft w:val="480"/>
      <w:marRight w:val="0"/>
      <w:marTop w:val="0"/>
      <w:marBottom w:val="0"/>
      <w:divBdr>
        <w:top w:val="none" w:sz="0" w:space="0" w:color="auto"/>
        <w:left w:val="none" w:sz="0" w:space="0" w:color="auto"/>
        <w:bottom w:val="none" w:sz="0" w:space="0" w:color="auto"/>
        <w:right w:val="none" w:sz="0" w:space="0" w:color="auto"/>
      </w:divBdr>
    </w:div>
    <w:div w:id="2053923463">
      <w:marLeft w:val="480"/>
      <w:marRight w:val="0"/>
      <w:marTop w:val="0"/>
      <w:marBottom w:val="0"/>
      <w:divBdr>
        <w:top w:val="none" w:sz="0" w:space="0" w:color="auto"/>
        <w:left w:val="none" w:sz="0" w:space="0" w:color="auto"/>
        <w:bottom w:val="none" w:sz="0" w:space="0" w:color="auto"/>
        <w:right w:val="none" w:sz="0" w:space="0" w:color="auto"/>
      </w:divBdr>
    </w:div>
    <w:div w:id="2054621172">
      <w:marLeft w:val="480"/>
      <w:marRight w:val="0"/>
      <w:marTop w:val="0"/>
      <w:marBottom w:val="0"/>
      <w:divBdr>
        <w:top w:val="none" w:sz="0" w:space="0" w:color="auto"/>
        <w:left w:val="none" w:sz="0" w:space="0" w:color="auto"/>
        <w:bottom w:val="none" w:sz="0" w:space="0" w:color="auto"/>
        <w:right w:val="none" w:sz="0" w:space="0" w:color="auto"/>
      </w:divBdr>
    </w:div>
    <w:div w:id="2056276743">
      <w:marLeft w:val="480"/>
      <w:marRight w:val="0"/>
      <w:marTop w:val="0"/>
      <w:marBottom w:val="0"/>
      <w:divBdr>
        <w:top w:val="none" w:sz="0" w:space="0" w:color="auto"/>
        <w:left w:val="none" w:sz="0" w:space="0" w:color="auto"/>
        <w:bottom w:val="none" w:sz="0" w:space="0" w:color="auto"/>
        <w:right w:val="none" w:sz="0" w:space="0" w:color="auto"/>
      </w:divBdr>
    </w:div>
    <w:div w:id="2056931860">
      <w:marLeft w:val="480"/>
      <w:marRight w:val="0"/>
      <w:marTop w:val="0"/>
      <w:marBottom w:val="0"/>
      <w:divBdr>
        <w:top w:val="none" w:sz="0" w:space="0" w:color="auto"/>
        <w:left w:val="none" w:sz="0" w:space="0" w:color="auto"/>
        <w:bottom w:val="none" w:sz="0" w:space="0" w:color="auto"/>
        <w:right w:val="none" w:sz="0" w:space="0" w:color="auto"/>
      </w:divBdr>
    </w:div>
    <w:div w:id="2057199355">
      <w:marLeft w:val="480"/>
      <w:marRight w:val="0"/>
      <w:marTop w:val="0"/>
      <w:marBottom w:val="0"/>
      <w:divBdr>
        <w:top w:val="none" w:sz="0" w:space="0" w:color="auto"/>
        <w:left w:val="none" w:sz="0" w:space="0" w:color="auto"/>
        <w:bottom w:val="none" w:sz="0" w:space="0" w:color="auto"/>
        <w:right w:val="none" w:sz="0" w:space="0" w:color="auto"/>
      </w:divBdr>
    </w:div>
    <w:div w:id="2061399618">
      <w:marLeft w:val="480"/>
      <w:marRight w:val="0"/>
      <w:marTop w:val="0"/>
      <w:marBottom w:val="0"/>
      <w:divBdr>
        <w:top w:val="none" w:sz="0" w:space="0" w:color="auto"/>
        <w:left w:val="none" w:sz="0" w:space="0" w:color="auto"/>
        <w:bottom w:val="none" w:sz="0" w:space="0" w:color="auto"/>
        <w:right w:val="none" w:sz="0" w:space="0" w:color="auto"/>
      </w:divBdr>
    </w:div>
    <w:div w:id="2061512840">
      <w:marLeft w:val="480"/>
      <w:marRight w:val="0"/>
      <w:marTop w:val="0"/>
      <w:marBottom w:val="0"/>
      <w:divBdr>
        <w:top w:val="none" w:sz="0" w:space="0" w:color="auto"/>
        <w:left w:val="none" w:sz="0" w:space="0" w:color="auto"/>
        <w:bottom w:val="none" w:sz="0" w:space="0" w:color="auto"/>
        <w:right w:val="none" w:sz="0" w:space="0" w:color="auto"/>
      </w:divBdr>
    </w:div>
    <w:div w:id="2062093793">
      <w:marLeft w:val="480"/>
      <w:marRight w:val="0"/>
      <w:marTop w:val="0"/>
      <w:marBottom w:val="0"/>
      <w:divBdr>
        <w:top w:val="none" w:sz="0" w:space="0" w:color="auto"/>
        <w:left w:val="none" w:sz="0" w:space="0" w:color="auto"/>
        <w:bottom w:val="none" w:sz="0" w:space="0" w:color="auto"/>
        <w:right w:val="none" w:sz="0" w:space="0" w:color="auto"/>
      </w:divBdr>
    </w:div>
    <w:div w:id="2063206703">
      <w:marLeft w:val="480"/>
      <w:marRight w:val="0"/>
      <w:marTop w:val="0"/>
      <w:marBottom w:val="0"/>
      <w:divBdr>
        <w:top w:val="none" w:sz="0" w:space="0" w:color="auto"/>
        <w:left w:val="none" w:sz="0" w:space="0" w:color="auto"/>
        <w:bottom w:val="none" w:sz="0" w:space="0" w:color="auto"/>
        <w:right w:val="none" w:sz="0" w:space="0" w:color="auto"/>
      </w:divBdr>
    </w:div>
    <w:div w:id="2063672399">
      <w:marLeft w:val="480"/>
      <w:marRight w:val="0"/>
      <w:marTop w:val="0"/>
      <w:marBottom w:val="0"/>
      <w:divBdr>
        <w:top w:val="none" w:sz="0" w:space="0" w:color="auto"/>
        <w:left w:val="none" w:sz="0" w:space="0" w:color="auto"/>
        <w:bottom w:val="none" w:sz="0" w:space="0" w:color="auto"/>
        <w:right w:val="none" w:sz="0" w:space="0" w:color="auto"/>
      </w:divBdr>
    </w:div>
    <w:div w:id="2064132449">
      <w:marLeft w:val="480"/>
      <w:marRight w:val="0"/>
      <w:marTop w:val="0"/>
      <w:marBottom w:val="0"/>
      <w:divBdr>
        <w:top w:val="none" w:sz="0" w:space="0" w:color="auto"/>
        <w:left w:val="none" w:sz="0" w:space="0" w:color="auto"/>
        <w:bottom w:val="none" w:sz="0" w:space="0" w:color="auto"/>
        <w:right w:val="none" w:sz="0" w:space="0" w:color="auto"/>
      </w:divBdr>
    </w:div>
    <w:div w:id="2064716664">
      <w:marLeft w:val="480"/>
      <w:marRight w:val="0"/>
      <w:marTop w:val="0"/>
      <w:marBottom w:val="0"/>
      <w:divBdr>
        <w:top w:val="none" w:sz="0" w:space="0" w:color="auto"/>
        <w:left w:val="none" w:sz="0" w:space="0" w:color="auto"/>
        <w:bottom w:val="none" w:sz="0" w:space="0" w:color="auto"/>
        <w:right w:val="none" w:sz="0" w:space="0" w:color="auto"/>
      </w:divBdr>
    </w:div>
    <w:div w:id="2065522198">
      <w:marLeft w:val="480"/>
      <w:marRight w:val="0"/>
      <w:marTop w:val="0"/>
      <w:marBottom w:val="0"/>
      <w:divBdr>
        <w:top w:val="none" w:sz="0" w:space="0" w:color="auto"/>
        <w:left w:val="none" w:sz="0" w:space="0" w:color="auto"/>
        <w:bottom w:val="none" w:sz="0" w:space="0" w:color="auto"/>
        <w:right w:val="none" w:sz="0" w:space="0" w:color="auto"/>
      </w:divBdr>
    </w:div>
    <w:div w:id="2066178616">
      <w:marLeft w:val="480"/>
      <w:marRight w:val="0"/>
      <w:marTop w:val="0"/>
      <w:marBottom w:val="0"/>
      <w:divBdr>
        <w:top w:val="none" w:sz="0" w:space="0" w:color="auto"/>
        <w:left w:val="none" w:sz="0" w:space="0" w:color="auto"/>
        <w:bottom w:val="none" w:sz="0" w:space="0" w:color="auto"/>
        <w:right w:val="none" w:sz="0" w:space="0" w:color="auto"/>
      </w:divBdr>
    </w:div>
    <w:div w:id="2066444197">
      <w:marLeft w:val="480"/>
      <w:marRight w:val="0"/>
      <w:marTop w:val="0"/>
      <w:marBottom w:val="0"/>
      <w:divBdr>
        <w:top w:val="none" w:sz="0" w:space="0" w:color="auto"/>
        <w:left w:val="none" w:sz="0" w:space="0" w:color="auto"/>
        <w:bottom w:val="none" w:sz="0" w:space="0" w:color="auto"/>
        <w:right w:val="none" w:sz="0" w:space="0" w:color="auto"/>
      </w:divBdr>
    </w:div>
    <w:div w:id="2068139793">
      <w:marLeft w:val="480"/>
      <w:marRight w:val="0"/>
      <w:marTop w:val="0"/>
      <w:marBottom w:val="0"/>
      <w:divBdr>
        <w:top w:val="none" w:sz="0" w:space="0" w:color="auto"/>
        <w:left w:val="none" w:sz="0" w:space="0" w:color="auto"/>
        <w:bottom w:val="none" w:sz="0" w:space="0" w:color="auto"/>
        <w:right w:val="none" w:sz="0" w:space="0" w:color="auto"/>
      </w:divBdr>
    </w:div>
    <w:div w:id="2072340965">
      <w:marLeft w:val="480"/>
      <w:marRight w:val="0"/>
      <w:marTop w:val="0"/>
      <w:marBottom w:val="0"/>
      <w:divBdr>
        <w:top w:val="none" w:sz="0" w:space="0" w:color="auto"/>
        <w:left w:val="none" w:sz="0" w:space="0" w:color="auto"/>
        <w:bottom w:val="none" w:sz="0" w:space="0" w:color="auto"/>
        <w:right w:val="none" w:sz="0" w:space="0" w:color="auto"/>
      </w:divBdr>
    </w:div>
    <w:div w:id="2073119902">
      <w:marLeft w:val="480"/>
      <w:marRight w:val="0"/>
      <w:marTop w:val="0"/>
      <w:marBottom w:val="0"/>
      <w:divBdr>
        <w:top w:val="none" w:sz="0" w:space="0" w:color="auto"/>
        <w:left w:val="none" w:sz="0" w:space="0" w:color="auto"/>
        <w:bottom w:val="none" w:sz="0" w:space="0" w:color="auto"/>
        <w:right w:val="none" w:sz="0" w:space="0" w:color="auto"/>
      </w:divBdr>
    </w:div>
    <w:div w:id="2073236089">
      <w:marLeft w:val="480"/>
      <w:marRight w:val="0"/>
      <w:marTop w:val="0"/>
      <w:marBottom w:val="0"/>
      <w:divBdr>
        <w:top w:val="none" w:sz="0" w:space="0" w:color="auto"/>
        <w:left w:val="none" w:sz="0" w:space="0" w:color="auto"/>
        <w:bottom w:val="none" w:sz="0" w:space="0" w:color="auto"/>
        <w:right w:val="none" w:sz="0" w:space="0" w:color="auto"/>
      </w:divBdr>
    </w:div>
    <w:div w:id="2074308833">
      <w:marLeft w:val="480"/>
      <w:marRight w:val="0"/>
      <w:marTop w:val="0"/>
      <w:marBottom w:val="0"/>
      <w:divBdr>
        <w:top w:val="none" w:sz="0" w:space="0" w:color="auto"/>
        <w:left w:val="none" w:sz="0" w:space="0" w:color="auto"/>
        <w:bottom w:val="none" w:sz="0" w:space="0" w:color="auto"/>
        <w:right w:val="none" w:sz="0" w:space="0" w:color="auto"/>
      </w:divBdr>
    </w:div>
    <w:div w:id="2075154291">
      <w:marLeft w:val="480"/>
      <w:marRight w:val="0"/>
      <w:marTop w:val="0"/>
      <w:marBottom w:val="0"/>
      <w:divBdr>
        <w:top w:val="none" w:sz="0" w:space="0" w:color="auto"/>
        <w:left w:val="none" w:sz="0" w:space="0" w:color="auto"/>
        <w:bottom w:val="none" w:sz="0" w:space="0" w:color="auto"/>
        <w:right w:val="none" w:sz="0" w:space="0" w:color="auto"/>
      </w:divBdr>
    </w:div>
    <w:div w:id="2075659051">
      <w:marLeft w:val="480"/>
      <w:marRight w:val="0"/>
      <w:marTop w:val="0"/>
      <w:marBottom w:val="0"/>
      <w:divBdr>
        <w:top w:val="none" w:sz="0" w:space="0" w:color="auto"/>
        <w:left w:val="none" w:sz="0" w:space="0" w:color="auto"/>
        <w:bottom w:val="none" w:sz="0" w:space="0" w:color="auto"/>
        <w:right w:val="none" w:sz="0" w:space="0" w:color="auto"/>
      </w:divBdr>
    </w:div>
    <w:div w:id="2078241394">
      <w:marLeft w:val="480"/>
      <w:marRight w:val="0"/>
      <w:marTop w:val="0"/>
      <w:marBottom w:val="0"/>
      <w:divBdr>
        <w:top w:val="none" w:sz="0" w:space="0" w:color="auto"/>
        <w:left w:val="none" w:sz="0" w:space="0" w:color="auto"/>
        <w:bottom w:val="none" w:sz="0" w:space="0" w:color="auto"/>
        <w:right w:val="none" w:sz="0" w:space="0" w:color="auto"/>
      </w:divBdr>
    </w:div>
    <w:div w:id="2078551870">
      <w:marLeft w:val="480"/>
      <w:marRight w:val="0"/>
      <w:marTop w:val="0"/>
      <w:marBottom w:val="0"/>
      <w:divBdr>
        <w:top w:val="none" w:sz="0" w:space="0" w:color="auto"/>
        <w:left w:val="none" w:sz="0" w:space="0" w:color="auto"/>
        <w:bottom w:val="none" w:sz="0" w:space="0" w:color="auto"/>
        <w:right w:val="none" w:sz="0" w:space="0" w:color="auto"/>
      </w:divBdr>
    </w:div>
    <w:div w:id="2079209253">
      <w:marLeft w:val="480"/>
      <w:marRight w:val="0"/>
      <w:marTop w:val="0"/>
      <w:marBottom w:val="0"/>
      <w:divBdr>
        <w:top w:val="none" w:sz="0" w:space="0" w:color="auto"/>
        <w:left w:val="none" w:sz="0" w:space="0" w:color="auto"/>
        <w:bottom w:val="none" w:sz="0" w:space="0" w:color="auto"/>
        <w:right w:val="none" w:sz="0" w:space="0" w:color="auto"/>
      </w:divBdr>
    </w:div>
    <w:div w:id="2084520260">
      <w:marLeft w:val="480"/>
      <w:marRight w:val="0"/>
      <w:marTop w:val="0"/>
      <w:marBottom w:val="0"/>
      <w:divBdr>
        <w:top w:val="none" w:sz="0" w:space="0" w:color="auto"/>
        <w:left w:val="none" w:sz="0" w:space="0" w:color="auto"/>
        <w:bottom w:val="none" w:sz="0" w:space="0" w:color="auto"/>
        <w:right w:val="none" w:sz="0" w:space="0" w:color="auto"/>
      </w:divBdr>
    </w:div>
    <w:div w:id="2084834740">
      <w:marLeft w:val="480"/>
      <w:marRight w:val="0"/>
      <w:marTop w:val="0"/>
      <w:marBottom w:val="0"/>
      <w:divBdr>
        <w:top w:val="none" w:sz="0" w:space="0" w:color="auto"/>
        <w:left w:val="none" w:sz="0" w:space="0" w:color="auto"/>
        <w:bottom w:val="none" w:sz="0" w:space="0" w:color="auto"/>
        <w:right w:val="none" w:sz="0" w:space="0" w:color="auto"/>
      </w:divBdr>
    </w:div>
    <w:div w:id="2086413017">
      <w:marLeft w:val="480"/>
      <w:marRight w:val="0"/>
      <w:marTop w:val="0"/>
      <w:marBottom w:val="0"/>
      <w:divBdr>
        <w:top w:val="none" w:sz="0" w:space="0" w:color="auto"/>
        <w:left w:val="none" w:sz="0" w:space="0" w:color="auto"/>
        <w:bottom w:val="none" w:sz="0" w:space="0" w:color="auto"/>
        <w:right w:val="none" w:sz="0" w:space="0" w:color="auto"/>
      </w:divBdr>
    </w:div>
    <w:div w:id="2087070565">
      <w:marLeft w:val="480"/>
      <w:marRight w:val="0"/>
      <w:marTop w:val="0"/>
      <w:marBottom w:val="0"/>
      <w:divBdr>
        <w:top w:val="none" w:sz="0" w:space="0" w:color="auto"/>
        <w:left w:val="none" w:sz="0" w:space="0" w:color="auto"/>
        <w:bottom w:val="none" w:sz="0" w:space="0" w:color="auto"/>
        <w:right w:val="none" w:sz="0" w:space="0" w:color="auto"/>
      </w:divBdr>
    </w:div>
    <w:div w:id="2089686280">
      <w:marLeft w:val="480"/>
      <w:marRight w:val="0"/>
      <w:marTop w:val="0"/>
      <w:marBottom w:val="0"/>
      <w:divBdr>
        <w:top w:val="none" w:sz="0" w:space="0" w:color="auto"/>
        <w:left w:val="none" w:sz="0" w:space="0" w:color="auto"/>
        <w:bottom w:val="none" w:sz="0" w:space="0" w:color="auto"/>
        <w:right w:val="none" w:sz="0" w:space="0" w:color="auto"/>
      </w:divBdr>
    </w:div>
    <w:div w:id="2089812472">
      <w:marLeft w:val="480"/>
      <w:marRight w:val="0"/>
      <w:marTop w:val="0"/>
      <w:marBottom w:val="0"/>
      <w:divBdr>
        <w:top w:val="none" w:sz="0" w:space="0" w:color="auto"/>
        <w:left w:val="none" w:sz="0" w:space="0" w:color="auto"/>
        <w:bottom w:val="none" w:sz="0" w:space="0" w:color="auto"/>
        <w:right w:val="none" w:sz="0" w:space="0" w:color="auto"/>
      </w:divBdr>
    </w:div>
    <w:div w:id="2090930268">
      <w:marLeft w:val="480"/>
      <w:marRight w:val="0"/>
      <w:marTop w:val="0"/>
      <w:marBottom w:val="0"/>
      <w:divBdr>
        <w:top w:val="none" w:sz="0" w:space="0" w:color="auto"/>
        <w:left w:val="none" w:sz="0" w:space="0" w:color="auto"/>
        <w:bottom w:val="none" w:sz="0" w:space="0" w:color="auto"/>
        <w:right w:val="none" w:sz="0" w:space="0" w:color="auto"/>
      </w:divBdr>
    </w:div>
    <w:div w:id="2091001615">
      <w:marLeft w:val="480"/>
      <w:marRight w:val="0"/>
      <w:marTop w:val="0"/>
      <w:marBottom w:val="0"/>
      <w:divBdr>
        <w:top w:val="none" w:sz="0" w:space="0" w:color="auto"/>
        <w:left w:val="none" w:sz="0" w:space="0" w:color="auto"/>
        <w:bottom w:val="none" w:sz="0" w:space="0" w:color="auto"/>
        <w:right w:val="none" w:sz="0" w:space="0" w:color="auto"/>
      </w:divBdr>
    </w:div>
    <w:div w:id="2091459461">
      <w:marLeft w:val="480"/>
      <w:marRight w:val="0"/>
      <w:marTop w:val="0"/>
      <w:marBottom w:val="0"/>
      <w:divBdr>
        <w:top w:val="none" w:sz="0" w:space="0" w:color="auto"/>
        <w:left w:val="none" w:sz="0" w:space="0" w:color="auto"/>
        <w:bottom w:val="none" w:sz="0" w:space="0" w:color="auto"/>
        <w:right w:val="none" w:sz="0" w:space="0" w:color="auto"/>
      </w:divBdr>
    </w:div>
    <w:div w:id="2092965339">
      <w:marLeft w:val="480"/>
      <w:marRight w:val="0"/>
      <w:marTop w:val="0"/>
      <w:marBottom w:val="0"/>
      <w:divBdr>
        <w:top w:val="none" w:sz="0" w:space="0" w:color="auto"/>
        <w:left w:val="none" w:sz="0" w:space="0" w:color="auto"/>
        <w:bottom w:val="none" w:sz="0" w:space="0" w:color="auto"/>
        <w:right w:val="none" w:sz="0" w:space="0" w:color="auto"/>
      </w:divBdr>
    </w:div>
    <w:div w:id="2092966913">
      <w:marLeft w:val="480"/>
      <w:marRight w:val="0"/>
      <w:marTop w:val="0"/>
      <w:marBottom w:val="0"/>
      <w:divBdr>
        <w:top w:val="none" w:sz="0" w:space="0" w:color="auto"/>
        <w:left w:val="none" w:sz="0" w:space="0" w:color="auto"/>
        <w:bottom w:val="none" w:sz="0" w:space="0" w:color="auto"/>
        <w:right w:val="none" w:sz="0" w:space="0" w:color="auto"/>
      </w:divBdr>
    </w:div>
    <w:div w:id="2093164758">
      <w:marLeft w:val="480"/>
      <w:marRight w:val="0"/>
      <w:marTop w:val="0"/>
      <w:marBottom w:val="0"/>
      <w:divBdr>
        <w:top w:val="none" w:sz="0" w:space="0" w:color="auto"/>
        <w:left w:val="none" w:sz="0" w:space="0" w:color="auto"/>
        <w:bottom w:val="none" w:sz="0" w:space="0" w:color="auto"/>
        <w:right w:val="none" w:sz="0" w:space="0" w:color="auto"/>
      </w:divBdr>
    </w:div>
    <w:div w:id="2094663977">
      <w:marLeft w:val="480"/>
      <w:marRight w:val="0"/>
      <w:marTop w:val="0"/>
      <w:marBottom w:val="0"/>
      <w:divBdr>
        <w:top w:val="none" w:sz="0" w:space="0" w:color="auto"/>
        <w:left w:val="none" w:sz="0" w:space="0" w:color="auto"/>
        <w:bottom w:val="none" w:sz="0" w:space="0" w:color="auto"/>
        <w:right w:val="none" w:sz="0" w:space="0" w:color="auto"/>
      </w:divBdr>
    </w:div>
    <w:div w:id="2095516431">
      <w:marLeft w:val="480"/>
      <w:marRight w:val="0"/>
      <w:marTop w:val="0"/>
      <w:marBottom w:val="0"/>
      <w:divBdr>
        <w:top w:val="none" w:sz="0" w:space="0" w:color="auto"/>
        <w:left w:val="none" w:sz="0" w:space="0" w:color="auto"/>
        <w:bottom w:val="none" w:sz="0" w:space="0" w:color="auto"/>
        <w:right w:val="none" w:sz="0" w:space="0" w:color="auto"/>
      </w:divBdr>
    </w:div>
    <w:div w:id="2096512502">
      <w:marLeft w:val="480"/>
      <w:marRight w:val="0"/>
      <w:marTop w:val="0"/>
      <w:marBottom w:val="0"/>
      <w:divBdr>
        <w:top w:val="none" w:sz="0" w:space="0" w:color="auto"/>
        <w:left w:val="none" w:sz="0" w:space="0" w:color="auto"/>
        <w:bottom w:val="none" w:sz="0" w:space="0" w:color="auto"/>
        <w:right w:val="none" w:sz="0" w:space="0" w:color="auto"/>
      </w:divBdr>
    </w:div>
    <w:div w:id="2096706527">
      <w:marLeft w:val="480"/>
      <w:marRight w:val="0"/>
      <w:marTop w:val="0"/>
      <w:marBottom w:val="0"/>
      <w:divBdr>
        <w:top w:val="none" w:sz="0" w:space="0" w:color="auto"/>
        <w:left w:val="none" w:sz="0" w:space="0" w:color="auto"/>
        <w:bottom w:val="none" w:sz="0" w:space="0" w:color="auto"/>
        <w:right w:val="none" w:sz="0" w:space="0" w:color="auto"/>
      </w:divBdr>
    </w:div>
    <w:div w:id="2101215579">
      <w:marLeft w:val="480"/>
      <w:marRight w:val="0"/>
      <w:marTop w:val="0"/>
      <w:marBottom w:val="0"/>
      <w:divBdr>
        <w:top w:val="none" w:sz="0" w:space="0" w:color="auto"/>
        <w:left w:val="none" w:sz="0" w:space="0" w:color="auto"/>
        <w:bottom w:val="none" w:sz="0" w:space="0" w:color="auto"/>
        <w:right w:val="none" w:sz="0" w:space="0" w:color="auto"/>
      </w:divBdr>
    </w:div>
    <w:div w:id="2103724211">
      <w:marLeft w:val="480"/>
      <w:marRight w:val="0"/>
      <w:marTop w:val="0"/>
      <w:marBottom w:val="0"/>
      <w:divBdr>
        <w:top w:val="none" w:sz="0" w:space="0" w:color="auto"/>
        <w:left w:val="none" w:sz="0" w:space="0" w:color="auto"/>
        <w:bottom w:val="none" w:sz="0" w:space="0" w:color="auto"/>
        <w:right w:val="none" w:sz="0" w:space="0" w:color="auto"/>
      </w:divBdr>
    </w:div>
    <w:div w:id="2107922635">
      <w:marLeft w:val="480"/>
      <w:marRight w:val="0"/>
      <w:marTop w:val="0"/>
      <w:marBottom w:val="0"/>
      <w:divBdr>
        <w:top w:val="none" w:sz="0" w:space="0" w:color="auto"/>
        <w:left w:val="none" w:sz="0" w:space="0" w:color="auto"/>
        <w:bottom w:val="none" w:sz="0" w:space="0" w:color="auto"/>
        <w:right w:val="none" w:sz="0" w:space="0" w:color="auto"/>
      </w:divBdr>
    </w:div>
    <w:div w:id="2108114711">
      <w:marLeft w:val="480"/>
      <w:marRight w:val="0"/>
      <w:marTop w:val="0"/>
      <w:marBottom w:val="0"/>
      <w:divBdr>
        <w:top w:val="none" w:sz="0" w:space="0" w:color="auto"/>
        <w:left w:val="none" w:sz="0" w:space="0" w:color="auto"/>
        <w:bottom w:val="none" w:sz="0" w:space="0" w:color="auto"/>
        <w:right w:val="none" w:sz="0" w:space="0" w:color="auto"/>
      </w:divBdr>
    </w:div>
    <w:div w:id="2108964750">
      <w:marLeft w:val="480"/>
      <w:marRight w:val="0"/>
      <w:marTop w:val="0"/>
      <w:marBottom w:val="0"/>
      <w:divBdr>
        <w:top w:val="none" w:sz="0" w:space="0" w:color="auto"/>
        <w:left w:val="none" w:sz="0" w:space="0" w:color="auto"/>
        <w:bottom w:val="none" w:sz="0" w:space="0" w:color="auto"/>
        <w:right w:val="none" w:sz="0" w:space="0" w:color="auto"/>
      </w:divBdr>
    </w:div>
    <w:div w:id="2111394234">
      <w:marLeft w:val="480"/>
      <w:marRight w:val="0"/>
      <w:marTop w:val="0"/>
      <w:marBottom w:val="0"/>
      <w:divBdr>
        <w:top w:val="none" w:sz="0" w:space="0" w:color="auto"/>
        <w:left w:val="none" w:sz="0" w:space="0" w:color="auto"/>
        <w:bottom w:val="none" w:sz="0" w:space="0" w:color="auto"/>
        <w:right w:val="none" w:sz="0" w:space="0" w:color="auto"/>
      </w:divBdr>
    </w:div>
    <w:div w:id="2114477179">
      <w:marLeft w:val="480"/>
      <w:marRight w:val="0"/>
      <w:marTop w:val="0"/>
      <w:marBottom w:val="0"/>
      <w:divBdr>
        <w:top w:val="none" w:sz="0" w:space="0" w:color="auto"/>
        <w:left w:val="none" w:sz="0" w:space="0" w:color="auto"/>
        <w:bottom w:val="none" w:sz="0" w:space="0" w:color="auto"/>
        <w:right w:val="none" w:sz="0" w:space="0" w:color="auto"/>
      </w:divBdr>
    </w:div>
    <w:div w:id="2116292650">
      <w:marLeft w:val="480"/>
      <w:marRight w:val="0"/>
      <w:marTop w:val="0"/>
      <w:marBottom w:val="0"/>
      <w:divBdr>
        <w:top w:val="none" w:sz="0" w:space="0" w:color="auto"/>
        <w:left w:val="none" w:sz="0" w:space="0" w:color="auto"/>
        <w:bottom w:val="none" w:sz="0" w:space="0" w:color="auto"/>
        <w:right w:val="none" w:sz="0" w:space="0" w:color="auto"/>
      </w:divBdr>
    </w:div>
    <w:div w:id="2116706917">
      <w:marLeft w:val="480"/>
      <w:marRight w:val="0"/>
      <w:marTop w:val="0"/>
      <w:marBottom w:val="0"/>
      <w:divBdr>
        <w:top w:val="none" w:sz="0" w:space="0" w:color="auto"/>
        <w:left w:val="none" w:sz="0" w:space="0" w:color="auto"/>
        <w:bottom w:val="none" w:sz="0" w:space="0" w:color="auto"/>
        <w:right w:val="none" w:sz="0" w:space="0" w:color="auto"/>
      </w:divBdr>
    </w:div>
    <w:div w:id="2117434150">
      <w:marLeft w:val="480"/>
      <w:marRight w:val="0"/>
      <w:marTop w:val="0"/>
      <w:marBottom w:val="0"/>
      <w:divBdr>
        <w:top w:val="none" w:sz="0" w:space="0" w:color="auto"/>
        <w:left w:val="none" w:sz="0" w:space="0" w:color="auto"/>
        <w:bottom w:val="none" w:sz="0" w:space="0" w:color="auto"/>
        <w:right w:val="none" w:sz="0" w:space="0" w:color="auto"/>
      </w:divBdr>
    </w:div>
    <w:div w:id="2120950078">
      <w:marLeft w:val="480"/>
      <w:marRight w:val="0"/>
      <w:marTop w:val="0"/>
      <w:marBottom w:val="0"/>
      <w:divBdr>
        <w:top w:val="none" w:sz="0" w:space="0" w:color="auto"/>
        <w:left w:val="none" w:sz="0" w:space="0" w:color="auto"/>
        <w:bottom w:val="none" w:sz="0" w:space="0" w:color="auto"/>
        <w:right w:val="none" w:sz="0" w:space="0" w:color="auto"/>
      </w:divBdr>
    </w:div>
    <w:div w:id="2121794988">
      <w:marLeft w:val="480"/>
      <w:marRight w:val="0"/>
      <w:marTop w:val="0"/>
      <w:marBottom w:val="0"/>
      <w:divBdr>
        <w:top w:val="none" w:sz="0" w:space="0" w:color="auto"/>
        <w:left w:val="none" w:sz="0" w:space="0" w:color="auto"/>
        <w:bottom w:val="none" w:sz="0" w:space="0" w:color="auto"/>
        <w:right w:val="none" w:sz="0" w:space="0" w:color="auto"/>
      </w:divBdr>
    </w:div>
    <w:div w:id="2122140039">
      <w:marLeft w:val="480"/>
      <w:marRight w:val="0"/>
      <w:marTop w:val="0"/>
      <w:marBottom w:val="0"/>
      <w:divBdr>
        <w:top w:val="none" w:sz="0" w:space="0" w:color="auto"/>
        <w:left w:val="none" w:sz="0" w:space="0" w:color="auto"/>
        <w:bottom w:val="none" w:sz="0" w:space="0" w:color="auto"/>
        <w:right w:val="none" w:sz="0" w:space="0" w:color="auto"/>
      </w:divBdr>
    </w:div>
    <w:div w:id="2122603917">
      <w:marLeft w:val="480"/>
      <w:marRight w:val="0"/>
      <w:marTop w:val="0"/>
      <w:marBottom w:val="0"/>
      <w:divBdr>
        <w:top w:val="none" w:sz="0" w:space="0" w:color="auto"/>
        <w:left w:val="none" w:sz="0" w:space="0" w:color="auto"/>
        <w:bottom w:val="none" w:sz="0" w:space="0" w:color="auto"/>
        <w:right w:val="none" w:sz="0" w:space="0" w:color="auto"/>
      </w:divBdr>
    </w:div>
    <w:div w:id="2126537185">
      <w:marLeft w:val="480"/>
      <w:marRight w:val="0"/>
      <w:marTop w:val="0"/>
      <w:marBottom w:val="0"/>
      <w:divBdr>
        <w:top w:val="none" w:sz="0" w:space="0" w:color="auto"/>
        <w:left w:val="none" w:sz="0" w:space="0" w:color="auto"/>
        <w:bottom w:val="none" w:sz="0" w:space="0" w:color="auto"/>
        <w:right w:val="none" w:sz="0" w:space="0" w:color="auto"/>
      </w:divBdr>
    </w:div>
    <w:div w:id="2126537191">
      <w:marLeft w:val="480"/>
      <w:marRight w:val="0"/>
      <w:marTop w:val="0"/>
      <w:marBottom w:val="0"/>
      <w:divBdr>
        <w:top w:val="none" w:sz="0" w:space="0" w:color="auto"/>
        <w:left w:val="none" w:sz="0" w:space="0" w:color="auto"/>
        <w:bottom w:val="none" w:sz="0" w:space="0" w:color="auto"/>
        <w:right w:val="none" w:sz="0" w:space="0" w:color="auto"/>
      </w:divBdr>
    </w:div>
    <w:div w:id="2127966148">
      <w:bodyDiv w:val="1"/>
      <w:marLeft w:val="0"/>
      <w:marRight w:val="0"/>
      <w:marTop w:val="0"/>
      <w:marBottom w:val="0"/>
      <w:divBdr>
        <w:top w:val="none" w:sz="0" w:space="0" w:color="auto"/>
        <w:left w:val="none" w:sz="0" w:space="0" w:color="auto"/>
        <w:bottom w:val="none" w:sz="0" w:space="0" w:color="auto"/>
        <w:right w:val="none" w:sz="0" w:space="0" w:color="auto"/>
      </w:divBdr>
    </w:div>
    <w:div w:id="2128696805">
      <w:marLeft w:val="480"/>
      <w:marRight w:val="0"/>
      <w:marTop w:val="0"/>
      <w:marBottom w:val="0"/>
      <w:divBdr>
        <w:top w:val="none" w:sz="0" w:space="0" w:color="auto"/>
        <w:left w:val="none" w:sz="0" w:space="0" w:color="auto"/>
        <w:bottom w:val="none" w:sz="0" w:space="0" w:color="auto"/>
        <w:right w:val="none" w:sz="0" w:space="0" w:color="auto"/>
      </w:divBdr>
    </w:div>
    <w:div w:id="2132165844">
      <w:marLeft w:val="480"/>
      <w:marRight w:val="0"/>
      <w:marTop w:val="0"/>
      <w:marBottom w:val="0"/>
      <w:divBdr>
        <w:top w:val="none" w:sz="0" w:space="0" w:color="auto"/>
        <w:left w:val="none" w:sz="0" w:space="0" w:color="auto"/>
        <w:bottom w:val="none" w:sz="0" w:space="0" w:color="auto"/>
        <w:right w:val="none" w:sz="0" w:space="0" w:color="auto"/>
      </w:divBdr>
    </w:div>
    <w:div w:id="2133937671">
      <w:marLeft w:val="480"/>
      <w:marRight w:val="0"/>
      <w:marTop w:val="0"/>
      <w:marBottom w:val="0"/>
      <w:divBdr>
        <w:top w:val="none" w:sz="0" w:space="0" w:color="auto"/>
        <w:left w:val="none" w:sz="0" w:space="0" w:color="auto"/>
        <w:bottom w:val="none" w:sz="0" w:space="0" w:color="auto"/>
        <w:right w:val="none" w:sz="0" w:space="0" w:color="auto"/>
      </w:divBdr>
    </w:div>
    <w:div w:id="2134327531">
      <w:marLeft w:val="480"/>
      <w:marRight w:val="0"/>
      <w:marTop w:val="0"/>
      <w:marBottom w:val="0"/>
      <w:divBdr>
        <w:top w:val="none" w:sz="0" w:space="0" w:color="auto"/>
        <w:left w:val="none" w:sz="0" w:space="0" w:color="auto"/>
        <w:bottom w:val="none" w:sz="0" w:space="0" w:color="auto"/>
        <w:right w:val="none" w:sz="0" w:space="0" w:color="auto"/>
      </w:divBdr>
    </w:div>
    <w:div w:id="2134594908">
      <w:marLeft w:val="480"/>
      <w:marRight w:val="0"/>
      <w:marTop w:val="0"/>
      <w:marBottom w:val="0"/>
      <w:divBdr>
        <w:top w:val="none" w:sz="0" w:space="0" w:color="auto"/>
        <w:left w:val="none" w:sz="0" w:space="0" w:color="auto"/>
        <w:bottom w:val="none" w:sz="0" w:space="0" w:color="auto"/>
        <w:right w:val="none" w:sz="0" w:space="0" w:color="auto"/>
      </w:divBdr>
    </w:div>
    <w:div w:id="2135444135">
      <w:marLeft w:val="480"/>
      <w:marRight w:val="0"/>
      <w:marTop w:val="0"/>
      <w:marBottom w:val="0"/>
      <w:divBdr>
        <w:top w:val="none" w:sz="0" w:space="0" w:color="auto"/>
        <w:left w:val="none" w:sz="0" w:space="0" w:color="auto"/>
        <w:bottom w:val="none" w:sz="0" w:space="0" w:color="auto"/>
        <w:right w:val="none" w:sz="0" w:space="0" w:color="auto"/>
      </w:divBdr>
    </w:div>
    <w:div w:id="2135753967">
      <w:marLeft w:val="480"/>
      <w:marRight w:val="0"/>
      <w:marTop w:val="0"/>
      <w:marBottom w:val="0"/>
      <w:divBdr>
        <w:top w:val="none" w:sz="0" w:space="0" w:color="auto"/>
        <w:left w:val="none" w:sz="0" w:space="0" w:color="auto"/>
        <w:bottom w:val="none" w:sz="0" w:space="0" w:color="auto"/>
        <w:right w:val="none" w:sz="0" w:space="0" w:color="auto"/>
      </w:divBdr>
    </w:div>
    <w:div w:id="2136411104">
      <w:marLeft w:val="480"/>
      <w:marRight w:val="0"/>
      <w:marTop w:val="0"/>
      <w:marBottom w:val="0"/>
      <w:divBdr>
        <w:top w:val="none" w:sz="0" w:space="0" w:color="auto"/>
        <w:left w:val="none" w:sz="0" w:space="0" w:color="auto"/>
        <w:bottom w:val="none" w:sz="0" w:space="0" w:color="auto"/>
        <w:right w:val="none" w:sz="0" w:space="0" w:color="auto"/>
      </w:divBdr>
    </w:div>
    <w:div w:id="2139298451">
      <w:marLeft w:val="480"/>
      <w:marRight w:val="0"/>
      <w:marTop w:val="0"/>
      <w:marBottom w:val="0"/>
      <w:divBdr>
        <w:top w:val="none" w:sz="0" w:space="0" w:color="auto"/>
        <w:left w:val="none" w:sz="0" w:space="0" w:color="auto"/>
        <w:bottom w:val="none" w:sz="0" w:space="0" w:color="auto"/>
        <w:right w:val="none" w:sz="0" w:space="0" w:color="auto"/>
      </w:divBdr>
    </w:div>
    <w:div w:id="2139831133">
      <w:marLeft w:val="480"/>
      <w:marRight w:val="0"/>
      <w:marTop w:val="0"/>
      <w:marBottom w:val="0"/>
      <w:divBdr>
        <w:top w:val="none" w:sz="0" w:space="0" w:color="auto"/>
        <w:left w:val="none" w:sz="0" w:space="0" w:color="auto"/>
        <w:bottom w:val="none" w:sz="0" w:space="0" w:color="auto"/>
        <w:right w:val="none" w:sz="0" w:space="0" w:color="auto"/>
      </w:divBdr>
    </w:div>
    <w:div w:id="2142533215">
      <w:marLeft w:val="480"/>
      <w:marRight w:val="0"/>
      <w:marTop w:val="0"/>
      <w:marBottom w:val="0"/>
      <w:divBdr>
        <w:top w:val="none" w:sz="0" w:space="0" w:color="auto"/>
        <w:left w:val="none" w:sz="0" w:space="0" w:color="auto"/>
        <w:bottom w:val="none" w:sz="0" w:space="0" w:color="auto"/>
        <w:right w:val="none" w:sz="0" w:space="0" w:color="auto"/>
      </w:divBdr>
    </w:div>
    <w:div w:id="2143229653">
      <w:marLeft w:val="480"/>
      <w:marRight w:val="0"/>
      <w:marTop w:val="0"/>
      <w:marBottom w:val="0"/>
      <w:divBdr>
        <w:top w:val="none" w:sz="0" w:space="0" w:color="auto"/>
        <w:left w:val="none" w:sz="0" w:space="0" w:color="auto"/>
        <w:bottom w:val="none" w:sz="0" w:space="0" w:color="auto"/>
        <w:right w:val="none" w:sz="0" w:space="0" w:color="auto"/>
      </w:divBdr>
    </w:div>
    <w:div w:id="2144107598">
      <w:marLeft w:val="480"/>
      <w:marRight w:val="0"/>
      <w:marTop w:val="0"/>
      <w:marBottom w:val="0"/>
      <w:divBdr>
        <w:top w:val="none" w:sz="0" w:space="0" w:color="auto"/>
        <w:left w:val="none" w:sz="0" w:space="0" w:color="auto"/>
        <w:bottom w:val="none" w:sz="0" w:space="0" w:color="auto"/>
        <w:right w:val="none" w:sz="0" w:space="0" w:color="auto"/>
      </w:divBdr>
    </w:div>
    <w:div w:id="2144881247">
      <w:marLeft w:val="480"/>
      <w:marRight w:val="0"/>
      <w:marTop w:val="0"/>
      <w:marBottom w:val="0"/>
      <w:divBdr>
        <w:top w:val="none" w:sz="0" w:space="0" w:color="auto"/>
        <w:left w:val="none" w:sz="0" w:space="0" w:color="auto"/>
        <w:bottom w:val="none" w:sz="0" w:space="0" w:color="auto"/>
        <w:right w:val="none" w:sz="0" w:space="0" w:color="auto"/>
      </w:divBdr>
    </w:div>
    <w:div w:id="2145267721">
      <w:marLeft w:val="480"/>
      <w:marRight w:val="0"/>
      <w:marTop w:val="0"/>
      <w:marBottom w:val="0"/>
      <w:divBdr>
        <w:top w:val="none" w:sz="0" w:space="0" w:color="auto"/>
        <w:left w:val="none" w:sz="0" w:space="0" w:color="auto"/>
        <w:bottom w:val="none" w:sz="0" w:space="0" w:color="auto"/>
        <w:right w:val="none" w:sz="0" w:space="0" w:color="auto"/>
      </w:divBdr>
    </w:div>
    <w:div w:id="2146845770">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3.bin"/><Relationship Id="rId21" Type="http://schemas.openxmlformats.org/officeDocument/2006/relationships/hyperlink" Target="https://doi.org/10.1016/j.retrec.2025.101608" TargetMode="External"/><Relationship Id="rId42" Type="http://schemas.openxmlformats.org/officeDocument/2006/relationships/hyperlink" Target="https://doi.org/10.1177/03611981231198836" TargetMode="External"/><Relationship Id="rId63" Type="http://schemas.openxmlformats.org/officeDocument/2006/relationships/oleObject" Target="embeddings/oleObject6.bin"/><Relationship Id="rId84" Type="http://schemas.openxmlformats.org/officeDocument/2006/relationships/image" Target="media/image19.wmf"/><Relationship Id="rId138" Type="http://schemas.openxmlformats.org/officeDocument/2006/relationships/image" Target="media/image46.wmf"/><Relationship Id="rId159" Type="http://schemas.openxmlformats.org/officeDocument/2006/relationships/oleObject" Target="embeddings/oleObject54.bin"/><Relationship Id="rId107" Type="http://schemas.openxmlformats.org/officeDocument/2006/relationships/oleObject" Target="embeddings/oleObject28.bin"/><Relationship Id="rId11" Type="http://schemas.openxmlformats.org/officeDocument/2006/relationships/hyperlink" Target="mailto:jinghaih@asu.edu" TargetMode="External"/><Relationship Id="rId32" Type="http://schemas.openxmlformats.org/officeDocument/2006/relationships/hyperlink" Target="https://doi.org/10.1016/j.trip.2024.101296" TargetMode="External"/><Relationship Id="rId53" Type="http://schemas.openxmlformats.org/officeDocument/2006/relationships/oleObject" Target="embeddings/oleObject1.bin"/><Relationship Id="rId74" Type="http://schemas.openxmlformats.org/officeDocument/2006/relationships/image" Target="media/image14.wmf"/><Relationship Id="rId128" Type="http://schemas.openxmlformats.org/officeDocument/2006/relationships/image" Target="media/image41.wmf"/><Relationship Id="rId149" Type="http://schemas.openxmlformats.org/officeDocument/2006/relationships/oleObject" Target="embeddings/oleObject49.bin"/><Relationship Id="rId5" Type="http://schemas.openxmlformats.org/officeDocument/2006/relationships/webSettings" Target="webSettings.xml"/><Relationship Id="rId95" Type="http://schemas.openxmlformats.org/officeDocument/2006/relationships/oleObject" Target="embeddings/oleObject22.bin"/><Relationship Id="rId160" Type="http://schemas.openxmlformats.org/officeDocument/2006/relationships/image" Target="media/image57.wmf"/><Relationship Id="rId22" Type="http://schemas.openxmlformats.org/officeDocument/2006/relationships/hyperlink" Target="https://doi.org/10.1016/j.trb.2018.01.011" TargetMode="External"/><Relationship Id="rId43" Type="http://schemas.openxmlformats.org/officeDocument/2006/relationships/hyperlink" Target="https://doi.org/10.1080/01944363.2024.2385327" TargetMode="External"/><Relationship Id="rId64" Type="http://schemas.openxmlformats.org/officeDocument/2006/relationships/image" Target="media/image9.wmf"/><Relationship Id="rId118" Type="http://schemas.openxmlformats.org/officeDocument/2006/relationships/image" Target="media/image36.wmf"/><Relationship Id="rId139" Type="http://schemas.openxmlformats.org/officeDocument/2006/relationships/oleObject" Target="embeddings/oleObject44.bin"/><Relationship Id="rId85" Type="http://schemas.openxmlformats.org/officeDocument/2006/relationships/oleObject" Target="embeddings/oleObject17.bin"/><Relationship Id="rId150" Type="http://schemas.openxmlformats.org/officeDocument/2006/relationships/image" Target="media/image52.wmf"/><Relationship Id="rId12" Type="http://schemas.openxmlformats.org/officeDocument/2006/relationships/hyperlink" Target="mailto:sepolzin@asu.edu" TargetMode="External"/><Relationship Id="rId17" Type="http://schemas.openxmlformats.org/officeDocument/2006/relationships/image" Target="media/image2.png"/><Relationship Id="rId33" Type="http://schemas.openxmlformats.org/officeDocument/2006/relationships/hyperlink" Target="https://doi.org/10.1177/0361198119837193" TargetMode="External"/><Relationship Id="rId38" Type="http://schemas.openxmlformats.org/officeDocument/2006/relationships/hyperlink" Target="https://doi.org/10.1016/j.jtrangeo.2024.104058" TargetMode="External"/><Relationship Id="rId59" Type="http://schemas.openxmlformats.org/officeDocument/2006/relationships/oleObject" Target="embeddings/oleObject4.bin"/><Relationship Id="rId103" Type="http://schemas.openxmlformats.org/officeDocument/2006/relationships/oleObject" Target="embeddings/oleObject26.bin"/><Relationship Id="rId108" Type="http://schemas.openxmlformats.org/officeDocument/2006/relationships/image" Target="media/image31.wmf"/><Relationship Id="rId124" Type="http://schemas.openxmlformats.org/officeDocument/2006/relationships/image" Target="media/image39.wmf"/><Relationship Id="rId129" Type="http://schemas.openxmlformats.org/officeDocument/2006/relationships/oleObject" Target="embeddings/oleObject39.bin"/><Relationship Id="rId54" Type="http://schemas.openxmlformats.org/officeDocument/2006/relationships/image" Target="media/image4.wmf"/><Relationship Id="rId70" Type="http://schemas.openxmlformats.org/officeDocument/2006/relationships/image" Target="media/image12.wmf"/><Relationship Id="rId75" Type="http://schemas.openxmlformats.org/officeDocument/2006/relationships/oleObject" Target="embeddings/oleObject12.bin"/><Relationship Id="rId91" Type="http://schemas.openxmlformats.org/officeDocument/2006/relationships/oleObject" Target="embeddings/oleObject20.bin"/><Relationship Id="rId96" Type="http://schemas.openxmlformats.org/officeDocument/2006/relationships/image" Target="media/image25.wmf"/><Relationship Id="rId140" Type="http://schemas.openxmlformats.org/officeDocument/2006/relationships/image" Target="media/image47.wmf"/><Relationship Id="rId145" Type="http://schemas.openxmlformats.org/officeDocument/2006/relationships/oleObject" Target="embeddings/oleObject47.bin"/><Relationship Id="rId161" Type="http://schemas.openxmlformats.org/officeDocument/2006/relationships/oleObject" Target="embeddings/oleObject55.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16/j.jth.2022.101491" TargetMode="External"/><Relationship Id="rId28" Type="http://schemas.openxmlformats.org/officeDocument/2006/relationships/hyperlink" Target="https://doi.org/10.1016/j.tra.2022.04.006" TargetMode="External"/><Relationship Id="rId49" Type="http://schemas.openxmlformats.org/officeDocument/2006/relationships/hyperlink" Target="https://doi.org/10.1007/s11116-023-10429-6" TargetMode="External"/><Relationship Id="rId114" Type="http://schemas.openxmlformats.org/officeDocument/2006/relationships/image" Target="media/image34.wmf"/><Relationship Id="rId119" Type="http://schemas.openxmlformats.org/officeDocument/2006/relationships/oleObject" Target="embeddings/oleObject34.bin"/><Relationship Id="rId44" Type="http://schemas.openxmlformats.org/officeDocument/2006/relationships/hyperlink" Target="https://doi.org/10.1177/03611981241240754" TargetMode="External"/><Relationship Id="rId60" Type="http://schemas.openxmlformats.org/officeDocument/2006/relationships/image" Target="media/image7.wmf"/><Relationship Id="rId65" Type="http://schemas.openxmlformats.org/officeDocument/2006/relationships/oleObject" Target="embeddings/oleObject7.bin"/><Relationship Id="rId81" Type="http://schemas.openxmlformats.org/officeDocument/2006/relationships/oleObject" Target="embeddings/oleObject15.bin"/><Relationship Id="rId86" Type="http://schemas.openxmlformats.org/officeDocument/2006/relationships/image" Target="media/image20.wmf"/><Relationship Id="rId130" Type="http://schemas.openxmlformats.org/officeDocument/2006/relationships/image" Target="media/image42.wmf"/><Relationship Id="rId135" Type="http://schemas.openxmlformats.org/officeDocument/2006/relationships/oleObject" Target="embeddings/oleObject42.bin"/><Relationship Id="rId151" Type="http://schemas.openxmlformats.org/officeDocument/2006/relationships/oleObject" Target="embeddings/oleObject50.bin"/><Relationship Id="rId156" Type="http://schemas.openxmlformats.org/officeDocument/2006/relationships/image" Target="media/image55.wmf"/><Relationship Id="rId13" Type="http://schemas.openxmlformats.org/officeDocument/2006/relationships/hyperlink" Target="mailto:ram.pendyala@asu.edu" TargetMode="External"/><Relationship Id="rId18" Type="http://schemas.openxmlformats.org/officeDocument/2006/relationships/footer" Target="footer2.xml"/><Relationship Id="rId39" Type="http://schemas.openxmlformats.org/officeDocument/2006/relationships/hyperlink" Target="https://doi.org/10.1177/03611981231171914" TargetMode="External"/><Relationship Id="rId109" Type="http://schemas.openxmlformats.org/officeDocument/2006/relationships/oleObject" Target="embeddings/oleObject29.bin"/><Relationship Id="rId34" Type="http://schemas.openxmlformats.org/officeDocument/2006/relationships/hyperlink" Target="https://doi.org/10.1016/j.jth.2025.102161" TargetMode="External"/><Relationship Id="rId50" Type="http://schemas.openxmlformats.org/officeDocument/2006/relationships/hyperlink" Target="https://doi.org/10.1016/j.jth.2025.101982" TargetMode="External"/><Relationship Id="rId55" Type="http://schemas.openxmlformats.org/officeDocument/2006/relationships/oleObject" Target="embeddings/oleObject2.bin"/><Relationship Id="rId76" Type="http://schemas.openxmlformats.org/officeDocument/2006/relationships/image" Target="media/image15.wmf"/><Relationship Id="rId97" Type="http://schemas.openxmlformats.org/officeDocument/2006/relationships/oleObject" Target="embeddings/oleObject23.bin"/><Relationship Id="rId104" Type="http://schemas.openxmlformats.org/officeDocument/2006/relationships/image" Target="media/image29.wmf"/><Relationship Id="rId120" Type="http://schemas.openxmlformats.org/officeDocument/2006/relationships/image" Target="media/image37.wmf"/><Relationship Id="rId125" Type="http://schemas.openxmlformats.org/officeDocument/2006/relationships/oleObject" Target="embeddings/oleObject37.bin"/><Relationship Id="rId141" Type="http://schemas.openxmlformats.org/officeDocument/2006/relationships/oleObject" Target="embeddings/oleObject45.bin"/><Relationship Id="rId146" Type="http://schemas.openxmlformats.org/officeDocument/2006/relationships/image" Target="media/image50.wmf"/><Relationship Id="rId7" Type="http://schemas.openxmlformats.org/officeDocument/2006/relationships/endnotes" Target="endnotes.xml"/><Relationship Id="rId71" Type="http://schemas.openxmlformats.org/officeDocument/2006/relationships/oleObject" Target="embeddings/oleObject10.bin"/><Relationship Id="rId92" Type="http://schemas.openxmlformats.org/officeDocument/2006/relationships/image" Target="media/image23.wmf"/><Relationship Id="rId162" Type="http://schemas.openxmlformats.org/officeDocument/2006/relationships/image" Target="media/image58.wmf"/><Relationship Id="rId2" Type="http://schemas.openxmlformats.org/officeDocument/2006/relationships/numbering" Target="numbering.xml"/><Relationship Id="rId29" Type="http://schemas.openxmlformats.org/officeDocument/2006/relationships/hyperlink" Target="https://doi.org/10.1080/01944361003766766" TargetMode="External"/><Relationship Id="rId24" Type="http://schemas.openxmlformats.org/officeDocument/2006/relationships/hyperlink" Target="https://doi.org/10.1016/j.tra.2018.07.005" TargetMode="External"/><Relationship Id="rId40" Type="http://schemas.openxmlformats.org/officeDocument/2006/relationships/hyperlink" Target="https://doi.org/10.1007/s11116-021-10245-w" TargetMode="External"/><Relationship Id="rId45" Type="http://schemas.openxmlformats.org/officeDocument/2006/relationships/hyperlink" Target="https://doi.org/10.5038/2375-0901.12.1.3" TargetMode="External"/><Relationship Id="rId66" Type="http://schemas.openxmlformats.org/officeDocument/2006/relationships/image" Target="media/image10.wmf"/><Relationship Id="rId87" Type="http://schemas.openxmlformats.org/officeDocument/2006/relationships/oleObject" Target="embeddings/oleObject18.bin"/><Relationship Id="rId110" Type="http://schemas.openxmlformats.org/officeDocument/2006/relationships/image" Target="media/image32.wmf"/><Relationship Id="rId115" Type="http://schemas.openxmlformats.org/officeDocument/2006/relationships/oleObject" Target="embeddings/oleObject32.bin"/><Relationship Id="rId131" Type="http://schemas.openxmlformats.org/officeDocument/2006/relationships/oleObject" Target="embeddings/oleObject40.bin"/><Relationship Id="rId136" Type="http://schemas.openxmlformats.org/officeDocument/2006/relationships/image" Target="media/image45.wmf"/><Relationship Id="rId157" Type="http://schemas.openxmlformats.org/officeDocument/2006/relationships/oleObject" Target="embeddings/oleObject53.bin"/><Relationship Id="rId61" Type="http://schemas.openxmlformats.org/officeDocument/2006/relationships/oleObject" Target="embeddings/oleObject5.bin"/><Relationship Id="rId82" Type="http://schemas.openxmlformats.org/officeDocument/2006/relationships/image" Target="media/image18.wmf"/><Relationship Id="rId152" Type="http://schemas.openxmlformats.org/officeDocument/2006/relationships/image" Target="media/image53.wmf"/><Relationship Id="rId19" Type="http://schemas.openxmlformats.org/officeDocument/2006/relationships/hyperlink" Target="https://doi.org/10.1177/0361198118758677" TargetMode="External"/><Relationship Id="rId14" Type="http://schemas.openxmlformats.org/officeDocument/2006/relationships/hyperlink" Target="mailto:bhat@mail.utexas.edu" TargetMode="External"/><Relationship Id="rId30" Type="http://schemas.openxmlformats.org/officeDocument/2006/relationships/hyperlink" Target="https://doi.org/10.1016/j.tra.2016.04.012" TargetMode="External"/><Relationship Id="rId35" Type="http://schemas.openxmlformats.org/officeDocument/2006/relationships/hyperlink" Target="https://doi.org/10.1177/0739456X18823252" TargetMode="External"/><Relationship Id="rId56" Type="http://schemas.openxmlformats.org/officeDocument/2006/relationships/image" Target="media/image5.wmf"/><Relationship Id="rId77" Type="http://schemas.openxmlformats.org/officeDocument/2006/relationships/oleObject" Target="embeddings/oleObject13.bin"/><Relationship Id="rId100" Type="http://schemas.openxmlformats.org/officeDocument/2006/relationships/image" Target="media/image27.wmf"/><Relationship Id="rId105" Type="http://schemas.openxmlformats.org/officeDocument/2006/relationships/oleObject" Target="embeddings/oleObject27.bin"/><Relationship Id="rId126" Type="http://schemas.openxmlformats.org/officeDocument/2006/relationships/image" Target="media/image40.wmf"/><Relationship Id="rId147" Type="http://schemas.openxmlformats.org/officeDocument/2006/relationships/oleObject" Target="embeddings/oleObject48.bin"/><Relationship Id="rId8" Type="http://schemas.openxmlformats.org/officeDocument/2006/relationships/hyperlink" Target="mailto:ih6446@my.utexas.edu" TargetMode="External"/><Relationship Id="rId51" Type="http://schemas.openxmlformats.org/officeDocument/2006/relationships/hyperlink" Target="https://doi.org/10.3141/2034-03" TargetMode="External"/><Relationship Id="rId72" Type="http://schemas.openxmlformats.org/officeDocument/2006/relationships/image" Target="media/image13.wmf"/><Relationship Id="rId93" Type="http://schemas.openxmlformats.org/officeDocument/2006/relationships/oleObject" Target="embeddings/oleObject21.bin"/><Relationship Id="rId98" Type="http://schemas.openxmlformats.org/officeDocument/2006/relationships/image" Target="media/image26.wmf"/><Relationship Id="rId121" Type="http://schemas.openxmlformats.org/officeDocument/2006/relationships/oleObject" Target="embeddings/oleObject35.bin"/><Relationship Id="rId142" Type="http://schemas.openxmlformats.org/officeDocument/2006/relationships/image" Target="media/image48.wmf"/><Relationship Id="rId163" Type="http://schemas.openxmlformats.org/officeDocument/2006/relationships/oleObject" Target="embeddings/oleObject56.bin"/><Relationship Id="rId3" Type="http://schemas.openxmlformats.org/officeDocument/2006/relationships/styles" Target="styles.xml"/><Relationship Id="rId25" Type="http://schemas.openxmlformats.org/officeDocument/2006/relationships/hyperlink" Target="https://doi.org/10.1016/j.tranpol.2017.09.016" TargetMode="External"/><Relationship Id="rId46" Type="http://schemas.openxmlformats.org/officeDocument/2006/relationships/hyperlink" Target="https://doi.org/10.1016/j.tra.2021.11.016" TargetMode="External"/><Relationship Id="rId67" Type="http://schemas.openxmlformats.org/officeDocument/2006/relationships/oleObject" Target="embeddings/oleObject8.bin"/><Relationship Id="rId116" Type="http://schemas.openxmlformats.org/officeDocument/2006/relationships/image" Target="media/image35.wmf"/><Relationship Id="rId137" Type="http://schemas.openxmlformats.org/officeDocument/2006/relationships/oleObject" Target="embeddings/oleObject43.bin"/><Relationship Id="rId158" Type="http://schemas.openxmlformats.org/officeDocument/2006/relationships/image" Target="media/image56.wmf"/><Relationship Id="rId20" Type="http://schemas.openxmlformats.org/officeDocument/2006/relationships/hyperlink" Target="https://doi.org/10.1016/j.tra.2025.104584" TargetMode="External"/><Relationship Id="rId41" Type="http://schemas.openxmlformats.org/officeDocument/2006/relationships/hyperlink" Target="https://doi.org/10.17226/26103" TargetMode="External"/><Relationship Id="rId62" Type="http://schemas.openxmlformats.org/officeDocument/2006/relationships/image" Target="media/image8.wmf"/><Relationship Id="rId83" Type="http://schemas.openxmlformats.org/officeDocument/2006/relationships/oleObject" Target="embeddings/oleObject16.bin"/><Relationship Id="rId88" Type="http://schemas.openxmlformats.org/officeDocument/2006/relationships/image" Target="media/image21.wmf"/><Relationship Id="rId111" Type="http://schemas.openxmlformats.org/officeDocument/2006/relationships/oleObject" Target="embeddings/oleObject30.bin"/><Relationship Id="rId132" Type="http://schemas.openxmlformats.org/officeDocument/2006/relationships/image" Target="media/image43.wmf"/><Relationship Id="rId153" Type="http://schemas.openxmlformats.org/officeDocument/2006/relationships/oleObject" Target="embeddings/oleObject51.bin"/><Relationship Id="rId15" Type="http://schemas.openxmlformats.org/officeDocument/2006/relationships/footer" Target="footer1.xml"/><Relationship Id="rId36" Type="http://schemas.openxmlformats.org/officeDocument/2006/relationships/hyperlink" Target="https://doi.org/10.1016/j.jtrangeo.2019.102601" TargetMode="External"/><Relationship Id="rId57" Type="http://schemas.openxmlformats.org/officeDocument/2006/relationships/oleObject" Target="embeddings/oleObject3.bin"/><Relationship Id="rId106" Type="http://schemas.openxmlformats.org/officeDocument/2006/relationships/image" Target="media/image30.wmf"/><Relationship Id="rId127" Type="http://schemas.openxmlformats.org/officeDocument/2006/relationships/oleObject" Target="embeddings/oleObject38.bin"/><Relationship Id="rId10" Type="http://schemas.openxmlformats.org/officeDocument/2006/relationships/hyperlink" Target="mailto:ibatur@asu.edu" TargetMode="External"/><Relationship Id="rId31" Type="http://schemas.openxmlformats.org/officeDocument/2006/relationships/hyperlink" Target="https://doi.org/10.1016/j.trd.2022.103217" TargetMode="External"/><Relationship Id="rId52" Type="http://schemas.openxmlformats.org/officeDocument/2006/relationships/image" Target="media/image3.wmf"/><Relationship Id="rId73" Type="http://schemas.openxmlformats.org/officeDocument/2006/relationships/oleObject" Target="embeddings/oleObject11.bin"/><Relationship Id="rId78" Type="http://schemas.openxmlformats.org/officeDocument/2006/relationships/image" Target="media/image16.wmf"/><Relationship Id="rId94" Type="http://schemas.openxmlformats.org/officeDocument/2006/relationships/image" Target="media/image24.wmf"/><Relationship Id="rId99" Type="http://schemas.openxmlformats.org/officeDocument/2006/relationships/oleObject" Target="embeddings/oleObject24.bin"/><Relationship Id="rId101" Type="http://schemas.openxmlformats.org/officeDocument/2006/relationships/oleObject" Target="embeddings/oleObject25.bin"/><Relationship Id="rId122" Type="http://schemas.openxmlformats.org/officeDocument/2006/relationships/image" Target="media/image38.wmf"/><Relationship Id="rId143" Type="http://schemas.openxmlformats.org/officeDocument/2006/relationships/oleObject" Target="embeddings/oleObject46.bin"/><Relationship Id="rId148" Type="http://schemas.openxmlformats.org/officeDocument/2006/relationships/image" Target="media/image51.wmf"/><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r4836@utexas.edu" TargetMode="External"/><Relationship Id="rId26" Type="http://schemas.openxmlformats.org/officeDocument/2006/relationships/hyperlink" Target="https://doi.org/10.5038/2375-0901.3.4.1" TargetMode="External"/><Relationship Id="rId47" Type="http://schemas.openxmlformats.org/officeDocument/2006/relationships/hyperlink" Target="https://doi.org/10.1016/j.jth.2019.04.006" TargetMode="External"/><Relationship Id="rId68" Type="http://schemas.openxmlformats.org/officeDocument/2006/relationships/image" Target="media/image11.wmf"/><Relationship Id="rId89" Type="http://schemas.openxmlformats.org/officeDocument/2006/relationships/oleObject" Target="embeddings/oleObject19.bin"/><Relationship Id="rId112" Type="http://schemas.openxmlformats.org/officeDocument/2006/relationships/image" Target="media/image33.wmf"/><Relationship Id="rId133" Type="http://schemas.openxmlformats.org/officeDocument/2006/relationships/oleObject" Target="embeddings/oleObject41.bin"/><Relationship Id="rId154" Type="http://schemas.openxmlformats.org/officeDocument/2006/relationships/image" Target="media/image54.wmf"/><Relationship Id="rId16" Type="http://schemas.openxmlformats.org/officeDocument/2006/relationships/image" Target="media/image1.png"/><Relationship Id="rId37" Type="http://schemas.openxmlformats.org/officeDocument/2006/relationships/hyperlink" Target="https://doi.org/10.1016/j.trd.2021.102877" TargetMode="External"/><Relationship Id="rId58" Type="http://schemas.openxmlformats.org/officeDocument/2006/relationships/image" Target="media/image6.wmf"/><Relationship Id="rId79" Type="http://schemas.openxmlformats.org/officeDocument/2006/relationships/oleObject" Target="embeddings/oleObject14.bin"/><Relationship Id="rId102" Type="http://schemas.openxmlformats.org/officeDocument/2006/relationships/image" Target="media/image28.wmf"/><Relationship Id="rId123" Type="http://schemas.openxmlformats.org/officeDocument/2006/relationships/oleObject" Target="embeddings/oleObject36.bin"/><Relationship Id="rId144" Type="http://schemas.openxmlformats.org/officeDocument/2006/relationships/image" Target="media/image49.wmf"/><Relationship Id="rId90" Type="http://schemas.openxmlformats.org/officeDocument/2006/relationships/image" Target="media/image22.wmf"/><Relationship Id="rId165" Type="http://schemas.openxmlformats.org/officeDocument/2006/relationships/theme" Target="theme/theme1.xml"/><Relationship Id="rId27" Type="http://schemas.openxmlformats.org/officeDocument/2006/relationships/hyperlink" Target="https://doi.org/10.1038/s41893-020-00678-z" TargetMode="External"/><Relationship Id="rId48" Type="http://schemas.openxmlformats.org/officeDocument/2006/relationships/hyperlink" Target="https://doi.org/10.1080/01441647.2025.2457091" TargetMode="External"/><Relationship Id="rId69" Type="http://schemas.openxmlformats.org/officeDocument/2006/relationships/oleObject" Target="embeddings/oleObject9.bin"/><Relationship Id="rId113" Type="http://schemas.openxmlformats.org/officeDocument/2006/relationships/oleObject" Target="embeddings/oleObject31.bin"/><Relationship Id="rId134" Type="http://schemas.openxmlformats.org/officeDocument/2006/relationships/image" Target="media/image44.wmf"/><Relationship Id="rId80" Type="http://schemas.openxmlformats.org/officeDocument/2006/relationships/image" Target="media/image17.wmf"/><Relationship Id="rId155" Type="http://schemas.openxmlformats.org/officeDocument/2006/relationships/oleObject" Target="embeddings/oleObject5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ACC72F-1383-4105-8226-3E78FBA56C34}">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84113905293"/>
    <we:property name="MENDELEY_CITATIONS" value="[{&quot;citationID&quot;:&quot;MENDELEY_CITATION_106d2a3e-a8bc-4670-9d83-8b373f0dcadc&quot;,&quot;properties&quot;:{&quot;noteIndex&quot;:0},&quot;isEdited&quot;:false,&quot;manualOverride&quot;:{&quot;isManuallyOverridden&quot;:true,&quot;citeprocText&quot;:&quot;(Brand et al., 2021; Ding et al., 2024; Millard-Ball et al., 2025)&quot;,&quot;manualOverrideText&quot;:&quot;(see, for example, Brand et al., 2021; Ding et al., 2024; Millard-Ball et al., 2025)&quot;},&quot;citationTag&quot;:&quot;MENDELEY_CITATION_v3_eyJjaXRhdGlvbklEIjoiTUVOREVMRVlfQ0lUQVRJT05fMTA2ZDJhM2UtYThiYy00NjcwLTlkODMtOGIzNzNmMGRjYWRjIiwicHJvcGVydGllcyI6eyJub3RlSW5kZXgiOjB9LCJpc0VkaXRlZCI6ZmFsc2UsIm1hbnVhbE92ZXJyaWRlIjp7ImlzTWFudWFsbHlPdmVycmlkZGVuIjp0cnVlLCJjaXRlcHJvY1RleHQiOiIoQnJhbmQgZXQgYWwuLCAyMDIxOyBEaW5nIGV0IGFsLiwgMjAyNDsgTWlsbGFyZC1CYWxsIGV0IGFsLiwgMjAyNSkiLCJtYW51YWxPdmVycmlkZVRleHQiOiIoc2VlLCBmb3IgZXhhbXBsZSwgQnJhbmQgZXQgYWwuLCAyMDIxOyBEaW5nIGV0IGFsLiwgMjAyNDsgTWlsbGFyZC1CYWxsIGV0IGFsLiwgMjAyNSkifSwiY2l0YXRpb25JdGVtcyI6W3siaWQiOiJlYTYyZTFiMC04NWJkLTNhYTgtOWY5MC0yZGZjZWZmNTU4MjEiLCJpdGVtRGF0YSI6eyJ0eXBlIjoiYXJ0aWNsZS1qb3VybmFsIiwiaWQiOiJlYTYyZTFiMC04NWJkLTNhYTgtOWY5MC0yZGZjZWZmNTU4MjEiLCJ0aXRsZSI6IlRoZSBjbGltYXRlIGNoYW5nZSBtaXRpZ2F0aW9uIGltcGFjdHMgb2YgYWN0aXZlIHRyYXZlbDogRXZpZGVuY2UgZnJvbSBhIGxvbmdpdHVkaW5hbCBwYW5lbCBzdHVkeSBpbiBzZXZlbiBFdXJvcGVhbiBjaXRpZXMiLCJhdXRob3IiOlt7ImZhbWlseSI6IkJyYW5kIiwiZ2l2ZW4iOiJDaHJpc3RpYW4iLCJwYXJzZS1uYW1lcyI6ZmFsc2UsImRyb3BwaW5nLXBhcnRpY2xlIjoiIiwibm9uLWRyb3BwaW5nLXBhcnRpY2xlIjoiIn0seyJmYW1pbHkiOiJHw7Z0c2NoaSIsImdpdmVuIjoiVGhvbWFzIiwicGFyc2UtbmFtZXMiOmZhbHNlLCJkcm9wcGluZy1wYXJ0aWNsZSI6IiIsIm5vbi1kcm9wcGluZy1wYXJ0aWNsZSI6IiJ9LHsiZmFtaWx5IjoiRG9ucyIsImdpdmVuIjoiRXZpIiwicGFyc2UtbmFtZXMiOmZhbHNlLCJkcm9wcGluZy1wYXJ0aWNsZSI6IiIsIm5vbi1kcm9wcGluZy1wYXJ0aWNsZSI6IiJ9LHsiZmFtaWx5IjoiR2VyaWtlIiwiZ2l2ZW4iOiJSZWdpbmUiLCJwYXJzZS1uYW1lcyI6ZmFsc2UsImRyb3BwaW5nLXBhcnRpY2xlIjoiIiwibm9uLWRyb3BwaW5nLXBhcnRpY2xlIjoiIn0seyJmYW1pbHkiOiJBbmF5YS1Cb2lnIiwiZ2l2ZW4iOiJFc3RoZXIiLCJwYXJzZS1uYW1lcyI6ZmFsc2UsImRyb3BwaW5nLXBhcnRpY2xlIjoiIiwibm9uLWRyb3BwaW5nLXBhcnRpY2xlIjoiIn0seyJmYW1pbHkiOiJBdmlsYS1QYWxlbmNpYSIsImdpdmVuIjoiSW9uZSIsInBhcnNlLW5hbWVzIjpmYWxzZSwiZHJvcHBpbmctcGFydGljbGUiOiIiLCJub24tZHJvcHBpbmctcGFydGljbGUiOiIifSx7ImZhbWlseSI6Ik5hemVsbGUiLCJnaXZlbiI6IkF1ZHJleSIsInBhcnNlLW5hbWVzIjpmYWxzZSwiZHJvcHBpbmctcGFydGljbGUiOiIiLCJub24tZHJvcHBpbmctcGFydGljbGUiOiJkZSJ9LHsiZmFtaWx5IjoiR2FzY29uIiwiZ2l2ZW4iOiJNaXJlaWEiLCJwYXJzZS1uYW1lcyI6ZmFsc2UsImRyb3BwaW5nLXBhcnRpY2xlIjoiIiwibm9uLWRyb3BwaW5nLXBhcnRpY2xlIjoiIn0seyJmYW1pbHkiOiJHYXVwcC1CZXJnaGF1c2VuIiwiZ2l2ZW4iOiJNYWlsaW4iLCJwYXJzZS1uYW1lcyI6ZmFsc2UsImRyb3BwaW5nLXBhcnRpY2xlIjoiIiwibm9uLWRyb3BwaW5nLXBhcnRpY2xlIjoiIn0seyJmYW1pbHkiOiJJYWNvcm9zc2kiLCJnaXZlbiI6IkZyYW5jZXNjbyIsInBhcnNlLW5hbWVzIjpmYWxzZSwiZHJvcHBpbmctcGFydGljbGUiOiIiLCJub24tZHJvcHBpbmctcGFydGljbGUiOiIifSx7ImZhbWlseSI6IkthaGxtZWllciIsImdpdmVuIjoiU29uamEiLCJwYXJzZS1uYW1lcyI6ZmFsc2UsImRyb3BwaW5nLXBhcnRpY2xlIjoiIiwibm9uLWRyb3BwaW5nLXBhcnRpY2xlIjoiIn0seyJmYW1pbHkiOiJJbnQgUGFuaXMiLCJnaXZlbiI6Ikx1YyIsInBhcnNlLW5hbWVzIjpmYWxzZSwiZHJvcHBpbmctcGFydGljbGUiOiIiLCJub24tZHJvcHBpbmctcGFydGljbGUiOiIifSx7ImZhbWlseSI6IlJhY2lvcHBpIiwiZ2l2ZW4iOiJGcmFuY2VzY2EiLCJwYXJzZS1uYW1lcyI6ZmFsc2UsImRyb3BwaW5nLXBhcnRpY2xlIjoiIiwibm9uLWRyb3BwaW5nLXBhcnRpY2xlIjoiIn0seyJmYW1pbHkiOiJSb2phcy1SdWVkYSIsImdpdmVuIjoiRGF2aWQiLCJwYXJzZS1uYW1lcyI6ZmFsc2UsImRyb3BwaW5nLXBhcnRpY2xlIjoiIiwibm9uLWRyb3BwaW5nLXBhcnRpY2xlIjoiIn0seyJmYW1pbHkiOiJTdGFuZGFlcnQiLCJnaXZlbiI6IkFybm91dCIsInBhcnNlLW5hbWVzIjpmYWxzZSwiZHJvcHBpbmctcGFydGljbGUiOiIiLCJub24tZHJvcHBpbmctcGFydGljbGUiOiIifSx7ImZhbWlseSI6IlN0aWdlbGwiLCJnaXZlbiI6IkVyaWsiLCJwYXJzZS1uYW1lcyI6ZmFsc2UsImRyb3BwaW5nLXBhcnRpY2xlIjoiIiwibm9uLWRyb3BwaW5nLXBhcnRpY2xlIjoiIn0seyJmYW1pbHkiOiJTdWxpa292YSIsImdpdmVuIjoiU2ltb25hIiwicGFyc2UtbmFtZXMiOmZhbHNlLCJkcm9wcGluZy1wYXJ0aWNsZSI6IiIsIm5vbi1kcm9wcGluZy1wYXJ0aWNsZSI6IiJ9LHsiZmFtaWx5IjoiV2VnZW5lciIsImdpdmVuIjoiU2FuZHJhIiwicGFyc2UtbmFtZXMiOmZhbHNlLCJkcm9wcGluZy1wYXJ0aWNsZSI6IiIsIm5vbi1kcm9wcGluZy1wYXJ0aWNsZSI6IiJ9LHsiZmFtaWx5IjoiTmlldXdlbmh1aWpzZW4iLCJnaXZlbiI6Ik1hcmsgSi4iLCJwYXJzZS1uYW1lcyI6ZmFsc2UsImRyb3BwaW5nLXBhcnRpY2xlIjoiIiwibm9uLWRyb3BwaW5nLXBhcnRpY2xlIjoiIn1dLCJjb250YWluZXItdGl0bGUiOiJHbG9iYWwgRW52aXJvbm1lbnRhbCBDaGFuZ2UiLCJET0kiOiIxMC4xMDE2L2ouZ2xvZW52Y2hhLjIwMjEuMTAyMjI0IiwiSVNTTiI6IjA5NTkzNzgwIiwiaXNzdWVkIjp7ImRhdGUtcGFydHMiOltbMjAyMSwzLDFdXX0sImFic3RyYWN0IjoiQWN0aXZlIHRyYXZlbCAod2Fsa2luZyBvciBjeWNsaW5nIGZvciB0cmFuc3BvcnQpIGlzIGNvbnNpZGVyZWQgdGhlIG1vc3Qgc3VzdGFpbmFibGUgYW5kIGxvdyBjYXJib24gZm9ybSBvZiBnZXR0aW5nIGZyb20gQSB0byBCLiBZZXQgdGhlIG5ldCBlZmZlY3RzIG9mIGNoYW5nZXMgaW4gYWN0aXZlIHRyYXZlbCBvbiBjaGFuZ2VzIGluIG1vYmlsaXR5LXJlbGF0ZWQgQ08yIGVtaXNzaW9ucyBhcmUgY29tcGxleCBhbmQgdW5kZXItcmVzZWFyY2hlZC4gSGVyZSB3ZSBjb2xsZWN0ZWQgbG9uZ2l0dWRpbmFsIGRhdGEgb24gZGFpbHkgdHJhdmVsIGJlaGF2aW9yLCBqb3VybmV5IHB1cnBvc2UsIGFzIHdlbGwgYXMgcGVyc29uYWwgYW5kIGdlb3NwYXRpYWwgY2hhcmFjdGVyaXN0aWNzIGluIHNldmVuIEV1cm9wZWFuIGNpdGllcyBhbmQgZGVyaXZlZCBtb2JpbGl0eS1yZWxhdGVkIGxpZmVjeWNsZSBDTzIgZW1pc3Npb25zIG92ZXIgdGltZSBhbmQgc3BhY2UuIFN0YXRpc3RpY2FsIG1vZGVsbGluZyBvZiBsb25naXR1ZGluYWwgcGFuZWwgKG4gPSAxODQ5KSBkYXRhIHdhcyBwZXJmb3JtZWQgdG8gYXNzZXNzIGhvdyBjaGFuZ2VzIGluIGFjdGl2ZSB0cmF2ZWwsIHRoZSDigJhtYWluIG1vZGXigJkgb2YgZGFpbHkgdHJhdmVsLCBhbmQgY3ljbGluZyBmcmVxdWVuY3kgaW5mbHVlbmNlZCBjaGFuZ2VzIGluIG1vYmlsaXR5LXJlbGF0ZWQgbGlmZWN5Y2xlIENPMiBlbWlzc2lvbnMuIFdlIGZvdW5kIHRoYXQgY2hhbmdlcyBpbiBhY3RpdmUgdHJhdmVsIGhhdmUgc2lnbmlmaWNhbnQgbGlmZWN5Y2xlIGNhcmJvbiBlbWlzc2lvbnMgYmVuZWZpdHMsIGV2ZW4gaW4gRXVyb3BlYW4gdXJiYW4gY29udGV4dHMgd2l0aCBhbHJlYWR5IGhpZ2ggd2Fsa2luZyBhbmQgY3ljbGluZyBzaGFyZXMuIEFuIGluY3JlYXNlIGluIGN5Y2xpbmcgb3Igd2Fsa2luZyBjb25zaXN0ZW50bHkgYW5kIGluZGVwZW5kZW50bHkgZGVjcmVhc2VkIG1vYmlsaXR5LXJlbGF0ZWQgbGlmZWN5Y2xlIENPMiBlbWlzc2lvbnMsIHN1Z2dlc3RpbmcgdGhhdCBhY3RpdmUgdHJhdmVsIHN1YnN0aXR1dGVkIGZvciBtb3Rvcml6ZWQgdHJhdmVsIOKAkyBpLmUuIHRoZSBpbmNyZWFzZSB3YXMgbm90IGp1c3QgYWRkaXRpb25hbCAoaW5kdWNlZCkgdHJhdmVsIG92ZXIgYW5kIGFib3ZlIG1vdG9yaXplZCB0cmF2ZWwuIFRvIGlsbHVzdHJhdGUgdGhpcywgYW4gYXZlcmFnZSBwZXJzb24gY3ljbGluZyAxIHRyaXAvZGF5IG1vcmUgYW5kIGRyaXZpbmcgMSB0cmlwL2RheSBsZXNzIGZvciAyMDAgZGF5cyBhIHllYXIgd291bGQgZGVjcmVhc2UgbW9iaWxpdHktcmVsYXRlZCBsaWZlY3ljbGUgQ08yIGVtaXNzaW9ucyBieSBhYm91dCAwLjUgdG9ubmVzIG92ZXIgYSB5ZWFyLCByZXByZXNlbnRpbmcgYSBzdWJzdGFudGlhbCBzaGFyZSBvZiBhdmVyYWdlIHBlciBjYXBpdGEgQ08yIGVtaXNzaW9ucyBmcm9tIHRyYW5zcG9ydC4gVGhlIGxhcmdlc3QgYmVuZWZpdHMgZnJvbSBzaGlmdHMgZnJvbSBjYXIgdG8gYWN0aXZlIHRyYXZlbCB3ZXJlIGZvciBidXNpbmVzcyBwdXJwb3NlcywgZm9sbG93ZWQgYnkgc29jaWFsIGFuZCByZWNyZWF0aW9uYWwgdHJpcHMsIGFuZCBjb21tdXRpbmcgdG8gd29yayBvciBwbGFjZSBvZiBlZHVjYXRpb24uIENoYW5nZXMgdG8gY29tbXV0aW5nIGVtaXNzaW9ucyB3ZXJlIG1vcmUgcHJvbm91bmNlZCBmb3IgdGhvc2Ugd2hvIHdlcmUgeW91bmdlciwgbGl2ZWQgY2xvc2VyIHRvIHdvcmsgYW5kIGZ1cnRoZXIgdG8gYSBwdWJsaWMgdHJhbnNwb3J0IHN0YXRpb24uIEV2ZW4gaWYgbm90IGFsbCBjYXIgdHJpcHMgY291bGQgYmUgc3Vic3RpdHV0ZWQgYnkgYWN0aXZlIHRyYXZlbCB0aGUgcG90ZW50aWFsIGZvciBkZWNyZWFzaW5nIGVtaXNzaW9ucyBpcyBjb25zaWRlcmFibGUgYW5kIHNpZ25pZmljYW50LiBUaGUgc3R1ZHkgZ2l2ZXMgcG9saWN5IGFuZCBwcmFjdGljZSB0aGUgZW1waXJpY2FsIGV2aWRlbmNlIG5lZWRlZCB0byBhc3Nlc3MgY2xpbWF0ZSBjaGFuZ2UgbWl0aWdhdGlvbiBpbXBhY3RzIG9mIHVyYmFuIHRyYW5zcG9ydCBtZWFzdXJlcyBhbmQgaW50ZXJ2ZW50aW9ucyBhaW1lZCBhdCBtb2RlIHNoaWZ0IHRvIG1vcmUgc3VzdGFpbmFibGUgbW9kZXMgb2YgdHJhbnNwb3J0LiBJbnZlc3RpbmcgaW4gYW5kIHByb21vdGluZyBhY3RpdmUgdHJhdmVsIHdoaWxzdCDigJhkZW1vdGluZ+KAmSBwcml2YXRlIGNhciBvd25lcnNoaXAgYW5kIHVzZSBzaG91bGQgYmUgYSBjb3JuZXJzdG9uZSBvZiBzdHJhdGVnaWVzIHRvIG1lZXQg4oCYbmV0IHplcm/igJkgY2FyYm9uIHRhcmdldHMsIHBhcnRpY3VsYXJseSBpbiB1cmJhbiBhcmVhcywgd2hpbGUgYWxzbyByZWR1Y2luZyBpbmVxdWFsaXRpZXMgYW5kIGltcHJvdmluZyBwdWJsaWMgaGVhbHRoIGFuZCBxdWFsaXR5IG9mIHVyYmFuIGxpZmUgaW4gYSBwb3N0LUNPVklELTE5IHdvcmxkLiIsInB1Ymxpc2hlciI6IkVsc2V2aWVyIEx0ZCIsInZvbHVtZSI6IjY3IiwiY29udGFpbmVyLXRpdGxlLXNob3J0IjoiIn0sImlzVGVtcG9yYXJ5IjpmYWxzZX0seyJpZCI6IjBlMTllYjI5LTU5NzEtM2FhNS1hYWRmLWQ2ZjgwM2YxZjM1MyIsIml0ZW1EYXRhIjp7InR5cGUiOiJyZXBvcnQiLCJpZCI6IjBlMTllYjI5LTU5NzEtM2FhNS1hYWRmLWQ2ZjgwM2YxZjM1MyIsInRpdGxlIjoiVGhlIGNvLWJlbmVmaXRzIG9mIGFjdGl2ZSB0cmF2ZWwgaW50ZXJ2ZW50aW9ucyBiZXlvbmQgcGh5c2ljYWwgYWN0aXZpdHk6IGEgc3lzdGVtYXRpYyByZXZpZXciLCJhdXRob3IiOlt7ImZhbWlseSI6IkRpbmciLCJnaXZlbiI6IkRpbmciLCJwYXJzZS1uYW1lcyI6ZmFsc2UsImRyb3BwaW5nLXBhcnRpY2xlIjoiIiwibm9uLWRyb3BwaW5nLXBhcnRpY2xlIjoiIn0seyJmYW1pbHkiOiJMdW8iLCJnaXZlbiI6Ik1lbmd5dW4iLCJwYXJzZS1uYW1lcyI6ZmFsc2UsImRyb3BwaW5nLXBhcnRpY2xlIjoiIiwibm9uLWRyb3BwaW5nLXBhcnRpY2xlIjoiIn0seyJmYW1pbHkiOiJJbmZhbnRlIiwiZ2l2ZW4iOiJNYXJpYSBGbG9yZW5jaWEgUGV0cmVsbGkiLCJwYXJzZS1uYW1lcyI6ZmFsc2UsImRyb3BwaW5nLXBhcnRpY2xlIjoiIiwibm9uLWRyb3BwaW5nLXBhcnRpY2xlIjoiIn0seyJmYW1pbHkiOiJHdW5uIiwiZ2l2ZW4iOiJMdWN5IiwicGFyc2UtbmFtZXMiOmZhbHNlLCJkcm9wcGluZy1wYXJ0aWNsZSI6IiIsIm5vbi1kcm9wcGluZy1wYXJ0aWNsZSI6IiJ9LHsiZmFtaWx5IjoiU2Fsdm8iLCJnaXZlbiI6IkRlYm9yYWgiLCJwYXJzZS1uYW1lcyI6ZmFsc2UsImRyb3BwaW5nLXBhcnRpY2xlIjoiIiwibm9uLWRyb3BwaW5nLXBhcnRpY2xlIjoiIn0seyJmYW1pbHkiOiJaYXBhdGEtRGlvbWVkaSIsImdpdmVuIjoiQmVsZW4iLCJwYXJzZS1uYW1lcyI6ZmFsc2UsImRyb3BwaW5nLXBhcnRpY2xlIjoiIiwibm9uLWRyb3BwaW5nLXBhcnRpY2xlIjoiIn0seyJmYW1pbHkiOiJTbWl0aCIsImdpdmVuIjoiQmVuIiwicGFyc2UtbmFtZXMiOmZhbHNlLCJkcm9wcGluZy1wYXJ0aWNsZSI6IiIsIm5vbi1kcm9wcGluZy1wYXJ0aWNsZSI6IiJ9LHsiZmFtaWx5IjoiQmVsbGV3IiwiZ2l2ZW4iOiJXaWxsaWFtIiwicGFyc2UtbmFtZXMiOmZhbHNlLCJkcm9wcGluZy1wYXJ0aWNsZSI6IiIsIm5vbi1kcm9wcGluZy1wYXJ0aWNsZSI6IiJ9LHsiZmFtaWx5IjoiQmF1bWFuIiwiZ2l2ZW4iOiJBZHJpYW4iLCJwYXJzZS1uYW1lcyI6ZmFsc2UsImRyb3BwaW5nLXBhcnRpY2xlIjoiIiwibm9uLWRyb3BwaW5nLXBhcnRpY2xlIjoiIn0seyJmYW1pbHkiOiJOYXUiLCJnaXZlbiI6IlRyYWN5IiwicGFyc2UtbmFtZXMiOmZhbHNlLCJkcm9wcGluZy1wYXJ0aWNsZSI6IiIsIm5vbi1kcm9wcGluZy1wYXJ0aWNsZSI6IiJ9LHsiZmFtaWx5IjoiTmd1eWVuIiwiZ2l2ZW4iOiJCaW5oIiwicGFyc2UtbmFtZXMiOmZhbHNlLCJkcm9wcGluZy1wYXJ0aWNsZSI6IiIsIm5vbi1kcm9wcGluZy1wYXJ0aWNsZSI6IiJ9XSwiY29udGFpbmVyLXRpdGxlIjoiUmV2aWV3IExhbmNldCBQbGFuZXQgSGVhbHRoIiwiRE9JIjoiMTAuMTAxNi9TMjU0Mi01MTk2KDI0KTAwMjAxLTgiLCJVUkwiOiJ3d3cudGhlbGFuY2V0LmNvbS8iLCJpc3N1ZWQiOnsiZGF0ZS1wYXJ0cyI6W1syMDI0XV19LCJhYnN0cmFjdCI6IkFjdGl2ZSB0cmF2ZWwgaXMgYSB3aWRlbHkgcmVjb2duaXNlZCBzdHJhdGVneSBmb3IgcHJvbW90aW5nIGFjdGl2ZSBsaXZpbmcgYnV0IGl0cyBjby1iZW5lZml0cyBiZXlvbmQgaW5jcmVhc2luZyBwaHlzaWNhbCBhY3Rpdml0eSwgc3VjaCBhcyBicm9hZGVyIGhlYWx0aCwgZW52aXJvbm1lbnRhbCwgYW5kIHNvY2lhbCBiZW5lZml0cywgaGF2ZSByYXJlbHkgYmVlbiBzeW50aGVzaXNlZC4gV2UgY29uZHVjdGVkIGEgc3lzdGVtYXRpYyByZXZpZXcgdG8gZXhhbWluZSB0aGUgY28tYmVuZWZpdHMgb2YgYWN0aXZlIHRyYXZlbCBpbnRlcnZlbnRpb25zLiBGb2xsb3dpbmcgYSBwcmVyZWdpc3RlcmVkIHByb3RvY29sIChQUk9TUEVSTyBDUkQ0MjAyMjM1OTA1OSksIHdlIGlkZW50aWZpZWQgODAgc3R1ZGllcyBmb3IgdGhlIHNlYXJjaCBwZXJpb2QgZnJvbSBKYW4gMSwgMjAwMCwgdG8gU2VwdCAxMywgMjAyMi4gQWNyb3NzIHN0dWRpZXMsIHRoZXJlIHdhcyBjb25zaXN0ZW50IGV2aWRlbmNlIHRoYXQgYWN0aXZlIHRyYXZlbCBpbnRlcnZlbnRpb25zIG9mZmVyZWQgY28tYmVuZWZpdHMgYmV5b25kIHBoeXNpY2FsIGFjdGl2aXR5LiBQYXJ0aWN1bGFybHksIDI1ICg3MSUpIG9mIDM1IHN0dWRpZXMgZmF2b3VyZWQgaW1wcm92ZWQgc2FmZXR5IG91dGNvbWVzLCAyMCAoNjclKSBvZiAzMCBzaG93ZWQgaW1wcm92ZWQgaGVhbHRoLCAxNyAoODUlKSBvZiAyMCBzdXBwb3J0ZWQgZWNvbm9taWMgYmVuZWZpdHMsIDE2ICg4NCUpIG9mIDE5IGhpZ2hsaWdodGVkIGltcHJvdmVkIHRyYW5zcG9ydCBxdWFsaXR5LCAxMiAoOTIlKSBvZiAxMyBzaG93ZWQgZW52aXJvbm1lbnRhbCBiZW5lZml0cywgYW5kIGZvdXIgKDgwJSkgb2YgZml2ZSBkb2N1bWVudGVkIHNvY2lhbCBiZW5lZml0cy4gRGVzcGl0ZSB0aGUgb3ZlcmFsbCBsb3ctY2VydGFpbnR5IGV2aWRlbmNlLCBtb3N0bHkgbGltaXRlZCBieSB0aGUgcXVhc2ktZXhwZXJpbWVudGFsIGRlc2lnbiBhbmQgbmF0dXJhbC1leHBlcmltZW50YWwgZGVzaWduIG9mIG1hbnkgb2YgdGhlIHN0dWRpZXMsIGFjdGl2ZSB0cmF2ZWwgaW50ZXJ2ZW50aW9ucyBvZmZlciB1bmlxdWUgb3Bwb3J0dW5pdGllcyB0byBlbmdhZ2Ugc3Rha2Vob2xkZXJzIGFjcm9zcyBzZWN0b3JzIHRvIGpvaW50bHkgYWRkcmVzcyBtYWpvciBzb2NpZXRhbCBpc3N1ZXMsIHN1Y2ggYXMgcGh5c2ljYWwgaW5hY3Rpdml0eSwgdHJhZmZpYyBzYWZldHksIGFuZCBjYXJib24gZW1pc3Npb25zLiBUaGlzIGV2aWRlbmNlIGNhbiBpbmZvcm0gdGhlIGRlc2lnbiwgaW1wbGVtZW50YXRpb24sIGFuZCBldmFsdWF0aW9uIG9mIGFjdGl2ZSB0cmF2ZWwgaW50ZXJ2ZW50aW9ucy4iLCJjb250YWluZXItdGl0bGUtc2hvcnQiOiIifSwiaXNUZW1wb3JhcnkiOmZhbHNlfSx7ImlkIjoiNGZjNTgzODEtMDBjZS0zYWJmLTkzMTktZjdmOWExN2M1YWNjIiwiaXRlbURhdGEiOnsidHlwZSI6ImFydGljbGUtam91cm5hbCIsImlkIjoiNGZjNTgzODEtMDBjZS0zYWJmLTkzMTktZjdmOWExN2M1YWNjIiwidGl0bGUiOiJHbG9iYWwgaGVhbHRoIGFuZCBjbGltYXRlIGJlbmVmaXRzIGZyb20gd2Fsa2luZyBhbmQgY3ljbGluZyBpbmZyYXN0cnVjdHVyZSIsImF1dGhvciI6W3siZmFtaWx5IjoiTWlsbGFyZC1CYWxsIiwiZ2l2ZW4iOiJBZGFtIiwicGFyc2UtbmFtZXMiOmZhbHNlLCJkcm9wcGluZy1wYXJ0aWNsZSI6IiIsIm5vbi1kcm9wcGluZy1wYXJ0aWNsZSI6IiJ9LHsiZmFtaWx5IjoiUmVnaW5hbGQiLCJnaXZlbiI6Ik1vbmlzaGEiLCJwYXJzZS1uYW1lcyI6ZmFsc2UsImRyb3BwaW5nLXBhcnRpY2xlIjoiIiwibm9uLWRyb3BwaW5nLXBhcnRpY2xlIjoiIn0seyJmYW1pbHkiOiJZdXN1ZiIsImdpdmVuIjoiWWFzbWluYSIsInBhcnNlLW5hbWVzIjpmYWxzZSwiZHJvcHBpbmctcGFydGljbGUiOiIiLCJub24tZHJvcHBpbmctcGFydGljbGUiOiIifSx7ImZhbWlseSI6IkJpYW4iLCJnaXZlbiI6IkNocmlzdG9waGVy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ET0kiOiIxMC4xMDczL3BuYXMuMjQyMjMzNDEyMiIsIklTU04iOiIxMDkxNjQ5MCIsIlBNSUQiOiI0MDQ4OTYxNSIsImlzc3VlZCI6eyJkYXRlLXBhcnRzIjpbWzIwMjUsNiwxN11dfSwiYWJzdHJhY3QiOiJXZSB1c2UgYSBnbG9iYWxseSBjb25zaXN0ZW50IGRhdGFzZXTigJRHb29nbGUgRW52aXJvbm1lbnRhbCBJbnNpZ2h0cyBFeHBsb3JlcuKAlHRvIHF1YW50aWZ5IGhvdyB1cmJhbiBmb3JtIGFuZCB0cmFuc3BvcnQgaW5mcmFzdHJ1Y3R1cmUgYWZmZWN0IHdhbGtpbmcgYW5kIGN5Y2xpbmcgcmF0ZXMgaW4gMTEsNTg3IGNpdGllcyBmcm9tIDEyMSBjb3VudHJpZXMgYWNyb3NzIHNpeCBjb250aW5lbnRzLiBBdCB0aGUgY2l0eSBsZXZlbCwgcG9wdWxhdGlvbiBkZW5zaXR5IGhhcyB0aGUgbGFyZ2VzdCBlZmZlY3Qgb24gd2FsayBtb2RlIHNoYXJlIGFuZCBoYXMgYSBwb3NpdGl2ZSBpbXBhY3Qgb24gY3ljbGluZyB0b28sIGFzIGhpZ2hlciBkZW5zaXRpZXMgYnJpbmcgZGVzdGluYXRpb25zIHdpdGhpbiBmZWFzaWJsZSB3YWxrIGFuZCBjeWNsZSBkaXN0YW5jZXMuIERlbnNpdHkgaGFzIHRoZSBzdHJvbmdlc3QgZWZmZWN0cyBpbiB3ZWFsdGhpZXIgY291bnRyaWVzIHdoZXJlIHRyYXZlbGVycyBvZnRlbiBoYXZlIG1vcmUgdHJhdmVsIGNob2ljZXMsIHdoaWxlIGluIGxvd2VyLWluY29tZSBwbGFjZXMsIHdhbGtpbmcgYW5kIGN5Y2xpbmcgbWF5IGJlIHByaW1hcmlseSBkcml2ZW4gYnkgZmluYW5jaWFsIGNvbnN0cmFpbnRzLiBXZSBhbHNvIGZpbmQgcG9zaXRpdmUgZWZmZWN0cyBvZiBiaWN5Y2xlIGxhbmVzIChwcm94eWluZyBmb3IgYSB3aWRlciBhcnJheSBvZiBzdHJlZXQgZGVzaWduIHByYWN0aWNlcykgb24gYm90aCB3YWxraW5nIGFuZCBjeWNsaW5nLiBJbiB0aGUgbWVkaWFuIGNpdHksIGVhY2ggbmV3IGttIG9mIGJpY3ljbGUgbGFuZXMgaXMgYXNzb2NpYXRlZCB3aXRoIH4xMyw0MDAgYWRkaXRpb25hbCBrbSB5ci0xIG9mIGJpY3ljbGUgdHJhdmVsLiBJZiBldmVyeSBjaXR5IGluY3JlYXNlZCB0aGUgZXh0ZW50IG9mIGl0cyBiaWN5Y2xlIG5ldHdvcmsgdG8gdGhlIGxldmVsIG9mIENvcGVuaGFnZW4sIERlbm1hcmssIG91ciBzaW11bGF0aW9ucyBpbmRpY2F0ZSByZWR1Y3Rpb25zIGluIHByaXZhdGUgdmVoaWNsZSBlbWlzc2lvbnMgb2YgfjYlIGFuZCBoZWFsdGggYmVuZWZpdHMgb2YgflVTJDQzNSBiaWxsaW9uIHBlciB5ZWFyLiIsInB1Ymxpc2hlciI6Ik5hdGlvbmFsIEFjYWRlbXkgb2YgU2NpZW5jZXMiLCJpc3N1ZSI6IjI0Iiwidm9sdW1lIjoiMTIyIn0sImlzVGVtcG9yYXJ5IjpmYWxzZX1dfQ==&quot;,&quot;citationItems&quot;:[{&quot;id&quot;:&quot;ea62e1b0-85bd-3aa8-9f90-2dfceff55821&quot;,&quot;itemData&quot;:{&quot;type&quot;:&quot;article-journal&quot;,&quot;id&quot;:&quot;ea62e1b0-85bd-3aa8-9f90-2dfceff55821&quot;,&quot;title&quot;:&quot;The climate change mitigation impacts of active travel: Evidence from a longitudinal panel study in seven European cities&quot;,&quot;author&quot;:[{&quot;family&quot;:&quot;Brand&quot;,&quot;given&quot;:&quot;Christian&quot;,&quot;parse-names&quot;:false,&quot;dropping-particle&quot;:&quot;&quot;,&quot;non-dropping-particle&quot;:&quot;&quot;},{&quot;family&quot;:&quot;Götschi&quot;,&quot;given&quot;:&quot;Thomas&quot;,&quot;parse-names&quot;:false,&quot;dropping-particle&quot;:&quot;&quot;,&quot;non-dropping-particle&quot;:&quot;&quot;},{&quot;family&quot;:&quot;Dons&quot;,&quot;given&quot;:&quot;Evi&quot;,&quot;parse-names&quot;:false,&quot;dropping-particle&quot;:&quot;&quot;,&quot;non-dropping-particle&quot;:&quot;&quot;},{&quot;family&quot;:&quot;Gerike&quot;,&quot;given&quot;:&quot;Regine&quot;,&quot;parse-names&quot;:false,&quot;dropping-particle&quot;:&quot;&quot;,&quot;non-dropping-particle&quot;:&quot;&quot;},{&quot;family&quot;:&quot;Anaya-Boig&quot;,&quot;given&quot;:&quot;Esther&quot;,&quot;parse-names&quot;:false,&quot;dropping-particle&quot;:&quot;&quot;,&quot;non-dropping-particle&quot;:&quot;&quot;},{&quot;family&quot;:&quot;Avila-Palencia&quot;,&quot;given&quot;:&quot;Ione&quot;,&quot;parse-names&quot;:false,&quot;dropping-particle&quot;:&quot;&quot;,&quot;non-dropping-particle&quot;:&quot;&quot;},{&quot;family&quot;:&quot;Nazelle&quot;,&quot;given&quot;:&quot;Audrey&quot;,&quot;parse-names&quot;:false,&quot;dropping-particle&quot;:&quot;&quot;,&quot;non-dropping-particle&quot;:&quot;de&quot;},{&quot;family&quot;:&quot;Gascon&quot;,&quot;given&quot;:&quot;Mireia&quot;,&quot;parse-names&quot;:false,&quot;dropping-particle&quot;:&quot;&quot;,&quot;non-dropping-particle&quot;:&quot;&quot;},{&quot;family&quot;:&quot;Gaupp-Berghausen&quot;,&quot;given&quot;:&quot;Mailin&quot;,&quot;parse-names&quot;:false,&quot;dropping-particle&quot;:&quot;&quot;,&quot;non-dropping-particle&quot;:&quot;&quot;},{&quot;family&quot;:&quot;Iacorossi&quot;,&quot;given&quot;:&quot;Francesco&quot;,&quot;parse-names&quot;:false,&quot;dropping-particle&quot;:&quot;&quot;,&quot;non-dropping-particle&quot;:&quot;&quot;},{&quot;family&quot;:&quot;Kahlmeier&quot;,&quot;given&quot;:&quot;Sonja&quot;,&quot;parse-names&quot;:false,&quot;dropping-particle&quot;:&quot;&quot;,&quot;non-dropping-particle&quot;:&quot;&quot;},{&quot;family&quot;:&quot;Int Panis&quot;,&quot;given&quot;:&quot;Luc&quot;,&quot;parse-names&quot;:false,&quot;dropping-particle&quot;:&quot;&quot;,&quot;non-dropping-particle&quot;:&quot;&quot;},{&quot;family&quot;:&quot;Racioppi&quot;,&quot;given&quot;:&quot;Francesca&quot;,&quot;parse-names&quot;:false,&quot;dropping-particle&quot;:&quot;&quot;,&quot;non-dropping-particle&quot;:&quot;&quot;},{&quot;family&quot;:&quot;Rojas-Rueda&quot;,&quot;given&quot;:&quot;David&quot;,&quot;parse-names&quot;:false,&quot;dropping-particle&quot;:&quot;&quot;,&quot;non-dropping-particle&quot;:&quot;&quot;},{&quot;family&quot;:&quot;Standaert&quot;,&quot;given&quot;:&quot;Arnout&quot;,&quot;parse-names&quot;:false,&quot;dropping-particle&quot;:&quot;&quot;,&quot;non-dropping-particle&quot;:&quot;&quot;},{&quot;family&quot;:&quot;Stigell&quot;,&quot;given&quot;:&quot;Erik&quot;,&quot;parse-names&quot;:false,&quot;dropping-particle&quot;:&quot;&quot;,&quot;non-dropping-particle&quot;:&quot;&quot;},{&quot;family&quot;:&quot;Sulikova&quot;,&quot;given&quot;:&quot;Simona&quot;,&quot;parse-names&quot;:false,&quot;dropping-particle&quot;:&quot;&quot;,&quot;non-dropping-particle&quot;:&quot;&quot;},{&quot;family&quot;:&quot;Wegener&quot;,&quot;given&quot;:&quot;Sandra&quot;,&quot;parse-names&quot;:false,&quot;dropping-particle&quot;:&quot;&quot;,&quot;non-dropping-particle&quot;:&quot;&quot;},{&quot;family&quot;:&quot;Nieuwenhuijsen&quot;,&quot;given&quot;:&quot;Mark J.&quot;,&quot;parse-names&quot;:false,&quot;dropping-particle&quot;:&quot;&quot;,&quot;non-dropping-particle&quot;:&quot;&quot;}],&quot;container-title&quot;:&quot;Global Environmental Change&quot;,&quot;DOI&quot;:&quot;10.1016/j.gloenvcha.2021.102224&quot;,&quot;ISSN&quot;:&quot;09593780&quot;,&quot;issued&quot;:{&quot;date-parts&quot;:[[2021,3,1]]},&quot;abstract&quot;:&quot;Active travel (walking or cycling for transport) is considered the most sustainable and low carbon form of getting from A to B. Yet the net effects of changes in active travel on changes in mobility-related CO2 emissions are complex and under-researched. Here we collected longitudinal data on daily travel behavior, journey purpose, as well as personal and geospatial characteristics in seven European cities and derived mobility-related lifecycle CO2 emissions over time and space. Statistical modelling of longitudinal panel (n = 1849) data was performed to assess how changes in active travel, the ‘main mode’ of daily travel, and cycling frequency influenced changes in mobility-related lifecycle CO2 emissions. We found that changes in active travel have significant lifecycle carbon emissions benefits, even in European urban contexts with already high walking and cycling shares. An increase in cycling or walking consistently and independently decreased mobility-related lifecycle CO2 emissions, suggesting that active travel substituted for motorized travel – i.e. the increase was not just additional (induced) travel over and above motorized travel. To illustrate this, an average person cycling 1 trip/day more and driving 1 trip/day less for 200 days a year would decrease mobility-related lifecycle CO2 emissions by about 0.5 tonnes over a year, representing a substantial share of average per capita CO2 emissions from transport. The largest benefits from shifts from car to active travel were for business purposes, followed by social and recreational trips, and commuting to work or place of education. Changes to commuting emissions were more pronounced for those who were younger, lived closer to work and further to a public transport station. Even if not all car trips could be substituted by active travel the potential for decreasing emissions is considerable and significant. The study gives policy and practice the empirical evidence needed to assess climate change mitigation impacts of urban transport measures and interventions aimed at mode shift to more sustainable modes of transport. Investing in and promoting active travel whilst ‘demoting’ private car ownership and use should be a cornerstone of strategies to meet ‘net zero’ carbon targets, particularly in urban areas, while also reducing inequalities and improving public health and quality of urban life in a post-COVID-19 world.&quot;,&quot;publisher&quot;:&quot;Elsevier Ltd&quot;,&quot;volume&quot;:&quot;67&quot;,&quot;container-title-short&quot;:&quot;&quot;},&quot;isTemporary&quot;:false},{&quot;id&quot;:&quot;0e19eb29-5971-3aa5-aadf-d6f803f1f353&quot;,&quot;itemData&quot;:{&quot;type&quot;:&quot;report&quot;,&quot;id&quot;:&quot;0e19eb29-5971-3aa5-aadf-d6f803f1f353&quot;,&quot;title&quot;:&quot;The co-benefits of active travel interventions beyond physical activity: a systematic review&quot;,&quot;author&quot;:[{&quot;family&quot;:&quot;Ding&quot;,&quot;given&quot;:&quot;Ding&quot;,&quot;parse-names&quot;:false,&quot;dropping-particle&quot;:&quot;&quot;,&quot;non-dropping-particle&quot;:&quot;&quot;},{&quot;family&quot;:&quot;Luo&quot;,&quot;given&quot;:&quot;Mengyun&quot;,&quot;parse-names&quot;:false,&quot;dropping-particle&quot;:&quot;&quot;,&quot;non-dropping-particle&quot;:&quot;&quot;},{&quot;family&quot;:&quot;Infante&quot;,&quot;given&quot;:&quot;Maria Florencia Petrelli&quot;,&quot;parse-names&quot;:false,&quot;dropping-particle&quot;:&quot;&quot;,&quot;non-dropping-particle&quot;:&quot;&quot;},{&quot;family&quot;:&quot;Gunn&quot;,&quot;given&quot;:&quot;Lucy&quot;,&quot;parse-names&quot;:false,&quot;dropping-particle&quot;:&quot;&quot;,&quot;non-dropping-particle&quot;:&quot;&quot;},{&quot;family&quot;:&quot;Salvo&quot;,&quot;given&quot;:&quot;Deborah&quot;,&quot;parse-names&quot;:false,&quot;dropping-particle&quot;:&quot;&quot;,&quot;non-dropping-particle&quot;:&quot;&quot;},{&quot;family&quot;:&quot;Zapata-Diomedi&quot;,&quot;given&quot;:&quot;Belen&quot;,&quot;parse-names&quot;:false,&quot;dropping-particle&quot;:&quot;&quot;,&quot;non-dropping-particle&quot;:&quot;&quot;},{&quot;family&quot;:&quot;Smith&quot;,&quot;given&quot;:&quot;Ben&quot;,&quot;parse-names&quot;:false,&quot;dropping-particle&quot;:&quot;&quot;,&quot;non-dropping-particle&quot;:&quot;&quot;},{&quot;family&quot;:&quot;Bellew&quot;,&quot;given&quot;:&quot;William&quot;,&quot;parse-names&quot;:false,&quot;dropping-particle&quot;:&quot;&quot;,&quot;non-dropping-particle&quot;:&quot;&quot;},{&quot;family&quot;:&quot;Bauman&quot;,&quot;given&quot;:&quot;Adrian&quot;,&quot;parse-names&quot;:false,&quot;dropping-particle&quot;:&quot;&quot;,&quot;non-dropping-particle&quot;:&quot;&quot;},{&quot;family&quot;:&quot;Nau&quot;,&quot;given&quot;:&quot;Tracy&quot;,&quot;parse-names&quot;:false,&quot;dropping-particle&quot;:&quot;&quot;,&quot;non-dropping-particle&quot;:&quot;&quot;},{&quot;family&quot;:&quot;Nguyen&quot;,&quot;given&quot;:&quot;Binh&quot;,&quot;parse-names&quot;:false,&quot;dropping-particle&quot;:&quot;&quot;,&quot;non-dropping-particle&quot;:&quot;&quot;}],&quot;container-title&quot;:&quot;Review Lancet Planet Health&quot;,&quot;DOI&quot;:&quot;10.1016/S2542-5196(24)00201-8&quot;,&quot;URL&quot;:&quot;www.thelancet.com/&quot;,&quot;issued&quot;:{&quot;date-parts&quot;:[[2024]]},&quot;abstract&quot;:&quot;Active travel is a widely recognised strategy for promoting active living but its co-benefits beyond increasing physical activity, such as broader health, environmental, and social benefits, have rarely been synthesised. We conducted a systematic review to examine the co-benefits of active travel interventions. Following a preregistered protocol (PROSPERO CRD42022359059), we identified 80 studies for the search period from Jan 1, 2000, to Sept 13, 2022. Across studies, there was consistent evidence that active travel interventions offered co-benefits beyond physical activity. Particularly, 25 (71%) of 35 studies favoured improved safety outcomes, 20 (67%) of 30 showed improved health, 17 (85%) of 20 supported economic benefits, 16 (84%) of 19 highlighted improved transport quality, 12 (92%) of 13 showed environmental benefits, and four (80%) of five documented social benefits. Despite the overall low-certainty evidence, mostly limited by the quasi-experimental design and natural-experimental design of many of the studies, active travel interventions offer unique opportunities to engage stakeholders across sectors to jointly address major societal issues, such as physical inactivity, traffic safety, and carbon emissions. This evidence can inform the design, implementation, and evaluation of active travel interventions.&quot;,&quot;container-title-short&quot;:&quot;&quot;},&quot;isTemporary&quot;:false},{&quot;id&quot;:&quot;4fc58381-00ce-3abf-9319-f7f9a17c5acc&quot;,&quot;itemData&quot;:{&quot;type&quot;:&quot;article-journal&quot;,&quot;id&quot;:&quot;4fc58381-00ce-3abf-9319-f7f9a17c5acc&quot;,&quot;title&quot;:&quot;Global health and climate benefits from walking and cycling infrastructure&quot;,&quot;author&quot;:[{&quot;family&quot;:&quot;Millard-Ball&quot;,&quot;given&quot;:&quot;Adam&quot;,&quot;parse-names&quot;:false,&quot;dropping-particle&quot;:&quot;&quot;,&quot;non-dropping-particle&quot;:&quot;&quot;},{&quot;family&quot;:&quot;Reginald&quot;,&quot;given&quot;:&quot;Monisha&quot;,&quot;parse-names&quot;:false,&quot;dropping-particle&quot;:&quot;&quot;,&quot;non-dropping-particle&quot;:&quot;&quot;},{&quot;family&quot;:&quot;Yusuf&quot;,&quot;given&quot;:&quot;Yasmina&quot;,&quot;parse-names&quot;:false,&quot;dropping-particle&quot;:&quot;&quot;,&quot;non-dropping-particle&quot;:&quot;&quot;},{&quot;family&quot;:&quot;Bian&quot;,&quot;given&quot;:&quot;Christopher&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422334122&quot;,&quot;ISSN&quot;:&quot;10916490&quot;,&quot;PMID&quot;:&quot;40489615&quot;,&quot;issued&quot;:{&quot;date-parts&quot;:[[2025,6,17]]},&quot;abstract&quot;:&quot;We use a globally consistent dataset—Google Environmental Insights Explorer—to quantify how urban form and transport infrastructure affect walking and cycling rates in 11,587 cities from 121 countries across six continents. At the city level, population density has the largest effect on walk mode share and has a positive impact on cycling too, as higher densities bring destinations within feasible walk and cycle distances. Density has the strongest effects in wealthier countries where travelers often have more travel choices, while in lower-income places, walking and cycling may be primarily driven by financial constraints. We also find positive effects of bicycle lanes (proxying for a wider array of street design practices) on both walking and cycling. In the median city, each new km of bicycle lanes is associated with ~13,400 additional km yr-1 of bicycle travel. If every city increased the extent of its bicycle network to the level of Copenhagen, Denmark, our simulations indicate reductions in private vehicle emissions of ~6% and health benefits of ~US$435 billion per year.&quot;,&quot;publisher&quot;:&quot;National Academy of Sciences&quot;,&quot;issue&quot;:&quot;24&quot;,&quot;volume&quot;:&quot;122&quot;},&quot;isTemporary&quot;:false}]},{&quot;citationID&quot;:&quot;MENDELEY_CITATION_b55034e1-e9e3-4e69-b382-f3077634da42&quot;,&quot;properties&quot;:{&quot;noteIndex&quot;:0},&quot;isEdited&quot;:false,&quot;manualOverride&quot;:{&quot;isManuallyOverridden&quot;:true,&quot;citeprocText&quot;:&quot;(Hamilton &amp;#38; Wichman, 2018; M. Wang &amp;#38; Zhou, 2017)&quot;,&quot;manualOverrideText&quot;:&quot;(Wang and Zhou, 2017; Hamilton and Wichman, 2018)&quot;},&quot;citationTag&quot;:&quot;MENDELEY_CITATION_v3_eyJjaXRhdGlvbklEIjoiTUVOREVMRVlfQ0lUQVRJT05fYjU1MDM0ZTEtZTllMy00ZTY5LWIzODItZjMwNzc2MzRkYTQyIiwicHJvcGVydGllcyI6eyJub3RlSW5kZXgiOjB9LCJpc0VkaXRlZCI6ZmFsc2UsIm1hbnVhbE92ZXJyaWRlIjp7ImlzTWFudWFsbHlPdmVycmlkZGVuIjp0cnVlLCJjaXRlcHJvY1RleHQiOiIoSGFtaWx0b24gJiMzODsgV2ljaG1hbiwgMjAxODsgTS4gV2FuZyAmIzM4OyBaaG91LCAyMDE3KSIsIm1hbnVhbE92ZXJyaWRlVGV4dCI6IihXYW5nIGFuZCBaaG91LCAyMDE3OyBIYW1pbHRvbiBhbmQgV2ljaG1hbiwgMjAxOCkifSwiY2l0YXRpb25JdGVtcyI6W3siaWQiOiJjMTllZDA2NC1hZTQ2LTNkNmQtOTFlNC0zMWE2NmRiZjY2OTUiLCJpdGVtRGF0YSI6eyJ0eXBlIjoiYXJ0aWNsZS1qb3VybmFsIiwiaWQiOiJjMTllZDA2NC1hZTQ2LTNkNmQtOTFlNC0zMWE2NmRiZjY2OTUiLCJ0aXRsZSI6IkJpY3ljbGUgaW5mcmFzdHJ1Y3R1cmUgYW5kIHRyYWZmaWMgY29uZ2VzdGlvbjogRXZpZGVuY2UgZnJvbSBEQydzIENhcGl0YWwgQmlrZXNoYXJlIiwiYXV0aG9yIjpbeyJmYW1pbHkiOiJIYW1pbHRvbiIsImdpdmVuIjoiVGltb3RoeSBMLiIsInBhcnNlLW5hbWVzIjpmYWxzZSwiZHJvcHBpbmctcGFydGljbGUiOiIiLCJub24tZHJvcHBpbmctcGFydGljbGUiOiIifSx7ImZhbWlseSI6IldpY2htYW4iLCJnaXZlbiI6IkNhc2V5IEouIiwicGFyc2UtbmFtZXMiOmZhbHNlLCJkcm9wcGluZy1wYXJ0aWNsZSI6IiIsIm5vbi1kcm9wcGluZy1wYXJ0aWNsZSI6IiJ9XSwiY29udGFpbmVyLXRpdGxlIjoiSm91cm5hbCBvZiBFbnZpcm9ubWVudGFsIEVjb25vbWljcyBhbmQgTWFuYWdlbWVudCIsImNvbnRhaW5lci10aXRsZS1zaG9ydCI6IkouIEVudmlyb24uIEVjb24uIE1hbmFnZS4iLCJET0kiOiIxMC4xMDE2L2ouamVlbS4yMDE3LjAzLjAwNyIsIklTU04iOiIxMDk2MDQ0OSIsImlzc3VlZCI6eyJkYXRlLXBhcnRzIjpbWzIwMTgsMSwxXV19LCJwYWdlIjoiNzItOTMiLCJhYnN0cmFjdCI6IlRoaXMgc3R1ZHkgZXhwbG9yZXMgdGhlIGltcGFjdCBvZiBiaWN5Y2xlLXNoYXJpbmcgaW5mcmFzdHJ1Y3R1cmUgb24gdXJiYW4gdHJhbnNwb3J0YXRpb24uIFdlIGVzdGltYXRlIGEgY2F1c2FsIGVmZmVjdCBvZiB0aGUgQ2FwaXRhbCBCaWtlc2hhcmUgb24gdHJhZmZpYyBjb25nZXN0aW9uIGluIHRoZSBtZXRyb3BvbGl0YW4gV2FzaGluZ3RvbiwgRC5DLiwgYXJlYS4gV2UgZXhwbG9pdCBhIHVuaXF1ZSB0cmFmZmljIGRhdGFzZXQgdGhhdCBpcyBmaW5lbHkgZGVmaW5lZCBvbiBhIHNwYXRpYWwgYW5kIHRlbXBvcmFsIHNjYWxlLiBPdXIgYXBwcm9hY2ggZXhhbWluZXMgd2l0aGluLWNpdHkgY29tbXV0aW5nIGRlY2lzaW9ucyBhcyBvcHBvc2VkIHRvIHRyYWZmaWMgcGF0dGVybnMgb24gbWFqb3IgdGhydXdheXMuIEVtcGlyaWNhbCByZXN1bHRzIHN1Z2dlc3QgdGhhdCB0aGUgYXZhaWxhYmlsaXR5IG9mIGEgYmlrZXNoYXJlIHJlZHVjZXMgdHJhZmZpYyBjb25nZXN0aW9uIHVwd2FyZHMgb2YgNCUgd2l0aGluIGEgbmVpZ2hib3Job29kLiBJbiBhZGRpdGlvbiwgd2UgZXN0aW1hdGUgaGV0ZXJvZ2VuZW91cyB0cmVhdG1lbnQgZWZmZWN0cyB1c2luZyBwYW5lbCBxdWFudGlsZSByZWdyZXNzaW9uLiBSZXN1bHRzIGluZGljYXRlIHRoYXQgdGhlIGNvbmdlc3Rpb24tcmVkdWNpbmcgaW1wYWN0IG9mIGJpa2VzaGFyZXMgaXMgY29uY2VudHJhdGVkIGluIGhpZ2hseSBjb25nZXN0ZWQgYXJlYXMuIiwicHVibGlzaGVyIjoiQWNhZGVtaWMgUHJlc3MgSW5jLiIsInZvbHVtZSI6Ijg3In0sImlzVGVtcG9yYXJ5IjpmYWxzZX0seyJpZCI6IjRhNjYzNTVjLTZmNjctM2E1My1hYzYwLWNmMDIwMGQzZjhlMSIsIml0ZW1EYXRhIjp7InR5cGUiOiJhcnRpY2xlLWpvdXJuYWwiLCJpZCI6IjRhNjYzNTVjLTZmNjctM2E1My1hYzYwLWNmMDIwMGQzZjhlMSIsInRpdGxlIjoiQmlrZS1zaGFyaW5nIHN5c3RlbXMgYW5kIGNvbmdlc3Rpb246IEV2aWRlbmNlIGZyb20gVVMgY2l0aWVzIiwiYXV0aG9yIjpbeyJmYW1pbHkiOiJXYW5nIiwiZ2l2ZW4iOiJNaW5nc2h1IiwicGFyc2UtbmFtZXMiOmZhbHNlLCJkcm9wcGluZy1wYXJ0aWNsZSI6IiIsIm5vbi1kcm9wcGluZy1wYXJ0aWNsZSI6IiJ9LHsiZmFtaWx5IjoiWmhvdSIsImdpdmVuIjoiWGlhb2x1IiwicGFyc2UtbmFtZXMiOmZhbHNlLCJkcm9wcGluZy1wYXJ0aWNsZSI6IiIsIm5vbi1kcm9wcGluZy1wYXJ0aWNsZSI6IiJ9XSwiY29udGFpbmVyLXRpdGxlIjoiSm91cm5hbCBvZiBUcmFuc3BvcnQgR2VvZ3JhcGh5IiwiY29udGFpbmVyLXRpdGxlLXNob3J0IjoiSi4gVHJhbnNwLiBHZW9nci4iLCJET0kiOiIxMC4xMDE2L2ouanRyYW5nZW8uMjAxNy4xMC4wMjIiLCJJU1NOIjoiMDk2NjY5MjMiLCJpc3N1ZWQiOnsiZGF0ZS1wYXJ0cyI6W1syMDE3LDEyLDFdXX0sInBhZ2UiOiIxNDctMTU0IiwiYWJzdHJhY3QiOiJJbiB0aGUgcGFzdCBkZWNhZGVzLCB0aGVyZSBoYXMgYmVlbiBhIHJlc3VyZ2VuY2Ugb2YgcHVibGljIGJpa2Utc2hhcmluZyBzeXN0ZW1zIChCU1NzKS4gV2hpbGUgaXQgaXMgY2xhaW1lZCB0aGF0IHNvY2lhbCBhbmQgZW52aXJvbm1lbnRhbCBiZW5lZml0cyBhcmUgYXNzb2NpYXRlZCB3aXRoIHRoZSBpbXBsZW1lbnRhdGlvbiBvZiBCU1NzLCBmZXcgZW1waXJpY2FsIHN0dWRpZXMgaGF2ZSBpbnZlc3RpZ2F0ZWQgdGhlIGFjdHVhbCBjb25nZXN0aW9uIHJlZHVjdGlvbiBlZmZlY3Qgb2YgQlNTcyBvbiBjaXRpZXMuIFRvIGZpbGwgc3VjaCBnYXAsIHRoaXMgcGFwZXIgYWltcyB0byBleGFtaW5lIHdoZXRoZXIgdGhlIGxhdW5jaCBvZiBCU1NzIGNhbiByZWR1Y2UgY2l0eXdpZGUgY29uZ2VzdGlvbi4gV2l0aCBhIHBhbmVsIGRhdGFzZXQgb2YgOTYgdXJiYW4gYXJlYXMgaW4gdGhlIFVTIGZyb20gMjAwNSB0byAyMDE0LCB3ZSBlbXBsb3llZCBhIGRpZmZlcmVuY2UtaW4tZGlmZmVyZW5jZXMgbW9kZWwgd2l0aCB0d28td2F5IGZpeGVkLWVmZmVjdHMgcGFuZWwgcmVncmVzc2lvbi4gVGhlIHJlc3VsdHMgc3VnZ2VzdGVkIHRoYXQgdGhlIGludHJvZHVjdGlvbiBvZiBCU1NzIHNob3dzIGEgc2lnbmlmaWNhbnQgbWl4ZWQgaW1wYWN0IG9uIGNvbmdlc3Rpb24gaW4gZ2VuZXJhbDogTGFyZ2VyIGNpdGllcyBnZXQgYmV0dGVyIG9mZiBidXQgcmljaGVyIGNpdGllcyBnZXQgd29yc2Ugb2ZmLiBTdWNoIHJlc3VsdHMgYXJlIGNvbnNpc3RlbnQgd2l0aCBib3RoIHN1YnNhbXBsZSByZWdyZXNzaW9uIHdpdGggcHJvcGVuc2l0eSBzY29yZSBtYXRjaGluZyBhbmQgZGlmZmVyZW50IGNvbmdlc3Rpb24gbWVhc3VyZXMuIFBvc3QtaG9jIGFuYWx5c2lzIHJldmVhbHMgdGhhdCBCU1NzIGhhdmUgYSBzaWduaWZpY2FudCBwb3NpdGl2ZSBlZmZlY3Qgb24gcmVkdWNpbmcgcnVzaC1ob3VyIGNvbmdlc3Rpb24uIEZpbmFsbHksIGltcGxpY2F0aW9ucywgbGltaXRhdGlvbnMsIGFuZCBmdXR1cmUgd29yayBkaXJlY3Rpb25zIGFyZSBvZmZlcmVkIiwicHVibGlzaGVyIjoiRWxzZXZpZXIgTHRkIiwidm9sdW1lIjoiNjUifSwiaXNUZW1wb3JhcnkiOmZhbHNlfV19&quot;,&quot;citationItems&quot;:[{&quot;id&quot;:&quot;c19ed064-ae46-3d6d-91e4-31a66dbf6695&quot;,&quot;itemData&quot;:{&quot;type&quot;:&quot;article-journal&quot;,&quot;id&quot;:&quot;c19ed064-ae46-3d6d-91e4-31a66dbf6695&quot;,&quot;title&quot;:&quot;Bicycle infrastructure and traffic congestion: Evidence from DC's Capital Bikeshare&quot;,&quot;author&quot;:[{&quot;family&quot;:&quot;Hamilton&quot;,&quot;given&quot;:&quot;Timothy L.&quot;,&quot;parse-names&quot;:false,&quot;dropping-particle&quot;:&quot;&quot;,&quot;non-dropping-particle&quot;:&quot;&quot;},{&quot;family&quot;:&quot;Wichman&quot;,&quot;given&quot;:&quot;Casey J.&quot;,&quot;parse-names&quot;:false,&quot;dropping-particle&quot;:&quot;&quot;,&quot;non-dropping-particle&quot;:&quot;&quot;}],&quot;container-title&quot;:&quot;Journal of Environmental Economics and Management&quot;,&quot;container-title-short&quot;:&quot;J. Environ. Econ. Manage.&quot;,&quot;DOI&quot;:&quot;10.1016/j.jeem.2017.03.007&quot;,&quot;ISSN&quot;:&quot;10960449&quot;,&quot;issued&quot;:{&quot;date-parts&quot;:[[2018,1,1]]},&quot;page&quot;:&quot;72-93&quot;,&quot;abstract&quot;:&quot;This study explores the impact of bicycle-sharing infrastructure on urban transportation. We estimate a causal effect of the Capital Bikeshare on traffic congestion in the metropolitan Washington, D.C., area. We exploit a unique traffic dataset that is finely defined on a spatial and temporal scale. Our approach examines within-city commuting decisions as opposed to traffic patterns on major thruways. Empirical results suggest that the availability of a bikeshare reduces traffic congestion upwards of 4% within a neighborhood. In addition, we estimate heterogeneous treatment effects using panel quantile regression. Results indicate that the congestion-reducing impact of bikeshares is concentrated in highly congested areas.&quot;,&quot;publisher&quot;:&quot;Academic Press Inc.&quot;,&quot;volume&quot;:&quot;87&quot;},&quot;isTemporary&quot;:false},{&quot;id&quot;:&quot;4a66355c-6f67-3a53-ac60-cf0200d3f8e1&quot;,&quot;itemData&quot;:{&quot;type&quot;:&quot;article-journal&quot;,&quot;id&quot;:&quot;4a66355c-6f67-3a53-ac60-cf0200d3f8e1&quot;,&quot;title&quot;:&quot;Bike-sharing systems and congestion: Evidence from US cities&quot;,&quot;author&quot;:[{&quot;family&quot;:&quot;Wang&quot;,&quot;given&quot;:&quot;Mingshu&quot;,&quot;parse-names&quot;:false,&quot;dropping-particle&quot;:&quot;&quot;,&quot;non-dropping-particle&quot;:&quot;&quot;},{&quot;family&quot;:&quot;Zhou&quot;,&quot;given&quot;:&quot;Xiaolu&quot;,&quot;parse-names&quot;:false,&quot;dropping-particle&quot;:&quot;&quot;,&quot;non-dropping-particle&quot;:&quot;&quot;}],&quot;container-title&quot;:&quot;Journal of Transport Geography&quot;,&quot;container-title-short&quot;:&quot;J. Transp. Geogr.&quot;,&quot;DOI&quot;:&quot;10.1016/j.jtrangeo.2017.10.022&quot;,&quot;ISSN&quot;:&quot;09666923&quot;,&quot;issued&quot;:{&quot;date-parts&quot;:[[2017,12,1]]},&quot;page&quot;:&quot;147-154&quot;,&quot;abstract&quot;:&quot;In the past decades, there has been a resurgence of public bike-sharing systems (BSSs). While it is claimed that social and environmental benefits are associated with the implementation of BSSs, few empirical studies have investigated the actual congestion reduction effect of BSSs on cities. To fill such gap, this paper aims to examine whether the launch of BSSs can reduce citywide congestion. With a panel dataset of 96 urban areas in the US from 2005 to 2014, we employed a difference-in-differences model with two-way fixed-effects panel regression. The results suggested that the introduction of BSSs shows a significant mixed impact on congestion in general: Larger cities get better off but richer cities get worse off. Such results are consistent with both subsample regression with propensity score matching and different congestion measures. Post-hoc analysis reveals that BSSs have a significant positive effect on reducing rush-hour congestion. Finally, implications, limitations, and future work directions are offered&quot;,&quot;publisher&quot;:&quot;Elsevier Ltd&quot;,&quot;volume&quot;:&quot;65&quot;},&quot;isTemporary&quot;:false}]},{&quot;citationID&quot;:&quot;MENDELEY_CITATION_9c082606-7220-4073-8d44-b855bb5f2d0b&quot;,&quot;properties&quot;:{&quot;noteIndex&quot;:0},&quot;isEdited&quot;:false,&quot;manualOverride&quot;:{&quot;isManuallyOverridden&quot;:true,&quot;citeprocText&quot;:&quot;(Neves &amp;#38; Brand, 2019)&quot;,&quot;manualOverrideText&quot;:&quot;(Neves and Brand, 2019)&quot;},&quot;citationTag&quot;:&quot;MENDELEY_CITATION_v3_eyJjaXRhdGlvbklEIjoiTUVOREVMRVlfQ0lUQVRJT05fOWMwODI2MDYtNzIyMC00MDczLThkNDQtYjg1NWJiNWYyZDBiIiwicHJvcGVydGllcyI6eyJub3RlSW5kZXgiOjB9LCJpc0VkaXRlZCI6ZmFsc2UsIm1hbnVhbE92ZXJyaWRlIjp7ImlzTWFudWFsbHlPdmVycmlkZGVuIjp0cnVlLCJjaXRlcHJvY1RleHQiOiIoTmV2ZXMgJiMzODsgQnJhbmQsIDIwMTkpIiwibWFudWFsT3ZlcnJpZGVUZXh0IjoiKE5ldmVzIGFuZCBCcmFuZCwgMjAxOSkifSwiY2l0YXRpb25JdGVtcyI6W3siaWQiOiIxZGExZmI1MC1lZTkwLTNmZTgtODg5Ny05Mjc3MjJkOTJlYzgiLCJpdGVtRGF0YSI6eyJ0eXBlIjoiYXJ0aWNsZS1qb3VybmFsIiwiaWQiOiIxZGExZmI1MC1lZTkwLTNmZTgtODg5Ny05Mjc3MjJkOTJlYzgiLCJ0aXRsZSI6IkFzc2Vzc2luZyB0aGUgcG90ZW50aWFsIGZvciBjYXJib24gZW1pc3Npb25zIHNhdmluZ3MgZnJvbSByZXBsYWNpbmcgc2hvcnQgY2FyIHRyaXBzIHdpdGggd2Fsa2luZyBhbmQgY3ljbGluZyB1c2luZyBhIG1peGVkIEdQUy10cmF2ZWwgZGlhcnkgYXBwcm9hY2giLCJhdXRob3IiOlt7ImZhbWlseSI6Ik5ldmVzIiwiZ2l2ZW4iOiJBbmRyZSIsInBhcnNlLW5hbWVzIjpmYWxzZSwiZHJvcHBpbmctcGFydGljbGUiOiIiLCJub24tZHJvcHBpbmctcGFydGljbGUiOiIifSx7ImZhbWlseSI6IkJyYW5kIiwiZ2l2ZW4iOiJDaHJpc3RpYW4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TguMDguMDIyIiwiSVNTTiI6IjA5NjU4NTY0IiwiaXNzdWVkIjp7ImRhdGUtcGFydHMiOltbMjAxOSw1LDFdXX0sInBhZ2UiOiIxMzAtMTQ2IiwiYWJzdHJhY3QiOiJUaGVyZSBpcyBhIGdyb3dpbmcgcmVjb2duaXRpb24gb2YgdGhlIHJvbGUgdGhhdCB3YWxraW5nIGFuZCBjeWNsaW5nIGNhbiBtYWtlIGluIHJlZHVjaW5nIGdyZWVuaG91c2UgZ2FzIChHSEcpIGVtaXNzaW9ucyBieSBzdWJzdGl0dXRpbmcgbW90b3JpemVkIHRyYXZlbCwgcGFydGljdWxhcmx5IG9uIHNob3J0IHRyaXBzLiBIb3dldmVyLCB0aGVyZSBpcyBhIGxhY2sgb2YgZXZpZGVuY2UgYXQgdGhlIG1pY3JvIGxldmVsIG9uIHRoZSByZWFsaXN0aWMsIGVtcGlyaWNhbGx5IGRlcml2ZWQgcG90ZW50aWFsIG9mIHdhbGtpbmcgYW5kIGN5Y2xpbmcgdG8gZGlzcGxhY2UgbW90b3JpemVkIHRyYXZlbCBhbmQgdGh1cyByZWR1Y2UgR0hHIGVtaXNzaW9ucy4gVGhlIGFpbSBvZiB0aGlzIHN0dWR5IHdhcyB0byBpbnZlc3RpZ2F0ZSB0aGUgcG90ZW50aWFsIGZvciBHSEcgZW1pc3Npb25zIHNhdmluZ3MgZnJvbSByZXBsYWNpbmcgc2hvcnQgY2FyIHRyaXBzIHdpdGggd2Fsa2luZyBhbmQgY3ljbGluZyBhbmQgdGhlIGV4dGVudCB0byB3aGljaCBoaWdoIHF1YWxpdHkgaW5mcmFzdHJ1Y3R1cmUgZm9yIHdhbGtpbmcgYW5kIGN5Y2xpbmcgbWF5IGluZmx1ZW5jZSBkYXktdG8tZGF5IHRyYXZlbCBkZWNpc2lvbnMsIGNoYW5nZSB0aGUgc3BhdGlhbCBhbmQgdGVtcG9yYWwgbmF0dXJlIG9mIGxvY2FsIGpvdXJuZXlzIGFuZCBpbXBhY3Qgb24gb3ZlcmFsbCBHSEcgZW1pc3Npb25zIGZyb20gbW90b3Jpc2VkIHRyYXZlbC4gVG8gYWNoaWV2ZSB0aGlzIGFpbSB0aGlzIHN0dWR5IGNvbmR1Y3RlZCBhbiBpbi1kZXB0aCBvYnNlcnZhdGlvbmFsIHN0dWR5IG9mIGEgcHVycG9zaXZlbHkgc2VsZWN0ZWQgY29ob3J0IG9mIDUwIHJlc2lkZW50cyBpbiBDYXJkaWZmLCBXYWxlcy4gVXNpbmcgYSBtaXhlZC1tZXRob2QgYXBwcm9hY2ggZGV0YWlsZWQgcXVhbnRpdGF0aXZlIGFuZCBxdWFsaXRhdGl2ZSBkYXRhIHdlcmUgY29sbGVjdGVkIGZvciBlYWNoIHBhcnRpY2lwYW50IHVzaW5nIHBlcnNvbmFsIEdsb2JhbCBQb3NpdGlvbiBTeXN0ZW0gKEdQUykgZGV2aWNlcywgNy1kYXkgdHJhdmVsIGRpYXJpZXMgYW5kIGNvbnRleHR1YWwgaW50ZXJ2aWV3cyBvdmVyIHR3byBzZWFzb25hbGx5IG1hdGNoaW5nIDctZGF5IHRpbWUgcGVyaW9kcyBpbiAyMDExIGFuZCAyMDEyLiBHSEcgZW1pc3Npb25zIGZvciBtb3Rvcml6ZWQgdHJhdmVsIG1vZGVzIHdlcmUgZGVyaXZlZCB1c2luZyBqb3VybmV5IGRpc3RhbmNlLCB2ZWhpY2xlIHRlY2hub2xvZ3kgZGV0YWlscyBhbmQgYXZlcmFnZSBzcGVlZHMgb2J0YWluZWQgZnJvbSB0aGUgR1BTIGRhdGEuIFRoZSBzcGF0aWFsIGFuZCBjb250ZXh0dWFsIGRhdGEgcHJvdmlkZWQgbmV3IGluc2lnaHRzIGludG8gdGhlIGNvbXBsZXhpdGllcyBvZiB3YWxraW5nIGJlaGF2aW91ciBhbmQgZmFjdG9ycyBpbmZsdWVuY2luZyBjeWNsaW5nIGZvciBldmVyeWRheSB0cmF2ZWwgb3IgcmVjcmVhdGlvbiwgaW5jbHVkaW5nIHJvdXRlIGNob2ljZSBkZWNpc2lvbnMsIGFjdGl2aXR5IGRlc3RpbmF0aW9ucyBhbmQgdGhlIHJvbGUgb2YgdGhlIG5ldyBpbmZyYXN0cnVjdHVyZSB0byBlbmFibGUgY2hhbmdlLiBXZSBmb3VuZCBzaWduaWZpY2FudCBwb3RlbnRpYWwgb2YgYWN0aXZlIHRyYXZlbCB0byBzdWJzdGl0dXRlIHNob3J0IGNhciB0cmlwcywgd2l0aCBzaXplYWJsZSBpbXBhY3RzIG9uIGNhcmJvbiBlbWlzc2lvbnMgZnJvbSBwZXJzb25hbCB0cmF2ZWwuIEhhbGYgb2YgYWxsIGNhciB0cmlwcyB3ZXJlIGxlc3MgdGhhbiAzIG1pbGVzIGxvbmcuIFRha2luZyBpbnRvIGFjY291bnQgaW5kaXZpZHVhbCB0cmF2ZWwgcGF0dGVybnMgYW5kIGNvbnN0cmFpbnRzLCB3YWxraW5nIG9yIGN5Y2xpbmcgY291bGQgcmVhbGlzdGljYWxseSBzdWJzdGl0dXRlIGZvciA0MSUgb2Ygc2hvcnQgY2FyIHRyaXBzLCBzYXZpbmcgbmVhcmx5IDUlIG9mIENPMmUgZW1pc3Npb25zIGZyb20gY2FyIHRyYXZlbC4gVGhpcyB3YXMgb24gdG9wIG9mIDUlIG9mIOKAmGF2b2lkZWTigJkgZW1pc3Npb25zIGZyb20gY2FycyBkdWUgdG8gZXhpc3Rpbmcgd2Fsa2luZyBhbmQgY3ljbGluZy4gVGhlIGV2b2x2aW5nIGhpZ2ggcXVhbGl0eSB3YWxraW5nIGFuZCBjeWNsaW5nIGluZnJhc3RydWN0dXJlIGluIHRoZSBjYXNlIHN0dWR5IGFyZWEgd2FzIHVubGlrZWx5IHRvIHByb21vdGUgYSBzaWduaWZpY2FudCByZWR1Y3Rpb24gaW4gY2FyYm9uIGVtaXNzaW9ucyBmcm9tIChkaXNwbGFjZWQpIGNhciBqb3VybmV5cyBvbiBpdHMgb3duLiBUaGUgc3R1ZHkgY29udHJpYnV0ZXMgdG8gdGhlIGRlYmF0ZSBvbiBob3cgdG8gYWNoaWV2ZSBzdHJpbmdlbnQgbG93IGNhcmJvbiB0YXJnZXRzIGluIHVyYmFuIHRyYW5zcG9ydC4gVGhlIGNvbWJpbmF0aW9uIG9mIG1ldGhvZHMgZm9yIGRhdGEgY29sbGVjdGlvbiBkZXZlbG9wZWQgYW5kIGVtcGxveWVkIGluIHRoaXMgc3R1ZHkgYWxzbyBoZWxwcyB0byBpbmZvcm0gZnV0dXJlIHJlc2VhcmNoIG9uIHRoZSB3aWRlciBlbnZpcm9ubWVudGFsIGltcGFjdHMgb2YgYWN0aXZlIHRyYXZlbCwgaW5jbHVkaW5nIOKAmGNvLWJlbmVmaXRz4oCZIG9mIGltcHJvdmVkIGFpciBxdWFsaXR5LCByZWR1Y2VkIG5vaXNlIGFuZCByZWR1Y2VkIGZvc3NpbCBmdWVsIHVzZS4iLCJwdWJsaXNoZXIiOiJFbHNldmllciBMdGQiLCJ2b2x1bWUiOiIxMjMifSwiaXNUZW1wb3JhcnkiOmZhbHNlLCJzdXBwcmVzcy1hdXRob3IiOmZhbHNlLCJjb21wb3NpdGUiOmZhbHNlLCJhdXRob3Itb25seSI6ZmFsc2V9XX0=&quot;,&quot;citationItems&quot;:[{&quot;id&quot;:&quot;1da1fb50-ee90-3fe8-8897-927722d92ec8&quot;,&quot;itemData&quot;:{&quot;type&quot;:&quot;article-journal&quot;,&quot;id&quot;:&quot;1da1fb50-ee90-3fe8-8897-927722d92ec8&quot;,&quot;title&quot;:&quot;Assessing the potential for carbon emissions savings from replacing short car trips with walking and cycling using a mixed GPS-travel diary approach&quot;,&quot;author&quot;:[{&quot;family&quot;:&quot;Neves&quot;,&quot;given&quot;:&quot;Andre&quot;,&quot;parse-names&quot;:false,&quot;dropping-particle&quot;:&quot;&quot;,&quot;non-dropping-particle&quot;:&quot;&quot;},{&quot;family&quot;:&quot;Brand&quot;,&quot;given&quot;:&quot;Christian&quot;,&quot;parse-names&quot;:false,&quot;dropping-particle&quot;:&quot;&quot;,&quot;non-dropping-particle&quot;:&quot;&quot;}],&quot;container-title&quot;:&quot;Transportation Research Part A: Policy and Practice&quot;,&quot;container-title-short&quot;:&quot;Transp. Res. Part A Policy Pract.&quot;,&quot;DOI&quot;:&quot;10.1016/j.tra.2018.08.022&quot;,&quot;ISSN&quot;:&quot;09658564&quot;,&quot;issued&quot;:{&quot;date-parts&quot;:[[2019,5,1]]},&quot;page&quot;:&quot;130-146&quot;,&quot;abstract&quot;:&quot;There is a growing recognition of the role that walking and cycling can make in reducing greenhouse gas (GHG) emissions by substituting motorized travel, particularly on short trips. However, there is a lack of evidence at the micro level on the realistic, empirically derived potential of walking and cycling to displace motorized travel and thus reduce GHG emissions. The aim of this study was to investigate the potential for GHG emissions savings from replacing short car trips with walking and cycling and the extent to which high quality infrastructure for walking and cycling may influence day-to-day travel decisions, change the spatial and temporal nature of local journeys and impact on overall GHG emissions from motorised travel. To achieve this aim this study conducted an in-depth observational study of a purposively selected cohort of 50 residents in Cardiff, Wales. Using a mixed-method approach detailed quantitative and qualitative data were collected for each participant using personal Global Position System (GPS) devices, 7-day travel diaries and contextual interviews over two seasonally matching 7-day time periods in 2011 and 2012. GHG emissions for motorized travel modes were derived using journey distance, vehicle technology details and average speeds obtained from the GPS data. The spatial and contextual data provided new insights into the complexities of walking behaviour and factors influencing cycling for everyday travel or recreation, including route choice decisions, activity destinations and the role of the new infrastructure to enable change. We found significant potential of active travel to substitute short car trips, with sizeable impacts on carbon emissions from personal travel. Half of all car trips were less than 3 miles long. Taking into account individual travel patterns and constraints, walking or cycling could realistically substitute for 41% of short car trips, saving nearly 5% of CO2e emissions from car travel. This was on top of 5% of ‘avoided’ emissions from cars due to existing walking and cycling. The evolving high quality walking and cycling infrastructure in the case study area was unlikely to promote a significant reduction in carbon emissions from (displaced) car journeys on its own. The study contributes to the debate on how to achieve stringent low carbon targets in urban transport. The combination of methods for data collection developed and employed in this study also helps to inform future research on the wider environmental impacts of active travel, including ‘co-benefits’ of improved air quality, reduced noise and reduced fossil fuel use.&quot;,&quot;publisher&quot;:&quot;Elsevier Ltd&quot;,&quot;volume&quot;:&quot;123&quot;},&quot;isTemporary&quot;:false,&quot;suppress-author&quot;:false,&quot;composite&quot;:false,&quot;author-only&quot;:false}]},{&quot;citationID&quot;:&quot;MENDELEY_CITATION_54637854-c0f7-4227-81d6-3452328ac189&quot;,&quot;properties&quot;:{&quot;noteIndex&quot;:0},&quot;isEdited&quot;:false,&quot;manualOverride&quot;:{&quot;isManuallyOverridden&quot;:true,&quot;citeprocText&quot;:&quot;(Baran et al., 2024; Berrie et al., 2024)&quot;,&quot;manualOverrideText&quot;:&quot;(Berrie et al., 2024; Baran et al., 2024)&quot;},&quot;citationTag&quot;:&quot;MENDELEY_CITATION_v3_eyJjaXRhdGlvbklEIjoiTUVOREVMRVlfQ0lUQVRJT05fNTQ2Mzc4NTQtYzBmNy00MjI3LTgxZDYtMzQ1MjMyOGFjMTg5IiwicHJvcGVydGllcyI6eyJub3RlSW5kZXgiOjB9LCJpc0VkaXRlZCI6ZmFsc2UsIm1hbnVhbE92ZXJyaWRlIjp7ImlzTWFudWFsbHlPdmVycmlkZGVuIjp0cnVlLCJjaXRlcHJvY1RleHQiOiIoQmFyYW4gZXQgYWwuLCAyMDI0OyBCZXJyaWUgZXQgYWwuLCAyMDI0KSIsIm1hbnVhbE92ZXJyaWRlVGV4dCI6IihCZXJyaWUgZXQgYWwuLCAyMDI0OyBCYXJhbiBldCBhbC4sIDIwMjQpIn0sImNpdGF0aW9uSXRlbXMiOlt7ImlkIjoiZjUyOWNlNDgtNWQ0ZS0zZmYzLWE5ZDgtZjRiN2I0MWIyNWFkIiwiaXRlbURhdGEiOnsidHlwZSI6ImFydGljbGUtam91cm5hbCIsImlkIjoiZjUyOWNlNDgtNWQ0ZS0zZmYzLWE5ZDgtZjRiN2I0MWIyNWFkIiwidGl0bGUiOiJEb2VzIGN5Y2xlIGNvbW11dGluZyByZWR1Y2UgdGhlIHJpc2sgb2YgbWVudGFsIGlsbC1oZWFsdGg/IEFuIGluc3RydW1lbnRhbCB2YXJpYWJsZSBhbmFseXNpcyB1c2luZyBkaXN0YW5jZSB0byBuZWFyZXN0IGN5Y2xlIHBhdGgiLCJhdXRob3IiOlt7ImZhbWlseSI6IkJlcnJpZSIsImdpdmVuIjoiTGF1cmllIiwicGFyc2UtbmFtZXMiOmZhbHNlLCJkcm9wcGluZy1wYXJ0aWNsZSI6IiIsIm5vbi1kcm9wcGluZy1wYXJ0aWNsZSI6IiJ9LHsiZmFtaWx5IjoiRmVuZyIsImdpdmVuIjoiWmhpcWlhbmciLCJwYXJzZS1uYW1lcyI6ZmFsc2UsImRyb3BwaW5nLXBhcnRpY2xlIjoiIiwibm9uLWRyb3BwaW5nLXBhcnRpY2xlIjoiIn0seyJmYW1pbHkiOiJSaWNlIiwiZ2l2ZW4iOiJEYXZpZCIsInBhcnNlLW5hbWVzIjpmYWxzZSwiZHJvcHBpbmctcGFydGljbGUiOiIiLCJub24tZHJvcHBpbmctcGFydGljbGUiOiIifSx7ImZhbWlseSI6IkNsZW1lbnMiLCJnaXZlbiI6IlRvbSIsInBhcnNlLW5hbWVzIjpmYWxzZSwiZHJvcHBpbmctcGFydGljbGUiOiIiLCJub24tZHJvcHBpbmctcGFydGljbGUiOiIifSx7ImZhbWlseSI6IldpbGxpYW1zb24iLCJnaXZlbiI6IkxlZSIsInBhcnNlLW5hbWVzIjpmYWxzZSwiZHJvcHBpbmctcGFydGljbGUiOiIiLCJub24tZHJvcHBpbmctcGFydGljbGUiOiIifSx7ImZhbWlseSI6IkRpYmJlbiIsImdpdmVuIjoiQ2hyaXMiLCJwYXJzZS1uYW1lcyI6ZmFsc2UsImRyb3BwaW5nLXBhcnRpY2xlIjoiIiwibm9uLWRyb3BwaW5nLXBhcnRpY2xlIjoiIn1dLCJjb250YWluZXItdGl0bGUiOiJJbnRlcm5hdGlvbmFsIEpvdXJuYWwgb2YgRXBpZGVtaW9sb2d5IiwiY29udGFpbmVyLXRpdGxlLXNob3J0IjoiSW50LiBKLiBFcGlkZW1pb2wuIiwiRE9JIjoiMTAuMTA5My9pamUvZHlhZDE1MyIsIklTU04iOiIxNDY0MzY4NSIsIlBNSUQiOiIzODIxOTc5MyIsImlzc3VlZCI6eyJkYXRlLXBhcnRzIjpbWzIwMjQsMiwxXV19LCJhYnN0cmFjdCI6IkJhY2tncm91bmQ6IFByZXZpb3VzIHN0dWRpZXMgaGF2ZSBsaW5rZWQgY3ljbGluZyB3aXRoIGltcHJvdmVkIG1lbnRhbCB3ZWxsYmVpbmcgYnV0IHRoZXNlIHN0dWRpZXMgdGVuZCB0byB1c2UgY3Jvc3Mtc2VjdGlvbmFsIHN1cnZleSBkYXRhIHRoYXQgaGF2ZSBzbWFsbCBzYW1wbGUgc2l6ZXMgYW5kIHNlbGYtcmVwb3J0ZWQgaGVhbHRoIG1lYXN1cmVzLCBhbmQgYXJlIHBvdGVudGlhbGx5IHN1c2NlcHRpYmxlIHRvIG9taXR0ZWQtdmFyaWFibGUgYmlhcyBhbmQgcmV2ZXJzZSBjYXVzYXRpb24uIFdlIHVzZSBhbiBpbnN0cnVtZW50YWwgdmFyaWFibGUgYXBwcm9hY2ggYW5kIGFuIG9iamVjdGl2ZSBtZWFzdXJlIG9mIG1lbnRhbCBpbGwtaGVhbHRoIHRha2VuIGZyb20gbGlua2VkIGFkbWluaXN0cmF0aXZlIGRhdGEgdG8gYXNrOiDigJhEb2VzIGN5Y2xlIGNvbW11dGluZyByZWR1Y2UgdGhlIHJpc2sgb2YgbWVudGFsIGlsbC1oZWFsdGg/4oCZIE1ldGhvZHM6IE91ciBzdHVkeSBsaW5rcyBkYXRhIG9uIGNvbW11dGluZyBpbiBFZGluYnVyZ2ggYW5kIEdsYXNnb3cgZnJvbSB0aGUgU2NvdHRpc2ggcG9wdWxhdGlvbiBjZW5zdXMgd2l0aCBtZW50YWwgaGVhbHRoIHByZXNjcmlwdGlvbnMgZnJvbSB0aGUgTmF0aW9uYWwgSGVhbHRoIFNlcnZpY2UgUHJlc2NyaWJpbmcgSW5mb3JtYXRpb24gU3lzdGVtIHJlY29yZHMuIFdlIHVzZSByb2FkIGRpc3RhbmNlIGZyb20gaG9tZSB0byBuZWFyZXN0IGN5Y2xlIHBhdGggYXMgYW4gaW5zdHJ1bWVudGFsIHZhcmlhYmxlIGZvciBjeWNsZSBjb21tdXRpbmcuIFJlc3VsdHM6IEluIHRvdGFsLCAzNzggMjUzIHBlb3BsZSBhZ2VkIDE24oCTNzQgeWVhcnMgbGl2aW5nIGFuZCB3b3JraW5nIGluIHRoZSBDaXR5IG9mIEVkaW5idXJnaCBhbmQgR2xhc2dvdyBDaXR5IGNvdW5jaWwgYXJlYXMgYXQgdGhlIDIwMTEgY2Vuc3VzIHdlcmUgaW5jbHVkZWQgaW4gb3VyIHN0dWR5OyAxLjg1JSBvZiBjb21tdXRlcnMgaW4gR2xhc2dvdyBhbmQgNC44JSBvZiBjb21tdXRlcnMgaW4gRWRpbmJ1cmdoIGN5Y2xlZCB0byB3b3JrLiBBbW9uZ3N0IGN5Y2xpc3RzLCA5JSBoYWQgYSBwcmVzY3JpcHRpb24gZm9yIG1lbnRhbCBoZWFsdGggY29tcGFyZWQgd2l0aCAxNCUgYW1vbmdzdCBub24tY3ljbGlzdHMuIFVzaW5nIGEgYml2YXJpYXRlIHByb2JpdCBtb2RlbCwgd2UgZXN0aW1hdGUgYSBtZWFuIGF2ZXJhZ2UgcmVkdWN0aW9uIGluIHByZXNjcmlwdGlvbnMgZm9yIGFudGlkZXByZXNzYW50cyBhbmQvb3IgYW54aW9seXRpY3MgaW4gdGhlIDUgeWVhcnMgZm9sbG93aW5nIHRoZSBjZW5zdXMgb2Yg4oCTMTUuMSUgKDk1JSBDSTog4oCTMTUuMyUgdG8g4oCTMTUuMCUpIGFtb25nc3QgY3ljbGUgY29tbXV0ZXJzIGNvbXBhcmVkIHdpdGggdGhvc2Ugd2hvIHVzZSBhbnkgb3RoZXIgbW9kZSB0byBjb21tdXRlLiBDb25jbHVzaW9uczogVGhpcyB3b3JrIHN1Z2dlc3RzIHRoYXQgY3ljbGUgY29tbXV0aW5nIGlzIGNhdXNhbGx5IHJlbGF0ZWQgdG8gcmVkdWNlZCBtZW50YWwgaWxsLWhlYWx0aCBhbmQgcHJvdmlkZXMgZnVydGhlciBldmlkZW5jZSBpbiBzdXBwb3J0IG9mIHRoZSBwcm9tb3Rpb24gb2YgYWN0aXZlIHRyYXZlbCB0byBlbmNvdXJhZ2UgY29tbXV0ZXJzIHRyYXZlbGxpbmcgc2hvcnRlciBkaXN0YW5jZXMgdG8gc2hpZnQgdG8gY3ljbGUgY29tbXV0ZXMuIiwicHVibGlzaGVyIjoiT3hmb3JkIFVuaXZlcnNpdHkgUHJlc3MiLCJpc3N1ZSI6IjEiLCJ2b2x1bWUiOiI1MyJ9LCJpc1RlbXBvcmFyeSI6ZmFsc2V9LHsiaWQiOiIzYzZlZDIxZC01NTM2LTM0ODktYjA3MS0xMmEwMGZiNjRiN2QiLCJpdGVtRGF0YSI6eyJ0eXBlIjoiYXJ0aWNsZSIsImlkIjoiM2M2ZWQyMWQtNTUzNi0zNDg5LWIwNzEtMTJhMDBmYjY0YjdkIiwidGl0bGUiOiJBY3RpdmUgQ29tbXV0aW5nIGFzIGEgRmFjdG9yIG9mIENhcmRpb3Zhc2N1bGFyIERpc2Vhc2UgUHJldmVudGlvbjogQSBTeXN0ZW1hdGljIFJldmlldyB3aXRoIE1ldGEtQW5hbHlzaXMiLCJhdXRob3IiOlt7ImZhbWlseSI6IkJhcmFuIiwiZ2l2ZW4iOiJDbGF1ZGlhIiwicGFyc2UtbmFtZXMiOmZhbHNlLCJkcm9wcGluZy1wYXJ0aWNsZSI6IiIsIm5vbi1kcm9wcGluZy1wYXJ0aWNsZSI6IiJ9LHsiZmFtaWx5IjoiQmVsZ2FjZW0iLCJnaXZlbiI6IlNoYW5pY2UiLCJwYXJzZS1uYW1lcyI6ZmFsc2UsImRyb3BwaW5nLXBhcnRpY2xlIjoiIiwibm9uLWRyb3BwaW5nLXBhcnRpY2xlIjoiIn0seyJmYW1pbHkiOiJQYWlsbGV0IiwiZ2l2ZW4iOiJNYXRoaWxkZSIsInBhcnNlLW5hbWVzIjpmYWxzZSwiZHJvcHBpbmctcGFydGljbGUiOiIiLCJub24tZHJvcHBpbmctcGFydGljbGUiOiIifSx7ImZhbWlseSI6IkFicmV1IiwiZ2l2ZW4iOiJSYXBoYWVsIE1hcnRpbnMiLCJwYXJzZS1uYW1lcyI6ZmFsc2UsImRyb3BwaW5nLXBhcnRpY2xlIjoiIiwibm9uLWRyb3BwaW5nLXBhcnRpY2xlIjoiZGUifSx7ImZhbWlseSI6IkFyYXVqbyIsImdpdmVuIjoiRnJhbmNpc2NvIFhhdmllciIsInBhcnNlLW5hbWVzIjpmYWxzZSwiZHJvcHBpbmctcGFydGljbGUiOiIiLCJub24tZHJvcHBpbmctcGFydGljbGUiOiJkZSJ9LHsiZmFtaWx5IjoiTWVyb25pIiwiZ2l2ZW4iOiJSb2JlcnRvIiwicGFyc2UtbmFtZXMiOmZhbHNlLCJkcm9wcGluZy1wYXJ0aWNsZSI6IiIsIm5vbi1kcm9wcGluZy1wYXJ0aWNsZSI6IiJ9LHsiZmFtaWx5IjoiQ29yYmVsbGluaSIsImdpdmVuIjoiQ2FtaWxvIiwicGFyc2UtbmFtZXMiOmZhbHNlLCJkcm9wcGluZy1wYXJ0aWNsZSI6IiIsIm5vbi1kcm9wcGluZy1wYXJ0aWNsZSI6IiJ9XSwiY29udGFpbmVyLXRpdGxlIjoiSm91cm5hbCBvZiBGdW5jdGlvbmFsIE1vcnBob2xvZ3kgYW5kIEtpbmVzaW9sb2d5IiwiY29udGFpbmVyLXRpdGxlLXNob3J0IjoiSi4gRnVuY3QuIE1vcnBob2wuIEtpbmVzaW9sLiIsIkRPSSI6IjEwLjMzOTAvamZtazkwMzAxMjUiLCJJU1NOIjoiMjQxMTUxNDIiLCJpc3N1ZWQiOnsiZGF0ZS1wYXJ0cyI6W1syMDI0LDksMV1dfSwiYWJzdHJhY3QiOiJBY3RpdmUgY29tbXV0aW5nIChBQykgbWF5IGhhdmUgdGhlIHBvdGVudGlhbCB0byBwcmV2ZW50IHRoZSBpbmNpZGVuY2Ugb2YgY2FyZGlvdmFzY3VsYXIgZGlzZWFzZSAoQ1ZEKS4gSG93ZXZlciwgdGhlIGV2aWRlbmNlIGZvciBhIGNvcnJlbGF0aW9uIGJldHdlZW4gQUMgYW5kIHRoZSByaXNrIG9mIENWRCByZW1haW5zIHVuY2VydGFpbi4gVGhlIGN1cnJlbnQgc3R1ZHkgdGhvcm91Z2hseSBhbmQgcXVhbGl0YXRpdmVseSBzdW1tYXJpemVkIHJlc2VhcmNoIG9uIHRoZSByZWxhdGlvbnNoaXAgYmV0d2VlbiBBQyBhbmQgdGhlIHJpc2sgb2YgQ1ZEIGRpc2Vhc2UuIEZyb20gY29uY2VwdGlvbiB0aHJvdWdoIERlY2VtYmVyIDIwMjIsIHJlc2VhcmNoZXJzIGV4cGxvcmVkIGZvdXIgZGF0YWJhc2VzIChQdWJNZWQsIFBFRHJvLCBDb2NocmFuZSwgYW5kIEJpYmxpb3Row6hxdWUgTmF0aW9uYWxlIG9mIEx1eGVtYm91cmcgW0JuTF0pIGZvciBvYnNlcnZhdGlvbmFsIHN0dWRpZXMuIFRoZSBpbml0aWFsIGZpbmRpbmdzIG9mIHRoZSBzZWFyY2ggeWllbGRlZCAxMDQyIHJlZmVyZW5jZXMuIFRoaXMgc3lzdGVtYXRpYyByZXZpZXcgaW5jbHVkZXMgZml2ZSBwYXBlcnMgd2l0aCA0OTEsMzUyIHBhcnRpY2lwYW50cyBiZXR3ZWVuIDE2IGFuZCA4NSB5ZWFycyBvbGQsIHdpdGggNSB0byAyMCB5ZWFycyBvZiBmb2xsb3ctdXAgcGVyaW9kLiBUaGUgZXhwb3N1cmUgdmFyaWFibGUgd2FzIHRoZSBtb2RlIG9mIHRyYW5zcG9ydGF0aW9uIHVzZWQgdG8gY29tbXV0ZSBvbiBhIHR5cGljYWwgZGF5ICh3YWxraW5nLCBjeWNsaW5nLCBtaXhlZCBtb2RlLCBkcml2aW5nLCBvciB0YWtpbmcgcHVibGljIHRyYW5zcG9ydGF0aW9uKS4gVGhlIHByaW1hcnkgb3V0Y29tZSBtZWFzdXJlcyB3ZXJlIGluY2lkZW50IENWRCwgZmF0YWwgYW5kIG5vbi1mYXRhbCAoZS5nLiwgaXNjaGVtaWMgaGVhcnQgZGlzZWFzZSAoSUhEKSwgaXNjaGVtaWMgc3Ryb2tlIChJUyksIGhlbW9ycmhhZ2ljIHN0cm9rZSAoSFMpIGV2ZW50cywgYW5kIGNvcm9uYXJ5IGhlYXJ0IGRpc2Vhc2UgKENIRCkuIERlc3BpdGUgbWV0aG9kb2xvZ2ljYWwgdmFyaWFiaWxpdHksIHRoZSBjdXJyZW50IGV2aWRlbmNlIHN1cHBvcnRzIEFDIGFzIGEgcHJldmVudGl2ZSBtZWFzdXJlIGZvciB0aGUgZGV2ZWxvcG1lbnQgb2YgQ1ZELiBGdXR1cmUgcmVzZWFyY2ggaXMgbmVlZGVkIHRvIHN0YW5kYXJkaXplIG1ldGhvZG9sb2dpZXMgYW5kIHByb21vdGUgcG9saWNpZXMgZm9yIHB1YmxpYyBoZWFsdGggYW5kIGVudmlyb25tZW50YWwgc3VzdGFpbmFiaWxpdHkuIiwicHVibGlzaGVyIjoiTXVsdGlkaXNjaXBsaW5hcnkgRGlnaXRhbCBQdWJsaXNoaW5nIEluc3RpdHV0ZSAoTURQSSkiLCJpc3N1ZSI6IjMiLCJ2b2x1bWUiOiI5In0sImlzVGVtcG9yYXJ5IjpmYWxzZX1dfQ==&quot;,&quot;citationItems&quot;:[{&quot;id&quot;:&quot;f529ce48-5d4e-3ff3-a9d8-f4b7b41b25ad&quot;,&quot;itemData&quot;:{&quot;type&quot;:&quot;article-journal&quot;,&quot;id&quot;:&quot;f529ce48-5d4e-3ff3-a9d8-f4b7b41b25ad&quot;,&quot;title&quot;:&quot;Does cycle commuting reduce the risk of mental ill-health? An instrumental variable analysis using distance to nearest cycle path&quot;,&quot;author&quot;:[{&quot;family&quot;:&quot;Berrie&quot;,&quot;given&quot;:&quot;Laurie&quot;,&quot;parse-names&quot;:false,&quot;dropping-particle&quot;:&quot;&quot;,&quot;non-dropping-particle&quot;:&quot;&quot;},{&quot;family&quot;:&quot;Feng&quot;,&quot;given&quot;:&quot;Zhiqiang&quot;,&quot;parse-names&quot;:false,&quot;dropping-particle&quot;:&quot;&quot;,&quot;non-dropping-particle&quot;:&quot;&quot;},{&quot;family&quot;:&quot;Rice&quot;,&quot;given&quot;:&quot;David&quot;,&quot;parse-names&quot;:false,&quot;dropping-particle&quot;:&quot;&quot;,&quot;non-dropping-particle&quot;:&quot;&quot;},{&quot;family&quot;:&quot;Clemens&quot;,&quot;given&quot;:&quot;Tom&quot;,&quot;parse-names&quot;:false,&quot;dropping-particle&quot;:&quot;&quot;,&quot;non-dropping-particle&quot;:&quot;&quot;},{&quot;family&quot;:&quot;Williamson&quot;,&quot;given&quot;:&quot;Lee&quot;,&quot;parse-names&quot;:false,&quot;dropping-particle&quot;:&quot;&quot;,&quot;non-dropping-particle&quot;:&quot;&quot;},{&quot;family&quot;:&quot;Dibben&quot;,&quot;given&quot;:&quot;Chris&quot;,&quot;parse-names&quot;:false,&quot;dropping-particle&quot;:&quot;&quot;,&quot;non-dropping-particle&quot;:&quot;&quot;}],&quot;container-title&quot;:&quot;International Journal of Epidemiology&quot;,&quot;container-title-short&quot;:&quot;Int. J. Epidemiol.&quot;,&quot;DOI&quot;:&quot;10.1093/ije/dyad153&quot;,&quot;ISSN&quot;:&quot;14643685&quot;,&quot;PMID&quot;:&quot;38219793&quot;,&quot;issued&quot;:{&quot;date-parts&quot;:[[2024,2,1]]},&quot;abstract&quot;:&quot;Background: Previous studies have linked cycling with improved mental wellbeing but these studies tend to use cross-sectional survey data that have small sample sizes and self-reported health measures, and are potentially susceptible to omitted-variable bias and reverse causation. We use an instrumental variable approach and an objective measure of mental ill-health taken from linked administrative data to ask: ‘Does cycle commuting reduce the risk of mental ill-health?’ Methods: Our study links data on commuting in Edinburgh and Glasgow from the Scottish population census with mental health prescriptions from the National Health Service Prescribing Information System records. We use road distance from home to nearest cycle path as an instrumental variable for cycle commuting. Results: In total, 378 253 people aged 16–74 years living and working in the City of Edinburgh and Glasgow City council areas at the 2011 census were included in our study; 1.85% of commuters in Glasgow and 4.8% of commuters in Edinburgh cycled to work. Amongst cyclists, 9% had a prescription for mental health compared with 14% amongst non-cyclists. Using a bivariate probit model, we estimate a mean average reduction in prescriptions for antidepressants and/or anxiolytics in the 5 years following the census of –15.1% (95% CI: –15.3% to –15.0%) amongst cycle commuters compared with those who use any other mode to commute. Conclusions: This work suggests that cycle commuting is causally related to reduced mental ill-health and provides further evidence in support of the promotion of active travel to encourage commuters travelling shorter distances to shift to cycle commutes.&quot;,&quot;publisher&quot;:&quot;Oxford University Press&quot;,&quot;issue&quot;:&quot;1&quot;,&quot;volume&quot;:&quot;53&quot;},&quot;isTemporary&quot;:false},{&quot;id&quot;:&quot;3c6ed21d-5536-3489-b071-12a00fb64b7d&quot;,&quot;itemData&quot;:{&quot;type&quot;:&quot;article&quot;,&quot;id&quot;:&quot;3c6ed21d-5536-3489-b071-12a00fb64b7d&quot;,&quot;title&quot;:&quot;Active Commuting as a Factor of Cardiovascular Disease Prevention: A Systematic Review with Meta-Analysis&quot;,&quot;author&quot;:[{&quot;family&quot;:&quot;Baran&quot;,&quot;given&quot;:&quot;Claudia&quot;,&quot;parse-names&quot;:false,&quot;dropping-particle&quot;:&quot;&quot;,&quot;non-dropping-particle&quot;:&quot;&quot;},{&quot;family&quot;:&quot;Belgacem&quot;,&quot;given&quot;:&quot;Shanice&quot;,&quot;parse-names&quot;:false,&quot;dropping-particle&quot;:&quot;&quot;,&quot;non-dropping-particle&quot;:&quot;&quot;},{&quot;family&quot;:&quot;Paillet&quot;,&quot;given&quot;:&quot;Mathilde&quot;,&quot;parse-names&quot;:false,&quot;dropping-particle&quot;:&quot;&quot;,&quot;non-dropping-particle&quot;:&quot;&quot;},{&quot;family&quot;:&quot;Abreu&quot;,&quot;given&quot;:&quot;Raphael Martins&quot;,&quot;parse-names&quot;:false,&quot;dropping-particle&quot;:&quot;&quot;,&quot;non-dropping-particle&quot;:&quot;de&quot;},{&quot;family&quot;:&quot;Araujo&quot;,&quot;given&quot;:&quot;Francisco Xavier&quot;,&quot;parse-names&quot;:false,&quot;dropping-particle&quot;:&quot;&quot;,&quot;non-dropping-particle&quot;:&quot;de&quot;},{&quot;family&quot;:&quot;Meroni&quot;,&quot;given&quot;:&quot;Roberto&quot;,&quot;parse-names&quot;:false,&quot;dropping-particle&quot;:&quot;&quot;,&quot;non-dropping-particle&quot;:&quot;&quot;},{&quot;family&quot;:&quot;Corbellini&quot;,&quot;given&quot;:&quot;Camilo&quot;,&quot;parse-names&quot;:false,&quot;dropping-particle&quot;:&quot;&quot;,&quot;non-dropping-particle&quot;:&quot;&quot;}],&quot;container-title&quot;:&quot;Journal of Functional Morphology and Kinesiology&quot;,&quot;container-title-short&quot;:&quot;J. Funct. Morphol. Kinesiol.&quot;,&quot;DOI&quot;:&quot;10.3390/jfmk9030125&quot;,&quot;ISSN&quot;:&quot;24115142&quot;,&quot;issued&quot;:{&quot;date-parts&quot;:[[2024,9,1]]},&quot;abstract&quot;:&quot;Active commuting (AC) may have the potential to prevent the incidence of cardiovascular disease (CVD). However, the evidence for a correlation between AC and the risk of CVD remains uncertain. The current study thoroughly and qualitatively summarized research on the relationship between AC and the risk of CVD disease. From conception through December 2022, researchers explored four databases (PubMed, PEDro, Cochrane, and Bibliothèque Nationale of Luxembourg [BnL]) for observational studies. The initial findings of the search yielded 1042 references. This systematic review includes five papers with 491,352 participants between 16 and 85 years old, with 5 to 20 years of follow-up period. The exposure variable was the mode of transportation used to commute on a typical day (walking, cycling, mixed mode, driving, or taking public transportation). The primary outcome measures were incident CVD, fatal and non-fatal (e.g., ischemic heart disease (IHD), ischemic stroke (IS), hemorrhagic stroke (HS) events, and coronary heart disease (CHD). Despite methodological variability, the current evidence supports AC as a preventive measure for the development of CVD. Future research is needed to standardize methodologies and promote policies for public health and environmental sustainability.&quot;,&quot;publisher&quot;:&quot;Multidisciplinary Digital Publishing Institute (MDPI)&quot;,&quot;issue&quot;:&quot;3&quot;,&quot;volume&quot;:&quot;9&quot;},&quot;isTemporary&quot;:false}]},{&quot;citationID&quot;:&quot;MENDELEY_CITATION_b561fdd7-2e16-438f-8461-bee251b7454b&quot;,&quot;properties&quot;:{&quot;noteIndex&quot;:0},&quot;isEdited&quot;:false,&quot;manualOverride&quot;:{&quot;isManuallyOverridden&quot;:false,&quot;citeprocText&quot;:&quot;(Bricka et al., 2024)&quot;,&quot;manualOverrideText&quot;:&quot;&quot;},&quot;citationTag&quot;:&quot;MENDELEY_CITATION_v3_eyJjaXRhdGlvbklEIjoiTUVOREVMRVlfQ0lUQVRJT05fYjU2MWZkZDctMmUxNi00MzhmLTg0NjEtYmVlMjUxYjc0NTRiIiwicHJvcGVydGllcyI6eyJub3RlSW5kZXgiOjB9LCJpc0VkaXRlZCI6ZmFsc2UsIm1hbnVhbE92ZXJyaWRlIjp7ImlzTWFudWFsbHlPdmVycmlkZGVuIjpmYWxzZSwiY2l0ZXByb2NUZXh0IjoiKEJyaWNrYSBldCBhbC4sIDIwMjQpIiwibWFudWFsT3ZlcnJpZGVUZXh0IjoiIn0sImNpdGF0aW9uSXRlbXMiOlt7ImlkIjoiZDI5ZjZjZDgtYzFhMi0zMTI0LTg2ZjgtYmYxODQxOGJhMGVlIiwiaXRlbURhdGEiOnsidHlwZSI6ImFydGljbGUtam91cm5hbCIsImlkIjoiZDI5ZjZjZDgtYzFhMi0zMTI0LTg2ZjgtYmYxODQxOGJhMGVlIiwidGl0bGUiOiJTdW1tYXJ5IG9mIFRyYXZlbCBUcmVuZHM6IDIwMjIgTmF0aW9uYWwgSG91c2Vob2xkIFRyYXZlbCBTdXJ2ZXkiLCJhdXRob3IiOlt7ImZhbWlseSI6IkJyaWNrYSIsImdpdmVuIjoiUyIsInBhcnNlLW5hbWVzIjpmYWxzZSwiZHJvcHBpbmctcGFydGljbGUiOiIiLCJub24tZHJvcHBpbmctcGFydGljbGUiOiIifSx7ImZhbWlseSI6IlJldXNjaGVyIiwiZ2l2ZW4iOiJUIiwicGFyc2UtbmFtZXMiOmZhbHNlLCJkcm9wcGluZy1wYXJ0aWNsZSI6IiIsIm5vbi1kcm9wcGluZy1wYXJ0aWNsZSI6IiJ9LHsiZmFtaWx5IjoiU2Nocm9lZGVyIiwiZ2l2ZW4iOiJQIiwicGFyc2UtbmFtZXMiOmZhbHNlLCJkcm9wcGluZy1wYXJ0aWNsZSI6IiIsIm5vbi1kcm9wcGluZy1wYXJ0aWNsZSI6IiJ9LHsiZmFtaWx5IjoiRmlzaGVyIiwiZ2l2ZW4iOiJNIiwicGFyc2UtbmFtZXMiOmZhbHNlLCJkcm9wcGluZy1wYXJ0aWNsZSI6IiIsIm5vbi1kcm9wcGluZy1wYXJ0aWNsZSI6IiJ9LHsiZmFtaWx5IjoiQmVhcmQiLCJnaXZlbiI6IkoiLCJwYXJzZS1uYW1lcyI6ZmFsc2UsImRyb3BwaW5nLXBhcnRpY2xlIjoiIiwibm9uLWRyb3BwaW5nLXBhcnRpY2xlIjoiIn0seyJmYW1pbHkiOiJTdW4iLCJnaXZlbiI6IkwiLCJwYXJzZS1uYW1lcyI6ZmFsc2UsImRyb3BwaW5nLXBhcnRpY2xlIjoiIiwibm9uLWRyb3BwaW5nLXBhcnRpY2xlIjoiIn1dLCJhY2Nlc3NlZCI6eyJkYXRlLXBhcnRzIjpbWzIwMjYsNCwyNV1dfSwiVVJMIjoiaHR0cHM6Ly9uaHRzLm9ybmwuZ292Ly4iLCJpc3N1ZWQiOnsiZGF0ZS1wYXJ0cyI6W1syMDI0XV19LCJjb250YWluZXItdGl0bGUtc2hvcnQiOiIifSwiaXNUZW1wb3JhcnkiOmZhbHNlLCJzdXBwcmVzcy1hdXRob3IiOmZhbHNlLCJjb21wb3NpdGUiOmZhbHNlLCJhdXRob3Itb25seSI6ZmFsc2V9XX0=&quot;,&quot;citationItems&quot;:[{&quot;id&quot;:&quot;d29f6cd8-c1a2-3124-86f8-bf18418ba0ee&quot;,&quot;itemData&quot;:{&quot;type&quot;:&quot;article-journal&quot;,&quot;id&quot;:&quot;d29f6cd8-c1a2-3124-86f8-bf18418ba0ee&quot;,&quot;title&quot;:&quot;Summary of Travel Trends: 2022 National Household Travel Survey&quot;,&quot;author&quot;:[{&quot;family&quot;:&quot;Bricka&quot;,&quot;given&quot;:&quot;S&quot;,&quot;parse-names&quot;:false,&quot;dropping-particle&quot;:&quot;&quot;,&quot;non-dropping-particle&quot;:&quot;&quot;},{&quot;family&quot;:&quot;Reuscher&quot;,&quot;given&quot;:&quot;T&quot;,&quot;parse-names&quot;:false,&quot;dropping-particle&quot;:&quot;&quot;,&quot;non-dropping-particle&quot;:&quot;&quot;},{&quot;family&quot;:&quot;Schroeder&quot;,&quot;given&quot;:&quot;P&quot;,&quot;parse-names&quot;:false,&quot;dropping-particle&quot;:&quot;&quot;,&quot;non-dropping-particle&quot;:&quot;&quot;},{&quot;family&quot;:&quot;Fisher&quot;,&quot;given&quot;:&quot;M&quot;,&quot;parse-names&quot;:false,&quot;dropping-particle&quot;:&quot;&quot;,&quot;non-dropping-particle&quot;:&quot;&quot;},{&quot;family&quot;:&quot;Beard&quot;,&quot;given&quot;:&quot;J&quot;,&quot;parse-names&quot;:false,&quot;dropping-particle&quot;:&quot;&quot;,&quot;non-dropping-particle&quot;:&quot;&quot;},{&quot;family&quot;:&quot;Sun&quot;,&quot;given&quot;:&quot;L&quot;,&quot;parse-names&quot;:false,&quot;dropping-particle&quot;:&quot;&quot;,&quot;non-dropping-particle&quot;:&quot;&quot;}],&quot;accessed&quot;:{&quot;date-parts&quot;:[[2026,4,25]]},&quot;URL&quot;:&quot;https://nhts.ornl.gov/.&quot;,&quot;issued&quot;:{&quot;date-parts&quot;:[[2024]]},&quot;container-title-short&quot;:&quot;&quot;},&quot;isTemporary&quot;:false,&quot;suppress-author&quot;:false,&quot;composite&quot;:false,&quot;author-only&quot;:false}]},{&quot;citationID&quot;:&quot;MENDELEY_CITATION_0b02b549-c1ea-4258-a1ab-32b75a9f826b&quot;,&quot;properties&quot;:{&quot;noteIndex&quot;:0},&quot;isEdited&quot;:false,&quot;manualOverride&quot;:{&quot;isManuallyOverridden&quot;:true,&quot;citeprocText&quot;:&quot;(North American Bikeshare and Scootershare Association, 2025)&quot;,&quot;manualOverrideText&quot;:&quot;North American Bikeshare and Scootershare Association, 2025)&quot;},&quot;citationTag&quot;:&quot;MENDELEY_CITATION_v3_eyJjaXRhdGlvbklEIjoiTUVOREVMRVlfQ0lUQVRJT05fMGIwMmI1NDktYzFlYS00MjU4LWExYWItMzJiNzVhOWY4MjZiIiwicHJvcGVydGllcyI6eyJub3RlSW5kZXgiOjB9LCJpc0VkaXRlZCI6ZmFsc2UsIm1hbnVhbE92ZXJyaWRlIjp7ImlzTWFudWFsbHlPdmVycmlkZGVuIjp0cnVlLCJjaXRlcHJvY1RleHQiOiIoTm9ydGggQW1lcmljYW4gQmlrZXNoYXJlIGFuZCBTY29vdGVyc2hhcmUgQXNzb2NpYXRpb24sIDIwMjUpIiwibWFudWFsT3ZlcnJpZGVUZXh0IjoiTm9ydGggQW1lcmljYW4gQmlrZXNoYXJlIGFuZCBTY29vdGVyc2hhcmUgQXNzb2NpYXRpb24sIDIwMjUpIn0sImNpdGF0aW9uSXRlbXMiOlt7ImlkIjoiMDk1MmQxNTgtOGVjNS0zNGU5LTg2OGItMDE1ODljNjU3MGI0IiwiaXRlbURhdGEiOnsidHlwZSI6InJlcG9ydCIsImlkIjoiMDk1MmQxNTgtOGVjNS0zNGU5LTg2OGItMDE1ODljNjU3MGI0IiwidGl0bGUiOiJTaGFyZWQgTWljcm9tb2JpbGl0eSBTdGF0ZSBvZiB0aGUgSW5kdXN0cnkgUmVwb3J0IiwiYXV0aG9yIjpbeyJmYW1pbHkiOiJOb3J0aCBBbWVyaWNhbiBCaWtlc2hhcmUgYW5kIFNjb290ZXJzaGFyZSBBc3NvY2lhdGlvbiIsImdpdmVuIjoiIiwicGFyc2UtbmFtZXMiOmZhbHNlLCJkcm9wcGluZy1wYXJ0aWNsZSI6IiIsIm5vbi1kcm9wcGluZy1wYXJ0aWNsZSI6IiJ9XSwiaXNzdWVkIjp7ImRhdGUtcGFydHMiOltbMjAyNV1dfSwiY29udGFpbmVyLXRpdGxlLXNob3J0IjoiIn0sImlzVGVtcG9yYXJ5IjpmYWxzZSwic3VwcHJlc3MtYXV0aG9yIjpmYWxzZSwiY29tcG9zaXRlIjpmYWxzZSwiYXV0aG9yLW9ubHkiOmZhbHNlfV19&quot;,&quot;citationItems&quot;:[{&quot;id&quot;:&quot;0952d158-8ec5-34e9-868b-01589c6570b4&quot;,&quot;itemData&quot;:{&quot;type&quot;:&quot;report&quot;,&quot;id&quot;:&quot;0952d158-8ec5-34e9-868b-01589c6570b4&quot;,&quot;title&quot;:&quot;Shared Micromobility State of the Industry Report&quot;,&quot;author&quot;:[{&quot;family&quot;:&quot;North American Bikeshare and Scootershare Association&quot;,&quot;given&quot;:&quot;&quot;,&quot;parse-names&quot;:false,&quot;dropping-particle&quot;:&quot;&quot;,&quot;non-dropping-particle&quot;:&quot;&quot;}],&quot;issued&quot;:{&quot;date-parts&quot;:[[2025]]},&quot;container-title-short&quot;:&quot;&quot;},&quot;isTemporary&quot;:false,&quot;suppress-author&quot;:false,&quot;composite&quot;:false,&quot;author-only&quot;:false}]},{&quot;citationID&quot;:&quot;MENDELEY_CITATION_6ee6e54b-a3dc-4d8d-824e-d5f3540bfeda&quot;,&quot;properties&quot;:{&quot;noteIndex&quot;:0},&quot;isEdited&quot;:false,&quot;manualOverride&quot;:{&quot;isManuallyOverridden&quot;:true,&quot;citeprocText&quot;:&quot;(Hamidi et al., 2026; Hamidi &amp;#38; Ewing, 2014)&quot;,&quot;manualOverrideText&quot;:&quot;(Hamidi and Ewing, 2014; Hamidi et al., 2026)&quot;},&quot;citationTag&quot;:&quot;MENDELEY_CITATION_v3_eyJjaXRhdGlvbklEIjoiTUVOREVMRVlfQ0lUQVRJT05fNmVlNmU1NGItYTNkYy00ZDhkLTgyNGUtZDVmMzU0MGJmZWRhIiwicHJvcGVydGllcyI6eyJub3RlSW5kZXgiOjB9LCJpc0VkaXRlZCI6ZmFsc2UsIm1hbnVhbE92ZXJyaWRlIjp7ImlzTWFudWFsbHlPdmVycmlkZGVuIjp0cnVlLCJjaXRlcHJvY1RleHQiOiIoSGFtaWRpIGV0IGFsLiwgMjAyNjsgSGFtaWRpICYjMzg7IEV3aW5nLCAyMDE0KSIsIm1hbnVhbE92ZXJyaWRlVGV4dCI6IihIYW1pZGkgYW5kIEV3aW5nLCAyMDE0OyBIYW1pZGkgZXQgYWwuLCAyMDI2KSJ9LCJjaXRhdGlvbkl0ZW1zIjpbeyJpZCI6IjkxODQzNjg2LTg1ZTctMzUyMS1hYWJkLTI2MDhlMTdmZGE0YSIsIml0ZW1EYXRhIjp7InR5cGUiOiJhcnRpY2xlLWpvdXJuYWwiLCJpZCI6IjkxODQzNjg2LTg1ZTctMzUyMS1hYWJkLTI2MDhlMTdmZGE0YSIsInRpdGxlIjoiV2hvIFNwcmF3bHMgdGhlIE1vc3QgaW4gMjAyMCBhbmQgV2hhdCBIYXMgQ2hhbmdlZCBTaW5jZSAyMDEwPyBNZWFzdXJpbmcgTWV0cm9wb2xpdGFuIFNwcmF3bCBhbmQgVHJhY2tpbmcgYSBEZWNhZGUgb2YgQ2hhbmdlcyBpbiB0aGUgVW5pdGVkIFN0YXRlcyIsImF1dGhvciI6W3siZmFtaWx5IjoiSGFtaWRpIiwiZ2l2ZW4iOiJTaGltYSIsInBhcnNlLW5hbWVzIjpmYWxzZSwiZHJvcHBpbmctcGFydGljbGUiOiIiLCJub24tZHJvcHBpbmctcGFydGljbGUiOiIifSx7ImZhbWlseSI6IkFiZG9sbGFocG91ciIsImdpdmVuIjoiU2V5ZWQgU2FqamFkIiwicGFyc2UtbmFtZXMiOmZhbHNlLCJkcm9wcGluZy1wYXJ0aWNsZSI6IiIsIm5vbi1kcm9wcGluZy1wYXJ0aWNsZSI6IiJ9LHsiZmFtaWx5IjoiQXppbWkiLCJnaXZlbiI6IkVicmFoaW0iLCJwYXJzZS1uYW1lcyI6ZmFsc2UsImRyb3BwaW5nLXBhcnRpY2xlIjoiIiwibm9uLWRyb3BwaW5nLXBhcnRpY2xlIjoiIn0seyJmYW1pbHkiOiJFd2luZyIsImdpdmVuIjoiUmVpZCIsInBhcnNlLW5hbWVzIjpmYWxzZSwiZHJvcHBpbmctcGFydGljbGUiOiIiLCJub24tZHJvcHBpbmctcGFydGljbGUiOiIifV0sImNvbnRhaW5lci10aXRsZSI6IkpvdXJuYWwgb2YgdGhlIEFtZXJpY2FuIFBsYW5uaW5nIEFzc29jaWF0aW9uIiwiRE9JIjoiMTAuMTA4MC8wMTk0NDM2My4yMDI2LjI2NDY0ODIiLCJJU1NOIjoiMDE5NDQzNjMiLCJpc3N1ZWQiOnsiZGF0ZS1wYXJ0cyI6W1syMDI2XV19LCJhYnN0cmFjdCI6IlByb2JsZW0sIHJlc2VhcmNoIHN0cmF0ZWd5LCBhbmQgZmluZGluZ3M6IFVyYmFuIHNwcmF3bCBhbmQgaXRzIGltcGFjdHMgb24gcXVhbGl0eSBvZiBsaWZlIHJlbWFpbiBhIGxvbmctc3RhbmRpbmcgZGViYXRlIGluIHBsYW5uaW5nLCBoZWlnaHRlbmVkIHRvZGF5IGJ5IGNoYWxsZW5nZXMgb2YgaGVhbHRoLCBob3VzaW5nLCBhbmQgY2xpbWF0ZSBjcmlzZXMuIEluIHRoaXMgc3R1ZHkgd2UgZGV2ZWxvcGVkIGEgbXVsdGlkaW1lbnNpb25hbCBjb21wYWN0bmVzcyBpbmRleCBmb3IgMjMzIGxhcmdlIGFuZCBtZWRpdW0tc2l6ZWQgVS5TLiBtZXRyb3BvbGl0YW4gYXJlYXMgaW4gMjAyMCwgZHJhd2luZyBvbiAyMSBidWlsdCBlbnZpcm9ubWVudCB2YXJpYWJsZXMgYWNyb3NzIGZvdXIgdXJiYW4gZm9ybSBkaW1lbnNpb25zOiBkZW5zaXR5LCBsYW5kIHVzZSBtaXgsIGNlbnRlcmluZywgYW5kIHN0cmVldCBjb25uZWN0aXZpdHkuIFdlIHN1Y2Nlc3NmdWxseSB2YWxpZGF0ZWQgdGhpcyBpbmRleCBhZ2FpbnN0IHRyYW5zcG9ydGF0aW9uIG91dGNvbWVzIHVzaW5nIGJvdGggaW5mZXJlbnRpYWwgYW5kIG1hY2hpbmUgbGVhcm5pbmcgYXBwcm9hY2hlcy4gRmluYWxseSwgd2UgZGV2ZWxvcGVkIGEgY29tcGFyYWJsZSBpbmRleCBmb3IgMjAxMCBhbmQgdHJhY2tlZCBjaGFuZ2VzIGluIHNwcmF3bCBpbiB0aGUgcGFzdCBkZWNhZGUuIFJlc3VsdHMgc2hvd2VkIHdpZGUgdmFyaWF0aW9ucyBhY3Jvc3MgcmVnaW9ucywgd2l0aCBSaXZlcnNpZGUgKENBKSByYW5raW5nIGFzIHRoZSBtb3N0IHNwcmF3bGluZyAoaW5kZXggPSA1NC4zMikgYW5kIFNhbiBGcmFuY2lzY28gKENBKSBhcyB0aGUgbW9zdCBjb21wYWN0IChpbmRleCA9IDI0Mi45MSkgaW4gMjAyMC4gQWNjb3JkaW5nIHRvIG91ciBsb25naXR1ZGluYWwgYW5hbHlzaXMsIG1ldHJvcG9saXRhbiBhcmVhcyBoYXZlIGJlY29tZSBzbGlnaHRseSBtb3JlIHNwcmF3bGluZywgYnV0IHRoZSByYW5raW5ncyByZW1haW5lZCByZWxhdGl2ZWx5IHN0YWJsZS4gSG93ZXZlciwgYSBjbG9zZXIgbG9vayBhdCBzY29yZSBjaGFuZ2VzIGZvciBpbmRpdmlkdWFsIG1ldHJvcG9saXRhbiBzdGF0aXN0aWNhbCBhcmVhcyAoTVNBcykgcmV2ZWFsZWQgYSBkaWZmZXJlbnQgbmFycmF0aXZlLiBBdGxhbnRhIChHQSkgaXMgb24gdGhlIHRvcCBvZiB0aGUgbGlzdCBvZiBtb3N0IHNwcmF3bGluZyBNU0FzIGluIGJvdGggeWVhcnMgdGhvdWdoIGl0IGhhcyBleHBlcmllbmNlZCBhbiBpbXByZXNzaXZlIGluY3JlYXNlIGluIGl0cyBjb21wYWN0bmVzcyBzY29yZSAobW9zdGx5IGNlbnRlcmluZyBzY29yZSkgZHVyaW5nIHRoaXMgcGVyaW9kLiBXZSBmdXJ0aGVyIGRpc2N1c3Mgc2V2ZXJhbCBNU0FzIHdpdGggbm90aWNlYWJsZSBzY29yZSBjaGFuZ2VzLiBPdXIgdHJhbnNwb3J0YXRpb24gYW5hbHlzZXMgc3VnZ2VzdCAxMjAgYXMgYSB0aHJlc2hvbGQgdmFsdWUgaW4gd2hpY2ggY29tcGFjdG5lc3MgbWVhbmluZ2Z1bGx5IGluY3JlYXNlcyB0aGUgcHJlZGljdGVkIHNoYXJlIG9mIHdhbGtpbmcgYW5kIHRyYW5zaXQgY29tbXV0aW5nLCB3aGVyZWFzIGZvciB0aGUgaG91c2Vob2xkIHZlaGljbGUgb3duZXJzaGlwIGFuZCBhdmVyYWdlIGRyaXZlIHRpbWUsIHRoZSB0aHJlc2hvbGQgaXMgcm91Z2hseSAxMDAuIFRha2Vhd2F5IGZvciBwcmFjdGljZTogVGhlIHVwZGF0ZWQgY29tcGFjdG5lc3MgaW5kaWNlcyBhbmQgdGhlaXIgY2hhbmdlcyBzaW5jZSAyMDEwIHByb3ZpZGUgcGxhbm5lcnMgYW5kIHBvbGljeW1ha2VycyB3aXRoIGEgcHJhY3RpY2FsIHRvb2wgdG8gYmVuY2htYXJrIGFuZCBtb25pdG9yIG1ldHJvcG9saXRhbiBkZXZlbG9wbWVudCBwYXR0ZXJucy4gQnkgaWRlbnRpZnlpbmcgdGhyZXNob2xkcyB3aGVyZSBjb21wYWN0bmVzcyBiZWdpbnMgdG8geWllbGQgc2lnbmlmaWNhbnQgdHJhbnNwb3J0YXRpb24gYW5kIHN1c3RhaW5hYmlsaXR5IGJlbmVmaXRzLCB0aGUgaW5kZXggY2FuIGd1aWRlIHRhcmdldCBzZXR0aW5nLCBwcmlvcml0aXplIGludGVydmVudGlvbnMsIGFuZCBzdXBwb3J0IHBsYW5uaW5nIHByb2Nlc3NlcyBhaW1lZCBhdCByZWR1Y2luZyBjYXIgZGVwZW5kZW5jZSBhbmQgYWR2YW5jaW5nIHN1c3RhaW5hYmxlIG1ldHJvcG9saXRhbiBkZXZlbG9wbWVudC4iLCJwdWJsaXNoZXIiOiJSb3V0bGVkZ2UiLCJjb250YWluZXItdGl0bGUtc2hvcnQiOiIifSwiaXNUZW1wb3JhcnkiOmZhbHNlfSx7ImlkIjoiMjhlN2U2ZjEtYzBiMC0zYWRjLThhZTMtM2Q1NDExYTk0MjkzIiwiaXRlbURhdGEiOnsidHlwZSI6ImFydGljbGUtam91cm5hbCIsImlkIjoiMjhlN2U2ZjEtYzBiMC0zYWRjLThhZTMtM2Q1NDExYTk0MjkzIiwidGl0bGUiOiJBIGxvbmdpdHVkaW5hbCBzdHVkeSBvZiBjaGFuZ2VzIGluIHVyYmFuIHNwcmF3bCBiZXR3ZWVuIDIwMDAgYW5kIDIwMTAgaW4gdGhlIFVuaXRlZCBTdGF0ZXMiLCJhdXRob3IiOlt7ImZhbWlseSI6IkhhbWlkaSIsImdpdmVuIjoiU2hpbWEiLCJwYXJzZS1uYW1lcyI6ZmFsc2UsImRyb3BwaW5nLXBhcnRpY2xlIjoiIiwibm9uLWRyb3BwaW5nLXBhcnRpY2xlIjoiIn0seyJmYW1pbHkiOiJFd2luZyIsImdpdmVuIjoiUmVpZCIsInBhcnNlLW5hbWVzIjpmYWxzZSwiZHJvcHBpbmctcGFydGljbGUiOiIiLCJub24tZHJvcHBpbmctcGFydGljbGUiOiIifV0sImNvbnRhaW5lci10aXRsZSI6IkxhbmRzY2FwZSBhbmQgVXJiYW4gUGxhbm5pbmciLCJjb250YWluZXItdGl0bGUtc2hvcnQiOiJMYW5kc2MuIFVyYmFuIFBsYW4uIiwiRE9JIjoiMTAuMTAxNi9qLmxhbmR1cmJwbGFuLjIwMTQuMDQuMDIxIiwiSVNTTiI6IjAxNjkyMDQ2IiwiaXNzdWVkIjp7ImRhdGUtcGFydHMiOltbMjAxNF1dfSwicGFnZSI6IjcyLTgyIiwiYWJzdHJhY3QiOiJUaGUgZGViYXRlIG92ZXIgbWV0cm9wb2xpdGFuIHNwcmF3bCBhbmQgaXRzIGNvc3RzIGhhcyBiZWVuIG9uZ29pbmcgc2luY2UgdGhlIGVhcmx5IDE5NzBzIGluIHRoZSBVLlMuIFRvIGluZm9ybSB0aGUgZGViYXRlLCB0aGlzIHN0dWR5IHVzZXMgcHJpbmNpcGFsIGNvbXBvbmVudCBhbmFseXNpcyAoUENBKSBhbmQgMjAxMCBjcm9zcyBzZWN0aW9uYWwgZGF0YSBmb3IgbGFyZ2UgVS5TLiB1cmJhbml6ZWQgYXJlYXMgKFVaQXMpIHRvIG9wZXJhdGlvbmFsaXplIGNvbXBhY3RuZXNzL3NwcmF3bCBpbiBlYWNoIG9mIGZvdXIgZGltZW5zaW9ucy1kZXZlbG9wbWVudCBkZW5zaXR5LCBsYW5kIHVzZSBtaXgsIGFjdGl2aXR5IGNlbnRlcmluZywgYW5kIHN0cmVldCBhY2Nlc3NpYmlsaXR5LiBIaWdoZXIgdmFsdWVzIHJlcHJlc2VudCBncmVhdGVyIGNvbXBhY3RuZXNzLCBsb3dlciB2YWx1ZXMgZ3JlYXRlciBzcHJhd2wuIFRoZSBmb3VyIGZhY3RvcnMgYXJlIHRoZW4gY29tYmluZWQgaW50byBhbiBvdmVyYWxsIGNvbXBhY3RuZXNzL3NwcmF3bCBpbmRleC4gVGhlIHN0dWR5IHRoZW4gYXBwbGllcyBmYWN0b3Igc2NvcmUgY29lZmZpY2llbnQgdmFsdWVzIGZvciAyMDEwIHRvIHRoZSBzYW1lIHZhcmlhYmxlcyBmb3IgMjAwMCB0byBjcmVhdGUgY29tcGFyYWJsZSBtZXRyaWNzIGZvciAyMDAwLiBDb21wYWN0bmVzcyBzY29yZXMgZm9yIDIwMDAgYXJlIGNvbXBhcmVkIHRvIHRoZSBzYW1lIHNjb3JlcyBmb3IgMjAxMCB0byBzZWUgd2hpY2ggVVpBcyBzcHJhd2xlZCB0aGUgbW9zdCBiZXR3ZWVuIGNlbnN1c2VzLCBhbmQgd2hpY2ggc3ByYXdsZWQgdGhlIGxlYXN0IG9yIGFjdHVhbGx5IGJlY2FtZSBtb3JlIGNvbXBhY3QuRmluYWxseSwgdGhlIHN0dWR5IHZhbGlkYXRlcyB0aGUgY29tcGFjdG5lc3MgaW5kZXggYW5kIGl0cyBjb21wb25lbnQgZmFjdG9ycyBhZ2FpbnN0IHRyYW5zcG9ydGF0aW9uIG91dGNvbWVzIGZvciAyMDEwLCBzcGVjaWZpY2FsbHkgd2FsayBtb2RlIHNoYXJlLCB0cmFuc2l0IG1vZGUgc2hhcmUsIGFuZCBhdmVyYWdlIGRyaXZlIHRpbWUgb24gdGhlIGpvdXJuZXkgdG8gd29yay4gSWYgc3ByYXdsIGhhcyBhbnkgd2lkZWx5IGFjY2VwdGVkIG91dGNvbWUsIGl0IGlzIGF1dG9tb2JpbGUgZGVwZW5kZW5jZSBhbmQgaGVhdnkgYXV0b21vYmlsZSB1c2UuIENvbnNpc3RlbnQgd2l0aCB0aGlzIGNoYXJhY3Rlcml6YXRpb24gb2Ygc3ByYXdsLCB0aGlzIHN0dWR5IGZpbmRzIHRoYXQgdGhlIG92ZXJhbGwgY29tcGFjdG5lc3MgaW5kZXggYmVhcnMgYSBzdHJvbmcgcmVsYXRpb25zaGlwIHRvIHRyYW5zcG9ydGF0aW9uIG91dGNvbWVzLiBHZW5lcmFsaXppbmcgYWNyb3NzIHRoZSBlbnRpcmUgdW5pdmVyc2Ugb2YgbGFyZ2UgdXJiYW5pemVkIGFyZWFzIGluIHRoZSBVLlMuLCBjb21wYWN0bmVzcyBkZWNyZWFzZWQgYW5kIHNwcmF3bCBpbmNyZWFzZWQgYmV0d2VlbiB0aGUgdHdvIGNlbnN1cyB5ZWFyczsgYnV0IG9ubHkgc2xpZ2h0bHkuIFNldmVyYWwgdXJiYW5pemVkIGFyZWFzLCBob3dldmVyLCBoYXZlIHNpZ25pZmljYW50bHkgZGlmZmVyZW50IHJhbmtpbmdzIGluIDIwMDAgdGhhbiAyMDEwLiDCqSAyMDE0IEVsc2V2aWVyIEIuVi4iLCJwdWJsaXNoZXIiOiJFbHNldmllciBCLlYuIiwidm9sdW1lIjoiMTI4In0sImlzVGVtcG9yYXJ5IjpmYWxzZX1dfQ==&quot;,&quot;citationItems&quot;:[{&quot;id&quot;:&quot;91843686-85e7-3521-aabd-2608e17fda4a&quot;,&quot;itemData&quot;:{&quot;type&quot;:&quot;article-journal&quot;,&quot;id&quot;:&quot;91843686-85e7-3521-aabd-2608e17fda4a&quot;,&quot;title&quot;:&quot;Who Sprawls the Most in 2020 and What Has Changed Since 2010? Measuring Metropolitan Sprawl and Tracking a Decade of Changes in the United States&quot;,&quot;author&quot;:[{&quot;family&quot;:&quot;Hamidi&quot;,&quot;given&quot;:&quot;Shima&quot;,&quot;parse-names&quot;:false,&quot;dropping-particle&quot;:&quot;&quot;,&quot;non-dropping-particle&quot;:&quot;&quot;},{&quot;family&quot;:&quot;Abdollahpour&quot;,&quot;given&quot;:&quot;Seyed Sajjad&quot;,&quot;parse-names&quot;:false,&quot;dropping-particle&quot;:&quot;&quot;,&quot;non-dropping-particle&quot;:&quot;&quot;},{&quot;family&quot;:&quot;Azimi&quot;,&quot;given&quot;:&quot;Ebrahim&quot;,&quot;parse-names&quot;:false,&quot;dropping-particle&quot;:&quot;&quot;,&quot;non-dropping-particle&quot;:&quot;&quot;},{&quot;family&quot;:&quot;Ewing&quot;,&quot;given&quot;:&quot;Reid&quot;,&quot;parse-names&quot;:false,&quot;dropping-particle&quot;:&quot;&quot;,&quot;non-dropping-particle&quot;:&quot;&quot;}],&quot;container-title&quot;:&quot;Journal of the American Planning Association&quot;,&quot;DOI&quot;:&quot;10.1080/01944363.2026.2646482&quot;,&quot;ISSN&quot;:&quot;01944363&quot;,&quot;issued&quot;:{&quot;date-parts&quot;:[[2026]]},&quot;abstract&quot;:&quot;Problem, research strategy, and findings: Urban sprawl and its impacts on quality of life remain a long-standing debate in planning, heightened today by challenges of health, housing, and climate crises. In this study we developed a multidimensional compactness index for 233 large and medium-sized U.S. metropolitan areas in 2020, drawing on 21 built environment variables across four urban form dimensions: density, land use mix, centering, and street connectivity. We successfully validated this index against transportation outcomes using both inferential and machine learning approaches. Finally, we developed a comparable index for 2010 and tracked changes in sprawl in the past decade. Results showed wide variations across regions, with Riverside (CA) ranking as the most sprawling (index = 54.32) and San Francisco (CA) as the most compact (index = 242.91) in 2020. According to our longitudinal analysis, metropolitan areas have become slightly more sprawling, but the rankings remained relatively stable. However, a closer look at score changes for individual metropolitan statistical areas (MSAs) revealed a different narrative. Atlanta (GA) is on the top of the list of most sprawling MSAs in both years though it has experienced an impressive increase in its compactness score (mostly centering score) during this period. We further discuss several MSAs with noticeable score changes. Our transportation analyses suggest 120 as a threshold value in which compactness meaningfully increases the predicted share of walking and transit commuting, whereas for the household vehicle ownership and average drive time, the threshold is roughly 100. Takeaway for practice: The updated compactness indices and their changes since 2010 provide planners and policymakers with a practical tool to benchmark and monitor metropolitan development patterns. By identifying thresholds where compactness begins to yield significant transportation and sustainability benefits, the index can guide target setting, prioritize interventions, and support planning processes aimed at reducing car dependence and advancing sustainable metropolitan development.&quot;,&quot;publisher&quot;:&quot;Routledge&quot;,&quot;container-title-short&quot;:&quot;&quot;},&quot;isTemporary&quot;:false},{&quot;id&quot;:&quot;28e7e6f1-c0b0-3adc-8ae3-3d5411a94293&quot;,&quot;itemData&quot;:{&quot;type&quot;:&quot;article-journal&quot;,&quot;id&quot;:&quot;28e7e6f1-c0b0-3adc-8ae3-3d5411a94293&quot;,&quot;title&quot;:&quot;A longitudinal study of changes in urban sprawl between 2000 and 2010 in the United States&quot;,&quot;author&quot;:[{&quot;family&quot;:&quot;Hamidi&quot;,&quot;given&quot;:&quot;Shima&quot;,&quot;parse-names&quot;:false,&quot;dropping-particle&quot;:&quot;&quot;,&quot;non-dropping-particle&quot;:&quot;&quot;},{&quot;family&quot;:&quot;Ewing&quot;,&quot;given&quot;:&quot;Reid&quot;,&quot;parse-names&quot;:false,&quot;dropping-particle&quot;:&quot;&quot;,&quot;non-dropping-particle&quot;:&quot;&quot;}],&quot;container-title&quot;:&quot;Landscape and Urban Planning&quot;,&quot;container-title-short&quot;:&quot;Landsc. Urban Plan.&quot;,&quot;DOI&quot;:&quot;10.1016/j.landurbplan.2014.04.021&quot;,&quot;ISSN&quot;:&quot;01692046&quot;,&quot;issued&quot;:{&quot;date-parts&quot;:[[2014]]},&quot;page&quot;:&quot;72-82&quot;,&quot;abstract&quot;:&quot;The debate over metropolitan sprawl and its costs has been ongoing since the early 1970s in the U.S. To inform the debate, this study uses principal component analysis (PCA) and 2010 cross sectional data for large U.S. urbanized areas (UZAs) to operationalize compactness/sprawl in each of four dimensions-development density, land use mix, activity centering, and street accessibility. Higher values represent greater compactness, lower values greater sprawl. The four factors are then combined into an overall compactness/sprawl index. The study then applies factor score coefficient values for 2010 to the same variables for 2000 to create comparable metrics for 2000. Compactness scores for 2000 are compared to the same scores for 2010 to see which UZAs sprawled the most between censuses, and which sprawled the least or actually became more compact.Finally, the study validates the compactness index and its component factors against transportation outcomes for 2010, specifically walk mode share, transit mode share, and average drive time on the journey to work. If sprawl has any widely accepted outcome, it is automobile dependence and heavy automobile use. Consistent with this characterization of sprawl, this study finds that the overall compactness index bears a strong relationship to transportation outcomes. Generalizing across the entire universe of large urbanized areas in the U.S., compactness decreased and sprawl increased between the two census years; but only slightly. Several urbanized areas, however, have significantly different rankings in 2000 than 2010. © 2014 Elsevier B.V.&quot;,&quot;publisher&quot;:&quot;Elsevier B.V.&quot;,&quot;volume&quot;:&quot;128&quot;},&quot;isTemporary&quot;:false}]},{&quot;citationID&quot;:&quot;MENDELEY_CITATION_86d68d26-1d1d-4335-95c4-01d2ac5cd807&quot;,&quot;properties&quot;:{&quot;noteIndex&quot;:0},&quot;isEdited&quot;:false,&quot;manualOverride&quot;:{&quot;isManuallyOverridden&quot;:false,&quot;citeprocText&quot;:&quot;(Loo, 2021)&quot;,&quot;manualOverrideText&quot;:&quot;&quot;},&quot;citationTag&quot;:&quot;MENDELEY_CITATION_v3_eyJjaXRhdGlvbklEIjoiTUVOREVMRVlfQ0lUQVRJT05fODZkNjhkMjYtMWQxZC00MzM1LTk1YzQtMDFkMmFjNWNkODA3IiwicHJvcGVydGllcyI6eyJub3RlSW5kZXgiOjB9LCJpc0VkaXRlZCI6ZmFsc2UsIm1hbnVhbE92ZXJyaWRlIjp7ImlzTWFudWFsbHlPdmVycmlkZGVuIjpmYWxzZSwiY2l0ZXByb2NUZXh0IjoiKExvbywgMjAyMSkiLCJtYW51YWxPdmVycmlkZVRleHQiOiIifSwiY2l0YXRpb25JdGVtcyI6W3siaWQiOiIzYTYyMWMwNS1iOTM3LTNlMWUtYmYyZS1hOTVmYjY4YThlN2YiLCJpdGVtRGF0YSI6eyJ0eXBlIjoiYXJ0aWNsZS1qb3VybmFsIiwiaWQiOiIzYTYyMWMwNS1iOTM3LTNlMWUtYmYyZS1hOTVmYjY4YThlN2YiLCJ0aXRsZSI6IldhbGtpbmcgdG93YXJkcyBhIGhhcHB5IGNpdHkiLCJhdXRob3IiOlt7ImZhbWlseSI6IkxvbyIsImdpdmVuIjoiQmVja3kgUC5ZLiIsInBhcnNlLW5hbWVzIjpmYWxzZSwiZHJvcHBpbmctcGFydGljbGUiOiIiLCJub24tZHJvcHBpbmctcGFydGljbGUiOiIifV0sImNvbnRhaW5lci10aXRsZSI6IkpvdXJuYWwgb2YgVHJhbnNwb3J0IEdlb2dyYXBoeSIsImNvbnRhaW5lci10aXRsZS1zaG9ydCI6IkouIFRyYW5zcC4gR2VvZ3IuIiwiRE9JIjoiMTAuMTAxNi9qLmp0cmFuZ2VvLjIwMjEuMTAzMDc4IiwiSVNTTiI6IjA5NjY2OTIzIiwiaXNzdWVkIjp7ImRhdGUtcGFydHMiOltbMjAyMSw1LDFdXX0sImFic3RyYWN0IjoiVGhpcyBwYXBlciBhaW1zIHRvIHB1cnN1ZSBhbmQgdG8gc3RyZW5ndGhlbiBhIHBhcmFkaWdtIHNoaWZ0IGluIHRyYW5zcG9ydC4gSXQgb2ZmZXJzIGEgZnJlc2ggcGVyc3BlY3RpdmUgb24gaG93IHRoZSB2ZWhpY2xlLW9yaWVudGVkIHBhcmFkaWdtIGhhcyBiZWVuIHRyYW5zbGF0ZWQgaW50byBzcGVjaWZpYyBiaWFzZWQgcHJhY3RpY2VzIGFuZCBwcmlvcml0aWVzIGluIHRyYW5zcG9ydCBwb2xpY3kgYW5kIHJlc2VhcmNoIHRoYXQgamVvcGFyZGl6ZWQgd2Fsa2FiaWxpdHkuIFRoZW4sIGl0IGV4YW1pbmVzIHRoZSB0cmFuc2Zvcm1hdGlvbmFsIHJvbGUgb2Ygd2Fsa2luZyBpbiB0aGUgc3VzdGFpbmFibGUgdXJiYW4gbW9iaWxpdHkgdHJhbnNpdGlvbi4gQnkgY29uc2lkZXJpbmcgd2Fsa2luZyBhcyBhbiBleHBlcmllbmNlLCB0aGUgcGFwZXIgc2hhcmVzIGEgcGVvcGxlLW9yaWVudGVkIGFuZCBwbGFjZS1iYXNlZCBmcmFtZXdvcmsgZm9yIG1lYXN1cmluZyBhbmQgcHJvbW90aW5nIHdhbGthYmxlIGNpdGllcyBiYXNlZCBvbiB0aGUgbG9jYWwgY29udGV4dCBvZiBIb25nIEtvbmcuIE9uIHRoZSB3YXkgZm9yd2FyZCwgaXQgaGlnaGxpZ2h0cyB0aGUgaXJyZXBsYWNlYWJsZSBhbmQgbGVhZGluZyByb2xlIG9mIGdvdmVybm1lbnRzIGluIHByb21vdGluZyB3YWxrYWJpbGl0eS4gRmluYWxseSwgaXQgc3VnZ2VzdHMgdHdvIHN0cmF0ZWdpYyBkaXJlY3Rpb25zIG9mIHF1YW50aWZ5aW5nIGFuZCBmdWxseSBpbnRlZ3JhdGluZyB3YWxraW5nLXJlbGF0ZWQgdmFyaWFibGVzIGluIHRyYW5zcG9ydCBkZXNpZ24gbWFudWFscywgYW5kIGVuc3VyaW5nIGEgc2VhbWxlc3MgdHJhbnNwb3J0IGV4cGVyaWVuY2UgZm9yIHBlb3BsZSB1c2luZyBzdXN0YWluYWJsZSB0cmFuc3BvcnQgbW9kZXMuIiwicHVibGlzaGVyIjoiRWxzZXZpZXIgTHRkIiwidm9sdW1lIjoiOTMifSwiaXNUZW1wb3JhcnkiOmZhbHNlLCJzdXBwcmVzcy1hdXRob3IiOmZhbHNlLCJjb21wb3NpdGUiOmZhbHNlLCJhdXRob3Itb25seSI6ZmFsc2V9XX0=&quot;,&quot;citationItems&quot;:[{&quot;id&quot;:&quot;3a621c05-b937-3e1e-bf2e-a95fb68a8e7f&quot;,&quot;itemData&quot;:{&quot;type&quot;:&quot;article-journal&quot;,&quot;id&quot;:&quot;3a621c05-b937-3e1e-bf2e-a95fb68a8e7f&quot;,&quot;title&quot;:&quot;Walking towards a happy city&quot;,&quot;author&quot;:[{&quot;family&quot;:&quot;Loo&quot;,&quot;given&quot;:&quot;Becky P.Y.&quot;,&quot;parse-names&quot;:false,&quot;dropping-particle&quot;:&quot;&quot;,&quot;non-dropping-particle&quot;:&quot;&quot;}],&quot;container-title&quot;:&quot;Journal of Transport Geography&quot;,&quot;container-title-short&quot;:&quot;J. Transp. Geogr.&quot;,&quot;DOI&quot;:&quot;10.1016/j.jtrangeo.2021.103078&quot;,&quot;ISSN&quot;:&quot;09666923&quot;,&quot;issued&quot;:{&quot;date-parts&quot;:[[2021,5,1]]},&quot;abstract&quot;:&quot;This paper aims to pursue and to strengthen a paradigm shift in transport. It offers a fresh perspective on how the vehicle-oriented paradigm has been translated into specific biased practices and priorities in transport policy and research that jeopardized walkability. Then, it examines the transformational role of walking in the sustainable urban mobility transition. By considering walking as an experience, the paper shares a people-oriented and place-based framework for measuring and promoting walkable cities based on the local context of Hong Kong. On the way forward, it highlights the irreplaceable and leading role of governments in promoting walkability. Finally, it suggests two strategic directions of quantifying and fully integrating walking-related variables in transport design manuals, and ensuring a seamless transport experience for people using sustainable transport modes.&quot;,&quot;publisher&quot;:&quot;Elsevier Ltd&quot;,&quot;volume&quot;:&quot;93&quot;},&quot;isTemporary&quot;:false,&quot;suppress-author&quot;:false,&quot;composite&quot;:false,&quot;author-only&quot;:false}]},{&quot;citationID&quot;:&quot;MENDELEY_CITATION_138da045-2568-4b80-a257-cb5225a1c7ca&quot;,&quot;properties&quot;:{&quot;noteIndex&quot;:0},&quot;isEdited&quot;:false,&quot;manualOverride&quot;:{&quot;isManuallyOverridden&quot;:true,&quot;citeprocText&quot;:&quot;(Bland et al., 2024; Buehler &amp;#38; Pucher, 2021)&quot;,&quot;manualOverrideText&quot;:&quot;(Buehler and Pucher, 2021; Bland et al., 2024)&quot;},&quot;citationTag&quot;:&quot;MENDELEY_CITATION_v3_eyJjaXRhdGlvbklEIjoiTUVOREVMRVlfQ0lUQVRJT05fMTM4ZGEwNDUtMjU2OC00YjgwLWEyNTctY2I1MjI1YTFjN2NhIiwicHJvcGVydGllcyI6eyJub3RlSW5kZXgiOjB9LCJpc0VkaXRlZCI6ZmFsc2UsIm1hbnVhbE92ZXJyaWRlIjp7ImlzTWFudWFsbHlPdmVycmlkZGVuIjp0cnVlLCJjaXRlcHJvY1RleHQiOiIoQmxhbmQgZXQgYWwuLCAyMDI0OyBCdWVobGVyICYjMzg7IFB1Y2hlciwgMjAyMSkiLCJtYW51YWxPdmVycmlkZVRleHQiOiIoQnVlaGxlciBhbmQgUHVjaGVyLCAyMDIxOyBCbGFuZCBldCBhbC4sIDIwMjQpIn0sImNpdGF0aW9uSXRlbXMiOlt7ImlkIjoiNGM4ZDFkZmUtNzgxNy0zOGQ4LTg1MTUtMDViYTE4YjYzYzIwIiwiaXRlbURhdGEiOnsidHlwZSI6ImFydGljbGUtam91cm5hbCIsImlkIjoiNGM4ZDFkZmUtNzgxNy0zOGQ4LTg1MTUtMDViYTE4YjYzYzIwIiwidGl0bGUiOiJUYWtpbmcgc3RlcHMgdG93YXJkIGhlYWx0aHkgJiBzdXN0YWluYWJsZSB0cmFuc3BvcnQgaW52ZXN0bWVudDogQSBzeXN0ZW1hdGljIHJldmlldyBvZiBlY29ub21pYyBldmFsdWF0aW9ucyBpbiB0aGUgYWNhZGVtaWMgbGl0ZXJhdHVyZSBvbiBsYXJnZS1zY2FsZSBhY3RpdmUgdHJhbnNwb3J0IGluZnJhc3RydWN0dXJlIiwiYXV0aG9yIjpbeyJmYW1pbHkiOiJCbGFuZCIsImdpdmVuIjoiTWFkaXNvbiIsInBhcnNlLW5hbWVzIjpmYWxzZSwiZHJvcHBpbmctcGFydGljbGUiOiIiLCJub24tZHJvcHBpbmctcGFydGljbGUiOiIifSx7ImZhbWlseSI6IkJ1cmtlIiwiZ2l2ZW4iOiJNYXR0aGV3IEkuIiwicGFyc2UtbmFtZXMiOmZhbHNlLCJkcm9wcGluZy1wYXJ0aWNsZSI6IiIsIm5vbi1kcm9wcGluZy1wYXJ0aWNsZSI6IiJ9LHsiZmFtaWx5IjoiQmVydG9sYWNjaW5pIiwiZ2l2ZW4iOiJLZWxseSIsInBhcnNlLW5hbWVzIjpmYWxzZSwiZHJvcHBpbmctcGFydGljbGUiOiIiLCJub24tZHJvcHBpbmctcGFydGljbGUiOiIifV0sImNvbnRhaW5lci10aXRsZSI6IkludGVybmF0aW9uYWwgSm91cm5hbCBvZiBTdXN0YWluYWJsZSBUcmFuc3BvcnRhdGlvbiIsImNvbnRhaW5lci10aXRsZS1zaG9ydCI6IkludC4gSi4gU3VzdGFpbi4gVHJhbnNwLiIsImFjY2Vzc2VkIjp7ImRhdGUtcGFydHMiOltbMjAyNiw2LDIxXV19LCJET0kiOiIxMC4xMDgwLzE1NTY4MzE4LjIwMjMuMjI5Njk1MiIsIklTU04iOiIxNTU2ODMzNCIsIlVSTCI6Imh0dHBzOi8vd3d3LnRhbmRmb25saW5lLmNvbS9kb2kvcGRmLzEwLjEwODAvMTU1NjgzMTguMjAyMy4yMjk2OTUyIiwiaXNzdWVkIjp7ImRhdGUtcGFydHMiOltbMjAyNF1dfSwicGFnZSI6IjIwMS0yMjAiLCJhYnN0cmFjdCI6IjEuIEluIGVuY291cmFnaW5nIG1vcmUgcGVvcGxlIHRvIHdhbGsgYW5kIGN5Y2xlIGZvciBldmVyeWRheSB0cmlwcywgdGhlIGRlbGl2ZXJ5IG9mIGRlZGljYXRlZCBhY3RpdmUgdHJhbnNwb3J0IGluZnJhc3RydWN0dXJlIGFzc2lzdHMgY2l0aWVzIHRvIGltcHJvdmUgcHVibGljIGhlYWx0aCwgcmVkdWNlIHRyYWZmaWMgY29uZ2VzdGlvbiwgYW5kLi4uIiwicHVibGlzaGVyIjoiVGF5bG9yICYgRnJhbmNpcyIsImlzc3VlIjoiMyIsInZvbHVtZSI6IjE4In0sImlzVGVtcG9yYXJ5IjpmYWxzZX0seyJpZCI6ImZkZjZhZDExLWQ0ZTctMzg3ZS05YmFiLTU4YmM2ZTZmYzI5NyIsIml0ZW1EYXRhIjp7InR5cGUiOiJhcnRpY2xlLWpvdXJuYWwiLCJpZCI6ImZkZjZhZDExLWQ0ZTctMzg3ZS05YmFiLTU4YmM2ZTZmYzI5NyIsInRpdGxlIjoiVGhlIGdyb3dpbmcgZ2FwIGluIHBlZGVzdHJpYW4gYW5kIGN5Y2xpc3QgZmF0YWxpdHkgcmF0ZXMgYmV0d2VlbiB0aGUgVW5pdGVkIFN0YXRlcyBhbmQgdGhlIFVuaXRlZCBLaW5nZG9tLCBHZXJtYW55LCBEZW5tYXJrLCBhbmQgdGhlIE5ldGhlcmxhbmRzLCAxOTkw4oCTMjAxOCIsImF1dGhvciI6W3siZmFtaWx5IjoiQnVlaGxlciIsImdpdmVuIjoiUmFscGgiLCJwYXJzZS1uYW1lcyI6ZmFsc2UsImRyb3BwaW5nLXBhcnRpY2xlIjoiIiwibm9uLWRyb3BwaW5nLXBhcnRpY2xlIjoiIn0seyJmYW1pbHkiOiJQdWNoZXIiLCJnaXZlbiI6IkpvaG4iLCJwYXJzZS1uYW1lcyI6ZmFsc2UsImRyb3BwaW5nLXBhcnRpY2xlIjoiIiwibm9uLWRyb3BwaW5nLXBhcnRpY2xlIjoiIn1dLCJjb250YWluZXItdGl0bGUiOiJUcmFuc3BvcnQgUmV2aWV3cyIsImNvbnRhaW5lci10aXRsZS1zaG9ydCI6IlRyYW5zcC4gUmV2LiIsIkRPSSI6IjEwLjEwODAvMDE0NDE2NDcuMjAyMC4xODIzNTIxIiwiSVNTTiI6IjE0NjQ1MzI3IiwiaXNzdWVkIjp7ImRhdGUtcGFydHMiOltbMjAyMV1dfSwicGFnZSI6IjQ4LTcyIiwiYWJzdHJhY3QiOiJVc2luZyBvZmZpY2lhbCBuYXRpb25hbCBkYXRhIGZvciBlYWNoIGNvdW50cnksIHRoaXMgYXJ0aWNsZSBjYWxjdWxhdGVzIHRyZW5kcyBpbiB3YWxraW5nIGFuZCBjeWNsaW5nIGZhdGFsaXRpZXMgcGVyIGNhcGl0YSBhbmQgcGVyIGttIGluIHRoZSBVU0EsIHRoZSBVSywgR2VybWFueSwgdGhlIE5ldGhlcmxhbmRzLCBhbmQgRGVubWFyay4gRnJvbSAxOTkwIHRvIDIwMTgsIHBlZGVzdHJpYW4gZmF0YWxpdGllcyBwZXIgY2FwaXRhIGZlbGwgYnkgMjMlIGluIHRoZSBVU0EgdnMuIDY2JeKAkzgwJSBpbiB0aGUgb3RoZXIgY291bnRyaWVzOyBjeWNsaXN0IGZhdGFsaXRpZXMgcGVyIGNhcGl0YSBmZWxsIGJ5IDIyJSBpbiB0aGUgVVNBIHZzLiA1NSXigJM2OCUgaW4gdGhlIG90aGVyIGNvdW50cmllcy4gSW4gMjAxOCwgcGVkZXN0cmlhbiBmYXRhbGl0eSByYXRlcyBwZXIga20gaW4gdGhlIFVTQSB3ZXJlIDXigJMxMCB0aW1lcyBoaWdoZXIgdGhhbiBpbiB0aGUgb3RoZXIgZm91ciBjb3VudHJpZXM7IGN5Y2xpc3QgZmF0YWxpdHkgcmF0ZXMgcGVyIGttIGluIHRoZSBVU0Egd2VyZSA04oCTNyB0aW1lcyBoaWdoZXIuIFRoZSBnYXAgaW4gd2Fsa2luZyBhbmQgY3ljbGluZyBmYXRhbGl0eSByYXRlcyBiZXR3ZWVuIHRoZSBVU0EgYW5kIHRoZSBvdGhlciBjb3VudHJpZXMgaW5jcmVhc2VkIG92ZXIgdGhlIGVudGlyZSAyOC15ZWFyIHBlcmlvZCwgYnV0IGVzcGVjaWFsbHkgZnJvbSAyMDEwIHRvIDIwMTguIE92ZXIgdGhhdCA4LXllYXIgcGVyaW9kLCBwZXItY2FwaXRhIGZhdGFsaXR5IHJhdGVzIGluIHRoZSBVU0Egcm9zZSBieSAxOSUgZm9yIHBlZGVzdHJpYW5zIGFuZCAxMSUgZm9yIGN5Y2xpc3RzOyBwZXIta20gZmF0YWxpdHkgcmF0ZXMgcm9zZSBieSAxNyUgZm9yIHBlZGVzdHJpYW5zIGFuZCAzMyUgZm9yIGN5Y2xpc3RzLiBCeSBjb21wYXJpc29uLCBmYXRhbGl0eSByYXRlcyBlaXRoZXIgZmVsbCBvciByZW1haW5lZCBzdGFibGUgaW4gdGhlIGZvdXIgRXVyb3BlYW4gY291bnRyaWVzLiBXZSByZXZpZXdlZCB0aGUgcmVsZXZhbnQgbGl0ZXJhdHVyZSB0byBpZGVudGlmeSBmYWN0b3JzIHRoYXQgbWlnaHQgaGVscCBleHBsYWluIHRoZSBtdWNoIGxvd2VyIHdhbGtpbmcgYW5kIGN5Y2xpbmcgZmF0YWxpdHkgcmF0ZXMgaW4gRXVyb3BlIGNvbXBhcmVkIHRvIHRoZSBVU0EuIFBvc3NpYmxlIGV4cGxhbmF0b3J5IGZhY3RvcnMgaW5jbHVkZSBiZXR0ZXIgd2Fsa2luZyBhbmQgY3ljbGluZyBpbmZyYXN0cnVjdHVyZTsgbG93ZXIgdXJiYW4gc3BlZWQgbGltaXRzOyBmZXdlciB2ZWhpY2xlIGttIHRyYXZlbGxlZDsgc21hbGxlciBhbmQgbGVzcyBwb3dlcmZ1bCBwZXJzb25hbCBtb3RvciB2ZWhpY2xlczsgYW5kIGJldHRlciB0cmFmZmljIHRyYWluaW5nLCB0ZXN0aW5nLCBhbmQgZW5mb3JjZW1lbnQgb2YgdHJhZmZpYyByZWd1bGF0aW9ucy4gV2UgcmVjb21tZW5kIHRoYXQgdGhlIFVTQSBjb25zaWRlciBpbXBsZW1lbnRpbmcgYW4gaW50ZWdyYXRlZCBwYWNrYWdlIG9mIG11dHVhbGx5IHJlaW5mb3JjaW5nIHNhZmV0eSBtZWFzdXJlcyBzdWNoIGFzIHRob3NlIHRoYXQgaGF2ZSBiZWVuIHN1Y2Nlc3NmdWxseSBpbXBsZW1lbnRlZCBpbiB0aGUgTmV0aGVybGFuZHMsIERlbm1hcmssIGFuZCBHZXJtYW55IHRvIHJlZHVjZSBwZWRlc3RyaWFuIGFuZCBjeWNsaXN0IGZhdGFsaXR5IHJhdGVzLiIsInB1Ymxpc2hlciI6IlJvdXRsZWRnZSIsImlzc3VlIjoiMSIsInZvbHVtZSI6IjQxIn0sImlzVGVtcG9yYXJ5IjpmYWxzZX1dfQ==&quot;,&quot;citationItems&quot;:[{&quot;id&quot;:&quot;4c8d1dfe-7817-38d8-8515-05ba18b63c20&quot;,&quot;itemData&quot;:{&quot;type&quot;:&quot;article-journal&quot;,&quot;id&quot;:&quot;4c8d1dfe-7817-38d8-8515-05ba18b63c20&quot;,&quot;title&quot;:&quot;Taking steps toward healthy &amp; sustainable transport investment: A systematic review of economic evaluations in the academic literature on large-scale active transport infrastructure&quot;,&quot;author&quot;:[{&quot;family&quot;:&quot;Bland&quot;,&quot;given&quot;:&quot;Madison&quot;,&quot;parse-names&quot;:false,&quot;dropping-particle&quot;:&quot;&quot;,&quot;non-dropping-particle&quot;:&quot;&quot;},{&quot;family&quot;:&quot;Burke&quot;,&quot;given&quot;:&quot;Matthew I.&quot;,&quot;parse-names&quot;:false,&quot;dropping-particle&quot;:&quot;&quot;,&quot;non-dropping-particle&quot;:&quot;&quot;},{&quot;family&quot;:&quot;Bertolaccini&quot;,&quot;given&quot;:&quot;Kelly&quot;,&quot;parse-names&quot;:false,&quot;dropping-particle&quot;:&quot;&quot;,&quot;non-dropping-particle&quot;:&quot;&quot;}],&quot;container-title&quot;:&quot;International Journal of Sustainable Transportation&quot;,&quot;container-title-short&quot;:&quot;Int. J. Sustain. Transp.&quot;,&quot;accessed&quot;:{&quot;date-parts&quot;:[[2026,6,21]]},&quot;DOI&quot;:&quot;10.1080/15568318.2023.2296952&quot;,&quot;ISSN&quot;:&quot;15568334&quot;,&quot;URL&quot;:&quot;https://www.tandfonline.com/doi/pdf/10.1080/15568318.2023.2296952&quot;,&quot;issued&quot;:{&quot;date-parts&quot;:[[2024]]},&quot;page&quot;:&quot;201-220&quot;,&quot;abstract&quot;:&quot;1. In encouraging more people to walk and cycle for everyday trips, the delivery of dedicated active transport infrastructure assists cities to improve public health, reduce traffic congestion, and...&quot;,&quot;publisher&quot;:&quot;Taylor &amp; Francis&quot;,&quot;issue&quot;:&quot;3&quot;,&quot;volume&quot;:&quot;18&quot;},&quot;isTemporary&quot;:false},{&quot;id&quot;:&quot;fdf6ad11-d4e7-387e-9bab-58bc6e6fc297&quot;,&quot;itemData&quot;:{&quot;type&quot;:&quot;article-journal&quot;,&quot;id&quot;:&quot;fdf6ad11-d4e7-387e-9bab-58bc6e6fc297&quot;,&quot;title&quot;:&quot;The growing gap in pedestrian and cyclist fatality rates between the United States and the United Kingdom, Germany, Denmark, and the Netherlands, 1990–2018&quot;,&quot;author&quot;:[{&quot;family&quot;:&quot;Buehler&quot;,&quot;given&quot;:&quot;Ralph&quot;,&quot;parse-names&quot;:false,&quot;dropping-particle&quot;:&quot;&quot;,&quot;non-dropping-particle&quot;:&quot;&quot;},{&quot;family&quot;:&quot;Pucher&quot;,&quot;given&quot;:&quot;John&quot;,&quot;parse-names&quot;:false,&quot;dropping-particle&quot;:&quot;&quot;,&quot;non-dropping-particle&quot;:&quot;&quot;}],&quot;container-title&quot;:&quot;Transport Reviews&quot;,&quot;container-title-short&quot;:&quot;Transp. Rev.&quot;,&quot;DOI&quot;:&quot;10.1080/01441647.2020.1823521&quot;,&quot;ISSN&quot;:&quot;14645327&quot;,&quot;issued&quot;:{&quot;date-parts&quot;:[[2021]]},&quot;page&quot;:&quot;48-72&quot;,&quot;abstract&quot;:&quot;Using official national data for each country, this article calculates trends in walking and cycling fatalities per capita and per km in the USA, the UK, Germany, the Netherlands, and Denmark. From 1990 to 2018, pedestrian fatalities per capita fell by 23% in the USA vs. 66%–80% in the other countries; cyclist fatalities per capita fell by 22% in the USA vs. 55%–68% in the other countries. In 2018, pedestrian fatality rates per km in the USA were 5–10 times higher than in the other four countries; cyclist fatality rates per km in the USA were 4–7 times higher. The gap in walking and cycling fatality rates between the USA and the other countries increased over the entire 28-year period, but especially from 2010 to 2018. Over that 8-year period, per-capita fatality rates in the USA rose by 19% for pedestrians and 11% for cyclists; per-km fatality rates rose by 17% for pedestrians and 33% for cyclists. By comparison, fatality rates either fell or remained stable in the four European countries. We reviewed the relevant literature to identify factors that might help explain the much lower walking and cycling fatality rates in Europe compared to the USA. Possible explanatory factors include better walking and cycling infrastructure; lower urban speed limits; fewer vehicle km travelled; smaller and less powerful personal motor vehicles; and better traffic training, testing, and enforcement of traffic regulations. We recommend that the USA consider implementing an integrated package of mutually reinforcing safety measures such as those that have been successfully implemented in the Netherlands, Denmark, and Germany to reduce pedestrian and cyclist fatality rates.&quot;,&quot;publisher&quot;:&quot;Routledge&quot;,&quot;issue&quot;:&quot;1&quot;,&quot;volume&quot;:&quot;41&quot;},&quot;isTemporary&quot;:false}]},{&quot;citationID&quot;:&quot;MENDELEY_CITATION_7777d4c1-8ab3-40d4-aca2-0c5713cd8e78&quot;,&quot;properties&quot;:{&quot;noteIndex&quot;:0},&quot;isEdited&quot;:false,&quot;manualOverride&quot;:{&quot;isManuallyOverridden&quot;:true,&quot;citeprocText&quot;:&quot;(Aldred, 2019; Cerin et al., 2017; Pearson et al., 2025)&quot;,&quot;manualOverrideText&quot;:&quot;Cerin et al., 2017; Aldred, 2019; Pearson et al., 2025)&quot;},&quot;citationTag&quot;:&quot;MENDELEY_CITATION_v3_eyJjaXRhdGlvbklEIjoiTUVOREVMRVlfQ0lUQVRJT05fNzc3N2Q0YzEtOGFiMy00MGQ0LWFjYTItMGM1NzEzY2Q4ZTc4IiwicHJvcGVydGllcyI6eyJub3RlSW5kZXgiOjB9LCJpc0VkaXRlZCI6ZmFsc2UsIm1hbnVhbE92ZXJyaWRlIjp7ImlzTWFudWFsbHlPdmVycmlkZGVuIjp0cnVlLCJjaXRlcHJvY1RleHQiOiIoQWxkcmVkLCAyMDE5OyBDZXJpbiBldCBhbC4sIDIwMTc7IFBlYXJzb24gZXQgYWwuLCAyMDI1KSIsIm1hbnVhbE92ZXJyaWRlVGV4dCI6IkNlcmluIGV0IGFsLiwgMjAxNzsgQWxkcmVkLCAyMDE5OyBQZWFyc29uIGV0IGFsLiwgMjAyNSkifSwiY2l0YXRpb25JdGVtcyI6W3siaWQiOiIzOWY3ZWZkOS1kZjM2LTMwZjQtODA4Ny02NWVlYWU2NjQzOWMiLCJpdGVtRGF0YSI6eyJ0eXBlIjoiYXJ0aWNsZSIsImlkIjoiMzlmN2VmZDktZGYzNi0zMGY0LTgwODctNjVlZWFlNjY0MzljIiwidGl0bGUiOiJCdWlsdCBFbnZpcm9ubWVudCBJbnRlcnZlbnRpb25zIHRvIEluY3JlYXNlIEFjdGl2ZSBUcmF2ZWw6IGEgQ3JpdGljYWwgUmV2aWV3IGFuZCBEaXNjdXNzaW9uIiwiYXV0aG9yIjpbeyJmYW1pbHkiOiJBbGRyZWQiLCJnaXZlbiI6IlJhY2hlbCIsInBhcnNlLW5hbWVzIjpmYWxzZSwiZHJvcHBpbmctcGFydGljbGUiOiIiLCJub24tZHJvcHBpbmctcGFydGljbGUiOiIifV0sImNvbnRhaW5lci10aXRsZSI6IkN1cnJlbnQgZW52aXJvbm1lbnRhbCBoZWFsdGggcmVwb3J0cyIsImNvbnRhaW5lci10aXRsZS1zaG9ydCI6IkN1cnIuIEVudmlyb24uIEhlYWx0aCBSZXAuIiwiRE9JIjoiMTAuMTAwNy9zNDA1NzItMDE5LTAwMjU0LTQiLCJJU1NOIjoiMjE5NjU0MTIiLCJQTUlEIjoiMzE3NzM0OTgiLCJpc3N1ZWQiOnsiZGF0ZS1wYXJ0cyI6W1syMDE5LDEyLDFdXX0sInBhZ2UiOiIzMDktMzE1IiwiYWJzdHJhY3QiOiJQdXJwb3NlIG9mIFJldmlldzogVG8gcmV2aWV3IHRoZSBsaXRlcmF0dXJlIG9uIGJ1aWx0IGVudmlyb25tZW50IGludGVydmVudGlvbnMgdG8gaW5jcmVhc2UgYWN0aXZlIHRyYXZlbCwgZm9jdXNpbmcgb24gd29yayBzaW5jZSAyMDAwIGFuZCBvbiBtZXRob2RvbG9naWNhbCBjaG9pY2VzIGFuZCBjaGFsbGVuZ2VzIGFmZmVjdGluZyBzdHVkaWVzLiBSZWNlbnQgRmluZGluZ3M6IEluY3JlYXNpbmdseSwgdGhlcmUgaXMgZXZpZGVuY2UgdGhhdCBidWlsdCBlbnZpcm9ubWVudCBpbnRlcnZlbnRpb25zIGNhbiBsZWFkIHRvIG1vcmUgd2Fsa2luZyBvciBjeWNsaW5nLiBFdmlkZW5jZSBpcyBzdHJvbmdlciBmb3IgY3ljbGluZyB0aGFuIGZvciB3YWxraW5nIGludGVydmVudGlvbnMsIGFuZCB0aGVyZSBpcyBhIHJlbGF0aXZlIGxhY2sgb2YgZXZpZGVuY2UgYXJvdW5kIGRpZmZlcmVudGlhbCBpbXBhY3RzIG9mIGludGVydmVudGlvbnMuIFNvbWUgb2YgdGhlIGV2aWRlbmNlIHJlbWFpbnMgbWV0aG9kb2xvZ2ljYWxseSB3ZWFrLCB3aXRoIG11Y2ggd29yayBpbiB0aGUg4oCYZ3JleeKAmSBsaXRlcmF0dXJlLiBTdW1tYXJ5OiBXaGlsZSBldmlkZW5jZSBpbiB0aGUgYXJlYSBjb250aW51ZXMgdG8gZ3JvdywgZGF0YSBnYXBzIHJlbWFpbi4gR3JlYXRlciB1c2Ugb2YgcXVhc2ktZXhwZXJpbWVudGFsIHRlY2huaXF1ZXMsIGltcHJvdmVtZW50cyBpbiByb3V0aW5lIG1vbml0b3Jpbmcgb2Ygc21hbGxlciBzY2hlbWVzLCBhbmQgdGhlIHVzZSBvZiBuZXcgYmlnIGRhdGEgc291cmNlcyBhcmUgcHJvbWlzaW5nLiBNb3JlIHF1YWxpdGF0aXZlIHJlc2VhcmNoIGNvdWxkIGhlbHAgZGV2ZWxvcCBhIG1vcmUgc29waGlzdGljYXRlZCB1bmRlcnN0YW5kaW5nIG9mIGJlaGF2aW91ciBjaGFuZ2UuIiwicHVibGlzaGVyIjoiU3ByaW5nZXIiLCJpc3N1ZSI6IjQiLCJ2b2x1bWUiOiI2In0sImlzVGVtcG9yYXJ5IjpmYWxzZX0seyJpZCI6IjJkOTM3MzhmLTNlZTQtM2I1ZC05MTM3LWZkMjFlODY2Y2ZlMiIsIml0ZW1EYXRhIjp7InR5cGUiOiJhcnRpY2xlLWpvdXJuYWwiLCJpZCI6IjJkOTM3MzhmLTNlZTQtM2I1ZC05MTM3LWZkMjFlODY2Y2ZlMiIsInRpdGxlIjoiVGhlIG5laWdoYm91cmhvb2QgcGh5c2ljYWwgZW52aXJvbm1lbnQgYW5kIGFjdGl2ZSB0cmF2ZWwgaW4gb2xkZXIgYWR1bHRzOiBhIHN5c3RlbWF0aWMgcmV2aWV3IGFuZCBtZXRhLWFuYWx5c2lzIiwiYXV0aG9yIjpbeyJmYW1pbHkiOiJDZXJpbiIsImdpdmVuIjoiRXN0ZXIiLCJwYXJzZS1uYW1lcyI6ZmFsc2UsImRyb3BwaW5nLXBhcnRpY2xlIjoiIiwibm9uLWRyb3BwaW5nLXBhcnRpY2xlIjoiIn0seyJmYW1pbHkiOiJOYXRoYW4iLCJnaXZlbiI6IkFuZHJlYSIsInBhcnNlLW5hbWVzIjpmYWxzZSwiZHJvcHBpbmctcGFydGljbGUiOiIiLCJub24tZHJvcHBpbmctcGFydGljbGUiOiIifSx7ImZhbWlseSI6IkNhdXdlbmJlcmciLCJnaXZlbiI6IkplbGxlIiwicGFyc2UtbmFtZXMiOmZhbHNlLCJkcm9wcGluZy1wYXJ0aWNsZSI6IiIsIm5vbi1kcm9wcGluZy1wYXJ0aWNsZSI6InZhbiJ9LHsiZmFtaWx5IjoiQmFybmV0dCIsImdpdmVuIjoiRGF2aWQgVy4iLCJwYXJzZS1uYW1lcyI6ZmFsc2UsImRyb3BwaW5nLXBhcnRpY2xlIjoiIiwibm9uLWRyb3BwaW5nLXBhcnRpY2xlIjoiIn0seyJmYW1pbHkiOiJCYXJuZXR0IiwiZ2l2ZW4iOiJBbnRob255IiwicGFyc2UtbmFtZXMiOmZhbHNlLCJkcm9wcGluZy1wYXJ0aWNsZSI6IiIsIm5vbi1kcm9wcGluZy1wYXJ0aWNsZSI6IiJ9XSwiY29udGFpbmVyLXRpdGxlIjoiSW50ZXJuYXRpb25hbCBKb3VybmFsIG9mIEJlaGF2aW9yYWwgTnV0cml0aW9uIGFuZCBQaHlzaWNhbCBBY3Rpdml0eSAyMDE3IDE0OjEiLCJhY2Nlc3NlZCI6eyJkYXRlLXBhcnRzIjpbWzIwMjYsNCwxXV19LCJET0kiOiIxMC4xMTg2L3MxMjk2Ni0wMTctMDQ3MS01IiwiSVNTTiI6IjE0NzktNTg2OCIsIlBNSUQiOiIyODE2Njc5MCIsIlVSTCI6Imh0dHBzOi8vbGluay5zcHJpbmdlci5jb20vYXJ0aWNsZS8xMC4xMTg2L3MxMjk2Ni0wMTctMDQ3MS01IiwiaXNzdWVkIjp7ImRhdGUtcGFydHMiOltbMjAxNywyLDZdXX0sInBhZ2UiOiIxNS0iLCJhYnN0cmFjdCI6IlBlcmNlaXZlZCBhbmQgb2JqZWN0aXZlbHktYXNzZXNzZWQgYXNwZWN0cyBvZiB0aGUgbmVpZ2hib3VyaG9vZCBwaHlzaWNhbCBlbnZpcm9ubWVudCBoYXZlIGJlZW4gcG9zdHVsYXRlZCB0byBiZSBrZXkgY29udHJpYnV0b3JzIHRvIHJlZ3VsYXIgZW5nYWdlbWVudCBpbiBhY3RpdmUgdHJhdmVsIChBVCkgaW4gb2xkZXIgYWR1bHRzLiBXZSBzeXN0ZW1hdGljYWxseSByZXZpZXdlZCB0aGUgbGl0ZXJhdHVyZSBvbiBuZWlnaGJvdXJob29kIHBoeXNpY2FsIGVudmlyb25tZW50YWwgY29ycmVsYXRlcyBvZiBBVCBpbiBvbGRlciBhZHVsdHMgYW5kIGFwcGxpZWQgYSBub3ZlbCBtZXRhLWFuYWx5dGljIGFwcHJvYWNoIHRvIHN0YXRpc3RpY2FsbHkgcXVhbnRpZnkgdGhlIHN0cmVuZ3RoIG9mIGV2aWRlbmNlIGZvciBlbnZpcm9ubWVudC1BVCBhc3NvY2lhdGlvbnMuIEZvcnR5IHR3byBxdWFudGl0YXRpdmUgc3R1ZGllcyB0aGF0IGVzdGltYXRlZCBhc3NvY2lhdGlvbnMgb2YgYXNwZWN0cyBvZiB0aGUgbmVpZ2hib3VyaG9vZCBidWlsdCBlbnZpcm9ubWVudCB3aXRoIEFUIGluIG9sZGVyIGFkdWx0cyAoYWdlZOKAieKJpeKAiTY1Jm5ic3A7eWVhcnMpIGFuZCBtZXQgc2VsZWN0aW9uIGNyaXRlcmlhIHdlcmUgcmV2aWV3ZWQgYW5kIG1ldGEtYW5hbHlzZWQuIEZpbmRpbmdzIHdlcmUgYW5hbHlzZWQgYWNjb3JkaW5nIHRvIGZpdmUgQVQgb3V0Y29tZXMgKHRvdGFsIHdhbGtpbmcgZm9yIHRyYW5zcG9ydCwgd2l0aGluLW5laWdoYm91cmhvb2Qgd2Fsa2luZyBmb3IgdHJhbnNwb3J0LCBjb21iaW5lZCB3YWxraW5nIGFuZCBjeWNsaW5nIGZvciB0cmFuc3BvcnQsIGN5Y2xpbmcgZm9yIHRyYW5zcG9ydCwgYW5kIGFsbCBBVCBvdXRjb21lcyBjb21iaW5lZCkgYW5kIHNldmVuIGNhdGVnb3JpZXMgb2YgdGhlIG5laWdoYm91cmhvb2QgcGh5c2ljYWwgZW52aXJvbm1lbnQgKHJlc2lkZW50aWFsIGRlbnNpdHkvdXJiYW5pc2F0aW9uLCB3YWxrYWJpbGl0eSwgc3RyZWV0IGNvbm5lY3Rpdml0eSwgYWNjZXNzIHRvL2F2YWlsYWJpbGl0eSBvZiBzZXJ2aWNlcy9kZXN0aW5hdGlvbnMsIHBlZGVzdHJpYW4gYW5kIGN5Y2xpbmcgaW5mcmFzdHJ1Y3R1cmUsIGFlc3RoZXRpY3MgYW5kIGNsZWFubGluZXNzL29yZGVyLCBhbmQgc2FmZXR5IGFuZCB0cmFmZmljKS4gTW9zdCBzdHVkaWVzIGV4YW1pbmVkIGNvcnJlbGF0ZXMgb2YgdG90YWwgd2Fsa2luZyBmb3IgdHJhbnNwb3J0LiBBIHN1ZmZpY2llbnQgYW1vdW50IG9mIGV2aWRlbmNlIG9mIHBvc2l0aXZlIGFzc29jaWF0aW9ucyB3aXRoIHRvdGFsIHdhbGtpbmcgZm9yIHRyYW5zcG9ydCB3YXMgZm91bmQgZm9yIHJlc2lkZW50aWFsIGRlbnNpdHkvdXJiYW5pc2F0aW9uLCB3YWxrYWJpbGl0eSwgc3RyZWV0IGNvbm5lY3Rpdml0eSwgb3ZlcmFsbCBhY2Nlc3MgdG8gZGVzdGluYXRpb25zL3NlcnZpY2VzLCBsYW5kIHVzZSBtaXgsIHBlZGVzdHJpYW4tZnJpZW5kbHkgZmVhdHVyZXMgYW5kIGFjY2VzcyB0byBzZXZlcmFsIHR5cGVzIG9mIGRlc3RpbmF0aW9ucy4gTGl0dGVyaW5nL3ZhbmRhbGlzbS9kZWNheSB3YXMgbmVnYXRpdmVseSByZWxhdGVkIHRvIHRvdGFsIHdhbGtpbmcgZm9yIHRyYW5zcG9ydC4gTGltaXRlZCBldmlkZW5jZSB3YXMgYXZhaWxhYmxlIG9uIGNvcnJlbGF0ZXMgb2YgY3ljbGluZyBhbmQgY29tYmluZWQgd2Fsa2luZyBhbmQgY3ljbGluZyBmb3IgdHJhbnNwb3J0LCB3aGlsZSBzdWZmaWNpZW50IGV2aWRlbmNlIGVtZXJnZWQgZm9yIGEgcG9zaXRpdmUgYXNzb2NpYXRpb24gb2Ygd2l0aGluLW5laWdoYm91cmhvb2Qgd2Fsa2luZyB3aXRoIHBlZGVzdHJpYW4tZnJpZW5kbHkgZmVhdHVyZXMgYW5kIGF2YWlsYWJpbGl0eSBvZiBiZW5jaGVzL3NpdHRpbmcgZmFjaWxpdGllcy4gQ29ycmVsYXRlcyBvZiBhbGwgQVQgY29tYmluZWQgbWlycm9yZWQgdGhvc2Ugb2Ygd2Fsa2luZyBmb3IgdHJhbnNwb3J0LiBQb3NpdGl2ZSBhc3NvY2lhdGlvbnMgd2VyZSBhbHNvIG9ic2VydmVkIHdpdGggZm9vZCBvdXRsZXRzLCBidXNpbmVzcy9pbnN0aXR1dGlvbmFsL2luZHVzdHJpYWwgZGVzdGluYXRpb25zLCBhdmFpbGFiaWxpdHkgb2Ygc3RyZWV0IGxpZ2h0cywgZWFzeSBhY2Nlc3MgdG8gYnVpbGRpbmcgZW50cmFuY2UgYW5kIGh1bWFuIGFuZCBtb3RvcmlzZWQgdHJhZmZpYyB2b2x1bWUuIFNldmVyYWwgYnV0IGluY29uc2lzdGVudCBpbmRpdmlkdWFsLSBhbmQgZW52aXJvbm1lbnRhbC1sZXZlbCBtb2RlcmF0b3JzIG9mIGFzc29jaWF0aW9ucyB3ZXJlIGlkZW50aWZpZWQuIFJlc3VsdHMgc3VwcG9ydCBzdHJvbmcgbGlua3MgYmV0d2VlbiB0aGUgbmVpZ2hib3VyaG9vZCBwaHlzaWNhbCBlbnZpcm9ubWVudCBhbmQgb2xkZXIgYWR1bHRz4oCZIEFULiBGdXR1cmUgcmVzZWFyY2ggc2hvdWxkIGZvY3VzIG9uIHRoZSBpZGVudGlmaWNhdGlvbiBvZiB0eXBlcyBhbmQgbWl4ZXMgb2YgZGVzdGluYXRpb25zIHRoYXQgc3VwcG9ydCBBVCBpbiBvbGRlciBhZHVsdHMgYW5kIGhvdyB0aGVzZSBpbnRlcmFjdCB3aXRoIGluZGl2aWR1YWwgY2hhcmFjdGVyaXN0aWNzIGFuZCBvdGhlciBlbnZpcm9ubWVudGFsIGZhY3RvcnMuIEZ1dHVyZSByZXNlYXJjaCBzaG91bGQgYWxzbyBhaW0gdG8gY2xhcmlmeSBkb3NlLXJlc3BvbnNlIHJlbGF0aW9uc2hpcHMgdGhyb3VnaCBtdWx0aS1jb3VudHJ5IGludmVzdGlnYXRpb25zIGFuZCBkYXRhLXBvb2xpbmcgZnJvbSBkaXZlcnNlIGdlb2dyYXBoaWNhbCByZWdpb25zLiIsInB1Ymxpc2hlciI6IkJpb01lZCBDZW50cmFsIiwiaXNzdWUiOiIxIiwidm9sdW1lIjoiMTQiLCJjb250YWluZXItdGl0bGUtc2hvcnQiOiIifSwiaXNUZW1wb3JhcnkiOmZhbHNlfSx7ImlkIjoiOTQ1M2I0YzItNjJkYS0zNGY3LThlMTYtNDY5MDEzMDZjNjNiIiwiaXRlbURhdGEiOnsidHlwZSI6ImFydGljbGUtam91cm5hbCIsImlkIjoiOTQ1M2I0YzItNjJkYS0zNGY3LThlMTYtNDY5MDEzMDZjNjNiIiwidGl0bGUiOiJFZmZlY3RpdmVuZXNzIG9mIGludGVydmVudGlvbnMgZm9yIG1vZGFsIHNoaWZ0IHRvIHdhbGtpbmcgYW5kIGJpa2UgcmlkaW5nOiBhIHN5c3RlbWF0aWMgcmV2aWV3IHdpdGggbWV0YS1hbmFseXNpcyIsImF1dGhvciI6W3siZmFtaWx5IjoiUGVhcnNvbiIsImdpdmVuIjoiTGF1cmVuIiwicGFyc2UtbmFtZXMiOmZhbHNlLCJkcm9wcGluZy1wYXJ0aWNsZSI6IiIsIm5vbi1kcm9wcGluZy1wYXJ0aWNsZSI6IiJ9LHsiZmFtaWx5IjoiUGFnZSIsImdpdmVuIjoiTWF0dGhldyBKLiIsInBhcnNlLW5hbWVzIjpmYWxzZSwiZHJvcHBpbmctcGFydGljbGUiOiIiLCJub24tZHJvcHBpbmctcGFydGljbGUiOiIifSx7ImZhbWlseSI6IkdlcmhhcmQiLCJnaXZlbiI6IlJvYnluIiwicGFyc2UtbmFtZXMiOmZhbHNlLCJkcm9wcGluZy1wYXJ0aWNsZSI6IiIsIm5vbi1kcm9wcGluZy1wYXJ0aWNsZSI6IiJ9LHsiZmFtaWx5IjoiQ2xhcmtlIiwiZ2l2ZW4iOiJOeXNzYSIsInBhcnNlLW5hbWVzIjpmYWxzZSwiZHJvcHBpbmctcGFydGljbGUiOiIiLCJub24tZHJvcHBpbmctcGFydGljbGUiOiIifSx7ImZhbWlseSI6IldpbnRlcnMiLCJnaXZlbiI6Ik1lZ2hhbiIsInBhcnNlLW5hbWVzIjpmYWxzZSwiZHJvcHBpbmctcGFydGljbGUiOiIiLCJub24tZHJvcHBpbmctcGFydGljbGUiOiIifSx7ImZhbWlseSI6IkJhdW1hbiIsImdpdmVuIjoiQWRyaWFuIiwicGFyc2UtbmFtZXMiOmZhbHNlLCJkcm9wcGluZy1wYXJ0aWNsZSI6IiIsIm5vbi1kcm9wcGluZy1wYXJ0aWNsZSI6IiJ9LHsiZmFtaWx5IjoiQXJvZ3VuZGFkZSIsImdpdmVuIjoiTGFvbHUiLCJwYXJzZS1uYW1lcyI6ZmFsc2UsImRyb3BwaW5nLXBhcnRpY2xlIjoiIiwibm9uLWRyb3BwaW5nLXBhcnRpY2xlIjoiIn0seyJmYW1pbHkiOiJCZWNrIiwiZ2l2ZW4iOiJCZW4iLCJwYXJzZS1uYW1lcyI6ZmFsc2UsImRyb3BwaW5nLXBhcnRpY2xlIjoiIiwibm9uLWRyb3BwaW5nLXBhcnRpY2xlIjoiIn1dLCJjb250YWluZXItdGl0bGUiOiJUcmFuc3BvcnQgUmV2aWV3cyIsImNvbnRhaW5lci10aXRsZS1zaG9ydCI6IlRyYW5zcC4gUmV2LiIsImFjY2Vzc2VkIjp7ImRhdGUtcGFydHMiOltbMjAyNiw1LDE5XV19LCJET0kiOiIxMC4xMDgwLzAxNDQxNjQ3LjIwMjUuMjQ4MDI5MiIsIklTU04iOiIxNDY0NTMyNyIsIlVSTCI6Imh0dHBzOi8vd3d3LnRhbmRmb25saW5lLmNvbS9kb2kvcGRmLzEwLjEwODAvMDE0NDE2NDcuMjAyNS4yNDgwMjkyIiwiaXNzdWVkIjp7ImRhdGUtcGFydHMiOltbMjAyNSw3LDRdXX0sInBhZ2UiOiI0ODItNTEzIiwiYWJzdHJhY3QiOiJUaGUgcGh5c2ljYWwgYW5kIG1lbnRhbCBoZWFsdGgsIGVudmlyb25tZW50YWwsIHNvY2lhbCBhbmQgZWNvbm9taWMgYmVuZWZpdHMgb2Ygc2hpZnRpbmcgZnJvbSBwcml2YXRlIGNhciB0cmF2ZWwgdG8gYWN0aXZlIHRyYXZlbCAod2Fsa2luZyBhbmQgYmlrZSByaWRpbmcpIGFyZSB3ZWxsIGVzdGFibGlzaGVkIChCcmFuZCBldCBhbC4sIDIwMjE7IC4uLiIsInB1Ymxpc2hlciI6IlJvdXRsZWRnZSIsImlzc3VlIjoiNCIsInZvbHVtZSI6IjQ1In0sImlzVGVtcG9yYXJ5IjpmYWxzZX1dfQ==&quot;,&quot;citationItems&quot;:[{&quot;id&quot;:&quot;39f7efd9-df36-30f4-8087-65eeae66439c&quot;,&quot;itemData&quot;:{&quot;type&quot;:&quot;article&quot;,&quot;id&quot;:&quot;39f7efd9-df36-30f4-8087-65eeae66439c&quot;,&quot;title&quot;:&quot;Built Environment Interventions to Increase Active Travel: a Critical Review and Discussion&quot;,&quot;author&quot;:[{&quot;family&quot;:&quot;Aldred&quot;,&quot;given&quot;:&quot;Rachel&quot;,&quot;parse-names&quot;:false,&quot;dropping-particle&quot;:&quot;&quot;,&quot;non-dropping-particle&quot;:&quot;&quot;}],&quot;container-title&quot;:&quot;Current environmental health reports&quot;,&quot;container-title-short&quot;:&quot;Curr. Environ. Health Rep.&quot;,&quot;DOI&quot;:&quot;10.1007/s40572-019-00254-4&quot;,&quot;ISSN&quot;:&quot;21965412&quot;,&quot;PMID&quot;:&quot;31773498&quot;,&quot;issued&quot;:{&quot;date-parts&quot;:[[2019,12,1]]},&quot;page&quot;:&quot;309-315&quot;,&quot;abstract&quot;:&quot;Purpose of Review: To review the literature on built environment interventions to increase active travel, focusing on work since 2000 and on methodological choices and challenges affecting studies. Recent Findings: Increasingly, there is evidence that built environment interventions can lead to more walking or cycling. Evidence is stronger for cycling than for walking interventions, and there is a relative lack of evidence around differential impacts of interventions. Some of the evidence remains methodologically weak, with much work in the ‘grey’ literature. Summary: While evidence in the area continues to grow, data gaps remain. Greater use of quasi-experimental techniques, improvements in routine monitoring of smaller schemes, and the use of new big data sources are promising. More qualitative research could help develop a more sophisticated understanding of behaviour change.&quot;,&quot;publisher&quot;:&quot;Springer&quot;,&quot;issue&quot;:&quot;4&quot;,&quot;volume&quot;:&quot;6&quot;},&quot;isTemporary&quot;:false},{&quot;id&quot;:&quot;2d93738f-3ee4-3b5d-9137-fd21e866cfe2&quot;,&quot;itemData&quot;:{&quot;type&quot;:&quot;article-journal&quot;,&quot;id&quot;:&quot;2d93738f-3ee4-3b5d-9137-fd21e866cfe2&quot;,&quot;title&quot;:&quot;The neighbourhood physical environment and active travel in older adults: a systematic review and meta-analysis&quot;,&quot;author&quot;:[{&quot;family&quot;:&quot;Cerin&quot;,&quot;given&quot;:&quot;Ester&quot;,&quot;parse-names&quot;:false,&quot;dropping-particle&quot;:&quot;&quot;,&quot;non-dropping-particle&quot;:&quot;&quot;},{&quot;family&quot;:&quot;Nathan&quot;,&quot;given&quot;:&quot;Andrea&quot;,&quot;parse-names&quot;:false,&quot;dropping-particle&quot;:&quot;&quot;,&quot;non-dropping-particle&quot;:&quot;&quot;},{&quot;family&quot;:&quot;Cauwenberg&quot;,&quot;given&quot;:&quot;Jelle&quot;,&quot;parse-names&quot;:false,&quot;dropping-particle&quot;:&quot;&quot;,&quot;non-dropping-particle&quot;:&quot;van&quot;},{&quot;family&quot;:&quot;Barnett&quot;,&quot;given&quot;:&quot;David W.&quot;,&quot;parse-names&quot;:false,&quot;dropping-particle&quot;:&quot;&quot;,&quot;non-dropping-particle&quot;:&quot;&quot;},{&quot;family&quot;:&quot;Barnett&quot;,&quot;given&quot;:&quot;Anthony&quot;,&quot;parse-names&quot;:false,&quot;dropping-particle&quot;:&quot;&quot;,&quot;non-dropping-particle&quot;:&quot;&quot;}],&quot;container-title&quot;:&quot;International Journal of Behavioral Nutrition and Physical Activity 2017 14:1&quot;,&quot;accessed&quot;:{&quot;date-parts&quot;:[[2026,4,1]]},&quot;DOI&quot;:&quot;10.1186/s12966-017-0471-5&quot;,&quot;ISSN&quot;:&quot;1479-5868&quot;,&quot;PMID&quot;:&quot;28166790&quot;,&quot;URL&quot;:&quot;https://link.springer.com/article/10.1186/s12966-017-0471-5&quot;,&quot;issued&quot;:{&quot;date-parts&quot;:[[2017,2,6]]},&quot;page&quot;:&quot;15-&quot;,&quot;abstract&quot;:&quot;Perceived and objectively-assessed aspects of the neighbourhood physical environment have been postulated to be key contributors to regular engagement in active travel (AT) in older adults. We systematically reviewed the literature on neighbourhood physical environmental correlates of AT in older adults and applied a novel meta-analytic approach to statistically quantify the strength of evidence for environment-AT associations. Forty two quantitative studies that estimated associations of aspects of the neighbourhood built environment with AT in older adults (aged ≥ 65&amp;nbsp;years) and met selection criteria were reviewed and meta-analysed. Findings were analysed according to five AT outcomes (total walking for transport, within-neighbourhood walking for transport, combined walking and cycling for transport, cycling for transport, and all AT outcomes combined) and seven categories of the neighbourhood physical environment (residential density/urbanisation, walkability, street connectivity, access to/availability of services/destinations, pedestrian and cycling infrastructure, aesthetics and cleanliness/order, and safety and traffic). Most studies examined correlates of total walking for transport. A sufficient amount of evidence of positive associations with total walking for transport was found for residential density/urbanisation, walkability, street connectivity, overall access to destinations/services, land use mix, pedestrian-friendly features and access to several types of destinations. Littering/vandalism/decay was negatively related to total walking for transport. Limited evidence was available on correlates of cycling and combined walking and cycling for transport, while sufficient evidence emerged for a positive association of within-neighbourhood walking with pedestrian-friendly features and availability of benches/sitting facilities. Correlates of all AT combined mirrored those of walking for transport. Positive associations were also observed with food outlets, business/institutional/industrial destinations, availability of street lights, easy access to building entrance and human and motorised traffic volume. Several but inconsistent individual- and environmental-level moderators of associations were identified. Results support strong links between the neighbourhood physical environment and older adults’ AT. Future research should focus on the identification of types and mixes of destinations that support AT in older adults and how these interact with individual characteristics and other environmental factors. Future research should also aim to clarify dose-response relationships through multi-country investigations and data-pooling from diverse geographical regions.&quot;,&quot;publisher&quot;:&quot;BioMed Central&quot;,&quot;issue&quot;:&quot;1&quot;,&quot;volume&quot;:&quot;14&quot;,&quot;container-title-short&quot;:&quot;&quot;},&quot;isTemporary&quot;:false},{&quot;id&quot;:&quot;9453b4c2-62da-34f7-8e16-46901306c63b&quot;,&quot;itemData&quot;:{&quot;type&quot;:&quot;article-journal&quot;,&quot;id&quot;:&quot;9453b4c2-62da-34f7-8e16-46901306c63b&quot;,&quot;title&quot;:&quot;Effectiveness of interventions for modal shift to walking and bike riding: a systematic review with meta-analysis&quot;,&quot;author&quot;:[{&quot;family&quot;:&quot;Pearson&quot;,&quot;given&quot;:&quot;Lauren&quot;,&quot;parse-names&quot;:false,&quot;dropping-particle&quot;:&quot;&quot;,&quot;non-dropping-particle&quot;:&quot;&quot;},{&quot;family&quot;:&quot;Page&quot;,&quot;given&quot;:&quot;Matthew J.&quot;,&quot;parse-names&quot;:false,&quot;dropping-particle&quot;:&quot;&quot;,&quot;non-dropping-particle&quot;:&quot;&quot;},{&quot;family&quot;:&quot;Gerhard&quot;,&quot;given&quot;:&quot;Robyn&quot;,&quot;parse-names&quot;:false,&quot;dropping-particle&quot;:&quot;&quot;,&quot;non-dropping-particle&quot;:&quot;&quot;},{&quot;family&quot;:&quot;Clarke&quot;,&quot;given&quot;:&quot;Nyssa&quot;,&quot;parse-names&quot;:false,&quot;dropping-particle&quot;:&quot;&quot;,&quot;non-dropping-particle&quot;:&quot;&quot;},{&quot;family&quot;:&quot;Winters&quot;,&quot;given&quot;:&quot;Meghan&quot;,&quot;parse-names&quot;:false,&quot;dropping-particle&quot;:&quot;&quot;,&quot;non-dropping-particle&quot;:&quot;&quot;},{&quot;family&quot;:&quot;Bauman&quot;,&quot;given&quot;:&quot;Adrian&quot;,&quot;parse-names&quot;:false,&quot;dropping-particle&quot;:&quot;&quot;,&quot;non-dropping-particle&quot;:&quot;&quot;},{&quot;family&quot;:&quot;Arogundade&quot;,&quot;given&quot;:&quot;Laolu&quot;,&quot;parse-names&quot;:false,&quot;dropping-particle&quot;:&quot;&quot;,&quot;non-dropping-particle&quot;:&quot;&quot;},{&quot;family&quot;:&quot;Beck&quot;,&quot;given&quot;:&quot;Ben&quot;,&quot;parse-names&quot;:false,&quot;dropping-particle&quot;:&quot;&quot;,&quot;non-dropping-particle&quot;:&quot;&quot;}],&quot;container-title&quot;:&quot;Transport Reviews&quot;,&quot;container-title-short&quot;:&quot;Transp. Rev.&quot;,&quot;accessed&quot;:{&quot;date-parts&quot;:[[2026,5,19]]},&quot;DOI&quot;:&quot;10.1080/01441647.2025.2480292&quot;,&quot;ISSN&quot;:&quot;14645327&quot;,&quot;URL&quot;:&quot;https://www.tandfonline.com/doi/pdf/10.1080/01441647.2025.2480292&quot;,&quot;issued&quot;:{&quot;date-parts&quot;:[[2025,7,4]]},&quot;page&quot;:&quot;482-513&quot;,&quot;abstract&quot;:&quot;The physical and mental health, environmental, social and economic benefits of shifting from private car travel to active travel (walking and bike riding) are well established (Brand et al., 2021; ...&quot;,&quot;publisher&quot;:&quot;Routledge&quot;,&quot;issue&quot;:&quot;4&quot;,&quot;volume&quot;:&quot;45&quot;},&quot;isTemporary&quot;:false}]},{&quot;citationID&quot;:&quot;MENDELEY_CITATION_5478cd26-03a8-4616-8a05-35af15bd9ee6&quot;,&quot;properties&quot;:{&quot;noteIndex&quot;:0},&quot;isEdited&quot;:false,&quot;manualOverride&quot;:{&quot;isManuallyOverridden&quot;:true,&quot;citeprocText&quot;:&quot;(De Vos et al., 2023; Lättman et al., 2018; Ma et al., 2014; van der Vlugt et al., 2022)&quot;,&quot;manualOverrideText&quot;:&quot;(Ma et al., 2014; Lättman et al., 2018; van der Vlugt et al., 2022; De Vos et al., 2023)&quot;},&quot;citationTag&quot;:&quot;MENDELEY_CITATION_v3_eyJjaXRhdGlvbklEIjoiTUVOREVMRVlfQ0lUQVRJT05fNTQ3OGNkMjYtMDNhOC00NjE2LThhMDUtMzVhZjE1YmQ5ZWU2IiwicHJvcGVydGllcyI6eyJub3RlSW5kZXgiOjB9LCJpc0VkaXRlZCI6ZmFsc2UsIm1hbnVhbE92ZXJyaWRlIjp7ImlzTWFudWFsbHlPdmVycmlkZGVuIjp0cnVlLCJjaXRlcHJvY1RleHQiOiIoRGUgVm9zIGV0IGFsLiwgMjAyMzsgTMOkdHRtYW4gZXQgYWwuLCAyMDE4OyBNYSBldCBhbC4sIDIwMTQ7IHZhbiBkZXIgVmx1Z3QgZXQgYWwuLCAyMDIyKSIsIm1hbnVhbE92ZXJyaWRlVGV4dCI6IihNYSBldCBhbC4sIDIwMTQ7IEzDpHR0bWFuIGV0IGFsLiwgMjAxODsgdmFuIGRlciBWbHVndCBldCBhbC4sIDIwMjI7IERlIFZvcyBldCBhbC4sIDIwMjMpIn0sImNpdGF0aW9uSXRlbXMiOlt7ImlkIjoiYzI5YzJlYjYtNTVjYy0zZWViLThiYWYtYmM5MDU4ZDc3OTAxIiwiaXRlbURhdGEiOnsidHlwZSI6ImFydGljbGUtam91cm5hbCIsImlkIjoiYzI5YzJlYjYtNTVjYy0zZWViLThiYWYtYmM5MDU4ZDc3OTAxIiwidGl0bGUiOiJEZXRlcm1pbmFudHMgYW5kIGVmZmVjdHMgb2YgcGVyY2VpdmVkIHdhbGthYmlsaXR5OiBhIGxpdGVyYXR1cmUgcmV2aWV3LCBjb25jZXB0dWFsIG1vZGVsIGFuZCByZXNlYXJjaCBhZ2VuZGEiLCJhdXRob3IiOlt7ImZhbWlseSI6IlZvcyIsImdpdmVuIjoiSm9uYXMiLCJwYXJzZS1uYW1lcyI6ZmFsc2UsImRyb3BwaW5nLXBhcnRpY2xlIjoiIiwibm9uLWRyb3BwaW5nLXBhcnRpY2xlIjoiRGUifSx7ImZhbWlseSI6IkzDpHR0bWFuIiwiZ2l2ZW4iOiJLYXRyaW4iLCJwYXJzZS1uYW1lcyI6ZmFsc2UsImRyb3BwaW5nLXBhcnRpY2xlIjoiIiwibm9uLWRyb3BwaW5nLXBhcnRpY2xlIjoiIn0seyJmYW1pbHkiOiJWbHVndCIsImdpdmVuIjoiQW5uYSBMZW5hIiwicGFyc2UtbmFtZXMiOmZhbHNlLCJkcm9wcGluZy1wYXJ0aWNsZSI6IiIsIm5vbi1kcm9wcGluZy1wYXJ0aWNsZSI6InZhbiBkZXIifSx7ImZhbWlseSI6IldlbHNjaCIsImdpdmVuIjoiSmFuaW5hIiwicGFyc2UtbmFtZXMiOmZhbHNlLCJkcm9wcGluZy1wYXJ0aWNsZSI6IiIsIm5vbi1kcm9wcGluZy1wYXJ0aWNsZSI6IiJ9LHsiZmFtaWx5IjoiT3RzdWthIiwiZ2l2ZW4iOiJOb3Jpa28iLCJwYXJzZS1uYW1lcyI6ZmFsc2UsImRyb3BwaW5nLXBhcnRpY2xlIjoiIiwibm9uLWRyb3BwaW5nLXBhcnRpY2xlIjoiIn1dLCJjb250YWluZXItdGl0bGUiOiJUcmFuc3BvcnQgUmV2aWV3cyIsImNvbnRhaW5lci10aXRsZS1zaG9ydCI6IlRyYW5zcC4gUmV2LiIsImFjY2Vzc2VkIjp7ImRhdGUtcGFydHMiOltbMjAyNiw0LDIyXV19LCJET0kiOiIxMC4xMDgwLzAxNDQxNjQ3LjIwMjIuMjEwMTA3MiIsIklTU04iOiIxNDY0NTMyNyIsIlVSTCI6Ii9kb2kvcGRmLzEwLjEwODAvMDE0NDE2NDcuMjAyMi4yMTAxMDcyP2Rvd25sb2FkPXRydWUiLCJpc3N1ZWQiOnsiZGF0ZS1wYXJ0cyI6W1syMDIzXV19LCJwYWdlIjoiMzAzLTMyNCIsImFic3RyYWN0IjoiRm9yIGRlY2FkZXMsIGFjY2Vzc2liaWxpdHnigJNpLmUuIHRoZSBlYXNlIG9mIHJlYWNoaW5nIGRlc3RpbmF0aW9uc+KAk2hhcyBiZWVuIGFuIGltcG9ydGFudCBjb25jZXB0IGluIHRyYW5zcG9ydCBwbGFubmluZywgcmVzdWx0aW5nIGluIG1hbnkgc3R1ZGllcyB0cnlpbmcgdG8gbWVhc3VyZSBpdCBhbmQgcHV0IGl0IGludG8gcHJhY3RpY2UuIEFsc28gd2Fsa2FiaWxpdHksIGEgbW9kZS1zcGVjaWZpYyB0eXBlIG9mIGFjY2Vzc2liaWxpdHkgcmVmZXJyaW5nIHRvIGhvdyBlYXN5IGl0IGlzIHRvIHdhbGsgKHRvIGRlc3RpbmF0aW9ucykgcmVjZWl2ZWQgaW5jcmVhc2VkIGF0dGVudGlvbiBpbiB0aGUgbGFzdCB0d28gZGVjYWRlcy4gSW4gcmVjZW50IHllYXJzLCBhIG5ldyBmb2N1cyBoYXMgYmVlbiBvbiBob3cgcGVvcGxlIHBlcmNlaXZlIHRoZWlyIGFjY2Vzc2liaWxpdHkgYXMgdGhpcyBtYXkgYmUgYSBzdHJvbmdlciBwcmVkaWN0b3Igb2YgdHJhdmVsIGJlaGF2aW91ciB0aGFuIG9iamVjdGl2ZSBlbGVtZW50cyBvZiBhY2Nlc3NpYmlsaXR5IChzdWNoIGFzIGJ1aWx0IGVudmlyb25tZW50IGNoYXJhY3RlcmlzdGljcykuIFBlcmNlaXZlZCB3YWxrYWJpbGl0eSwgaS5lLiBob3cgd2Fsay1mcmllbmRseSBwZW9wbGUgZXhwZXJpZW5jZSBhIGNlcnRhaW4gYXJlYSwgaG93ZXZlciwgaGFzIG9ubHkgYmVlbiBleHBsb3JlZCBieSBhIGxpbWl0ZWQgbnVtYmVyIG9mIHN0dWRpZXMuIEluIHRoaXMgcmV2aWV3IHBhcGVyLCB3ZSBnaXZlIGFuIG92ZXJ2aWV3IG9mIGV4aXN0aW5nIHN0dWRpZXMgYW5hbHlzaW5nIHBlcmNlaXZlZCB3YWxrYWJpbGl0eSwgd2hpY2ggbW9zdGx5IGhhdmUgZm9jdXNlZCBvbiBpdHMgZWZmZWN0cyBvbiB3YWxraW5nIGZyZXF1ZW5jeS9kdXJhdGlvbiwgcGh5c2ljYWwgYWN0aXZpdHkgYW5kIHZhcmlvdXMgYXNwZWN0cyBvZiBtZW50YWwgd2VsbC1iZWluZy4gQmFzZWQgb24gdGhpcyBsaXRlcmF0dXJlIHJldmlldywgYSBjb25jZXB0dWFsIG1vZGVsIGlzIGNyZWF0ZWQsIGVtcGhhc2lzaW5nIHRoZSBkZXRlcm1pbmFudHMgYW5kIGVmZmVjdHMgb2YgcGVyY2VpdmVkIHdhbGthYmlsaXR5IGFuZCBob3cgaXQgaXMgcmVsYXRlZCB0byBvYmplY3RpdmUgd2Fsa2FiaWxpdHkuIFdlIGVuZCB0aGlzIHBhcGVyIGJ5IHByb3ZpZGluZyBhdmVudWVzIGZvciBmdXJ0aGVyIHJlc2VhcmNoLCBpbmNsdWRpbmcgdGhlIGludHJvZHVjdGlvbiBvZiBhIFNob3J0IFBlcmNlaXZlZCBXYWxrYWJpbGl0eSBTY2FsZSAoU1BXUykgYW5kIHJlY29tbWVuZGF0aW9ucyBmb3IgZGF0YSBjb2xsZWN0aW9uIGFuZCBhbmFseXNpcy4gRG9pbmcgc28gY2FuIGNyZWF0ZSBuZXcgaW5zaWdodHMgaW50byBwZXJjZWl2ZWQgd2Fsa2FiaWxpdHkgYW5kIGxpbmtzIHdpdGggcmVsYXRlZCBlbGVtZW50cywgYW5kIHRoZXJlZm9yZSBjYW4gY29udHJpYnV0ZSB0byBzdGltdWxhdGluZyB3YWxraW5nIHRyaXBzIGFuZCBpbXByb3ZpbmcgdGhlIGV4cGVyaWVuY2Ugb2YgdGhlc2UgdHJpcHMuIiwicHVibGlzaGVyIjoiUm91dGxlZGdlIiwiaXNzdWUiOiIyIiwidm9sdW1lIjoiNDMifSwiaXNUZW1wb3JhcnkiOmZhbHNlfSx7ImlkIjoiZThkZGViYTEtOTg1MC0zOWI2LWI5NWQtZjE4YTRkYjQzYmJkIiwiaXRlbURhdGEiOnsidHlwZSI6ImFydGljbGUtam91cm5hbCIsImlkIjoiZThkZGViYTEtOTg1MC0zOWI2LWI5NWQtZjE4YTRkYjQzYmJkIiwidGl0bGUiOiJBIG5ldyBhcHByb2FjaCB0byBhY2Nlc3NpYmlsaXR5IOKAkyBFeGFtaW5pbmcgcGVyY2VpdmVkIGFjY2Vzc2liaWxpdHkgaW4gY29udHJhc3QgdG8gb2JqZWN0aXZlbHkgbWVhc3VyZWQgYWNjZXNzaWJpbGl0eSBpbiBkYWlseSB0cmF2ZWwiLCJhdXRob3IiOlt7ImZhbWlseSI6IkzDpHR0bWFuIiwiZ2l2ZW4iOiJLYXRyaW4iLCJwYXJzZS1uYW1lcyI6ZmFsc2UsImRyb3BwaW5nLXBhcnRpY2xlIjoiIiwibm9uLWRyb3BwaW5nLXBhcnRpY2xlIjoiIn0seyJmYW1pbHkiOiJPbHNzb24iLCJnaXZlbiI6IkxhcnMgRS4iLCJwYXJzZS1uYW1lcyI6ZmFsc2UsImRyb3BwaW5nLXBhcnRpY2xlIjoiIiwibm9uLWRyb3BwaW5nLXBhcnRpY2xlIjoiIn0seyJmYW1pbHkiOiJGcmltYW4iLCJnaXZlbiI6Ik1hcmdhcmV0YSIsInBhcnNlLW5hbWVzIjpmYWxzZSwiZHJvcHBpbmctcGFydGljbGUiOiIiLCJub24tZHJvcHBpbmctcGFydGljbGUiOiIifV0sImNvbnRhaW5lci10aXRsZSI6IlJlc2VhcmNoIGluIFRyYW5zcG9ydGF0aW9uIEVjb25vbWljcyIsImFjY2Vzc2VkIjp7ImRhdGUtcGFydHMiOltbMjAyNiw0LDI1XV19LCJET0kiOiIxMC4xMDE2L2oucmV0cmVjLjIwMTguMDYuMDAyIiwiSVNTTiI6IjA3MzktODg1OSIsIlVSTCI6Imh0dHBzOi8vd3d3LnNjaWVuY2VkaXJlY3QuY29tL3NjaWVuY2UvYXJ0aWNsZS9waWkvUzA3Mzk4ODU5MTczMDI0NDUiLCJpc3N1ZWQiOnsiZGF0ZS1wYXJ0cyI6W1syMDE4LDksMV1dfSwicGFnZSI6IjUwMS01MTEiLCJhYnN0cmFjdCI6IkFjY2Vzc2liaWxpdHkgaGFzIGNvbnZlbnRpb25hbGx5IGJlZW4gbWVhc3VyZWQgYW5kIGV2YWx1YXRlZCBpZ25vcmluZyB1c2VyIHBlcmNlcHRpb25zIGluIGZhdm9yIG9mIGZvY3VzaW5nIG9uIHRyYXZlbCB0aW1lIGFuZCBkaXN0YW5jZSB0byBhIG51bWJlciBvZiBwcmUtZGV0ZXJtaW5lZCBkZXN0aW5hdGlvbnMuIEFja25vd2xlZGdpbmcgdGhpcyBnYXAsIHdlIHJlY2VudGx5IGRldmVsb3BlZCBhIHNjYWxlIGZvciBwZXJjZWl2ZWQgYWNjZXNzaWJpbGl0eSBQQUMgKEzDpHR0bWFuLCBGcmltYW4sICYgT2xzc29uIDIwMTZiKSBhaW1lZCBhdCBjYXB0dXJpbmcgdGhlIGluZGl2aWR1YWwgcGVyc3BlY3RpdmUgb2YgYWNjZXNzaWJpbGl0eSB3aXRoIGEgY2VydGFpbiB0cmF2ZWwgbW9kZS4gSW4gdGhpcyBwYXBlciwgd2UgMSkgZnVydGhlciBkZXZlbG9wIHRoZSBQQUMgbWVhc3VyZSBvZiBwZXJjZWl2ZWQgYWNjZXNzaWJpbGl0eSBpbiBvcmRlciB0byBjYXB0dXJlIGhvdyBlYXN5IGl0IGlzIHRvIGxpdmUgYSBzYXRpc2ZhY3RvcnkgbGlmZSB3aXRoIHRoZSBoZWxwIG9mIHRoZSB0cmFuc3BvcnQgc3lzdGVtLCAyKSBjb21wYXJlIGxldmVscyBvZiBwZXJjZWl2ZWQgYWNjZXNzaWJpbGl0eSBiZXR3ZWVuIHJlc2lkZW50aWFsIGFyZWFzIGFuZCBtYWluIHRyYXZlbCBtb2RlcywgYW5kIDMpIGNvbXBhcmUgcmVzaWRlbnRz4oCZIHBlcmNlaXZlZCBhY2Nlc3NpYmlsaXR5IHRvIHRoZSBvYmplY3RpdmUgYWNjZXNzaWJpbGl0eSBsZXZlbCBmb3IgdGhlIHNhbWUgcmVzaWRlbnRpYWwgYXJlYS4gRGF0YSBmcm9tIDI3MTEgcmVzaWRlbnRzIG9mIE1hbG3DtiwgU3dlZGVuIHNob3cgdGhhdCBwZXJjZWl2ZWQgYWNjZXNzaWJpbGl0eSBpcyBjb25zaXN0ZW50bHkgZGlmZmVyZW50IGZyb20gb2JqZWN0aXZlIGFjY2Vzc2liaWxpdHkgYWNyb3NzIDEzIHJlc2lkZW50aWFsIGFyZWFzLCB3aXRoIG1pbm9yIGRpZmZlcmVuY2VzIGluIGxldmVscyBvZiBwZXJjZWl2ZWQgYWNjZXNzaWJpbGl0eSBiZXR3ZWVuIGFyZWFzLiBTdXJwcmlzaW5nbHksIGJpY3ljbGUgdXNlcnMgcmF0ZSB0aGVpciBhY2Nlc3NpYmlsaXR5IHNpZ25pZmljYW50bHkgaGlnaGVyIHRoYW4gdGhvc2Ugd2hvIG1haW5seSB1c2UgdGhlIGNhciBvciBwdWJsaWMgdHJhbnNwb3J0IGZvciBkYWlseSB0cmF2ZWwsIGNvbnRyYXJ5IHRvIG9iamVjdGl2ZSBhY2Nlc3NpYmlsaXR5IGFzc3VtcHRpb25zLiBUaGVzZSBkaWZmZXJlbmNlcyBwb2ludCBhdCB0aGUgaW1wb3J0YW5jZSBvZiBpbmNsdWRpbmcgcGVyY2VpdmVkIGFjY2Vzc2liaWxpdHkgYXMgYSBjb21wbGVtZW50YXJ5IHRvb2wgd2hlbiBwbGFubmluZyBmb3IgYW5kIGV2YWx1YXRpbmcgdHJhbnNwb3J0IHN5c3RlbXMuIiwicHVibGlzaGVyIjoiRWxzZXZpZXIiLCJ2b2x1bWUiOiI2OSIsImNvbnRhaW5lci10aXRsZS1zaG9ydCI6IiJ9LCJpc1RlbXBvcmFyeSI6ZmFsc2V9LHsiaWQiOiJmYjY3ZTcyNy1kOGY3LTMyYjEtYjRjYi00NTAzNDU2NzI0ZTgiLCJpdGVtRGF0YSI6eyJ0eXBlIjoiYXJ0aWNsZS1qb3VybmFsIiwiaWQiOiJmYjY3ZTcyNy1kOGY3LTMyYjEtYjRjYi00NTAzNDU2NzI0ZTgiLCJ0aXRsZSI6IlRoZSBvYmplY3RpdmUgdmVyc3VzIHRoZSBwZXJjZWl2ZWQgZW52aXJvbm1lbnQ6IHdoYXQgbWF0dGVycyBmb3IgYmljeWNsaW5nPyIsImF1dGhvciI6W3siZmFtaWx5IjoiTWEiLCJnaXZlbiI6IkxpYW5nIiwicGFyc2UtbmFtZXMiOmZhbHNlLCJkcm9wcGluZy1wYXJ0aWNsZSI6IiIsIm5vbi1kcm9wcGluZy1wYXJ0aWNsZSI6IiJ9LHsiZmFtaWx5IjoiRGlsbCIsImdpdmVuIjoiSmVubmlmZXIiLCJwYXJzZS1uYW1lcyI6ZmFsc2UsImRyb3BwaW5nLXBhcnRpY2xlIjoiIiwibm9uLWRyb3BwaW5nLXBhcnRpY2xlIjoiIn0seyJmYW1pbHkiOiJNb2hyIiwiZ2l2ZW4iOiJDeW50aGlhIiwicGFyc2UtbmFtZXMiOmZhbHNlLCJkcm9wcGluZy1wYXJ0aWNsZSI6IiIsIm5vbi1kcm9wcGluZy1wYXJ0aWNsZSI6IiJ9XSwiY29udGFpbmVyLXRpdGxlIjoiVHJhbnNwb3J0YXRpb24gMjAxNCA0MTo2IiwiYWNjZXNzZWQiOnsiZGF0ZS1wYXJ0cyI6W1syMDI2LDUsMTldXX0sIkRPSSI6IjEwLjEwMDcvczExMTE2LTAxNC05NTIwLXkiLCJJU1NOIjoiMTU3Mi05NDM1IiwiVVJMIjoiaHR0cHM6Ly9saW5rLnNwcmluZ2VyLmNvbS9hcnRpY2xlLzEwLjEwMDcvczExMTE2LTAxNC05NTIwLXkiLCJpc3N1ZWQiOnsiZGF0ZS1wYXJ0cyI6W1syMDE0LDQsMjJdXX0sInBhZ2UiOiIxMTM1LTExNTIiLCJhYnN0cmFjdCI6IlRoaXMgcGFwZXIgZXhhbWluZXMgdGhlIHJlbGF0aW9uc2hpcCBiZXR3ZWVuIHRoZSBvYmplY3RpdmVseSBtZWFzdXJlZCBhbmQgcGVyY2VpdmVkIGJ1aWx0IGVudmlyb25tZW50LCBhbmQgdGhlIHJlbGF0aXZlIHN0cmVuZ3RoIG9mIHRoZWlyIGFzc29jaWF0aW9uIHdpdGggYmljeWNsaW5nIGJlaGF2aW9yLiBCeSBkcmF3aW5nIG9uIHNvY2lvLWNvZ25pdGl2ZSB0aGVvcnksIGEgY29uY2VwdHVhbCBtb2RlbCB3YXMgcHJvcG9zZWQgdG8gZXhwbGFpbiB0aGUgcmVsYXRpb25zaGlwcyBiZXR3ZWVuIHRoZSBvYmplY3RpdmUgZW52aXJvbm1lbnQsIHBlcmNlaXZlZCBlbnZpcm9ubWVudCwgYW5kIGJpY3ljbGluZyBiZWhhdmlvci4gT2JqZWN0aXZlIGFuZCBwZXJjZWl2ZWQgYmlrZSBlbnZpcm9ubWVudHMgd2VyZSBtZWFzdXJlZCB1c2luZyB0d28gbGF0ZW50IGNvbnN0cnVjdHMgYW5kIHN0cnVjdHVyYWwgZXF1YXRpb24gbW9kZWxpbmcgd2FzIGVtcGxveWVkIHRvIGVzdGltYXRlIHRoZSBtb2RlbHMgYmFzZWQgb24gZGF0YSBmcm9tIHRocmVlIG5laWdoYm9yaG9vZHMgaW4gUG9ydGxhbmQsIE9yZWdvbi4gUmVzdWx0cyBvZiB0aGlzIHN0dWR5IHNob3dlZCB0aGF0IHRoZSBwZXJjZXB0aW9uIG9mIHRoZSBlbnZpcm9ubWVudCBoYWQgYSBkaXJlY3QgYW5kIHNpZ25pZmljYW50IGVmZmVjdCBvbiBiaWN5Y2xpbmcgYmVoYXZpb3IsIHdoaWxlIHRoZSBkaXJlY3QgZWZmZWN0IG9mIHRoZSBvYmplY3RpdmUgZW52aXJvbm1lbnQgb24gYmljeWNsaW5nIGJlaGF2aW9yIGJlY2FtZSBpbnNpZ25pZmljYW50IHdoZW4gY29udHJvbGxpbmcgZm9yIHBlcmNlcHRpb24uIFdlIHRoZXJlZm9yZSBjb25jbHVkZWQgdGhhdCB0aGUgb2JqZWN0aXZlIGVudmlyb25tZW50IG1heSBvbmx5IGluZGlyZWN0bHkgYWZmZWN0IGJpY3ljbGluZyBiZWhhdmlvciBieSBpbmZsdWVuY2luZyBwZXJjZXB0aW9ucy4gQW4gb2JqZWN0aXZlbHkgZ29vZCBlbnZpcm9ubWVudCBmb3IgYmljeWNsaW5nIHdhcyBuZWNlc3NhcnkgYnV0IG5vdCBzdWZmaWNpZW50IGZvciBiaWN5Y2xpbmcuIEludGVydmVudGlvbiBwcm9ncmFtcyB0byBpbXByb3ZlIHBlb3BsZeKAmXMgcGVyY2VwdGlvbnMgb2YgdGhlIGVudmlyb25tZW50IG1heSBiZSBuZWNlc3NhcnkgdG8gcmVhcCB0aGUgZnVsbCBwb3RlbnRpYWwgb2YgcGxhbm5pbmcgYW5kIGRlc2lnbiBwb2xpY2llcy4iLCJwdWJsaXNoZXIiOiJTcHJpbmdlciIsImlzc3VlIjoiNiIsInZvbHVtZSI6IjQxIiwiY29udGFpbmVyLXRpdGxlLXNob3J0IjoiIn0sImlzVGVtcG9yYXJ5IjpmYWxzZX0seyJpZCI6IjAzYjAyNzEwLTE3ZDAtM2U5Yi04Y2YyLWE2NjkxZTU5NDViOCIsIml0ZW1EYXRhIjp7InR5cGUiOiJhcnRpY2xlLWpvdXJuYWwiLCJpZCI6IjAzYjAyNzEwLTE3ZDAtM2U5Yi04Y2YyLWE2NjkxZTU5NDViOCIsInRpdGxlIjoiVGhlIGluZmx1ZW5jZSBvZiB0cmF2ZWwgYXR0aXR1ZGVzIG9uIHBlcmNlaXZlZCB3YWxraW5nIGFjY2Vzc2liaWxpdHkgYW5kIHdhbGtpbmcgYmVoYXZpb3VyIiwiYXV0aG9yIjpbeyJmYW1pbHkiOiJWbHVndCIsImdpdmVuIjoiQW5uYSBMZW5hIiwicGFyc2UtbmFtZXMiOmZhbHNlLCJkcm9wcGluZy1wYXJ0aWNsZSI6IiIsIm5vbi1kcm9wcGluZy1wYXJ0aWNsZSI6InZhbiBkZXIifSx7ImZhbWlseSI6IkN1cmwiLCJnaXZlbiI6IkFuZ2VsYSIsInBhcnNlLW5hbWVzIjpmYWxzZSwiZHJvcHBpbmctcGFydGljbGUiOiIiLCJub24tZHJvcHBpbmctcGFydGljbGUiOiIifSx7ImZhbWlseSI6IlNjaGVpbmVyIiwiZ2l2ZW4iOiJKb2FjaGltIiwicGFyc2UtbmFtZXMiOmZhbHNlLCJkcm9wcGluZy1wYXJ0aWNsZSI6IiIsIm5vbi1kcm9wcGluZy1wYXJ0aWNsZSI6IiJ9XSwiY29udGFpbmVyLXRpdGxlIjoiVHJhdmVsIEJlaGF2aW91ciBhbmQgU29jaWV0eSIsImNvbnRhaW5lci10aXRsZS1zaG9ydCI6IlRyYXZlbCBCZWhhdi4gU29jLiIsIkRPSSI6IjEwLjEwMTYvai50YnMuMjAyMS4xMS4wMDIiLCJJU1NOIjoiMjIxNDM2N1giLCJpc3N1ZWQiOnsiZGF0ZS1wYXJ0cyI6W1syMDIyLDQsMV1dfSwicGFnZSI6IjQ3LTU2IiwiYWJzdHJhY3QiOiJQZW9wbGUgYXJlIGRyaXZlbiBieSB0aGVpciBwZXJjZXB0aW9ucy4gUGVyY2VwdGlvbnMgb2YgdGhlIGVudmlyb25tZW50IHNoYXBlIG1vYmlsaXR5IGRlY2lzaW9ucyBhbmQgcmVwcmVzZW50IHRoZSDigJxsaXZlZCByZWFsaXR54oCdIG9mIGFjY2Vzc2liaWxpdHkgYnV0IGFyZSBtb3N0bHkgZGlzcmVnYXJkZWQgaW4gY29tbW9uIGFjY2Vzc2liaWxpdHkgYW5hbHlzaXMuIFRoaXMgcGFwZXIgZXhwbG9yZXMgdGhlIHJvbGUgb2YgcGVyY2VpdmVkIGFjY2Vzc2liaWxpdHkuIEJ5IHVzaW5nIGEgc3RydWN0dXJhbCBlcXVhdGlvbiBtb2RlbGxpbmcgKFNFTSkgYXBwcm9hY2gsIHdlIGludmVzdGlnYXRlIG11bHRpcGxlIHJlbGF0aW9ucyBiZXR3ZWVuIHRyYXZlbCBhdHRpdHVkZXMsIHNvY2lvLWRlbW9ncmFwaGljIGZhY3RvcnMsIG9iamVjdGl2ZSB3YWxraW5nIGFjY2Vzc2liaWxpdHksIHBlcmNlaXZlZCB3YWxraW5nIGFjY2Vzc2liaWxpdHkgYW5kIHJlYWxpc2VkIHdhbGtpbmcgYmVoYXZpb3VyIGluIHRocmVlIHN0ZXBzLiBGaXJzdGx5LCB3ZSBhbmFseXNlIHRoZSBpbmZsdWVuY2Ugb2Ygb2JqZWN0aXZlIHdhbGtpbmcgYWNjZXNzaWJpbGl0eSBhbmQgdHJhdmVsIGF0dGl0dWRlcyBvbiBwZXJjZWl2ZWQgd2Fsa2luZyBhY2Nlc3NpYmlsaXR5LiBTZWNvbmRseSwgd2UgbG9vayBhdCBwZXJjZWl2ZWQgd2Fsa2luZyBhY2Nlc3NpYmlsaXR5IGFzIGEgbWVkaWF0b3IgdmFyaWFibGUgYW5kLCBmaW5hbGx5LCB3ZSBpbnZlc3RpZ2F0ZSB0aGUgYXNzb2NpYXRpb24gYmV0d2VlbiBwZXJjZWl2ZWQgd2Fsa2luZyBhY2Nlc3NpYmlsaXR5IGFuZCB3YWxraW5nIGJlaGF2aW91ci4gS2V5IHJlc3VsdHMgaW1wbHkgdGhhdCB0cmF2ZWwgYXR0aXR1ZGVzIGFyZSBpbXBvcnRhbnQgaW4gdW5kZXJzdGFuZGluZyB2YXJpYXRpb25zIGluIHBlcmNlcHRpb25zLCBpbiB0ZXJtcyBvZiBkaXJlY3QgZWZmZWN0cyBhbmQgYXMgbWVkaWF0b3IgdmFyaWFibGVzLiBQZXJjZWl2ZWQgd2Fsa2luZyBhY2Nlc3NpYmlsaXR5IGRpcmVjdGx5IGFmZmVjdHMgdGhlIHByb2JhYmlsaXR5IG9mIHdhbGtpbmcgYW5kIHBsYXlzLCB0aGVyZWZvcmUsIGFuIGltcG9ydGFudCByb2xlIGluIHVuZGVyc3RhbmRpbmcgdHJhdmVsIGJlaGF2aW91ci4gVGhlIGltcGxpY2F0aW9ucyBvZiBvdXIgcmVzdWx0cyBhcmUgZGlzY3Vzc2VkIHdpdGggcmVnYXJkIHRvIGZ1dHVyZSByZXNlYXJjaCBnYXBzIGFuZCBwb2xpY3kuIiwicHVibGlzaGVyIjoiRWxzZXZpZXIgTHRkIiwidm9sdW1lIjoiMjcifSwiaXNUZW1wb3JhcnkiOmZhbHNlfV19&quot;,&quot;citationItems&quot;:[{&quot;id&quot;:&quot;c29c2eb6-55cc-3eeb-8baf-bc9058d77901&quot;,&quot;itemData&quot;:{&quot;type&quot;:&quot;article-journal&quot;,&quot;id&quot;:&quot;c29c2eb6-55cc-3eeb-8baf-bc9058d77901&quot;,&quot;title&quot;:&quot;Determinants and effects of perceived walkability: a literature review, conceptual model and research agenda&quot;,&quot;author&quot;:[{&quot;family&quot;:&quot;Vos&quot;,&quot;given&quot;:&quot;Jonas&quot;,&quot;parse-names&quot;:false,&quot;dropping-particle&quot;:&quot;&quot;,&quot;non-dropping-particle&quot;:&quot;De&quot;},{&quot;family&quot;:&quot;Lättman&quot;,&quot;given&quot;:&quot;Katrin&quot;,&quot;parse-names&quot;:false,&quot;dropping-particle&quot;:&quot;&quot;,&quot;non-dropping-particle&quot;:&quot;&quot;},{&quot;family&quot;:&quot;Vlugt&quot;,&quot;given&quot;:&quot;Anna Lena&quot;,&quot;parse-names&quot;:false,&quot;dropping-particle&quot;:&quot;&quot;,&quot;non-dropping-particle&quot;:&quot;van der&quot;},{&quot;family&quot;:&quot;Welsch&quot;,&quot;given&quot;:&quot;Janina&quot;,&quot;parse-names&quot;:false,&quot;dropping-particle&quot;:&quot;&quot;,&quot;non-dropping-particle&quot;:&quot;&quot;},{&quot;family&quot;:&quot;Otsuka&quot;,&quot;given&quot;:&quot;Noriko&quot;,&quot;parse-names&quot;:false,&quot;dropping-particle&quot;:&quot;&quot;,&quot;non-dropping-particle&quot;:&quot;&quot;}],&quot;container-title&quot;:&quot;Transport Reviews&quot;,&quot;container-title-short&quot;:&quot;Transp. Rev.&quot;,&quot;accessed&quot;:{&quot;date-parts&quot;:[[2026,4,22]]},&quot;DOI&quot;:&quot;10.1080/01441647.2022.2101072&quot;,&quot;ISSN&quot;:&quot;14645327&quot;,&quot;URL&quot;:&quot;/doi/pdf/10.1080/01441647.2022.2101072?download=true&quot;,&quot;issued&quot;:{&quot;date-parts&quot;:[[2023]]},&quot;page&quot;:&quot;303-324&quot;,&quot;abstract&quot;:&quot;For decades, accessibility–i.e. the ease of reaching destinations–has been an important concept in transport planning, resulting in many studies trying to measure it and put it into practice. Also walkability, a mode-specific type of accessibility referring to how easy it is to walk (to destinations) received increased attention in the last two decades. In recent years, a new focus has been on how people perceive their accessibility as this may be a stronger predictor of travel behaviour than objective elements of accessibility (such as built environment characteristics). Perceived walkability, i.e. how walk-friendly people experience a certain area, however, has only been explored by a limited number of studies. In this review paper, we give an overview of existing studies analysing perceived walkability, which mostly have focused on its effects on walking frequency/duration, physical activity and various aspects of mental well-being. Based on this literature review, a conceptual model is created, emphasising the determinants and effects of perceived walkability and how it is related to objective walkability. We end this paper by providing avenues for further research, including the introduction of a Short Perceived Walkability Scale (SPWS) and recommendations for data collection and analysis. Doing so can create new insights into perceived walkability and links with related elements, and therefore can contribute to stimulating walking trips and improving the experience of these trips.&quot;,&quot;publisher&quot;:&quot;Routledge&quot;,&quot;issue&quot;:&quot;2&quot;,&quot;volume&quot;:&quot;43&quot;},&quot;isTemporary&quot;:false},{&quot;id&quot;:&quot;e8ddeba1-9850-39b6-b95d-f18a4db43bbd&quot;,&quot;itemData&quot;:{&quot;type&quot;:&quot;article-journal&quot;,&quot;id&quot;:&quot;e8ddeba1-9850-39b6-b95d-f18a4db43bbd&quot;,&quot;title&quot;:&quot;A new approach to accessibility – Examining perceived accessibility in contrast to objectively measured accessibility in daily travel&quot;,&quot;author&quot;:[{&quot;family&quot;:&quot;Lättman&quot;,&quot;given&quot;:&quot;Katrin&quot;,&quot;parse-names&quot;:false,&quot;dropping-particle&quot;:&quot;&quot;,&quot;non-dropping-particle&quot;:&quot;&quot;},{&quot;family&quot;:&quot;Olsson&quot;,&quot;given&quot;:&quot;Lars E.&quot;,&quot;parse-names&quot;:false,&quot;dropping-particle&quot;:&quot;&quot;,&quot;non-dropping-particle&quot;:&quot;&quot;},{&quot;family&quot;:&quot;Friman&quot;,&quot;given&quot;:&quot;Margareta&quot;,&quot;parse-names&quot;:false,&quot;dropping-particle&quot;:&quot;&quot;,&quot;non-dropping-particle&quot;:&quot;&quot;}],&quot;container-title&quot;:&quot;Research in Transportation Economics&quot;,&quot;accessed&quot;:{&quot;date-parts&quot;:[[2026,4,25]]},&quot;DOI&quot;:&quot;10.1016/j.retrec.2018.06.002&quot;,&quot;ISSN&quot;:&quot;0739-8859&quot;,&quot;URL&quot;:&quot;https://www.sciencedirect.com/science/article/pii/S0739885917302445&quot;,&quot;issued&quot;:{&quot;date-parts&quot;:[[2018,9,1]]},&quot;page&quot;:&quot;501-511&quot;,&quot;abstract&quot;:&quot;Accessibility has conventionally been measured and evaluated ignoring user perceptions in favor of focusing on travel time and distance to a number of pre-determined destinations. Acknowledging this gap, we recently developed a scale for perceived accessibility PAC (Lättman, Friman, &amp; Olsson 2016b) aimed at capturing the individual perspective of accessibility with a certain travel mode. In this paper, we 1) further develop the PAC measure of perceived accessibility in order to capture how easy it is to live a satisfactory life with the help of the transport system, 2) compare levels of perceived accessibility between residential areas and main travel modes, and 3) compare residents’ perceived accessibility to the objective accessibility level for the same residential area. Data from 2711 residents of Malmö, Sweden show that perceived accessibility is consistently different from objective accessibility across 13 residential areas, with minor differences in levels of perceived accessibility between areas. Surprisingly, bicycle users rate their accessibility significantly higher than those who mainly use the car or public transport for daily travel, contrary to objective accessibility assumptions. These differences point at the importance of including perceived accessibility as a complementary tool when planning for and evaluating transport systems.&quot;,&quot;publisher&quot;:&quot;Elsevier&quot;,&quot;volume&quot;:&quot;69&quot;,&quot;container-title-short&quot;:&quot;&quot;},&quot;isTemporary&quot;:false},{&quot;id&quot;:&quot;fb67e727-d8f7-32b1-b4cb-4503456724e8&quot;,&quot;itemData&quot;:{&quot;type&quot;:&quot;article-journal&quot;,&quot;id&quot;:&quot;fb67e727-d8f7-32b1-b4cb-4503456724e8&quot;,&quot;title&quot;:&quot;The objective versus the perceived environment: what matters for bicycling?&quot;,&quot;author&quot;:[{&quot;family&quot;:&quot;Ma&quot;,&quot;given&quot;:&quot;Liang&quot;,&quot;parse-names&quot;:false,&quot;dropping-particle&quot;:&quot;&quot;,&quot;non-dropping-particle&quot;:&quot;&quot;},{&quot;family&quot;:&quot;Dill&quot;,&quot;given&quot;:&quot;Jennifer&quot;,&quot;parse-names&quot;:false,&quot;dropping-particle&quot;:&quot;&quot;,&quot;non-dropping-particle&quot;:&quot;&quot;},{&quot;family&quot;:&quot;Mohr&quot;,&quot;given&quot;:&quot;Cynthia&quot;,&quot;parse-names&quot;:false,&quot;dropping-particle&quot;:&quot;&quot;,&quot;non-dropping-particle&quot;:&quot;&quot;}],&quot;container-title&quot;:&quot;Transportation 2014 41:6&quot;,&quot;accessed&quot;:{&quot;date-parts&quot;:[[2026,5,19]]},&quot;DOI&quot;:&quot;10.1007/s11116-014-9520-y&quot;,&quot;ISSN&quot;:&quot;1572-9435&quot;,&quot;URL&quot;:&quot;https://link.springer.com/article/10.1007/s11116-014-9520-y&quot;,&quot;issued&quot;:{&quot;date-parts&quot;:[[2014,4,22]]},&quot;page&quot;:&quot;1135-1152&quot;,&quot;abstract&quot;:&quot;This paper examines the relationship between the objectively measured and perceived built environment, and the relative strength of their association with bicycling behavior. By drawing on socio-cognitive theory, a conceptual model was proposed to explain the relationships between the objective environment, perceived environment, and bicycling behavior. Objective and perceived bike environments were measured using two latent constructs and structural equation modeling was employed to estimate the models based on data from three neighborhoods in Portland, Oregon. Results of this study showed that the perception of the environment had a direct and significant effect on bicycling behavior, while the direct effect of the objective environment on bicycling behavior became insignificant when controlling for perception. We therefore concluded that the objective environment may only indirectly affect bicycling behavior by influencing perceptions. An objectively good environment for bicycling was necessary but not sufficient for bicycling. Intervention programs to improve people’s perceptions of the environment may be necessary to reap the full potential of planning and design policies.&quot;,&quot;publisher&quot;:&quot;Springer&quot;,&quot;issue&quot;:&quot;6&quot;,&quot;volume&quot;:&quot;41&quot;,&quot;container-title-short&quot;:&quot;&quot;},&quot;isTemporary&quot;:false},{&quot;id&quot;:&quot;03b02710-17d0-3e9b-8cf2-a6691e5945b8&quot;,&quot;itemData&quot;:{&quot;type&quot;:&quot;article-journal&quot;,&quot;id&quot;:&quot;03b02710-17d0-3e9b-8cf2-a6691e5945b8&quot;,&quot;title&quot;:&quot;The influence of travel attitudes on perceived walking accessibility and walking behaviour&quot;,&quot;author&quot;:[{&quot;family&quot;:&quot;Vlugt&quot;,&quot;given&quot;:&quot;Anna Lena&quot;,&quot;parse-names&quot;:false,&quot;dropping-particle&quot;:&quot;&quot;,&quot;non-dropping-particle&quot;:&quot;van der&quot;},{&quot;family&quot;:&quot;Curl&quot;,&quot;given&quot;:&quot;Angela&quot;,&quot;parse-names&quot;:false,&quot;dropping-particle&quot;:&quot;&quot;,&quot;non-dropping-particle&quot;:&quot;&quot;},{&quot;family&quot;:&quot;Scheiner&quot;,&quot;given&quot;:&quot;Joachim&quot;,&quot;parse-names&quot;:false,&quot;dropping-particle&quot;:&quot;&quot;,&quot;non-dropping-particle&quot;:&quot;&quot;}],&quot;container-title&quot;:&quot;Travel Behaviour and Society&quot;,&quot;container-title-short&quot;:&quot;Travel Behav. Soc.&quot;,&quot;DOI&quot;:&quot;10.1016/j.tbs.2021.11.002&quot;,&quot;ISSN&quot;:&quot;2214367X&quot;,&quot;issued&quot;:{&quot;date-parts&quot;:[[2022,4,1]]},&quot;page&quot;:&quot;47-56&quot;,&quot;abstract&quot;:&quot;People are driven by their perceptions. Perceptions of the environment shape mobility decisions and represent the “lived reality” of accessibility but are mostly disregarded in common accessibility analysis. This paper explores the role of perceived accessibility. By using a structural equation modelling (SEM) approach, we investigate multiple relations between travel attitudes, socio-demographic factors, objective walking accessibility, perceived walking accessibility and realised walking behaviour in three steps. Firstly, we analyse the influence of objective walking accessibility and travel attitudes on perceived walking accessibility. Secondly, we look at perceived walking accessibility as a mediator variable and, finally, we investigate the association between perceived walking accessibility and walking behaviour. Key results imply that travel attitudes are important in understanding variations in perceptions, in terms of direct effects and as mediator variables. Perceived walking accessibility directly affects the probability of walking and plays, therefore, an important role in understanding travel behaviour. The implications of our results are discussed with regard to future research gaps and policy.&quot;,&quot;publisher&quot;:&quot;Elsevier Ltd&quot;,&quot;volume&quot;:&quot;27&quot;},&quot;isTemporary&quot;:false}]},{&quot;citationID&quot;:&quot;MENDELEY_CITATION_1b7cee18-0b2d-4cdc-a316-ed37da4ca1db&quot;,&quot;properties&quot;:{&quot;noteIndex&quot;:0},&quot;isEdited&quot;:false,&quot;manualOverride&quot;:{&quot;isManuallyOverridden&quot;:true,&quot;citeprocText&quot;:&quot;(Biehl et al., 2018; Dill &amp;#38; McNeil, 2016)&quot;,&quot;manualOverrideText&quot;:&quot;Dill and McNeil (2016) and Biehl et al. (2018)&quot;},&quot;citationTag&quot;:&quot;MENDELEY_CITATION_v3_eyJjaXRhdGlvbklEIjoiTUVOREVMRVlfQ0lUQVRJT05fMWI3Y2VlMTgtMGIyZC00Y2RjLWEzMTYtZWQzN2RhNGNhMWRiIiwicHJvcGVydGllcyI6eyJub3RlSW5kZXgiOjB9LCJpc0VkaXRlZCI6ZmFsc2UsIm1hbnVhbE92ZXJyaWRlIjp7ImlzTWFudWFsbHlPdmVycmlkZGVuIjp0cnVlLCJjaXRlcHJvY1RleHQiOiIoQmllaGwgZXQgYWwuLCAyMDE4OyBEaWxsICYjMzg7IE1jTmVpbCwgMjAxNikiLCJtYW51YWxPdmVycmlkZVRleHQiOiJEaWxsIGFuZCBNY05laWwgKDIwMTYpIGFuZCBCaWVobCBldCBhbC4gKDIwMTgpIn0sImNpdGF0aW9uSXRlbXMiOlt7ImlkIjoiZGZkOTkzNjktMTExNi0zNGZjLTg2M2UtYzY3ODljOGFiMDI4IiwiaXRlbURhdGEiOnsidHlwZSI6ImFydGljbGUtam91cm5hbCIsImlkIjoiZGZkOTkzNjktMTExNi0zNGZjLTg2M2UtYzY3ODljOGFiMDI4IiwidGl0bGUiOiJNb2RlbGxpbmcgZGV0ZXJtaW5hbnRzIG9mIHdhbGtpbmcgYW5kIGN5Y2xpbmcgYWRvcHRpb246IEEgc3RhZ2Utb2YtY2hhbmdlIHBlcnNwZWN0aXZlIiwiYXV0aG9yIjpbeyJmYW1pbHkiOiJCaWVobCIsImdpdmVuIjoiQWxlYyIsInBhcnNlLW5hbWVzIjpmYWxzZSwiZHJvcHBpbmctcGFydGljbGUiOiIiLCJub24tZHJvcHBpbmctcGFydGljbGUiOiIifSx7ImZhbWlseSI6IkVybWFndW4iLCJnaXZlbiI6IkFsaXJlemEiLCJwYXJzZS1uYW1lcyI6ZmFsc2UsImRyb3BwaW5nLXBhcnRpY2xlIjoiIiwibm9uLWRyb3BwaW5nLXBhcnRpY2xlIjoiIn0seyJmYW1pbHkiOiJTdGF0aG9wb3Vsb3MiLCJnaXZlbiI6IkFtYW5kYS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4LjA2LjAxNiIsIklTU04iOiIxMzY5ODQ3OCIsImlzc3VlZCI6eyJkYXRlLXBhcnRzIjpbWzIwMTgsMTAsMV1dfSwicGFnZSI6IjQ1Mi00NzAiLCJhYnN0cmFjdCI6IlNoaWZ0aW5nIHRyYXZlbCBhd2F5IGZyb20gY2FycyBhbmQgdG93YXJkcyBtb3JlIGFjdGl2ZSBtb2RlcyBoYXMgcHJvdmVuIGEgZm9ybWlkYWJsZSBwb2xpY3kgY2hhbGxlbmdlLiBUaGlzIHN0dWR5IGFpbXMgdG8gdW5jb3ZlciB0aGUgZGV0ZXJtaW5hbnRzIG9mIHdhbGtpbmcgYW5kIGN5Y2xpbmcgYWRvcHRpb24gYnkgYXBwbHlpbmcgYSBzdGFnZS1vZi1jaGFuZ2UgZnJhbWV3b3JrLiBEcmF3aW5nIG9uIHRoZSBUcmFuc3RoZW9yZXRpY2FsIE1vZGVsLCB0aGlzIGZyYW1ld29yayBtb2RlbHMgdGhlIGFkb3B0aW9uIG9mIGFjdGl2ZSBtb2RlcyBhcyBhIHNlcmllcyBvZiBzdGFnZXMgZnJvbSBwcmUtY29udGVtcGxhdGlvbiB0byBtYWludGVuYW5jZS4gT3JkaW5hbCBsb2dpdCBtb2RlbHMgYXBwbGllZCB0byBVUyBkYXRhIChuID0gOTE0KSBpbGx1c3RyYXRlIHRoZSBpbXBvcnRhbmNlIG9mIGJvdGggb2JzZXJ2YWJsZSBkZW1vZ3JhcGhpYy1wZXJzb25hbCBhbmQgcGVyY2VwdHVhbC1hdHRpdHVkaW5hbCB2YXJpYWJsZXMgZm9yIGRldGVybWluaW5nIHN0YWdlLW9mLWNoYW5nZSBtZW1iZXJzaGlwLiBDb21wYXJpbmcgd2Fsa2luZyBhbmQgY3ljbGluZywgdGhlIG1vZGVsIHJldmVhbHMgYm90aCBzaGFyZWQgdmFyaWFibGVzICh2ZWhpY2xlIG93bmVyc2hpcCwgc2VsZi1pZGVudGl0eSkgYW5kIGRpZmZlcmluZyBmYWN0b3JzIChnZW5kZXIsIGVudmlyb25tZW50YWwgc3BhdGlhbCBhYmlsaXR5KSBkaXN0aW5ndWlzaGluZyBhbW9uZyBhZG9wdGlvbiBzdGFnZXMsIHdoaWNoIGhhcyBzaWduaWZpY2FudCBpbXBsaWNhdGlvbnMgZm9yIHRyYW5zcG9ydCBwb2xpY3kuIFJlc3VsdHMgaW5kaWNhdGUgdGhhdCBhIG1vZGVsIGNvbWJpbmluZyBib3RoIGRlbW9ncmFwaGljLXBlcnNvbmFsIGFuZCBwZXJjZXB0dWFsLWF0dGl0dWRpbmFsIGZhY3RvcnMgaGFzIHRoZSBiZXN0IGZpdCBhbmQgdmFsaWRpdHksIHN1Z2dlc3RpbmcgdGhhdCB0cmF2ZWwgYmVoYXZpb3IgaW50ZXJ2ZW50aW9ucyB3b3VsZCBiZW5lZml0IGZyb20gbXVsdGl2YXJpYXRlIHNlZ21lbnRhdGlvbiBtZXRob2RzIHRoYXQgY29uc2lkZXIgYW4gYXJyYXkgb2YgaW5kaXZpZHVhbCBhbmQgZ3JvdXAgY2hhcmFjdGVyaXN0aWNzLiBUaGlzIHJlc2VhcmNoIGFsc28gZ2l2ZXMgZXZpZGVuY2Ugb2YgZGlmZmVyZW50IGRldGVybWluYW50cyBtb3RpdmF0aW5nIGNoYW5nZSBwcm9jZXNzZXMgZm9yIGN5Y2xpbmcgdmVyc3VzIHdhbGtpbmcuIFRha2VuIHRvZ2V0aGVyLCByZXN1bHRzIHN1Z2dlc3QgYSBuZWVkIGZvciB0YWlsb3JlZCBwb2xpY3kgaW50ZXJ2ZW50aW9ucyB0byBwcm9tb3RlIGJlaGF2aW91cmFsIGFkb3B0aW9uIGJhc2VkIG5vdCBtZXJlbHkgb24gdGhlIHNwZWNpZmljIG1vZGUgc2VsZWN0aW9uLCBidXQgYWxzbyBvbiB0aGUgdXNhZ2Ugc3RhZ2UgdW5kZXIgY29uc2lkZXJhdGlvbi4iLCJwdWJsaXNoZXIiOiJFbHNldmllciBMdGQiLCJ2b2x1bWUiOiI1OCJ9LCJpc1RlbXBvcmFyeSI6ZmFsc2V9LHsiaWQiOiI0YzMyZjljYi0xMmYyLTNiODAtYmU3Yy01ODFhYWY0NDRmYjQiLCJpdGVtRGF0YSI6eyJ0eXBlIjoiYXJ0aWNsZS1qb3VybmFsIiwiaWQiOiI0YzMyZjljYi0xMmYyLTNiODAtYmU3Yy01ODFhYWY0NDRmYjQiLCJ0aXRsZSI6IlJldmlzaXRpbmcgdGhlIEZvdXIgVHlwZXMgb2YgQ3ljbGlzdHM6IEZpbmRpbmdzIGZyb20gYSBOYXRpb25hbCBTdXJ2ZXkiLCJhdXRob3IiOlt7ImZhbWlseSI6IkRpbGwiLCJnaXZlbiI6Ikplbm5pZmVyIiwicGFyc2UtbmFtZXMiOmZhbHNlLCJkcm9wcGluZy1wYXJ0aWNsZSI6IiIsIm5vbi1kcm9wcGluZy1wYXJ0aWNsZSI6IiJ9LHsiZmFtaWx5IjoiTWNOZWlsIiwiZ2l2ZW4iOiJOYXRoYW4iLCJwYXJzZS1uYW1lcyI6ZmFsc2UsImRyb3BwaW5nLXBhcnRpY2xlIjoiIiwibm9uLWRyb3BwaW5nLXBhcnRpY2xlIjoiIn1dLCJjb250YWluZXItdGl0bGUiOiJUcmFuc3BvcnRhdGlvbiBSZXNlYXJjaCBSZWNvcmQiLCJjb250YWluZXItdGl0bGUtc2hvcnQiOiJUcmFuc3AuIFJlcy4gUmVjLiIsImFjY2Vzc2VkIjp7ImRhdGUtcGFydHMiOltbMjAyNiw0LDI1XV19LCJET0kiOiIxMC4zMTQxLzI1ODctMTEiLCJJU1NOIjoiMjE2OTQwNTIiLCJVUkwiOiIvZG9pL3BkZi8xMC4zMTQxLzI1ODctMTE/ZG93bmxvYWQ9dHJ1ZSIsImlzc3VlZCI6eyJkYXRlLXBhcnRzIjpbWzIwMTYsMSwxXV19LCJwYWdlIjoiOTAtOTkiLCJhYnN0cmFjdCI6IlRvIHVuZGVyc3RhbmQgdGhlIG1ha2V1cCBvZiBhIHBvcHVsYXRpb24gaW4gdGVybXMgb2YgaG93IHBlb3BsZSB2aWV3IGJpY3ljbGluZyBjYW4gaGVscCBpbiBwbGFubmluZyBiaWN5Y2xlIGZhY2lsaXRpZXMgYW5kIHByb2dyYW1zLiBSb2dlciBHZWxsZXIsIGJpY3ljbGUgY29vcmRpbmF0b3IgZm9yIHRoZSBDaXR5IG9mIFBvcnRsYW5kLCBPcmVnLi4uIiwicHVibGlzaGVyIjoiU0FHRSBQdWJsaWNhdGlvbnNTYWdlIENBOiBMb3MgQW5nZWxlcywgQ0EiLCJpc3N1ZSI6IjEiLCJ2b2x1bWUiOiIyNTg3In0sImlzVGVtcG9yYXJ5IjpmYWxzZX1dfQ==&quot;,&quot;citationItems&quot;:[{&quot;id&quot;:&quot;dfd99369-1116-34fc-863e-c6789c8ab028&quot;,&quot;itemData&quot;:{&quot;type&quot;:&quot;article-journal&quot;,&quot;id&quot;:&quot;dfd99369-1116-34fc-863e-c6789c8ab028&quot;,&quot;title&quot;:&quot;Modelling determinants of walking and cycling adoption: A stage-of-change perspective&quot;,&quot;author&quot;:[{&quot;family&quot;:&quot;Biehl&quot;,&quot;given&quot;:&quot;Alec&quot;,&quot;parse-names&quot;:false,&quot;dropping-particle&quot;:&quot;&quot;,&quot;non-dropping-particle&quot;:&quot;&quot;},{&quot;family&quot;:&quot;Ermagun&quot;,&quot;given&quot;:&quot;Alireza&quot;,&quot;parse-names&quot;:false,&quot;dropping-particle&quot;:&quot;&quot;,&quot;non-dropping-particle&quot;:&quot;&quot;},{&quot;family&quot;:&quot;Stathopoulos&quot;,&quot;given&quot;:&quot;Amanda&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8.06.016&quot;,&quot;ISSN&quot;:&quot;13698478&quot;,&quot;issued&quot;:{&quot;date-parts&quot;:[[2018,10,1]]},&quot;page&quot;:&quot;452-470&quot;,&quot;abstract&quot;:&quot;Shifting travel away from cars and towards more active modes has proven a formidable policy challenge. This study aims to uncover the determinants of walking and cycling adoption by applying a stage-of-change framework. Drawing on the Transtheoretical Model, this framework models the adoption of active modes as a series of stages from pre-contemplation to maintenance. Ordinal logit models applied to US data (n = 914) illustrate the importance of both observable demographic-personal and perceptual-attitudinal variables for determining stage-of-change membership. Comparing walking and cycling, the model reveals both shared variables (vehicle ownership, self-identity) and differing factors (gender, environmental spatial ability) distinguishing among adoption stages, which has significant implications for transport policy. Results indicate that a model combining both demographic-personal and perceptual-attitudinal factors has the best fit and validity, suggesting that travel behavior interventions would benefit from multivariate segmentation methods that consider an array of individual and group characteristics. This research also gives evidence of different determinants motivating change processes for cycling versus walking. Taken together, results suggest a need for tailored policy interventions to promote behavioural adoption based not merely on the specific mode selection, but also on the usage stage under consideration.&quot;,&quot;publisher&quot;:&quot;Elsevier Ltd&quot;,&quot;volume&quot;:&quot;58&quot;},&quot;isTemporary&quot;:false},{&quot;id&quot;:&quot;4c32f9cb-12f2-3b80-be7c-581aaf444fb4&quot;,&quot;itemData&quot;:{&quot;type&quot;:&quot;article-journal&quot;,&quot;id&quot;:&quot;4c32f9cb-12f2-3b80-be7c-581aaf444fb4&quot;,&quot;title&quot;:&quot;Revisiting the Four Types of Cyclists: Findings from a National Survey&quot;,&quot;author&quot;:[{&quot;family&quot;:&quot;Dill&quot;,&quot;given&quot;:&quot;Jennifer&quot;,&quot;parse-names&quot;:false,&quot;dropping-particle&quot;:&quot;&quot;,&quot;non-dropping-particle&quot;:&quot;&quot;},{&quot;family&quot;:&quot;McNeil&quot;,&quot;given&quot;:&quot;Nathan&quot;,&quot;parse-names&quot;:false,&quot;dropping-particle&quot;:&quot;&quot;,&quot;non-dropping-particle&quot;:&quot;&quot;}],&quot;container-title&quot;:&quot;Transportation Research Record&quot;,&quot;container-title-short&quot;:&quot;Transp. Res. Rec.&quot;,&quot;accessed&quot;:{&quot;date-parts&quot;:[[2026,4,25]]},&quot;DOI&quot;:&quot;10.3141/2587-11&quot;,&quot;ISSN&quot;:&quot;21694052&quot;,&quot;URL&quot;:&quot;/doi/pdf/10.3141/2587-11?download=true&quot;,&quot;issued&quot;:{&quot;date-parts&quot;:[[2016,1,1]]},&quot;page&quot;:&quot;90-99&quot;,&quot;abstract&quot;:&quot;To understand the makeup of a population in terms of how people view bicycling can help in planning bicycle facilities and programs. Roger Geller, bicycle coordinator for the City of Portland, Oreg...&quot;,&quot;publisher&quot;:&quot;SAGE PublicationsSage CA: Los Angeles, CA&quot;,&quot;issue&quot;:&quot;1&quot;,&quot;volume&quot;:&quot;2587&quot;},&quot;isTemporary&quot;:false}]},{&quot;citationID&quot;:&quot;MENDELEY_CITATION_fc148e56-c9ed-4c0a-926b-cd150296f20b&quot;,&quot;properties&quot;:{&quot;noteIndex&quot;:0},&quot;isEdited&quot;:false,&quot;manualOverride&quot;:{&quot;isManuallyOverridden&quot;:true,&quot;citeprocText&quot;:&quot;(Heinen et al., 2010; Porter et al., 2020)&quot;,&quot;manualOverrideText&quot;:&quot;(see Heinen et al., 2010; Porter et al., 2020)&quot;},&quot;citationTag&quot;:&quot;MENDELEY_CITATION_v3_eyJjaXRhdGlvbklEIjoiTUVOREVMRVlfQ0lUQVRJT05fZmMxNDhlNTYtYzllZC00YzBhLTkyNmItY2QxNTAyOTZmMjBiIiwicHJvcGVydGllcyI6eyJub3RlSW5kZXgiOjB9LCJpc0VkaXRlZCI6ZmFsc2UsIm1hbnVhbE92ZXJyaWRlIjp7ImlzTWFudWFsbHlPdmVycmlkZGVuIjp0cnVlLCJjaXRlcHJvY1RleHQiOiIoSGVpbmVuIGV0IGFsLiwgMjAxMDsgUG9ydGVyIGV0IGFsLiwgMjAyMCkiLCJtYW51YWxPdmVycmlkZVRleHQiOiIoc2VlIEhlaW5lbiBldCBhbC4sIDIwMTA7IFBvcnRlciBldCBhbC4sIDIwMjApIn0sImNpdGF0aW9uSXRlbXMiOlt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0seyJpZCI6IjI5ZmVkNDg4LTczZGYtM2RkYy1iNWQyLTliOTNjMzIzZmM4MiIsIml0ZW1EYXRhIjp7InR5cGUiOiJhcnRpY2xlLWpvdXJuYWwiLCJpZCI6IjI5ZmVkNDg4LTczZGYtM2RkYy1iNWQyLTliOTNjMzIzZmM4MiIsInRpdGxlIjoiUGVyY2VpdmVkIGJhcnJpZXJzIHRvIGNvbW11dGVyIGFuZCBleGVyY2lzZSBiaWN5Y2xpbmcgaW4gVS5TLiBhZHVsdHM6IFRoZSAyMDE3IE5hdGlvbmFsIEhvdXNlaG9sZCBUcmF2ZWwgU3VydmV5IiwiYXV0aG9yIjpbeyJmYW1pbHkiOiJQb3J0ZXIiLCJnaXZlbiI6IkFubmEgSy4iLCJwYXJzZS1uYW1lcyI6ZmFsc2UsImRyb3BwaW5nLXBhcnRpY2xlIjoiIiwibm9uLWRyb3BwaW5nLXBhcnRpY2xlIjoiIn0seyJmYW1pbHkiOiJLb250b3UiLCJnaXZlbiI6IkVsZWZ0aGVyaWEiLCJwYXJzZS1uYW1lcyI6ZmFsc2UsImRyb3BwaW5nLXBhcnRpY2xlIjoiIiwibm9uLWRyb3BwaW5nLXBhcnRpY2xlIjoiIn0seyJmYW1pbHkiOiJNY0RvbmFsZCIsImdpdmVuIjoiTm9yZWVuIEMuIiwicGFyc2UtbmFtZXMiOmZhbHNlLCJkcm9wcGluZy1wYXJ0aWNsZSI6IiIsIm5vbi1kcm9wcGluZy1wYXJ0aWNsZSI6IiJ9LHsiZmFtaWx5IjoiRXZlbnNvbiIsImdpdmVuIjoiS2VsbHkgUi4iLCJwYXJzZS1uYW1lcyI6ZmFsc2UsImRyb3BwaW5nLXBhcnRpY2xlIjoiIiwibm9uLWRyb3BwaW5nLXBhcnRpY2xlIjoiIn1dLCJjb250YWluZXItdGl0bGUiOiJKb3VybmFsIG9mIFRyYW5zcG9ydCAmIEhlYWx0aCIsImNvbnRhaW5lci10aXRsZS1zaG9ydCI6IkouIFRyYW5zcC4gSGVhbHRoIiwiYWNjZXNzZWQiOnsiZGF0ZS1wYXJ0cyI6W1syMDI2LDQsMjJdXX0sIkRPSSI6IjEwLjEwMTYvai5qdGguMjAyMC4xMDA4MjAiLCJJU1NOIjoiMjIxNC0xNDA1IiwiVVJMIjoiaHR0cHM6Ly93d3cuc2NpZW5jZWRpcmVjdC5jb20vc2NpZW5jZS9hcnRpY2xlL2Ficy9waWkvUzIyMTQxNDA1MTkzMDQwNjI/Y2FzYV90b2tlbj1KOUcycDBZUlBTUUFBQUFBOmpFQjdCZDdES1U0eDBLZm50Rm5KRWJWOWpsT00yLWlXazEzYWZRSlBkcllfU25XeWtKMVR2NUhCeXI0cFdvbEtWdXhPaXB5a2R3IiwiaXNzdWVkIjp7ImRhdGUtcGFydHMiOltbMjAyMCwzLDFdXX0sInBhZ2UiOiIxMDA4MjAiLCJhYnN0cmFjdCI6IkludHJvZHVjdGlvbjogQmljeWNsaW5nIGlzIGEgdHlwZSBvZiBwaHlzaWNhbCBhY3Rpdml0eSBhc3NvY2lhdGVkIHdpdGggcG9zaXRpdmUgaGVhbHRoIG91dGNvbWVzLCBidXQgbWFueSBiYXJyaWVycyBleGlzdCB0byByZWd1bGFyIGJpY3ljbGluZyBmb3IgcmVjcmVhdGlvbiBhbmQgdHJhbnNwb3J0YXRpb24uIFRoZSBvYmplY3RpdmUgb2YgdGhpcyBzdHVkeSB3YXMgdG8gZGVzY3JpYmUgc2VsZi1yZXBvcnRlZCBiYXJyaWVycyB0byBiaWN5Y2xpbmcgb3ZlcmFsbCwgYW5kIGJ5IGJpY3ljbGluZyBkb21haW4sIGFtb25nIGEgbmF0aW9uYWwgc2FtcGxlIG9mIHBlcnNvbnMgYWdlZCAxNiBhbmQgYWJvdmUgdGhhdCByZXBvcnRlZCBiaWN5Y2xpbmcgb3V0c2lkZSBpbiB0aGUgcGFzdCB3ZWVrLiBNZXRob2RzOiBUaGlzIGFuYWx5c2lzLCBjb25kdWN0ZWQgaW4gMjAxOSwgdXRpbGl6ZWQgZGF0YSBmcm9tIHRoZSBVbml0ZWQgU3RhdGVzIChVUykgRGVwYXJ0bWVudCBvZiBUcmFuc3BvcnRhdGlvbidzIDIwMTcgTmF0aW9uYWwgSG91c2Vob2xkIFRyYXZlbCBTdXJ2ZXkgKE5IVFMpLiBXZWlnaHRlZCBwb2ludCBlc3RpbWF0ZXMgYW5kIDk1JSBjb25maWRlbmNlIGludGVydmFscyB3ZXJlIGNhbGN1bGF0ZWQgZm9yIHJlcG9ydGVkIGJhcnJpZXJzIHRvIGJpY3ljbGluZyBieSBjYXRlZ29yeSBvZiBiaWN5Y2xpc3Q6IGV4ZXJjaXNlLWV4Y2x1c2l2ZSwgbXVsdGktdXNlLCBhbmQgY29tbXV0ZXIuIFJlc3VsdHM6IFRoZSBmaW5hbCBhbmFseXRpYyBzYW1wbGUgd2FzIDE4LDE4OSwgcmVwcmVzZW50aW5nIGFwcHJveGltYXRlbHkgNyUgb2YgdGhlIFVTIHBvcHVsYXRpb24gKE4gPSAyMCw5MTEsNjgwKS4gQmFycmllcnMgdGhhdCBwcmV2ZW50ZWQgYmljeWNsaW5nIG1vcmUgd2FzIHJlcG9ydGVkIGJ5IDM3LjklIG9mIHRoZSBVUyBwb3B1bGF0aW9uIG9mIGFkdWx0IGJpY3ljbGlzdHMgKDk1JSBDSSAzNy4yLCAzOC42KS4gQmFycmllcnMgcmVsYXRlZCB0byBzYWZldHkgd2VyZSBtb3JlIGNvbW1vbmx5IHJlcG9ydGVkICgzMS45JSBvZiB0b3RhbCBiaWN5Y2xpc3RzKSwgY29tcGFyZWQgdG8gYmFycmllcnMgcmVsYXRlZCB0byBpbmZyYXN0cnVjdHVyZSAoMjIuMSUgb2YgdG90YWwgYmljeWNsaXN0cykuIFNhZmV0eS1yZWxhdGVkIGJhcnJpZXJzIHdlcmUgbW9yZSBjb21tb25seSByZXBvcnRlZCBhbW9uZyBtdWx0aS11c2UgYmljeWNsaXN0ICgzMy43JSB2cy4gMzAuOSUgb2YgZXhlcmNpc2UtZXhjbHVzaXZlKS4gQ29tbXV0ZXIgYmljeWNsaXN0cyByZXBvcnRlZCBpbmZyYXN0cnVjdHVyZSBiYXJyaWVycyB0aGUgbGVhc3QgKDEzLjklIHZzLiAyMi43JSBvZiBleGVyY2lzZS1leGNsdXNpdmUpLiBUaGUgbW9zdCBjb21tb25seSByZXBvcnRlZCBzaW5nbGUgYmFycmllciB0byBiaWN5Y2xpbmcgbW9yZSwgcmVnYXJkbGVzcyBvZiBiaWN5Y2xpbmcgY2F0ZWdvcnksIHdhcyBoZWF2eSB0cmFmZmljICgxMC4zJSBvZiB0b3RhbCBiaWN5Y2xpc3RzKSwgZm9sbG93ZWQgYnkgbm8gbmVhcmJ5IHBhdGhzIG9yIHRyYWlscyAoNy42JSBvZiB0b3RhbCBiaWN5Y2xpc3RzKS4gT3ZlcmFsbCwgZGlzdHJpYnV0aW9uIG9mIGluZGl2aWR1YWwgYmFycmllcnMgd2FzIHNpbWlsYXIgYWNyb3NzIGNhdGVnb3JpZXMgb2YgYmljeWNsaXN0czogZXhlcmNpc2UtZXhjbHVzaXZlLCBtdWx0aS11c2UsIGFuZCBjb21tdXRlci4gQ29uY2x1c2lvbnM6IEhlYXZ5IHRyYWZmaWMgYW5kIGxhY2sgb2Ygc2VwYXJhdGVkIHBhdGhzIG9yIHRyYWlscyB3ZXJlIHRoZSBtb3N0IGZyZXF1ZW50bHkgaWRlbnRpZmllZCBiYXJyaWVycyB0byBiaWN5Y2xpbmcgbW9yZS4gQ29tbXVuaXRpZXMgd2lzaGluZyB0byBwcm9tb3RlIGJpY3ljbGluZyBmb3IgdHJhbnNwb3J0YXRpb24sIHJlY3JlYXRpb24sIG9yIGJvdGggc2hvdWxkIGNvbnNpZGVyIGhvdyB0cmFmZmljIHJlZHVjdGlvbiBzdHJhdGVnaWVzIGFuZCBjaGFuZ2VzIGluIHRoZSBidWlsdCBlbnZpcm9ubWVudCBjb3VsZCBtYWtlIGJpY3ljbGluZyBzYWZlciBhbmQgbW9yZSBhY2Nlc3NpYmxlLiIsInB1Ymxpc2hlciI6IkVsc2V2aWVyIiwidm9sdW1lIjoiMTYifSwiaXNUZW1wb3JhcnkiOmZhbHNlfV19&quot;,&quot;citationItems&quot;:[{&quot;id&quot;:&quot;076b83c9-641e-32c4-abc5-3e51d0a29e80&quot;,&quot;itemData&quot;:{&quot;type&quot;:&quot;article-journal&quot;,&quot;id&quot;:&quot;076b83c9-641e-32c4-abc5-3e51d0a29e80&quot;,&quot;title&quot;:&quot;Commuting by Bicycle: An Overview of the Literature&quot;,&quot;author&quot;:[{&quot;family&quot;:&quot;Heinen&quot;,&quot;given&quot;:&quot;Eva&quot;,&quot;parse-names&quot;:false,&quot;dropping-particle&quot;:&quot;&quot;,&quot;non-dropping-particle&quot;:&quot;&quot;},{&quot;family&quot;:&quot;Wee&quot;,&quot;given&quot;:&quot;Bert&quot;,&quot;parse-names&quot;:false,&quot;dropping-particle&quot;:&quot;&quot;,&quot;non-dropping-particle&quot;:&quot;van&quot;},{&quot;family&quot;:&quot;Maat&quot;,&quot;given&quot;:&quot;Kees&quot;,&quot;parse-names&quot;:false,&quot;dropping-particle&quot;:&quot;&quot;,&quot;non-dropping-particle&quot;:&quot;&quot;}],&quot;container-title&quot;:&quot;Transport Reviews&quot;,&quot;container-title-short&quot;:&quot;Transp. Rev.&quot;,&quot;accessed&quot;:{&quot;date-parts&quot;:[[2026,4,22]]},&quot;DOI&quot;:&quot;10.1080/01441640903187001&quot;,&quot;ISSN&quot;:&quot;01441647&quot;,&quot;URL&quot;:&quot;https://scholar.google.com/scholar_url?url=https://www.tandfonline.com/doi/pdf/10.1080/01441640903187001%3Fcasa_token%3Ds5Vke43CByAAAAAA:8Zzmfne7Z1RsAGIFIhUL-KjXHrxZpnYtkpuJeNIxwvKXkzT07CL5EDytAde-zKXPYfuWg4Ef3JTf&amp;hl=en&amp;sa=T&amp;oi=ucasa&amp;ct=ucasa&amp;ei=Q8Ppab32AdXXieoPjom1oQ0&amp;scisig=ADi0EEWnyboaMhXR9v1v5HYNbPCp&quot;,&quot;issued&quot;:{&quot;date-parts&quot;:[[2010,1]]},&quot;page&quot;:&quot;59-96&quot;,&quot;abstract&quot;:&quot;For society and for the individual, cycling presents a number of interesting advantages over other modes of transport. Individuals benefit from the fact that cycling is a healthy and cheap form of ...&quot;,&quot;publisher&quot;:&quot;Routledge&quot;,&quot;issue&quot;:&quot;1&quot;,&quot;volume&quot;:&quot;30&quot;},&quot;isTemporary&quot;:false},{&quot;id&quot;:&quot;29fed488-73df-3ddc-b5d2-9b93c323fc82&quot;,&quot;itemData&quot;:{&quot;type&quot;:&quot;article-journal&quot;,&quot;id&quot;:&quot;29fed488-73df-3ddc-b5d2-9b93c323fc82&quot;,&quot;title&quot;:&quot;Perceived barriers to commuter and exercise bicycling in U.S. adults: The 2017 National Household Travel Survey&quot;,&quot;author&quot;:[{&quot;family&quot;:&quot;Porter&quot;,&quot;given&quot;:&quot;Anna K.&quot;,&quot;parse-names&quot;:false,&quot;dropping-particle&quot;:&quot;&quot;,&quot;non-dropping-particle&quot;:&quot;&quot;},{&quot;family&quot;:&quot;Kontou&quot;,&quot;given&quot;:&quot;Eleftheria&quot;,&quot;parse-names&quot;:false,&quot;dropping-particle&quot;:&quot;&quot;,&quot;non-dropping-particle&quot;:&quot;&quot;},{&quot;family&quot;:&quot;McDonald&quot;,&quot;given&quot;:&quot;Noreen C.&quot;,&quot;parse-names&quot;:false,&quot;dropping-particle&quot;:&quot;&quot;,&quot;non-dropping-particle&quot;:&quot;&quot;},{&quot;family&quot;:&quot;Evenson&quot;,&quot;given&quot;:&quot;Kelly R.&quot;,&quot;parse-names&quot;:false,&quot;dropping-particle&quot;:&quot;&quot;,&quot;non-dropping-particle&quot;:&quot;&quot;}],&quot;container-title&quot;:&quot;Journal of Transport &amp; Health&quot;,&quot;container-title-short&quot;:&quot;J. Transp. Health&quot;,&quot;accessed&quot;:{&quot;date-parts&quot;:[[2026,4,22]]},&quot;DOI&quot;:&quot;10.1016/j.jth.2020.100820&quot;,&quot;ISSN&quot;:&quot;2214-1405&quot;,&quot;URL&quot;:&quot;https://www.sciencedirect.com/science/article/abs/pii/S2214140519304062?casa_token=J9G2p0YRPSQAAAAA:jEB7Bd7DKU4x0KfntFnJEbV9jlOM2-iWk13afQJPdrY_SnWykJ1Tv5HByr4pWolKVuxOipykdw&quot;,&quot;issued&quot;:{&quot;date-parts&quot;:[[2020,3,1]]},&quot;page&quot;:&quot;100820&quot;,&quot;abstract&quot;:&quot;Introduction: Bicycling is a type of physical activity associated with positive health outcomes, but many barriers exist to regular bicycling for recreation and transportation. The objective of this study was to describe self-reported barriers to bicycling overall, and by bicycling domain, among a national sample of persons aged 16 and above that reported bicycling outside in the past week. Methods: This analysis, conducted in 2019, utilized data from the United States (US) Department of Transportation's 2017 National Household Travel Survey (NHTS). Weighted point estimates and 95% confidence intervals were calculated for reported barriers to bicycling by category of bicyclist: exercise-exclusive, multi-use, and commuter. Results: The final analytic sample was 18,189, representing approximately 7% of the US population (N = 20,911,680). Barriers that prevented bicycling more was reported by 37.9% of the US population of adult bicyclists (95% CI 37.2, 38.6). Barriers related to safety were more commonly reported (31.9% of total bicyclists), compared to barriers related to infrastructure (22.1% of total bicyclists). Safety-related barriers were more commonly reported among multi-use bicyclist (33.7% vs. 30.9% of exercise-exclusive). Commuter bicyclists reported infrastructure barriers the least (13.9% vs. 22.7% of exercise-exclusive). The most commonly reported single barrier to bicycling more, regardless of bicycling category, was heavy traffic (10.3% of total bicyclists), followed by no nearby paths or trails (7.6% of total bicyclists). Overall, distribution of individual barriers was similar across categories of bicyclists: exercise-exclusive, multi-use, and commuter. Conclusions: Heavy traffic and lack of separated paths or trails were the most frequently identified barriers to bicycling more. Communities wishing to promote bicycling for transportation, recreation, or both should consider how traffic reduction strategies and changes in the built environment could make bicycling safer and more accessible.&quot;,&quot;publisher&quot;:&quot;Elsevier&quot;,&quot;volume&quot;:&quot;16&quot;},&quot;isTemporary&quot;:false}]},{&quot;citationID&quot;:&quot;MENDELEY_CITATION_1f89c006-42cf-497e-a6b2-2fa5a4fac522&quot;,&quot;properties&quot;:{&quot;noteIndex&quot;:0},&quot;isEdited&quot;:false,&quot;manualOverride&quot;:{&quot;isManuallyOverridden&quot;:true,&quot;citeprocText&quot;:&quot;(Ito et al., 2024; Tao et al., 2023; Tao &amp;#38; Cao, 2023)&quot;,&quot;manualOverrideText&quot;:&quot;(Tao and Cao, 2023; Tao et al., 2023; Ito et al., 2024)&quot;},&quot;citationTag&quot;:&quot;MENDELEY_CITATION_v3_eyJjaXRhdGlvbklEIjoiTUVOREVMRVlfQ0lUQVRJT05fMWY4OWMwMDYtNDJjZi00OTdlLWE2YjItMmZhNWE0ZmFjNTIyIiwicHJvcGVydGllcyI6eyJub3RlSW5kZXgiOjB9LCJpc0VkaXRlZCI6ZmFsc2UsIm1hbnVhbE92ZXJyaWRlIjp7ImlzTWFudWFsbHlPdmVycmlkZGVuIjp0cnVlLCJjaXRlcHJvY1RleHQiOiIoSXRvIGV0IGFsLiwgMjAyNDsgVGFvIGV0IGFsLiwgMjAyMzsgVGFvICYjMzg7IENhbywgMjAyMykiLCJtYW51YWxPdmVycmlkZVRleHQiOiIoVGFvIGFuZCBDYW8sIDIwMjM7IFRhbyBldCBhbC4sIDIwMjM7IEl0byBldCBhbC4sIDIwMjQpIn0sImNpdGF0aW9uSXRlbXMiOlt7ImlkIjoiMGJiYzdiNTctYTA5MS0zNjgyLThkOTYtODU3MTU5YzMzNTczIiwiaXRlbURhdGEiOnsidHlwZSI6ImFydGljbGUtam91cm5hbCIsImlkIjoiMGJiYzdiNTctYTA5MS0zNjgyLThkOTYtODU3MTU5YzMzNTczIiwidGl0bGUiOiJFeGFtaW5pbmcgdGhlIGNhdXNhbCBpbXBhY3RzIG9mIHRoZSBidWlsdCBlbnZpcm9ubWVudCBvbiBjeWNsaW5nIGFjdGl2aXRpZXMgdXNpbmcgdGltZS1zZXJpZXMgc3RyZWV0IHZpZXcgaW1hZ2VyeSIsImF1dGhvciI6W3siZmFtaWx5IjoiSXRvIiwiZ2l2ZW4iOiJLb2ljaGkiLCJwYXJzZS1uYW1lcyI6ZmFsc2UsImRyb3BwaW5nLXBhcnRpY2xlIjoiIiwibm9uLWRyb3BwaW5nLXBhcnRpY2xlIjoiIn0seyJmYW1pbHkiOiJCYW5zYWwiLCJnaXZlbiI6IlByYXRlZWsiLCJwYXJzZS1uYW1lcyI6ZmFsc2UsImRyb3BwaW5nLXBhcnRpY2xlIjoiIiwibm9uLWRyb3BwaW5nLXBhcnRpY2xlIjoiIn0seyJmYW1pbHkiOiJCaWxqZWNraSIsImdpdmVuIjoiRmlsaXA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jQuMTA0Mjg2IiwiSVNTTiI6IjA5NjU4NTY0IiwiaXNzdWVkIjp7ImRhdGUtcGFydHMiOltbMjAyNCwxMiwxXV19LCJhYnN0cmFjdCI6IkN5Y2xpbmcgaXMgdml0YWwgZm9yIHN1c3RhaW5hYmxlIGFuZCBoZWFsdGh5IGNpdGllcy4gVG8gZW5jb3VyYWdlIHN1Y2ggYWN0aXZpdGllcywgdW5kZXJzdGFuZGluZyB1cmJhbiBiaWtlYWJpbGl0eSBhdCBib3RoIGRldGFpbGVkIGFuZCBicm9hZCBzcGF0aWFsIHNjYWxlcyBpcyBjcnVjaWFsLiBTdHJlZXQgdmlldyBpbWFnZXJ5IChTVkkpIG9mZmVycyBpbi1kZXB0aCBpbnNpZ2h0cyBpbnRvIGhvdyBzdHJlZXQgZmVhdHVyZXMgaW5mbHVlbmNlIG1pY3JvLW1vYmlsaXR5IHBhdHRlcm5zLCBidXQgZXhpc3Rpbmcgc3R1ZGllcyBhcmUgbWFpbmx5IGNvcnJlbGF0aW9uYWwuIFRoaXMgcmVzZWFyY2ggdXRpbGl6ZWQgaGlzdG9yaWNhbCB0aW1lLXNlcmllcyBTVkksIGN5Y2xpc3QgZGF0YSBmcm9tIExvbmRvbiwgdG8gZGlzY2VybiB0aGUgY2F1c2FsIGVmZmVjdHMgb2Ygc3BlY2lmaWMgdXJiYW4gZmVhdHVyZXMgb24gY3ljbGlzdCBudW1iZXJzLiBXZSB1c2VkIHByb3BlbnNpdHkgc2NvcmUgbWF0Y2hpbmcgdG8gYWRqdXN0IGZvciBwb3RlbnRpYWwgY29uZm91bmRpbmcgYmlhc2VzIGFuZCBhcHBsaWVkIHRoZSBjYXVzYWwgZm9yZXN0IHRvIGVzdGltYXRlIHRoZSBoZXRlcm9nZW5laXR5IGluIGNhdXNhbCBlZmZlY3RzLiBLZXkgZmluZGluZ3MgaW5jbHVkZTogdmVnZXRhdGlvbiBzaWduaWZpY2FudGx5IGJvb3N0cyBjeWNsaW5nLCBzbG9wZSBuZWdhdGl2ZWx5IGltcGFjdHMgY3ljbGluZywgYW5kIGJpa2UgbGFuZXMgcG9zaXRpdmVseSBpbmZsdWVuY2UgY3ljbGluZy4gTW9yZW92ZXIsIHZlZ2V0YXRpb24ncyBpbXBhY3Qgb24gY3ljbGluZyBpcyBncmVhdGVyIGluIGxlc3MgcG9wdWxhdGVkIGFyZWFzLCB3aGlsZSBiaWtlIGxhbmVzIGhhdmUgYSBzdHJvbmdlciBlZmZlY3QgaW4gZGVuc2VseSBwb3B1bGF0ZWQgcmVnaW9ucy4gVGhlc2UgZmluZGluZ3MgaGVscCBwcmlvcml0aXplIHRoZSBhcmVhcyBvZiBpbnRlcnZlbnRpb24uIEJ5IHRyYW5zY2VuZGluZyBmcm9tIG1lcmUgY29ycmVsYXRpb25zIHRvIGlkZW50aWZ5aW5nIGhldGVyb2dlbmVvdXMgY2F1c2FsIGltcGFjdHMsIHRoaXMgc3R1ZHkgb2ZmZXJzIGludmFsdWFibGUgaW5zaWdodHMgZm9yIHVyYmFuIHBsYW5uaW5nLCB1bmRlcnNjb3JpbmcgZGVzaWduIHN0cmF0ZWdpZXMgdG8gZW5oYW5jZSBjaXRpZXPigJkgYmlrZWFiaWxpdHkgYW5kIHN1c3RhaW5hYmlsaXR5LiIsInB1Ymxpc2hlciI6IkVsc2V2aWVyIEx0ZCIsInZvbHVtZSI6IjE5MCJ9LCJpc1RlbXBvcmFyeSI6ZmFsc2V9LHsiaWQiOiIzMDZhNzM1Ni01MjcyLTNhMTUtODgxNi0zOTAzMzQ2ZmJiNjYiLCJpdGVtRGF0YSI6eyJ0eXBlIjoiYXJ0aWNsZS1qb3VybmFsIiwiaWQiOiIzMDZhNzM1Ni01MjcyLTNhMTUtODgxNi0zOTAzMzQ2ZmJiNjYiLCJ0aXRsZSI6IkV4cGxvcmluZyBub25saW5lYXIgYW5kIGNvbGxlY3RpdmUgaW5mbHVlbmNlcyBvZiByZWdpb25hbCBhbmQgbG9jYWwgYnVpbHQgZW52aXJvbm1lbnQgY2hhcmFjdGVyaXN0aWNzIG9uIHRyYXZlbCBkaXN0YW5jZXMgYnkgbW9kZSIsImF1dGhvciI6W3siZmFtaWx5IjoiVGFvIiwiZ2l2ZW4iOiJUYW8iLCJwYXJzZS1uYW1lcyI6ZmFsc2UsImRyb3BwaW5nLXBhcnRpY2xlIjoiIiwibm9uLWRyb3BwaW5nLXBhcnRpY2xlIjoiIn0seyJmYW1pbHkiOiJDYW8iLCJnaXZlbiI6Ikphc29uIiwicGFyc2UtbmFtZXMiOmZhbHNlLCJkcm9wcGluZy1wYXJ0aWNsZSI6IiIsIm5vbi1kcm9wcGluZy1wYXJ0aWNsZSI6IiJ9XSwiY29udGFpbmVyLXRpdGxlIjoiSm91cm5hbCBvZiBUcmFuc3BvcnQgR2VvZ3JhcGh5IiwiY29udGFpbmVyLXRpdGxlLXNob3J0IjoiSi4gVHJhbnNwLiBHZW9nci4iLCJET0kiOiIxMC4xMDE2L2ouanRyYW5nZW8uMjAyMy4xMDM1OTkiLCJJU1NOIjoiMDk2NjY5MjMiLCJpc3N1ZWQiOnsiZGF0ZS1wYXJ0cyI6W1syMDIzLDUsMV1dfSwiYWJzdHJhY3QiOiJXZSBleGFtaW5lZCB0aGUgbm9ubGluZWFyIGFzc29jaWF0aW9ucyBvZiB0aGUgYnVpbHQgZW52aXJvbm1lbnQgd2l0aCB0cmF2ZWwgZGlzdGFuY2VzIGJ5IGRyaXZpbmcsIHRyYW5zaXQsIGFuZCBhY3RpdmUgdHJhdmVsIGFuZCBjb21wYXJlZCB0aGUgcmVsYXRpdmUgY29udHJpYnV0aW9ucyBvZiBsb2NhbCBhbmQgcmVnaW9uYWwgYnVpbHQgZW52aXJvbm1lbnQgY2hhcmFjdGVyaXN0aWNzIHRocm91Z2ggYXBwbHlpbmcgZ3JhZGllbnQgYm9vc3RpbmcgZGVjaXNpb24gdHJlZXMgdG8gcmVnaW9uYWwgdHJhdmVsIHN1cnZleSBkYXRhIGluIHRoZSBUd2luIENpdGllcywgVVMuIFdlIGlkZW50aWZpZWQgdGhlIGNvbW1vbiB0aHJlc2hvbGRzIG9mIGJ1aWx0IGVudmlyb25tZW50IGNoYXJhY3RlcmlzdGljcyBhc3NvY2lhdGVkIHdpdGggdGhlIHRocmVlIHRyYXZlbCBkaXN0YW5jZXMgYW5kIGluZm9ybSBwbGFubmVycyBvZiB0aGUgZWZmaWNpZW50IGFsbG9jYXRpb24gb2YgbGltaXRlZCByZXNvdXJjZXMgdG8gcGxhbm5pbmcgZWZmb3J0cyBhdCBkaWZmZXJlbnQgc2NhbGVzLiBXZSBmb3VuZCBwcmV2YWxlbnQgdGhyZXNob2xkIGFzc29jaWF0aW9ucyBiZXR3ZWVuIGJ1aWx0IGVudmlyb25tZW50IGNoYXJhY3RlcmlzdGljcyBhbmQgdHJhdmVsIGRpc3RhbmNlcy4gVGhlIHRocmVzaG9sZHMgc3VnZ2VzdCB0aGUgY29tbW9uIHJhbmdlcyBvZiBidWlsdCBlbnZpcm9ubWVudCBjaGFyYWN0ZXJpc3RpY3MgdGhhdCBvcHRpbWl6ZSB0aGUgcmVkdWN0aW9uIG9mIGRyaXZpbmcgYW5kIHRoZSBwcm9tb3Rpb24gb2YgdHJhbnNpdCBhbmQgYWN0aXZlIHRyYXZlbC4gRm9yIGV4YW1wbGUsIGpvYiBhY2Nlc3NpYmlsaXR5IHNob3VsZCBiZSBsYXJnZXIgdGhhbiA4MDAgdGhvdXNhbmQgam9icyB3aXRoaW4gMjAtbWluIG9mIGRyaXZpbmcgYW5kIGRpc3RhbmNlIHRvIGRvd250b3duIE1pbm5lYXBvbGlzIHNob3VsZCBiZSB3aXRoaW4gMTAgbWlsZXMuIFRoZSByZXN1bHRzIGFsc28gc2hvd2VkIHRoYXQgcmVnaW9uYWwgY2hhcmFjdGVyaXN0aWNzIGNvbGxlY3RpdmVseSBoYXZlIGEgc3Ryb25nZXIgaW5mbHVlbmNlIG9uIGFsbCB0aHJlZSBkaXN0YW5jZXMgdGhhbiBsb2NhbCBjaGFyYWN0ZXJpc3RpY3MuIFRoZSBmaW5kaW5ncyBvbiB0cmFuc2l0IGFuZCBhY3RpdmUgdHJhdmVsIGRpZmZlciBmcm9tIHRoZSBjb21tb24gdW5kZXJzdGFuZGluZyBpbiB0aGUgbGl0ZXJhdHVyZS4gVGhpcyBzdHVkeSBzdWdnZXN0cyB0aGF0IHBsYW5uZXJzIHNob3VsZCBwYXkgbW9yZSBhdHRlbnRpb24gdG8gbWV0cm9wb2xpdGFuLXNjYWxlIHBsYW5uaW5nIGFuZCBkZXBsb3kgcHJvZ3JhbXMgdGhhdCBlbmhhbmNlIHJlZ2lvbmFsIGFjY2Vzc2liaWxpdHkuIiwicHVibGlzaGVyIjoiRWxzZXZpZXIgTHRkIiwidm9sdW1lIjoiMTA5In0sImlzVGVtcG9yYXJ5IjpmYWxzZX0seyJpZCI6ImFkODg1ZDFkLWJjYWEtM2RiZi04N2NiLWVhYTJkNzlmYTk5ZiIsIml0ZW1EYXRhIjp7InR5cGUiOiJhcnRpY2xlLWpvdXJuYWwiLCJpZCI6ImFkODg1ZDFkLWJjYWEtM2RiZi04N2NiLWVhYTJkNzlmYTk5ZiIsInRpdGxlIjoiRXhwbG9yaW5nIHRoZSBOb25saW5lYXIgUmVsYXRpb25zaGlwIGJldHdlZW4gdGhlIEJ1aWx0IEVudmlyb25tZW50IGFuZCBBY3RpdmUgVHJhdmVsIGluIHRoZSBUd2luIENpdGllcyIsImF1dGhvciI6W3siZmFtaWx5IjoiVGFvIiwiZ2l2ZW4iOiJUYW8iLCJwYXJzZS1uYW1lcyI6ZmFsc2UsImRyb3BwaW5nLXBhcnRpY2xlIjoiIiwibm9uLWRyb3BwaW5nLXBhcnRpY2xlIjoiIn0seyJmYW1pbHkiOiJXdSIsImdpdmVuIjoiWGlueWkiLCJwYXJzZS1uYW1lcyI6ZmFsc2UsImRyb3BwaW5nLXBhcnRpY2xlIjoiIiwibm9uLWRyb3BwaW5nLXBhcnRpY2xlIjoiIn0seyJmYW1pbHkiOiJDYW8iLCJnaXZlbiI6Ikphc29uIiwicGFyc2UtbmFtZXMiOmZhbHNlLCJkcm9wcGluZy1wYXJ0aWNsZSI6IiIsIm5vbi1kcm9wcGluZy1wYXJ0aWNsZSI6IiJ9LHsiZmFtaWx5IjoiRmFuIiwiZ2l2ZW4iOiJZaW5nbGluZyIsInBhcnNlLW5hbWVzIjpmYWxzZSwiZHJvcHBpbmctcGFydGljbGUiOiIiLCJub24tZHJvcHBpbmctcGFydGljbGUiOiIifSx7ImZhbWlseSI6IkRhcyIsImdpdmVuIjoiS2lydGkiLCJwYXJzZS1uYW1lcyI6ZmFsc2UsImRyb3BwaW5nLXBhcnRpY2xlIjoiIiwibm9uLWRyb3BwaW5nLXBhcnRpY2xlIjoiIn0seyJmYW1pbHkiOiJSYW1hc3dhbWkiLCJnaXZlbiI6IkFudSIsInBhcnNlLW5hbWVzIjpmYWxzZSwiZHJvcHBpbmctcGFydGljbGUiOiIiLCJub24tZHJvcHBpbmctcGFydGljbGUiOiIifV0sImNvbnRhaW5lci10aXRsZSI6IkpvdXJuYWwgb2YgUGxhbm5pbmcgRWR1Y2F0aW9uIGFuZCBSZXNlYXJjaCIsImNvbnRhaW5lci10aXRsZS1zaG9ydCI6IkouIFBsYW4uIEVkdWMuIFJlcy4iLCJET0kiOiIxMC4xMTc3LzA3Mzk0NTZYMjA5MTU3NjUiLCJJU1NOIjoiMTU1MjY1NzciLCJpc3N1ZWQiOnsiZGF0ZS1wYXJ0cyI6W1syMDIzLDksMV1dfSwicGFnZSI6IjYzNy02NTIiLCJhYnN0cmFjdCI6IkFjdGl2ZSB0cmF2ZWwgaXMgaW1wb3J0YW50IHRvIHB1YmxpYyBoZWFsdGggYW5kIHRoZSBlbnZpcm9ubWVudC4gUHJldmlvdXMgc3R1ZGllcyBzdWJzdGFudGlhdGUgYnVpbHQgZW52aXJvbm1lbnQgaW5mbHVlbmNlcyBhY3RpdmUgdHJhdmVsLCBidXQgdGhleSBzZWxkb20gYXNzZXNzIGl0cyBvdmVyYWxsIGNvbnRyaWJ1dGlvbi4gTW9zdCBvZiB0aGUgc3R1ZGllcyBhc3N1bWUgdGhhdCBidWlsdCBlbnZpcm9ubWVudCBjaGFyYWN0ZXJpc3RpY3MgaGF2ZSBsaW5lYXIgYXNzb2NpYXRpb25zIHdpdGggYWN0aXZlIHRyYXZlbC4gVGhpcyBzdHVkeSB1c2VzIEdyYWRpZW50IEJvb3N0aW5nIERlY2lzaW9uIFRyZWVzIHRvIGV4cGxvcmUgbm9ubGluZWFyIHJlbGF0aW9uc2hpcHMgYmV0d2VlbiB0aGUgYnVpbHQgZW52aXJvbm1lbnQgYW5kIGFjdGl2ZSB0cmF2ZWwgaW4gdGhlIFR3aW4gQ2l0aWVzLiBDb2xsZWN0aXZlbHksIHRoZSBidWlsdCBlbnZpcm9ubWVudCBoYXMgbW9yZSBwcmVkaWN0aXZlIHBvd2VyIGZvciBhY3RpdmUgdHJhdmVsIHRoYW4gZGVtb2dyYXBoaWNzLCBhbmQgcGFya3MsIHByb3hpbWl0eSB0byBkb3dudG93biwgYW5kIHRyYW5zaXQgYWNjZXNzIGhhdmUgaW1wb3J0YW50IGluZmx1ZW5jZXMuIFRoZSB0aHJlc2hvbGQgZWZmZWN0cyBvZiBidWlsdCBlbnZpcm9ubWVudCB2YXJpYWJsZXMgaGVscCBpbmZvcm0gcGxhbm5pbmcgcHJhY3RpY2UuIiwicHVibGlzaGVyIjoiU0FHRSBQdWJsaWNhdGlvbnMgSW5jLiIsImlzc3VlIjoiMyIsInZvbHVtZSI6IjQzIn0sImlzVGVtcG9yYXJ5IjpmYWxzZX1dfQ==&quot;,&quot;citationItems&quot;:[{&quot;id&quot;:&quot;0bbc7b57-a091-3682-8d96-857159c33573&quot;,&quot;itemData&quot;:{&quot;type&quot;:&quot;article-journal&quot;,&quot;id&quot;:&quot;0bbc7b57-a091-3682-8d96-857159c33573&quot;,&quot;title&quot;:&quot;Examining the causal impacts of the built environment on cycling activities using time-series street view imagery&quot;,&quot;author&quot;:[{&quot;family&quot;:&quot;Ito&quot;,&quot;given&quot;:&quot;Koichi&quot;,&quot;parse-names&quot;:false,&quot;dropping-particle&quot;:&quot;&quot;,&quot;non-dropping-particle&quot;:&quot;&quot;},{&quot;family&quot;:&quot;Bansal&quot;,&quot;given&quot;:&quot;Prateek&quot;,&quot;parse-names&quot;:false,&quot;dropping-particle&quot;:&quot;&quot;,&quot;non-dropping-particle&quot;:&quot;&quot;},{&quot;family&quot;:&quot;Biljecki&quot;,&quot;given&quot;:&quot;Filip&quot;,&quot;parse-names&quot;:false,&quot;dropping-particle&quot;:&quot;&quot;,&quot;non-dropping-particle&quot;:&quot;&quot;}],&quot;container-title&quot;:&quot;Transportation Research Part A: Policy and Practice&quot;,&quot;container-title-short&quot;:&quot;Transp. Res. Part A Policy Pract.&quot;,&quot;DOI&quot;:&quot;10.1016/j.tra.2024.104286&quot;,&quot;ISSN&quot;:&quot;09658564&quot;,&quot;issued&quot;:{&quot;date-parts&quot;:[[2024,12,1]]},&quot;abstract&quot;:&quot;Cycling is vital for sustainable and healthy cities. To encourage such activities, understanding urban bikeability at both detailed and broad spatial scales is crucial. Street view imagery (SVI) offers in-depth insights into how street features influence micro-mobility patterns, but existing studies are mainly correlational. This research utilized historical time-series SVI, cyclist data from London, to discern the causal effects of specific urban features on cyclist numbers. We used propensity score matching to adjust for potential confounding biases and applied the causal forest to estimate the heterogeneity in causal effects. Key findings include: vegetation significantly boosts cycling, slope negatively impacts cycling, and bike lanes positively influence cycling. Moreover, vegetation's impact on cycling is greater in less populated areas, while bike lanes have a stronger effect in densely populated regions. These findings help prioritize the areas of intervention. By transcending from mere correlations to identifying heterogeneous causal impacts, this study offers invaluable insights for urban planning, underscoring design strategies to enhance cities’ bikeability and sustainability.&quot;,&quot;publisher&quot;:&quot;Elsevier Ltd&quot;,&quot;volume&quot;:&quot;190&quot;},&quot;isTemporary&quot;:false},{&quot;id&quot;:&quot;306a7356-5272-3a15-8816-3903346fbb66&quot;,&quot;itemData&quot;:{&quot;type&quot;:&quot;article-journal&quot;,&quot;id&quot;:&quot;306a7356-5272-3a15-8816-3903346fbb66&quot;,&quot;title&quot;:&quot;Exploring nonlinear and collective influences of regional and local built environment characteristics on travel distances by mode&quot;,&quot;author&quot;:[{&quot;family&quot;:&quot;Tao&quot;,&quot;given&quot;:&quot;Tao&quot;,&quot;parse-names&quot;:false,&quot;dropping-particle&quot;:&quot;&quot;,&quot;non-dropping-particle&quot;:&quot;&quot;},{&quot;family&quot;:&quot;Cao&quot;,&quot;given&quot;:&quot;Jason&quot;,&quot;parse-names&quot;:false,&quot;dropping-particle&quot;:&quot;&quot;,&quot;non-dropping-particle&quot;:&quot;&quot;}],&quot;container-title&quot;:&quot;Journal of Transport Geography&quot;,&quot;container-title-short&quot;:&quot;J. Transp. Geogr.&quot;,&quot;DOI&quot;:&quot;10.1016/j.jtrangeo.2023.103599&quot;,&quot;ISSN&quot;:&quot;09666923&quot;,&quot;issued&quot;:{&quot;date-parts&quot;:[[2023,5,1]]},&quot;abstract&quot;:&quot;We examined the nonlinear associations of the built environment with travel distances by driving, transit, and active travel and compared the relative contributions of local and regional built environment characteristics through applying gradient boosting decision trees to regional travel survey data in the Twin Cities, US. We identified the common thresholds of built environment characteristics associated with the three travel distances and inform planners of the efficient allocation of limited resources to planning efforts at different scales. We found prevalent threshold associations between built environment characteristics and travel distances. The thresholds suggest the common ranges of built environment characteristics that optimize the reduction of driving and the promotion of transit and active travel. For example, job accessibility should be larger than 800 thousand jobs within 20-min of driving and distance to downtown Minneapolis should be within 10 miles. The results also showed that regional characteristics collectively have a stronger influence on all three distances than local characteristics. The findings on transit and active travel differ from the common understanding in the literature. This study suggests that planners should pay more attention to metropolitan-scale planning and deploy programs that enhance regional accessibility.&quot;,&quot;publisher&quot;:&quot;Elsevier Ltd&quot;,&quot;volume&quot;:&quot;109&quot;},&quot;isTemporary&quot;:false},{&quot;id&quot;:&quot;ad885d1d-bcaa-3dbf-87cb-eaa2d79fa99f&quot;,&quot;itemData&quot;:{&quot;type&quot;:&quot;article-journal&quot;,&quot;id&quot;:&quot;ad885d1d-bcaa-3dbf-87cb-eaa2d79fa99f&quot;,&quot;title&quot;:&quot;Exploring the Nonlinear Relationship between the Built Environment and Active Travel in the Twin Cities&quot;,&quot;author&quot;:[{&quot;family&quot;:&quot;Tao&quot;,&quot;given&quot;:&quot;Tao&quot;,&quot;parse-names&quot;:false,&quot;dropping-particle&quot;:&quot;&quot;,&quot;non-dropping-particle&quot;:&quot;&quot;},{&quot;family&quot;:&quot;Wu&quot;,&quot;given&quot;:&quot;Xinyi&quot;,&quot;parse-names&quot;:false,&quot;dropping-particle&quot;:&quot;&quot;,&quot;non-dropping-particle&quot;:&quot;&quot;},{&quot;family&quot;:&quot;Cao&quot;,&quot;given&quot;:&quot;Jason&quot;,&quot;parse-names&quot;:false,&quot;dropping-particle&quot;:&quot;&quot;,&quot;non-dropping-particle&quot;:&quot;&quot;},{&quot;family&quot;:&quot;Fan&quot;,&quot;given&quot;:&quot;Yingling&quot;,&quot;parse-names&quot;:false,&quot;dropping-particle&quot;:&quot;&quot;,&quot;non-dropping-particle&quot;:&quot;&quot;},{&quot;family&quot;:&quot;Das&quot;,&quot;given&quot;:&quot;Kirti&quot;,&quot;parse-names&quot;:false,&quot;dropping-particle&quot;:&quot;&quot;,&quot;non-dropping-particle&quot;:&quot;&quot;},{&quot;family&quot;:&quot;Ramaswami&quot;,&quot;given&quot;:&quot;Anu&quot;,&quot;parse-names&quot;:false,&quot;dropping-particle&quot;:&quot;&quot;,&quot;non-dropping-particle&quot;:&quot;&quot;}],&quot;container-title&quot;:&quot;Journal of Planning Education and Research&quot;,&quot;container-title-short&quot;:&quot;J. Plan. Educ. Res.&quot;,&quot;DOI&quot;:&quot;10.1177/0739456X20915765&quot;,&quot;ISSN&quot;:&quot;15526577&quot;,&quot;issued&quot;:{&quot;date-parts&quot;:[[2023,9,1]]},&quot;page&quot;:&quot;637-652&quot;,&quot;abstract&quot;:&quot;Active travel is important to public health and the environment. Previous studies substantiate built environment influences active travel, but they seldom assess its overall contribution. Most of the studies assume that built environment characteristics have linear associations with active travel. This study uses Gradient Boosting Decision Trees to explore nonlinear relationships between the built environment and active travel in the Twin Cities. Collectively, the built environment has more predictive power for active travel than demographics, and parks, proximity to downtown, and transit access have important influences. The threshold effects of built environment variables help inform planning practice.&quot;,&quot;publisher&quot;:&quot;SAGE Publications Inc.&quot;,&quot;issue&quot;:&quot;3&quot;,&quot;volume&quot;:&quot;43&quot;},&quot;isTemporary&quot;:false}]},{&quot;citationID&quot;:&quot;MENDELEY_CITATION_61802b7b-c398-4d35-9da4-3ffaf1b7498f&quot;,&quot;properties&quot;:{&quot;noteIndex&quot;:0},&quot;isEdited&quot;:false,&quot;manualOverride&quot;:{&quot;isManuallyOverridden&quot;:true,&quot;citeprocText&quot;:&quot;(Brüchert et al., 2022; Kerr et al., 2016; Ma &amp;#38; Dill, 2017)&quot;,&quot;manualOverrideText&quot;:&quot;Kerr et al., 2016; Ma and Dill, 2017;  Brüchert et al., 2022&quot;},&quot;citationItems&quot;:[{&quot;id&quot;:&quot;da68cc5a-3387-3630-8c27-e451d81bdcbb&quot;,&quot;itemData&quot;:{&quot;type&quot;:&quot;article-journal&quot;,&quot;id&quot;:&quot;da68cc5a-3387-3630-8c27-e451d81bdcbb&quot;,&quot;title&quot;:&quot;The relationship between perceived built environment and cycling or e-biking for transport among older adults–a cross-sectional study&quot;,&quot;author&quot;:[{&quot;family&quot;:&quot;Brüchert&quot;,&quot;given&quot;:&quot;Tanja&quot;,&quot;parse-names&quot;:false,&quot;dropping-particle&quot;:&quot;&quot;,&quot;non-dropping-particle&quot;:&quot;&quot;},{&quot;family&quot;:&quot;Quentin&quot;,&quot;given&quot;:&quot;Paula&quot;,&quot;parse-names&quot;:false,&quot;dropping-particle&quot;:&quot;&quot;,&quot;non-dropping-particle&quot;:&quot;&quot;},{&quot;family&quot;:&quot;Bolte&quot;,&quot;given&quot;:&quot;Gabriele&quot;,&quot;parse-names&quot;:false,&quot;dropping-particle&quot;:&quot;&quot;,&quot;non-dropping-particle&quot;:&quot;&quot;}],&quot;container-title&quot;:&quot;PLoS ONE&quot;,&quot;container-title-short&quot;:&quot;PLoS One&quot;,&quot;DOI&quot;:&quot;10.1371/journal.pone.0267314&quot;,&quot;ISSN&quot;:&quot;19326203&quot;,&quot;PMID&quot;:&quot;35503760&quot;,&quot;issued&quot;:{&quot;date-parts&quot;:[[2022,5,1]]},&quot;abstract&quot;:&quot;The built environment plays a key role in promoting active mobility for healthy aging. Encouraging active mobility among older adults, however, can be especially challenging in more rural areas where distances tend to be longer and infrastructure is favoring car traffic. The association of older adults’ perception of attributes of the built environment with cycling and e-biking for transport was investigated. The potential moderating effects of age, sex, and mobility impairments were explored. A cross-sectional survey was conducted in towns and communities of &lt;100,000 inhabitants, including 2,144 participants (mean age: 74; 53% men). Three different cycling outcomes (any cycling/e-biking, frequency (≥3 days/week) and amount (minutes/week)) were analyzed among all cyclists and e-bike users separately, resulting in six dependent variables. The impact of ten environmental attributes on these outcomes was analyzed in separate models. Overall, street connectivity, and the proximity and number of destinations were most important. Only street connectivity and traffic safety were related to minutes cycling or e-biking per week. Cycling amount was higher overall for e-biking but fewer environmental attributes showed an association compared to any cycling, regardless of bicycle type. Traffic safety was not associated with four out of the six cycling outcomes and was inversely associated with minutes cycling or e-biking. Density was not related to any of the variables investigated. Several interaction effects of sex, age, and mobility impairments were found. Further research is needed on environmental attributes influencing e-bike use, the most important types of destinations, and a more differentiated assessment of perceived traffic safety in older adults.&quot;,&quot;publisher&quot;:&quot;Public Library of Science&quot;,&quot;issue&quot;:&quot;5 May&quot;,&quot;volume&quot;:&quot;17&quot;},&quot;isTemporary&quot;:false},{&quot;id&quot;:&quot;0fa5b62c-77b1-3c9d-ac81-e94cc1ba6bc7&quot;,&quot;itemData&quot;:{&quot;type&quot;:&quot;article-journal&quot;,&quot;id&quot;:&quot;0fa5b62c-77b1-3c9d-ac81-e94cc1ba6bc7&quot;,&quot;title&quot;:&quot;Perceived neighborhood environmental attributes associated with walking and cycling for transport among adult residents of 17 cities in 12 countries: The IPEN study&quot;,&quot;author&quot;:[{&quot;family&quot;:&quot;Kerr&quot;,&quot;given&quot;:&quot;Jacqueline&quot;,&quot;parse-names&quot;:false,&quot;dropping-particle&quot;:&quot;&quot;,&quot;non-dropping-particle&quot;:&quot;&quot;},{&quot;family&quot;:&quot;Emond&quot;,&quot;given&quot;:&quot;Jennifer A.&quot;,&quot;parse-names&quot;:false,&quot;dropping-particle&quot;:&quot;&quot;,&quot;non-dropping-particle&quot;:&quot;&quot;},{&quot;family&quot;:&quot;Badland&quot;,&quot;given&quot;:&quot;Hannah&quot;,&quot;parse-names&quot;:false,&quot;dropping-particle&quot;:&quot;&quot;,&quot;non-dropping-particle&quot;:&quot;&quot;},{&quot;family&quot;:&quot;Reis&quot;,&quot;given&quot;:&quot;Rodrigo&quot;,&quot;parse-names&quot;:false,&quot;dropping-particle&quot;:&quot;&quot;,&quot;non-dropping-particle&quot;:&quot;&quot;},{&quot;family&quot;:&quot;Sarmiento&quot;,&quot;given&quot;:&quot;Olga&quot;,&quot;parse-names&quot;:false,&quot;dropping-particle&quot;:&quot;&quot;,&quot;non-dropping-particle&quot;:&quot;&quot;},{&quot;family&quot;:&quot;Carlson&quot;,&quot;given&quot;:&quot;Jordan&quot;,&quot;parse-names&quot;:false,&quot;dropping-particle&quot;:&quot;&quot;,&quot;non-dropping-particle&quot;:&quot;&quot;},{&quot;family&quot;:&quot;Sallis&quot;,&quot;given&quot;:&quot;James F.&quot;,&quot;parse-names&quot;:false,&quot;dropping-particle&quot;:&quot;&quot;,&quot;non-dropping-particle&quot;:&quot;&quot;},{&quot;family&quot;:&quot;Cerin&quot;,&quot;given&quot;:&quot;Ester&quot;,&quot;parse-names&quot;:false,&quot;dropping-particle&quot;:&quot;&quot;,&quot;non-dropping-particle&quot;:&quot;&quot;},{&quot;family&quot;:&quot;Cain&quot;,&quot;given&quot;:&quot;Kelli&quot;,&quot;parse-names&quot;:false,&quot;dropping-particle&quot;:&quot;&quot;,&quot;non-dropping-particle&quot;:&quot;&quot;},{&quot;family&quot;:&quot;Conway&quot;,&quot;given&quot;:&quot;Terry&quot;,&quot;parse-names&quot;:false,&quot;dropping-particle&quot;:&quot;&quot;,&quot;non-dropping-particle&quot;:&quot;&quot;},{&quot;family&quot;:&quot;Schofield&quot;,&quot;given&quot;:&quot;Grant&quot;,&quot;parse-names&quot;:false,&quot;dropping-particle&quot;:&quot;&quot;,&quot;non-dropping-particle&quot;:&quot;&quot;},{&quot;family&quot;:&quot;Macfarlane&quot;,&quot;given&quot;:&quot;Duncan J.&quot;,&quot;parse-names&quot;:false,&quot;dropping-particle&quot;:&quot;&quot;,&quot;non-dropping-particle&quot;:&quot;&quot;},{&quot;family&quot;:&quot;Christiansen&quot;,&quot;given&quot;:&quot;Lars B.&quot;,&quot;parse-names&quot;:false,&quot;dropping-particle&quot;:&quot;&quot;,&quot;non-dropping-particle&quot;:&quot;&quot;},{&quot;family&quot;:&quot;Dyck&quot;,&quot;given&quot;:&quot;Delfien&quot;,&quot;parse-names&quot;:false,&quot;dropping-particle&quot;:&quot;&quot;,&quot;non-dropping-particle&quot;:&quot;Van&quot;},{&quot;family&quot;:&quot;Davey&quot;,&quot;given&quot;:&quot;Rachel&quot;,&quot;parse-names&quot;:false,&quot;dropping-particle&quot;:&quot;&quot;,&quot;non-dropping-particle&quot;:&quot;&quot;},{&quot;family&quot;:&quot;Aguinaga-Ontoso&quot;,&quot;given&quot;:&quot;Ines&quot;,&quot;parse-names&quot;:false,&quot;dropping-particle&quot;:&quot;&quot;,&quot;non-dropping-particle&quot;:&quot;&quot;},{&quot;family&quot;:&quot;Salvo&quot;,&quot;given&quot;:&quot;Deborah&quot;,&quot;parse-names&quot;:false,&quot;dropping-particle&quot;:&quot;&quot;,&quot;non-dropping-particle&quot;:&quot;&quot;},{&quot;family&quot;:&quot;Sugiyama&quot;,&quot;given&quot;:&quot;Takemi&quot;,&quot;parse-names&quot;:false,&quot;dropping-particle&quot;:&quot;&quot;,&quot;non-dropping-particle&quot;:&quot;&quot;},{&quot;family&quot;:&quot;Mitáš&quot;,&quot;given&quot;:&quot;Josef&quot;,&quot;parse-names&quot;:false,&quot;dropping-particle&quot;:&quot;&quot;,&quot;non-dropping-particle&quot;:&quot;&quot;},{&quot;family&quot;:&quot;Owen&quot;,&quot;given&quot;:&quot;Neville&quot;,&quot;parse-names&quot;:false,&quot;dropping-particle&quot;:&quot;&quot;,&quot;non-dropping-particle&quot;:&quot;&quot;},{&quot;family&quot;:&quot;Natarajan&quot;,&quot;given&quot;:&quot;Loki&quot;,&quot;parse-names&quot;:false,&quot;dropping-particle&quot;:&quot;&quot;,&quot;non-dropping-particle&quot;:&quot;&quot;}],&quot;container-title&quot;:&quot;Environmental Health Perspectives&quot;,&quot;container-title-short&quot;:&quot;Environ. Health Perspect.&quot;,&quot;DOI&quot;:&quot;10.1289/ehp.1409466&quot;,&quot;ISSN&quot;:&quot;15529924&quot;,&quot;PMID&quot;:&quot;26186801&quot;,&quot;issued&quot;:{&quot;date-parts&quot;:[[2016,3,1]]},&quot;page&quot;:&quot;290-298&quot;,&quot;abstract&quot;:&quot;Introduction: Prevalence of walking and cycling for transport is low and varies greatly across countries. Few studies have examined neighborhood perceptions related to walking and cycling for transport in different countries. Therefore, it is challenging to prioritize appropriate built-environment interventions. Objectives: The aim of this study was to examine the strength and shape of the relationship between adults’ neighborhood perceptions and walking and cycling for transport across diverse environments. Methods: As part of the International Physical activity and Environment Network (IPEN) adult project, self-reported data were taken from 13,745 adults (18–65 years) living in physically and socially diverse neighborhoods in 17 cities across 12 countries. Neighborhood perceptions were measured using the Neighborhood Environment Walkability Scale, and walking and cycling for transport were measured using the International Physical Activity Questionnaire–Long Form. Generalized additive mixed models were used to model walking or cycling for transport during the last seven days with neighborhood perceptions. Interactions by city were explored. Results: Walking-for-transport outcomes were significantly associated with perceived residential density, land use mix–access, street connectivity, aesthetics, and safety. Any cycling for transport was significantly related to perceived land use mix–access, street connectivity, infrastructure, aesthetics, safety, and perceived distance to destinations. Between-city differences existed for some attributes in relation to walking or cycling for transport. Conclusions: Many perceived environmental attributes supported both cycling and walking; however, highly walkable environments may not support cycling for transport. People appear to walk for transport despite safety concerns. These findings can guide the implementation of global health strategies.&quot;,&quot;publisher&quot;:&quot;Public Health Services, US Dept of Health and Human Services&quot;,&quot;issue&quot;:&quot;3&quot;,&quot;volume&quot;:&quot;124&quot;},&quot;isTemporary&quot;:false},{&quot;id&quot;:&quot;01603f4c-b327-3108-9baf-f2deee2437c6&quot;,&quot;itemData&quot;:{&quot;type&quot;:&quot;article-journal&quot;,&quot;id&quot;:&quot;01603f4c-b327-3108-9baf-f2deee2437c6&quot;,&quot;title&quot;:&quot;Do people’s perceptions of neighborhood bikeability match “Reality”?&quot;,&quot;author&quot;:[{&quot;family&quot;:&quot;Ma&quot;,&quot;given&quot;:&quot;Liang&quot;,&quot;parse-names&quot;:false,&quot;dropping-particle&quot;:&quot;&quot;,&quot;non-dropping-particle&quot;:&quot;&quot;},{&quot;family&quot;:&quot;Dill&quot;,&quot;given&quot;:&quot;Jennifer&quot;,&quot;parse-names&quot;:false,&quot;dropping-particle&quot;:&quot;&quot;,&quot;non-dropping-particle&quot;:&quot;&quot;}],&quot;container-title&quot;:&quot;Journal of Transport and Land Use&quot;,&quot;accessed&quot;:{&quot;date-parts&quot;:[[2026,4,25]]},&quot;DOI&quot;:&quot;10.5198/jtlu.2015.796&quot;,&quot;issued&quot;:{&quot;date-parts&quot;:[[2017,1,7]]},&quot;abstract&quot;:&quot;Do people perceive the built environment the same as one objectively measures it? If not, what are the relative roles of the objective versus the perceived environment on bicycling behavior? This study, based on data from Portland Oregon, explored the match or mismatch between the objective and perceived bicycling environment, and how it affects people’s bicycling behavior. The descriptive analysis indicated a fair agreement between perceived and objective measures. Older adults, women having children, less-educated and lower-income persons, and those who bicycle less tended to perceive their high-bikeable environment (measured objectively) as low- bikeable. In addition to the socio-demographics, this study also found social environment can play a role in the relationship between objective and perceived environment. Finally, results of this study indicated that actual and perceived built-environment both are associated with the bicycling behavior, particularly for utilitarian bicycling. For recreational bicycling, the objective environment attributes measured in this study are not significant factors, while the perceptions do matter.&quot;,&quot;publisher&quot;:&quot;Center for Transportation Studies&quot;,&quot;container-title-short&quot;:&quot;J. Transp. Land Use&quot;},&quot;isTemporary&quot;:false}],&quot;citationTag&quot;:&quot;MENDELEY_CITATION_v3_eyJjaXRhdGlvbklEIjoiTUVOREVMRVlfQ0lUQVRJT05fNjE4MDJiN2ItYzM5OC00ZDM1LTlkYTQtM2ZmYWYxYjc0OThmIiwicHJvcGVydGllcyI6eyJub3RlSW5kZXgiOjB9LCJpc0VkaXRlZCI6ZmFsc2UsIm1hbnVhbE92ZXJyaWRlIjp7ImlzTWFudWFsbHlPdmVycmlkZGVuIjp0cnVlLCJjaXRlcHJvY1RleHQiOiIoQnLDvGNoZXJ0IGV0IGFsLiwgMjAyMjsgS2VyciBldCBhbC4sIDIwMTY7IE1hICYjMzg7IERpbGwsIDIwMTcpIiwibWFudWFsT3ZlcnJpZGVUZXh0IjoiS2VyciBldCBhbC4sIDIwMTY7IE1hIGFuZCBEaWxsLCAyMDE3OyAgQnLDvGNoZXJ0IGV0IGFsLiwgMjAyMiJ9LCJjaXRhdGlvbkl0ZW1zIjpbeyJpZCI6ImRhNjhjYzVhLTMzODctMzYzMC04YzI3LWU0NTFkODFiZGNiYiIsIml0ZW1EYXRhIjp7InR5cGUiOiJhcnRpY2xlLWpvdXJuYWwiLCJpZCI6ImRhNjhjYzVhLTMzODctMzYzMC04YzI3LWU0NTFkODFiZGNiYiIsInRpdGxlIjoiVGhlIHJlbGF0aW9uc2hpcCBiZXR3ZWVuIHBlcmNlaXZlZCBidWlsdCBlbnZpcm9ubWVudCBhbmQgY3ljbGluZyBvciBlLWJpa2luZyBmb3IgdHJhbnNwb3J0IGFtb25nIG9sZGVyIGFkdWx0c+KAk2EgY3Jvc3Mtc2VjdGlvbmFsIHN0dWR5IiwiYXV0aG9yIjpbeyJmYW1pbHkiOiJCcsO8Y2hlcnQiLCJnaXZlbiI6IlRhbmphIiwicGFyc2UtbmFtZXMiOmZhbHNlLCJkcm9wcGluZy1wYXJ0aWNsZSI6IiIsIm5vbi1kcm9wcGluZy1wYXJ0aWNsZSI6IiJ9LHsiZmFtaWx5IjoiUXVlbnRpbiIsImdpdmVuIjoiUGF1bGEiLCJwYXJzZS1uYW1lcyI6ZmFsc2UsImRyb3BwaW5nLXBhcnRpY2xlIjoiIiwibm9uLWRyb3BwaW5nLXBhcnRpY2xlIjoiIn0seyJmYW1pbHkiOiJCb2x0ZSIsImdpdmVuIjoiR2FicmllbGUiLCJwYXJzZS1uYW1lcyI6ZmFsc2UsImRyb3BwaW5nLXBhcnRpY2xlIjoiIiwibm9uLWRyb3BwaW5nLXBhcnRpY2xlIjoiIn1dLCJjb250YWluZXItdGl0bGUiOiJQTG9TIE9ORSIsImNvbnRhaW5lci10aXRsZS1zaG9ydCI6IlBMb1MgT25lIiwiRE9JIjoiMTAuMTM3MS9qb3VybmFsLnBvbmUuMDI2NzMxNCIsIklTU04iOiIxOTMyNjIwMyIsIlBNSUQiOiIzNTUwMzc2MCIsImlzc3VlZCI6eyJkYXRlLXBhcnRzIjpbWzIwMjIsNSwxXV19LCJhYnN0cmFjdCI6IlRoZSBidWlsdCBlbnZpcm9ubWVudCBwbGF5cyBhIGtleSByb2xlIGluIHByb21vdGluZyBhY3RpdmUgbW9iaWxpdHkgZm9yIGhlYWx0aHkgYWdpbmcuIEVuY291cmFnaW5nIGFjdGl2ZSBtb2JpbGl0eSBhbW9uZyBvbGRlciBhZHVsdHMsIGhvd2V2ZXIsIGNhbiBiZSBlc3BlY2lhbGx5IGNoYWxsZW5naW5nIGluIG1vcmUgcnVyYWwgYXJlYXMgd2hlcmUgZGlzdGFuY2VzIHRlbmQgdG8gYmUgbG9uZ2VyIGFuZCBpbmZyYXN0cnVjdHVyZSBpcyBmYXZvcmluZyBjYXIgdHJhZmZpYy4gVGhlIGFzc29jaWF0aW9uIG9mIG9sZGVyIGFkdWx0c+KAmSBwZXJjZXB0aW9uIG9mIGF0dHJpYnV0ZXMgb2YgdGhlIGJ1aWx0IGVudmlyb25tZW50IHdpdGggY3ljbGluZyBhbmQgZS1iaWtpbmcgZm9yIHRyYW5zcG9ydCB3YXMgaW52ZXN0aWdhdGVkLiBUaGUgcG90ZW50aWFsIG1vZGVyYXRpbmcgZWZmZWN0cyBvZiBhZ2UsIHNleCwgYW5kIG1vYmlsaXR5IGltcGFpcm1lbnRzIHdlcmUgZXhwbG9yZWQuIEEgY3Jvc3Mtc2VjdGlvbmFsIHN1cnZleSB3YXMgY29uZHVjdGVkIGluIHRvd25zIGFuZCBjb21tdW5pdGllcyBvZiA8MTAwLDAwMCBpbmhhYml0YW50cywgaW5jbHVkaW5nIDIsMTQ0IHBhcnRpY2lwYW50cyAobWVhbiBhZ2U6IDc0OyA1MyUgbWVuKS4gVGhyZWUgZGlmZmVyZW50IGN5Y2xpbmcgb3V0Y29tZXMgKGFueSBjeWNsaW5nL2UtYmlraW5nLCBmcmVxdWVuY3kgKOKJpTMgZGF5cy93ZWVrKSBhbmQgYW1vdW50IChtaW51dGVzL3dlZWspKSB3ZXJlIGFuYWx5emVkIGFtb25nIGFsbCBjeWNsaXN0cyBhbmQgZS1iaWtlIHVzZXJzIHNlcGFyYXRlbHksIHJlc3VsdGluZyBpbiBzaXggZGVwZW5kZW50IHZhcmlhYmxlcy4gVGhlIGltcGFjdCBvZiB0ZW4gZW52aXJvbm1lbnRhbCBhdHRyaWJ1dGVzIG9uIHRoZXNlIG91dGNvbWVzIHdhcyBhbmFseXplZCBpbiBzZXBhcmF0ZSBtb2RlbHMuIE92ZXJhbGwsIHN0cmVldCBjb25uZWN0aXZpdHksIGFuZCB0aGUgcHJveGltaXR5IGFuZCBudW1iZXIgb2YgZGVzdGluYXRpb25zIHdlcmUgbW9zdCBpbXBvcnRhbnQuIE9ubHkgc3RyZWV0IGNvbm5lY3Rpdml0eSBhbmQgdHJhZmZpYyBzYWZldHkgd2VyZSByZWxhdGVkIHRvIG1pbnV0ZXMgY3ljbGluZyBvciBlLWJpa2luZyBwZXIgd2Vlay4gQ3ljbGluZyBhbW91bnQgd2FzIGhpZ2hlciBvdmVyYWxsIGZvciBlLWJpa2luZyBidXQgZmV3ZXIgZW52aXJvbm1lbnRhbCBhdHRyaWJ1dGVzIHNob3dlZCBhbiBhc3NvY2lhdGlvbiBjb21wYXJlZCB0byBhbnkgY3ljbGluZywgcmVnYXJkbGVzcyBvZiBiaWN5Y2xlIHR5cGUuIFRyYWZmaWMgc2FmZXR5IHdhcyBub3QgYXNzb2NpYXRlZCB3aXRoIGZvdXIgb3V0IG9mIHRoZSBzaXggY3ljbGluZyBvdXRjb21lcyBhbmQgd2FzIGludmVyc2VseSBhc3NvY2lhdGVkIHdpdGggbWludXRlcyBjeWNsaW5nIG9yIGUtYmlraW5nLiBEZW5zaXR5IHdhcyBub3QgcmVsYXRlZCB0byBhbnkgb2YgdGhlIHZhcmlhYmxlcyBpbnZlc3RpZ2F0ZWQuIFNldmVyYWwgaW50ZXJhY3Rpb24gZWZmZWN0cyBvZiBzZXgsIGFnZSwgYW5kIG1vYmlsaXR5IGltcGFpcm1lbnRzIHdlcmUgZm91bmQuIEZ1cnRoZXIgcmVzZWFyY2ggaXMgbmVlZGVkIG9uIGVudmlyb25tZW50YWwgYXR0cmlidXRlcyBpbmZsdWVuY2luZyBlLWJpa2UgdXNlLCB0aGUgbW9zdCBpbXBvcnRhbnQgdHlwZXMgb2YgZGVzdGluYXRpb25zLCBhbmQgYSBtb3JlIGRpZmZlcmVudGlhdGVkIGFzc2Vzc21lbnQgb2YgcGVyY2VpdmVkIHRyYWZmaWMgc2FmZXR5IGluIG9sZGVyIGFkdWx0cy4iLCJwdWJsaXNoZXIiOiJQdWJsaWMgTGlicmFyeSBvZiBTY2llbmNlIiwiaXNzdWUiOiI1IE1heSIsInZvbHVtZSI6IjE3In0sImlzVGVtcG9yYXJ5IjpmYWxzZX0seyJpZCI6IjBmYTViNjJjLTc3YjEtM2M5ZC1hYzgxLWU5NGNjMWJhNmJjNyIsIml0ZW1EYXRhIjp7InR5cGUiOiJhcnRpY2xlLWpvdXJuYWwiLCJpZCI6IjBmYTViNjJjLTc3YjEtM2M5ZC1hYzgxLWU5NGNjMWJhNmJjNyIsInRpdGxlIjoiUGVyY2VpdmVkIG5laWdoYm9yaG9vZCBlbnZpcm9ubWVudGFsIGF0dHJpYnV0ZXMgYXNzb2NpYXRlZCB3aXRoIHdhbGtpbmcgYW5kIGN5Y2xpbmcgZm9yIHRyYW5zcG9ydCBhbW9uZyBhZHVsdCByZXNpZGVudHMgb2YgMTcgY2l0aWVzIGluIDEyIGNvdW50cmllczogVGhlIElQRU4gc3R1ZHkiLCJhdXRob3IiOlt7ImZhbWlseSI6IktlcnIiLCJnaXZlbiI6IkphY3F1ZWxpbmUiLCJwYXJzZS1uYW1lcyI6ZmFsc2UsImRyb3BwaW5nLXBhcnRpY2xlIjoiIiwibm9uLWRyb3BwaW5nLXBhcnRpY2xlIjoiIn0seyJmYW1pbHkiOiJFbW9uZCIsImdpdmVuIjoiSmVubmlmZXIgQS4iLCJwYXJzZS1uYW1lcyI6ZmFsc2UsImRyb3BwaW5nLXBhcnRpY2xlIjoiIiwibm9uLWRyb3BwaW5nLXBhcnRpY2xlIjoiIn0seyJmYW1pbHkiOiJCYWRsYW5kIiwiZ2l2ZW4iOiJIYW5uYWgiLCJwYXJzZS1uYW1lcyI6ZmFsc2UsImRyb3BwaW5nLXBhcnRpY2xlIjoiIiwibm9uLWRyb3BwaW5nLXBhcnRpY2xlIjoiIn0seyJmYW1pbHkiOiJSZWlzIiwiZ2l2ZW4iOiJSb2RyaWdvIiwicGFyc2UtbmFtZXMiOmZhbHNlLCJkcm9wcGluZy1wYXJ0aWNsZSI6IiIsIm5vbi1kcm9wcGluZy1wYXJ0aWNsZSI6IiJ9LHsiZmFtaWx5IjoiU2FybWllbnRvIiwiZ2l2ZW4iOiJPbGdhIiwicGFyc2UtbmFtZXMiOmZhbHNlLCJkcm9wcGluZy1wYXJ0aWNsZSI6IiIsIm5vbi1kcm9wcGluZy1wYXJ0aWNsZSI6IiJ9LHsiZmFtaWx5IjoiQ2FybHNvbiIsImdpdmVuIjoiSm9yZGFuIiwicGFyc2UtbmFtZXMiOmZhbHNlLCJkcm9wcGluZy1wYXJ0aWNsZSI6IiIsIm5vbi1kcm9wcGluZy1wYXJ0aWNsZSI6IiJ9LHsiZmFtaWx5IjoiU2FsbGlzIiwiZ2l2ZW4iOiJKYW1lcyBGLiIsInBhcnNlLW5hbWVzIjpmYWxzZSwiZHJvcHBpbmctcGFydGljbGUiOiIiLCJub24tZHJvcHBpbmctcGFydGljbGUiOiIifSx7ImZhbWlseSI6IkNlcmluIiwiZ2l2ZW4iOiJFc3RlciIsInBhcnNlLW5hbWVzIjpmYWxzZSwiZHJvcHBpbmctcGFydGljbGUiOiIiLCJub24tZHJvcHBpbmctcGFydGljbGUiOiIifSx7ImZhbWlseSI6IkNhaW4iLCJnaXZlbiI6IktlbGxpIiwicGFyc2UtbmFtZXMiOmZhbHNlLCJkcm9wcGluZy1wYXJ0aWNsZSI6IiIsIm5vbi1kcm9wcGluZy1wYXJ0aWNsZSI6IiJ9LHsiZmFtaWx5IjoiQ29ud2F5IiwiZ2l2ZW4iOiJUZXJyeSIsInBhcnNlLW5hbWVzIjpmYWxzZSwiZHJvcHBpbmctcGFydGljbGUiOiIiLCJub24tZHJvcHBpbmctcGFydGljbGUiOiIifSx7ImZhbWlseSI6IlNjaG9maWVsZCIsImdpdmVuIjoiR3JhbnQiLCJwYXJzZS1uYW1lcyI6ZmFsc2UsImRyb3BwaW5nLXBhcnRpY2xlIjoiIiwibm9uLWRyb3BwaW5nLXBhcnRpY2xlIjoiIn0seyJmYW1pbHkiOiJNYWNmYXJsYW5lIiwiZ2l2ZW4iOiJEdW5jYW4gSi4iLCJwYXJzZS1uYW1lcyI6ZmFsc2UsImRyb3BwaW5nLXBhcnRpY2xlIjoiIiwibm9uLWRyb3BwaW5nLXBhcnRpY2xlIjoiIn0seyJmYW1pbHkiOiJDaHJpc3RpYW5zZW4iLCJnaXZlbiI6IkxhcnMgQi4iLCJwYXJzZS1uYW1lcyI6ZmFsc2UsImRyb3BwaW5nLXBhcnRpY2xlIjoiIiwibm9uLWRyb3BwaW5nLXBhcnRpY2xlIjoiIn0seyJmYW1pbHkiOiJEeWNrIiwiZ2l2ZW4iOiJEZWxmaWVuIiwicGFyc2UtbmFtZXMiOmZhbHNlLCJkcm9wcGluZy1wYXJ0aWNsZSI6IiIsIm5vbi1kcm9wcGluZy1wYXJ0aWNsZSI6IlZhbiJ9LHsiZmFtaWx5IjoiRGF2ZXkiLCJnaXZlbiI6IlJhY2hlbCIsInBhcnNlLW5hbWVzIjpmYWxzZSwiZHJvcHBpbmctcGFydGljbGUiOiIiLCJub24tZHJvcHBpbmctcGFydGljbGUiOiIifSx7ImZhbWlseSI6IkFndWluYWdhLU9udG9zbyIsImdpdmVuIjoiSW5lcyIsInBhcnNlLW5hbWVzIjpmYWxzZSwiZHJvcHBpbmctcGFydGljbGUiOiIiLCJub24tZHJvcHBpbmctcGFydGljbGUiOiIifSx7ImZhbWlseSI6IlNhbHZvIiwiZ2l2ZW4iOiJEZWJvcmFoIiwicGFyc2UtbmFtZXMiOmZhbHNlLCJkcm9wcGluZy1wYXJ0aWNsZSI6IiIsIm5vbi1kcm9wcGluZy1wYXJ0aWNsZSI6IiJ9LHsiZmFtaWx5IjoiU3VnaXlhbWEiLCJnaXZlbiI6IlRha2VtaSIsInBhcnNlLW5hbWVzIjpmYWxzZSwiZHJvcHBpbmctcGFydGljbGUiOiIiLCJub24tZHJvcHBpbmctcGFydGljbGUiOiIifSx7ImZhbWlseSI6Ik1pdMOhxaEiLCJnaXZlbiI6Ikpvc2VmIiwicGFyc2UtbmFtZXMiOmZhbHNlLCJkcm9wcGluZy1wYXJ0aWNsZSI6IiIsIm5vbi1kcm9wcGluZy1wYXJ0aWNsZSI6IiJ9LHsiZmFtaWx5IjoiT3dlbiIsImdpdmVuIjoiTmV2aWxsZSIsInBhcnNlLW5hbWVzIjpmYWxzZSwiZHJvcHBpbmctcGFydGljbGUiOiIiLCJub24tZHJvcHBpbmctcGFydGljbGUiOiIifSx7ImZhbWlseSI6Ik5hdGFyYWphbiIsImdpdmVuIjoiTG9raSIsInBhcnNlLW5hbWVzIjpmYWxzZSwiZHJvcHBpbmctcGFydGljbGUiOiIiLCJub24tZHJvcHBpbmctcGFydGljbGUiOiIifV0sImNvbnRhaW5lci10aXRsZSI6IkVudmlyb25tZW50YWwgSGVhbHRoIFBlcnNwZWN0aXZlcyIsImNvbnRhaW5lci10aXRsZS1zaG9ydCI6IkVudmlyb24uIEhlYWx0aCBQZXJzcGVjdC4iLCJET0kiOiIxMC4xMjg5L2VocC4xNDA5NDY2IiwiSVNTTiI6IjE1NTI5OTI0IiwiUE1JRCI6IjI2MTg2ODAxIiwiaXNzdWVkIjp7ImRhdGUtcGFydHMiOltbMjAxNiwzLDFdXX0sInBhZ2UiOiIyOTAtMjk4IiwiYWJzdHJhY3QiOiJJbnRyb2R1Y3Rpb246IFByZXZhbGVuY2Ugb2Ygd2Fsa2luZyBhbmQgY3ljbGluZyBmb3IgdHJhbnNwb3J0IGlzIGxvdyBhbmQgdmFyaWVzIGdyZWF0bHkgYWNyb3NzIGNvdW50cmllcy4gRmV3IHN0dWRpZXMgaGF2ZSBleGFtaW5lZCBuZWlnaGJvcmhvb2QgcGVyY2VwdGlvbnMgcmVsYXRlZCB0byB3YWxraW5nIGFuZCBjeWNsaW5nIGZvciB0cmFuc3BvcnQgaW4gZGlmZmVyZW50IGNvdW50cmllcy4gVGhlcmVmb3JlLCBpdCBpcyBjaGFsbGVuZ2luZyB0byBwcmlvcml0aXplIGFwcHJvcHJpYXRlIGJ1aWx0LWVudmlyb25tZW50IGludGVydmVudGlvbnMuIE9iamVjdGl2ZXM6IFRoZSBhaW0gb2YgdGhpcyBzdHVkeSB3YXMgdG8gZXhhbWluZSB0aGUgc3RyZW5ndGggYW5kIHNoYXBlIG9mIHRoZSByZWxhdGlvbnNoaXAgYmV0d2VlbiBhZHVsdHPigJkgbmVpZ2hib3Job29kIHBlcmNlcHRpb25zIGFuZCB3YWxraW5nIGFuZCBjeWNsaW5nIGZvciB0cmFuc3BvcnQgYWNyb3NzIGRpdmVyc2UgZW52aXJvbm1lbnRzLiBNZXRob2RzOiBBcyBwYXJ0IG9mIHRoZSBJbnRlcm5hdGlvbmFsIFBoeXNpY2FsIGFjdGl2aXR5IGFuZCBFbnZpcm9ubWVudCBOZXR3b3JrIChJUEVOKSBhZHVsdCBwcm9qZWN0LCBzZWxmLXJlcG9ydGVkIGRhdGEgd2VyZSB0YWtlbiBmcm9tIDEzLDc0NSBhZHVsdHMgKDE44oCTNjUgeWVhcnMpIGxpdmluZyBpbiBwaHlzaWNhbGx5IGFuZCBzb2NpYWxseSBkaXZlcnNlIG5laWdoYm9yaG9vZHMgaW4gMTcgY2l0aWVzIGFjcm9zcyAxMiBjb3VudHJpZXMuIE5laWdoYm9yaG9vZCBwZXJjZXB0aW9ucyB3ZXJlIG1lYXN1cmVkIHVzaW5nIHRoZSBOZWlnaGJvcmhvb2QgRW52aXJvbm1lbnQgV2Fsa2FiaWxpdHkgU2NhbGUsIGFuZCB3YWxraW5nIGFuZCBjeWNsaW5nIGZvciB0cmFuc3BvcnQgd2VyZSBtZWFzdXJlZCB1c2luZyB0aGUgSW50ZXJuYXRpb25hbCBQaHlzaWNhbCBBY3Rpdml0eSBRdWVzdGlvbm5haXJl4oCTTG9uZyBGb3JtLiBHZW5lcmFsaXplZCBhZGRpdGl2ZSBtaXhlZCBtb2RlbHMgd2VyZSB1c2VkIHRvIG1vZGVsIHdhbGtpbmcgb3IgY3ljbGluZyBmb3IgdHJhbnNwb3J0IGR1cmluZyB0aGUgbGFzdCBzZXZlbiBkYXlzIHdpdGggbmVpZ2hib3Job29kIHBlcmNlcHRpb25zLiBJbnRlcmFjdGlvbnMgYnkgY2l0eSB3ZXJlIGV4cGxvcmVkLiBSZXN1bHRzOiBXYWxraW5nLWZvci10cmFuc3BvcnQgb3V0Y29tZXMgd2VyZSBzaWduaWZpY2FudGx5IGFzc29jaWF0ZWQgd2l0aCBwZXJjZWl2ZWQgcmVzaWRlbnRpYWwgZGVuc2l0eSwgbGFuZCB1c2UgbWl44oCTYWNjZXNzLCBzdHJlZXQgY29ubmVjdGl2aXR5LCBhZXN0aGV0aWNzLCBhbmQgc2FmZXR5LiBBbnkgY3ljbGluZyBmb3IgdHJhbnNwb3J0IHdhcyBzaWduaWZpY2FudGx5IHJlbGF0ZWQgdG8gcGVyY2VpdmVkIGxhbmQgdXNlIG1peOKAk2FjY2Vzcywgc3RyZWV0IGNvbm5lY3Rpdml0eSwgaW5mcmFzdHJ1Y3R1cmUsIGFlc3RoZXRpY3MsIHNhZmV0eSwgYW5kIHBlcmNlaXZlZCBkaXN0YW5jZSB0byBkZXN0aW5hdGlvbnMuIEJldHdlZW4tY2l0eSBkaWZmZXJlbmNlcyBleGlzdGVkIGZvciBzb21lIGF0dHJpYnV0ZXMgaW4gcmVsYXRpb24gdG8gd2Fsa2luZyBvciBjeWNsaW5nIGZvciB0cmFuc3BvcnQuIENvbmNsdXNpb25zOiBNYW55IHBlcmNlaXZlZCBlbnZpcm9ubWVudGFsIGF0dHJpYnV0ZXMgc3VwcG9ydGVkIGJvdGggY3ljbGluZyBhbmQgd2Fsa2luZzsgaG93ZXZlciwgaGlnaGx5IHdhbGthYmxlIGVudmlyb25tZW50cyBtYXkgbm90IHN1cHBvcnQgY3ljbGluZyBmb3IgdHJhbnNwb3J0LiBQZW9wbGUgYXBwZWFyIHRvIHdhbGsgZm9yIHRyYW5zcG9ydCBkZXNwaXRlIHNhZmV0eSBjb25jZXJucy4gVGhlc2UgZmluZGluZ3MgY2FuIGd1aWRlIHRoZSBpbXBsZW1lbnRhdGlvbiBvZiBnbG9iYWwgaGVhbHRoIHN0cmF0ZWdpZXMuIiwicHVibGlzaGVyIjoiUHVibGljIEhlYWx0aCBTZXJ2aWNlcywgVVMgRGVwdCBvZiBIZWFsdGggYW5kIEh1bWFuIFNlcnZpY2VzIiwiaXNzdWUiOiIzIiwidm9sdW1lIjoiMTI0In0sImlzVGVtcG9yYXJ5IjpmYWxzZX0seyJpZCI6IjAxNjAzZjRjLWIzMjctMzEwOC05YmFmLWYyZGVlZTI0MzdjNiIsIml0ZW1EYXRhIjp7InR5cGUiOiJhcnRpY2xlLWpvdXJuYWwiLCJpZCI6IjAxNjAzZjRjLWIzMjctMzEwOC05YmFmLWYyZGVlZTI0MzdjNiIsInRpdGxlIjoiRG8gcGVvcGxl4oCZcyBwZXJjZXB0aW9ucyBvZiBuZWlnaGJvcmhvb2QgYmlrZWFiaWxpdHkgbWF0Y2gg4oCcUmVhbGl0eeKAnT8iLCJhdXRob3IiOlt7ImZhbWlseSI6Ik1hIiwiZ2l2ZW4iOiJMaWFuZyIsInBhcnNlLW5hbWVzIjpmYWxzZSwiZHJvcHBpbmctcGFydGljbGUiOiIiLCJub24tZHJvcHBpbmctcGFydGljbGUiOiIifSx7ImZhbWlseSI6IkRpbGwiLCJnaXZlbiI6Ikplbm5pZmVyIiwicGFyc2UtbmFtZXMiOmZhbHNlLCJkcm9wcGluZy1wYXJ0aWNsZSI6IiIsIm5vbi1kcm9wcGluZy1wYXJ0aWNsZSI6IiJ9XSwiY29udGFpbmVyLXRpdGxlIjoiSm91cm5hbCBvZiBUcmFuc3BvcnQgYW5kIExhbmQgVXNlIiwiYWNjZXNzZWQiOnsiZGF0ZS1wYXJ0cyI6W1syMDI2LDQsMjVdXX0sIkRPSSI6IjEwLjUxOTgvanRsdS4yMDE1Ljc5NiIsImlzc3VlZCI6eyJkYXRlLXBhcnRzIjpbWzIwMTcsMSw3XV19LCJhYnN0cmFjdCI6IkRvIHBlb3BsZSBwZXJjZWl2ZSB0aGUgYnVpbHQgZW52aXJvbm1lbnQgdGhlIHNhbWUgYXMgb25lIG9iamVjdGl2ZWx5IG1lYXN1cmVzIGl0PyBJZiBub3QsIHdoYXQgYXJlIHRoZSByZWxhdGl2ZSByb2xlcyBvZiB0aGUgb2JqZWN0aXZlIHZlcnN1cyB0aGUgcGVyY2VpdmVkIGVudmlyb25tZW50IG9uIGJpY3ljbGluZyBiZWhhdmlvcj8gVGhpcyBzdHVkeSwgYmFzZWQgb24gZGF0YSBmcm9tIFBvcnRsYW5kIE9yZWdvbiwgZXhwbG9yZWQgdGhlIG1hdGNoIG9yIG1pc21hdGNoIGJldHdlZW4gdGhlIG9iamVjdGl2ZSBhbmQgcGVyY2VpdmVkIGJpY3ljbGluZyBlbnZpcm9ubWVudCwgYW5kIGhvdyBpdCBhZmZlY3RzIHBlb3BsZeKAmXMgYmljeWNsaW5nIGJlaGF2aW9yLiBUaGUgZGVzY3JpcHRpdmUgYW5hbHlzaXMgaW5kaWNhdGVkIGEgZmFpciBhZ3JlZW1lbnQgYmV0d2VlbiBwZXJjZWl2ZWQgYW5kIG9iamVjdGl2ZSBtZWFzdXJlcy4gT2xkZXIgYWR1bHRzLCB3b21lbiBoYXZpbmcgY2hpbGRyZW4sIGxlc3MtZWR1Y2F0ZWQgYW5kIGxvd2VyLWluY29tZSBwZXJzb25zLCBhbmQgdGhvc2Ugd2hvIGJpY3ljbGUgbGVzcyB0ZW5kZWQgdG8gcGVyY2VpdmUgdGhlaXIgaGlnaC1iaWtlYWJsZSBlbnZpcm9ubWVudCAobWVhc3VyZWQgb2JqZWN0aXZlbHkpIGFzIGxvdy0gYmlrZWFibGUuIEluIGFkZGl0aW9uIHRvIHRoZSBzb2Npby1kZW1vZ3JhcGhpY3MsIHRoaXMgc3R1ZHkgYWxzbyBmb3VuZCBzb2NpYWwgZW52aXJvbm1lbnQgY2FuIHBsYXkgYSByb2xlIGluIHRoZSByZWxhdGlvbnNoaXAgYmV0d2VlbiBvYmplY3RpdmUgYW5kIHBlcmNlaXZlZCBlbnZpcm9ubWVudC4gRmluYWxseSwgcmVzdWx0cyBvZiB0aGlzIHN0dWR5IGluZGljYXRlZCB0aGF0IGFjdHVhbCBhbmQgcGVyY2VpdmVkIGJ1aWx0LWVudmlyb25tZW50IGJvdGggYXJlIGFzc29jaWF0ZWQgd2l0aCB0aGUgYmljeWNsaW5nIGJlaGF2aW9yLCBwYXJ0aWN1bGFybHkgZm9yIHV0aWxpdGFyaWFuIGJpY3ljbGluZy4gRm9yIHJlY3JlYXRpb25hbCBiaWN5Y2xpbmcsIHRoZSBvYmplY3RpdmUgZW52aXJvbm1lbnQgYXR0cmlidXRlcyBtZWFzdXJlZCBpbiB0aGlzIHN0dWR5IGFyZSBub3Qgc2lnbmlmaWNhbnQgZmFjdG9ycywgd2hpbGUgdGhlIHBlcmNlcHRpb25zIGRvIG1hdHRlci4iLCJwdWJsaXNoZXIiOiJDZW50ZXIgZm9yIFRyYW5zcG9ydGF0aW9uIFN0dWRpZXMiLCJjb250YWluZXItdGl0bGUtc2hvcnQiOiJKLiBUcmFuc3AuIExhbmQgVXNlIn0sImlzVGVtcG9yYXJ5IjpmYWxzZX1dfQ==&quot;},{&quot;citationID&quot;:&quot;MENDELEY_CITATION_f71d8791-19a7-423d-b4a6-9ec0f100a5d7&quot;,&quot;properties&quot;:{&quot;noteIndex&quot;:0},&quot;isEdited&quot;:false,&quot;manualOverride&quot;:{&quot;isManuallyOverridden&quot;:true,&quot;citeprocText&quot;:&quot;(Ma &amp;#38; Dill, 2017)&quot;,&quot;manualOverrideText&quot;:&quot;(Ma and Dill, 2017)&quot;},&quot;citationTag&quot;:&quot;MENDELEY_CITATION_v3_eyJjaXRhdGlvbklEIjoiTUVOREVMRVlfQ0lUQVRJT05fZjcxZDg3OTEtMTlhNy00MjNkLWI0YTYtOWVjMGYxMDBhNWQ3IiwicHJvcGVydGllcyI6eyJub3RlSW5kZXgiOjB9LCJpc0VkaXRlZCI6ZmFsc2UsIm1hbnVhbE92ZXJyaWRlIjp7ImlzTWFudWFsbHlPdmVycmlkZGVuIjp0cnVlLCJjaXRlcHJvY1RleHQiOiIoTWEgJiMzODsgRGlsbCwgMjAxNykiLCJtYW51YWxPdmVycmlkZVRleHQiOiIoTWEgYW5kIERpbGwsIDIwMTcpIn0sImNpdGF0aW9uSXRlbXMiOlt7ImlkIjoiMDE2MDNmNGMtYjMyNy0zMTA4LTliYWYtZjJkZWVlMjQzN2M2IiwiaXRlbURhdGEiOnsidHlwZSI6ImFydGljbGUtam91cm5hbCIsImlkIjoiMDE2MDNmNGMtYjMyNy0zMTA4LTliYWYtZjJkZWVlMjQzN2M2IiwidGl0bGUiOiJEbyBwZW9wbGXigJlzIHBlcmNlcHRpb25zIG9mIG5laWdoYm9yaG9vZCBiaWtlYWJpbGl0eSBtYXRjaCDigJxSZWFsaXR54oCdPyIsImF1dGhvciI6W3siZmFtaWx5IjoiTWEiLCJnaXZlbiI6IkxpYW5nIiwicGFyc2UtbmFtZXMiOmZhbHNlLCJkcm9wcGluZy1wYXJ0aWNsZSI6IiIsIm5vbi1kcm9wcGluZy1wYXJ0aWNsZSI6IiJ9LHsiZmFtaWx5IjoiRGlsbCIsImdpdmVuIjoiSmVubmlmZXIiLCJwYXJzZS1uYW1lcyI6ZmFsc2UsImRyb3BwaW5nLXBhcnRpY2xlIjoiIiwibm9uLWRyb3BwaW5nLXBhcnRpY2xlIjoiIn1dLCJjb250YWluZXItdGl0bGUiOiJKb3VybmFsIG9mIFRyYW5zcG9ydCBhbmQgTGFuZCBVc2UiLCJhY2Nlc3NlZCI6eyJkYXRlLXBhcnRzIjpbWzIwMjYsNCwyNV1dfSwiRE9JIjoiMTAuNTE5OC9qdGx1LjIwMTUuNzk2IiwiaXNzdWVkIjp7ImRhdGUtcGFydHMiOltbMjAxNywxLDddXX0sImFic3RyYWN0IjoiRG8gcGVvcGxlIHBlcmNlaXZlIHRoZSBidWlsdCBlbnZpcm9ubWVudCB0aGUgc2FtZSBhcyBvbmUgb2JqZWN0aXZlbHkgbWVhc3VyZXMgaXQ/IElmIG5vdCwgd2hhdCBhcmUgdGhlIHJlbGF0aXZlIHJvbGVzIG9mIHRoZSBvYmplY3RpdmUgdmVyc3VzIHRoZSBwZXJjZWl2ZWQgZW52aXJvbm1lbnQgb24gYmljeWNsaW5nIGJlaGF2aW9yPyBUaGlzIHN0dWR5LCBiYXNlZCBvbiBkYXRhIGZyb20gUG9ydGxhbmQgT3JlZ29uLCBleHBsb3JlZCB0aGUgbWF0Y2ggb3IgbWlzbWF0Y2ggYmV0d2VlbiB0aGUgb2JqZWN0aXZlIGFuZCBwZXJjZWl2ZWQgYmljeWNsaW5nIGVudmlyb25tZW50LCBhbmQgaG93IGl0IGFmZmVjdHMgcGVvcGxl4oCZcyBiaWN5Y2xpbmcgYmVoYXZpb3IuIFRoZSBkZXNjcmlwdGl2ZSBhbmFseXNpcyBpbmRpY2F0ZWQgYSBmYWlyIGFncmVlbWVudCBiZXR3ZWVuIHBlcmNlaXZlZCBhbmQgb2JqZWN0aXZlIG1lYXN1cmVzLiBPbGRlciBhZHVsdHMsIHdvbWVuIGhhdmluZyBjaGlsZHJlbiwgbGVzcy1lZHVjYXRlZCBhbmQgbG93ZXItaW5jb21lIHBlcnNvbnMsIGFuZCB0aG9zZSB3aG8gYmljeWNsZSBsZXNzIHRlbmRlZCB0byBwZXJjZWl2ZSB0aGVpciBoaWdoLWJpa2VhYmxlIGVudmlyb25tZW50IChtZWFzdXJlZCBvYmplY3RpdmVseSkgYXMgbG93LSBiaWtlYWJsZS4gSW4gYWRkaXRpb24gdG8gdGhlIHNvY2lvLWRlbW9ncmFwaGljcywgdGhpcyBzdHVkeSBhbHNvIGZvdW5kIHNvY2lhbCBlbnZpcm9ubWVudCBjYW4gcGxheSBhIHJvbGUgaW4gdGhlIHJlbGF0aW9uc2hpcCBiZXR3ZWVuIG9iamVjdGl2ZSBhbmQgcGVyY2VpdmVkIGVudmlyb25tZW50LiBGaW5hbGx5LCByZXN1bHRzIG9mIHRoaXMgc3R1ZHkgaW5kaWNhdGVkIHRoYXQgYWN0dWFsIGFuZCBwZXJjZWl2ZWQgYnVpbHQtZW52aXJvbm1lbnQgYm90aCBhcmUgYXNzb2NpYXRlZCB3aXRoIHRoZSBiaWN5Y2xpbmcgYmVoYXZpb3IsIHBhcnRpY3VsYXJseSBmb3IgdXRpbGl0YXJpYW4gYmljeWNsaW5nLiBGb3IgcmVjcmVhdGlvbmFsIGJpY3ljbGluZywgdGhlIG9iamVjdGl2ZSBlbnZpcm9ubWVudCBhdHRyaWJ1dGVzIG1lYXN1cmVkIGluIHRoaXMgc3R1ZHkgYXJlIG5vdCBzaWduaWZpY2FudCBmYWN0b3JzLCB3aGlsZSB0aGUgcGVyY2VwdGlvbnMgZG8gbWF0dGVyLiIsInB1Ymxpc2hlciI6IkNlbnRlciBmb3IgVHJhbnNwb3J0YXRpb24gU3R1ZGllcyIsImNvbnRhaW5lci10aXRsZS1zaG9ydCI6IkouIFRyYW5zcC4gTGFuZCBVc2UifSwiaXNUZW1wb3JhcnkiOmZhbHNlLCJzdXBwcmVzcy1hdXRob3IiOmZhbHNlLCJjb21wb3NpdGUiOmZhbHNlLCJhdXRob3Itb25seSI6ZmFsc2V9XX0=&quot;,&quot;citationItems&quot;:[{&quot;id&quot;:&quot;01603f4c-b327-3108-9baf-f2deee2437c6&quot;,&quot;itemData&quot;:{&quot;type&quot;:&quot;article-journal&quot;,&quot;id&quot;:&quot;01603f4c-b327-3108-9baf-f2deee2437c6&quot;,&quot;title&quot;:&quot;Do people’s perceptions of neighborhood bikeability match “Reality”?&quot;,&quot;author&quot;:[{&quot;family&quot;:&quot;Ma&quot;,&quot;given&quot;:&quot;Liang&quot;,&quot;parse-names&quot;:false,&quot;dropping-particle&quot;:&quot;&quot;,&quot;non-dropping-particle&quot;:&quot;&quot;},{&quot;family&quot;:&quot;Dill&quot;,&quot;given&quot;:&quot;Jennifer&quot;,&quot;parse-names&quot;:false,&quot;dropping-particle&quot;:&quot;&quot;,&quot;non-dropping-particle&quot;:&quot;&quot;}],&quot;container-title&quot;:&quot;Journal of Transport and Land Use&quot;,&quot;accessed&quot;:{&quot;date-parts&quot;:[[2026,4,25]]},&quot;DOI&quot;:&quot;10.5198/jtlu.2015.796&quot;,&quot;issued&quot;:{&quot;date-parts&quot;:[[2017,1,7]]},&quot;abstract&quot;:&quot;Do people perceive the built environment the same as one objectively measures it? If not, what are the relative roles of the objective versus the perceived environment on bicycling behavior? This study, based on data from Portland Oregon, explored the match or mismatch between the objective and perceived bicycling environment, and how it affects people’s bicycling behavior. The descriptive analysis indicated a fair agreement between perceived and objective measures. Older adults, women having children, less-educated and lower-income persons, and those who bicycle less tended to perceive their high-bikeable environment (measured objectively) as low- bikeable. In addition to the socio-demographics, this study also found social environment can play a role in the relationship between objective and perceived environment. Finally, results of this study indicated that actual and perceived built-environment both are associated with the bicycling behavior, particularly for utilitarian bicycling. For recreational bicycling, the objective environment attributes measured in this study are not significant factors, while the perceptions do matter.&quot;,&quot;publisher&quot;:&quot;Center for Transportation Studies&quot;,&quot;container-title-short&quot;:&quot;J. Transp. Land Use&quot;},&quot;isTemporary&quot;:false,&quot;suppress-author&quot;:false,&quot;composite&quot;:false,&quot;author-only&quot;:false}]},{&quot;citationID&quot;:&quot;MENDELEY_CITATION_598fdd38-28d8-4973-9ce9-7ea4ae6276a7&quot;,&quot;properties&quot;:{&quot;noteIndex&quot;:0},&quot;isEdited&quot;:false,&quot;manualOverride&quot;:{&quot;isManuallyOverridden&quot;:false,&quot;citeprocText&quot;:&quot;(Lättman et al., 2018)&quot;,&quot;manualOverrideText&quot;:&quot;&quot;},&quot;citationTag&quot;:&quot;MENDELEY_CITATION_v3_eyJjaXRhdGlvbklEIjoiTUVOREVMRVlfQ0lUQVRJT05fNTk4ZmRkMzgtMjhkOC00OTczLTljZTktN2VhNGFlNjI3NmE3IiwicHJvcGVydGllcyI6eyJub3RlSW5kZXgiOjB9LCJpc0VkaXRlZCI6ZmFsc2UsIm1hbnVhbE92ZXJyaWRlIjp7ImlzTWFudWFsbHlPdmVycmlkZGVuIjpmYWxzZSwiY2l0ZXByb2NUZXh0IjoiKEzDpHR0bWFuIGV0IGFsLiwgMjAxOCkiLCJtYW51YWxPdmVycmlkZVRleHQiOiIifSwiY2l0YXRpb25JdGVtcyI6W3siaWQiOiJlOGRkZWJhMS05ODUwLTM5YjYtYjk1ZC1mMThhNGRiNDNiYmQiLCJpdGVtRGF0YSI6eyJ0eXBlIjoiYXJ0aWNsZS1qb3VybmFsIiwiaWQiOiJlOGRkZWJhMS05ODUwLTM5YjYtYjk1ZC1mMThhNGRiNDNiYmQiLCJ0aXRsZSI6IkEgbmV3IGFwcHJvYWNoIHRvIGFjY2Vzc2liaWxpdHkg4oCTIEV4YW1pbmluZyBwZXJjZWl2ZWQgYWNjZXNzaWJpbGl0eSBpbiBjb250cmFzdCB0byBvYmplY3RpdmVseSBtZWFzdXJlZCBhY2Nlc3NpYmlsaXR5IGluIGRhaWx5IHRyYXZlbCIsImF1dGhvciI6W3siZmFtaWx5IjoiTMOkdHRtYW4iLCJnaXZlbiI6IkthdHJpbiIsInBhcnNlLW5hbWVzIjpmYWxzZSwiZHJvcHBpbmctcGFydGljbGUiOiIiLCJub24tZHJvcHBpbmctcGFydGljbGUiOiIifSx7ImZhbWlseSI6Ik9sc3NvbiIsImdpdmVuIjoiTGFycyBFLiIsInBhcnNlLW5hbWVzIjpmYWxzZSwiZHJvcHBpbmctcGFydGljbGUiOiIiLCJub24tZHJvcHBpbmctcGFydGljbGUiOiIifSx7ImZhbWlseSI6IkZyaW1hbiIsImdpdmVuIjoiTWFyZ2FyZXRhIiwicGFyc2UtbmFtZXMiOmZhbHNlLCJkcm9wcGluZy1wYXJ0aWNsZSI6IiIsIm5vbi1kcm9wcGluZy1wYXJ0aWNsZSI6IiJ9XSwiY29udGFpbmVyLXRpdGxlIjoiUmVzZWFyY2ggaW4gVHJhbnNwb3J0YXRpb24gRWNvbm9taWNzIiwiYWNjZXNzZWQiOnsiZGF0ZS1wYXJ0cyI6W1syMDI2LDQsMjVdXX0sIkRPSSI6IjEwLjEwMTYvai5yZXRyZWMuMjAxOC4wNi4wMDIiLCJJU1NOIjoiMDczOS04ODU5IiwiVVJMIjoiaHR0cHM6Ly93d3cuc2NpZW5jZWRpcmVjdC5jb20vc2NpZW5jZS9hcnRpY2xlL3BpaS9TMDczOTg4NTkxNzMwMjQ0NSIsImlzc3VlZCI6eyJkYXRlLXBhcnRzIjpbWzIwMTgsOSwxXV19LCJwYWdlIjoiNTAxLTUxMSIsImFic3RyYWN0IjoiQWNjZXNzaWJpbGl0eSBoYXMgY29udmVudGlvbmFsbHkgYmVlbiBtZWFzdXJlZCBhbmQgZXZhbHVhdGVkIGlnbm9yaW5nIHVzZXIgcGVyY2VwdGlvbnMgaW4gZmF2b3Igb2YgZm9jdXNpbmcgb24gdHJhdmVsIHRpbWUgYW5kIGRpc3RhbmNlIHRvIGEgbnVtYmVyIG9mIHByZS1kZXRlcm1pbmVkIGRlc3RpbmF0aW9ucy4gQWNrbm93bGVkZ2luZyB0aGlzIGdhcCwgd2UgcmVjZW50bHkgZGV2ZWxvcGVkIGEgc2NhbGUgZm9yIHBlcmNlaXZlZCBhY2Nlc3NpYmlsaXR5IFBBQyAoTMOkdHRtYW4sIEZyaW1hbiwgJiBPbHNzb24gMjAxNmIpIGFpbWVkIGF0IGNhcHR1cmluZyB0aGUgaW5kaXZpZHVhbCBwZXJzcGVjdGl2ZSBvZiBhY2Nlc3NpYmlsaXR5IHdpdGggYSBjZXJ0YWluIHRyYXZlbCBtb2RlLiBJbiB0aGlzIHBhcGVyLCB3ZSAxKSBmdXJ0aGVyIGRldmVsb3AgdGhlIFBBQyBtZWFzdXJlIG9mIHBlcmNlaXZlZCBhY2Nlc3NpYmlsaXR5IGluIG9yZGVyIHRvIGNhcHR1cmUgaG93IGVhc3kgaXQgaXMgdG8gbGl2ZSBhIHNhdGlzZmFjdG9yeSBsaWZlIHdpdGggdGhlIGhlbHAgb2YgdGhlIHRyYW5zcG9ydCBzeXN0ZW0sIDIpIGNvbXBhcmUgbGV2ZWxzIG9mIHBlcmNlaXZlZCBhY2Nlc3NpYmlsaXR5IGJldHdlZW4gcmVzaWRlbnRpYWwgYXJlYXMgYW5kIG1haW4gdHJhdmVsIG1vZGVzLCBhbmQgMykgY29tcGFyZSByZXNpZGVudHPigJkgcGVyY2VpdmVkIGFjY2Vzc2liaWxpdHkgdG8gdGhlIG9iamVjdGl2ZSBhY2Nlc3NpYmlsaXR5IGxldmVsIGZvciB0aGUgc2FtZSByZXNpZGVudGlhbCBhcmVhLiBEYXRhIGZyb20gMjcxMSByZXNpZGVudHMgb2YgTWFsbcO2LCBTd2VkZW4gc2hvdyB0aGF0IHBlcmNlaXZlZCBhY2Nlc3NpYmlsaXR5IGlzIGNvbnNpc3RlbnRseSBkaWZmZXJlbnQgZnJvbSBvYmplY3RpdmUgYWNjZXNzaWJpbGl0eSBhY3Jvc3MgMTMgcmVzaWRlbnRpYWwgYXJlYXMsIHdpdGggbWlub3IgZGlmZmVyZW5jZXMgaW4gbGV2ZWxzIG9mIHBlcmNlaXZlZCBhY2Nlc3NpYmlsaXR5IGJldHdlZW4gYXJlYXMuIFN1cnByaXNpbmdseSwgYmljeWNsZSB1c2VycyByYXRlIHRoZWlyIGFjY2Vzc2liaWxpdHkgc2lnbmlmaWNhbnRseSBoaWdoZXIgdGhhbiB0aG9zZSB3aG8gbWFpbmx5IHVzZSB0aGUgY2FyIG9yIHB1YmxpYyB0cmFuc3BvcnQgZm9yIGRhaWx5IHRyYXZlbCwgY29udHJhcnkgdG8gb2JqZWN0aXZlIGFjY2Vzc2liaWxpdHkgYXNzdW1wdGlvbnMuIFRoZXNlIGRpZmZlcmVuY2VzIHBvaW50IGF0IHRoZSBpbXBvcnRhbmNlIG9mIGluY2x1ZGluZyBwZXJjZWl2ZWQgYWNjZXNzaWJpbGl0eSBhcyBhIGNvbXBsZW1lbnRhcnkgdG9vbCB3aGVuIHBsYW5uaW5nIGZvciBhbmQgZXZhbHVhdGluZyB0cmFuc3BvcnQgc3lzdGVtcy4iLCJwdWJsaXNoZXIiOiJFbHNldmllciIsInZvbHVtZSI6IjY5IiwiY29udGFpbmVyLXRpdGxlLXNob3J0IjoiIn0sImlzVGVtcG9yYXJ5IjpmYWxzZSwic3VwcHJlc3MtYXV0aG9yIjpmYWxzZSwiY29tcG9zaXRlIjpmYWxzZSwiYXV0aG9yLW9ubHkiOmZhbHNlfV19&quot;,&quot;citationItems&quot;:[{&quot;id&quot;:&quot;e8ddeba1-9850-39b6-b95d-f18a4db43bbd&quot;,&quot;itemData&quot;:{&quot;type&quot;:&quot;article-journal&quot;,&quot;id&quot;:&quot;e8ddeba1-9850-39b6-b95d-f18a4db43bbd&quot;,&quot;title&quot;:&quot;A new approach to accessibility – Examining perceived accessibility in contrast to objectively measured accessibility in daily travel&quot;,&quot;author&quot;:[{&quot;family&quot;:&quot;Lättman&quot;,&quot;given&quot;:&quot;Katrin&quot;,&quot;parse-names&quot;:false,&quot;dropping-particle&quot;:&quot;&quot;,&quot;non-dropping-particle&quot;:&quot;&quot;},{&quot;family&quot;:&quot;Olsson&quot;,&quot;given&quot;:&quot;Lars E.&quot;,&quot;parse-names&quot;:false,&quot;dropping-particle&quot;:&quot;&quot;,&quot;non-dropping-particle&quot;:&quot;&quot;},{&quot;family&quot;:&quot;Friman&quot;,&quot;given&quot;:&quot;Margareta&quot;,&quot;parse-names&quot;:false,&quot;dropping-particle&quot;:&quot;&quot;,&quot;non-dropping-particle&quot;:&quot;&quot;}],&quot;container-title&quot;:&quot;Research in Transportation Economics&quot;,&quot;accessed&quot;:{&quot;date-parts&quot;:[[2026,4,25]]},&quot;DOI&quot;:&quot;10.1016/j.retrec.2018.06.002&quot;,&quot;ISSN&quot;:&quot;0739-8859&quot;,&quot;URL&quot;:&quot;https://www.sciencedirect.com/science/article/pii/S0739885917302445&quot;,&quot;issued&quot;:{&quot;date-parts&quot;:[[2018,9,1]]},&quot;page&quot;:&quot;501-511&quot;,&quot;abstract&quot;:&quot;Accessibility has conventionally been measured and evaluated ignoring user perceptions in favor of focusing on travel time and distance to a number of pre-determined destinations. Acknowledging this gap, we recently developed a scale for perceived accessibility PAC (Lättman, Friman, &amp; Olsson 2016b) aimed at capturing the individual perspective of accessibility with a certain travel mode. In this paper, we 1) further develop the PAC measure of perceived accessibility in order to capture how easy it is to live a satisfactory life with the help of the transport system, 2) compare levels of perceived accessibility between residential areas and main travel modes, and 3) compare residents’ perceived accessibility to the objective accessibility level for the same residential area. Data from 2711 residents of Malmö, Sweden show that perceived accessibility is consistently different from objective accessibility across 13 residential areas, with minor differences in levels of perceived accessibility between areas. Surprisingly, bicycle users rate their accessibility significantly higher than those who mainly use the car or public transport for daily travel, contrary to objective accessibility assumptions. These differences point at the importance of including perceived accessibility as a complementary tool when planning for and evaluating transport systems.&quot;,&quot;publisher&quot;:&quot;Elsevier&quot;,&quot;volume&quot;:&quot;69&quot;,&quot;container-title-short&quot;:&quot;&quot;},&quot;isTemporary&quot;:false,&quot;suppress-author&quot;:false,&quot;composite&quot;:false,&quot;author-only&quot;:false}]},{&quot;citationID&quot;:&quot;MENDELEY_CITATION_a49af15e-7c33-4528-899e-fc2983ce2c3c&quot;,&quot;properties&quot;:{&quot;noteIndex&quot;:0},&quot;isEdited&quot;:false,&quot;manualOverride&quot;:{&quot;isManuallyOverridden&quot;:true,&quot;citeprocText&quot;:&quot;(Biehl et al., 2018; Dill &amp;#38; McNeil, 2016; Gössling &amp;#38; McRae, 2022)&quot;,&quot;manualOverrideText&quot;:&quot;(Dill and McNeil, 2016; Biehl et al., 2018; Gössling and McRae, 2022)&quot;},&quot;citationTag&quot;:&quot;MENDELEY_CITATION_v3_eyJjaXRhdGlvbklEIjoiTUVOREVMRVlfQ0lUQVRJT05fYTQ5YWYxNWUtN2MzMy00NTI4LTg5OWUtZmMyOTgzY2UyYzNjIiwicHJvcGVydGllcyI6eyJub3RlSW5kZXgiOjB9LCJpc0VkaXRlZCI6ZmFsc2UsIm1hbnVhbE92ZXJyaWRlIjp7ImlzTWFudWFsbHlPdmVycmlkZGVuIjp0cnVlLCJjaXRlcHJvY1RleHQiOiIoQmllaGwgZXQgYWwuLCAyMDE4OyBEaWxsICYjMzg7IE1jTmVpbCwgMjAxNjsgR8O2c3NsaW5nICYjMzg7IE1jUmFlLCAyMDIyKSIsIm1hbnVhbE92ZXJyaWRlVGV4dCI6IihEaWxsIGFuZCBNY05laWwsIDIwMTY7IEJpZWhsIGV0IGFsLiwgMjAxODsgR8O2c3NsaW5nIGFuZCBNY1JhZSwgMjAyMikifSwiY2l0YXRpb25JdGVtcyI6W3siaWQiOiIzMGMzYmI2Yy1kNzYwLTMwNDQtOTI4MC04ODA5NjI0NjZjNWMiLCJpdGVtRGF0YSI6eyJ0eXBlIjoiYXJ0aWNsZS1qb3VybmFsIiwiaWQiOiIzMGMzYmI2Yy1kNzYwLTMwNDQtOTI4MC04ODA5NjI0NjZjNWMiLCJ0aXRsZSI6IlN1YmplY3RpdmVseSBzYWZlIGN5Y2xpbmcgaW5mcmFzdHJ1Y3R1cmU6IE5ldyBpbnNpZ2h0cyBmb3IgdXJiYW4gZGVzaWducyIsImF1dGhvciI6W3siZmFtaWx5IjoiR8O2c3NsaW5nIiwiZ2l2ZW4iOiJTdGVmYW4iLCJwYXJzZS1uYW1lcyI6ZmFsc2UsImRyb3BwaW5nLXBhcnRpY2xlIjoiIiwibm9uLWRyb3BwaW5nLXBhcnRpY2xlIjoiIn0seyJmYW1pbHkiOiJNY1JhZSIsImdpdmVuIjoiU29waGlhIiwicGFyc2UtbmFtZXMiOmZhbHNlLCJkcm9wcGluZy1wYXJ0aWNsZSI6IiIsIm5vbi1kcm9wcGluZy1wYXJ0aWNsZSI6IiJ9XSwiY29udGFpbmVyLXRpdGxlIjoiSm91cm5hbCBvZiBUcmFuc3BvcnQgR2VvZ3JhcGh5IiwiYWNjZXNzZWQiOnsiZGF0ZS1wYXJ0cyI6W1syMDI2LDYsMjFdXX0sIkRPSSI6IjEwLjEwMTYvai5qdHJhbmdlby4yMDIyLjEwMzM0MCIsIklTU04iOiIwOTY2LTY5MjMiLCJVUkwiOiJodHRwczovL3d3dy5zY2llbmNlZGlyZWN0LmNvbS9zY2llbmNlL2FydGljbGUvcGlpL1MwOTY2NjkyMzIyMDAwNjMxP2Nhc2FfdG9rZW49WUJYYi1fSFI5Vm9BQUFBQTplRmcxcTYwaUwwbW5yMTJfcDlOOWRxMU1jNzk2VnlEbW5SZzJmc1B0Z1M1UDYzZnNaZU45QzlNcWJva1dhWkFtYkZDZ0MtSUwxQSIsImlzc3VlZCI6eyJkYXRlLXBhcnRzIjpbWzIwMjIsNSwxXV19LCJwYWdlIjoiMTAzMzQwIiwiYWJzdHJhY3QiOiJUcmFuc3BvcnRhdGlvbiBpbmZyYXN0cnVjdHVyZSB0aGF0IGFjY29tbW9kYXRlcyB0aGUgbmVlZHMgb2YgYWN0aXZlIG1vZGUgdXNlcnMgaXMgYW4gZXNzZW50aWFsIGVsZW1lbnQgb2Ygc3VzdGFpbmFibGUgYW5kIGp1c3QgdXJiYW4gbW9iaWxpdHkgdHJhbnNpdGlvbnMuIFNhZmV0eSBpcyBhIG1ham9yIGZhY3RvciBpbmZsdWVuY2luZyBiaWN5Y2xpc3QgYmVoYXZpb3IsIGFuZCB1bmRlcnN0YW5kaW5nIGhvdyBzYWZldHkgaXMgcGVyY2VpdmVkIGJ5IHRyYWZmaWMgcGFydGljaXBhbnRzIGNhbiBzdXBwb3J0IHVyYmFuIGRlc2lnbnMgdGhhdCB3aWxsIGF0dHJhY3QgZ3JlYXRlciBzaGFyZXMgb2YgYWN0aXZlIHRyYXZlbGVycy4gVGhpcyBwYXBlciBldmFsdWF0ZXMgdGhlIHN0YXRlZCBwcmVmZXJlbmNlcyBvZiBtb3RvcmlzdHMsIGN5Y2xpc3RzLCBhbmQgcGVkZXN0cmlhbnMgZm9yIHNhZmUgdHJhbnNwb3J0IGluZnJhc3RydWN0dXJlcy4gSXQgcmVsaWVzIG9uIGRhdGEgY29sbGVjdGVkIGJ5IHRoZSBub24tZ292ZXJubWVudGFsIG9yZ2FuaXphdGlvbiBGaXhNeUJlcmxpbiBpbiBjb29wZXJhdGlvbiB3aXRoIGEgR2VybWFuIG5ld3NwYXBlciwgQmVybGluZXIgVGFnZXNzcGllZ2VsLiAyMSw0MDEgcGFydGljaXBhbnRzIGFzc2Vzc2VkIGEgdG90YWwgb2YgMTkwMCBkaWZmZXJlbnQgdHJhZmZpYyBzaXR1YXRpb25zLCBnZW5lcmF0aW5nIGEgc2FtcGxlIG9mIDQ2OCwzNzkgb3BpbmlvbnMgb24gc3RyZWV0IGRlc2lnbiBlbGVtZW50cyBpbmNsdWRpbmcgbWFqb3Igc3RyZWV0cywgc2lkZSBzdHJlZXRzIGFuZCBwYXZlbWVudHMuIFJlc3VsdHMgcG9pbnQgYXQgdGhlIGltcG9ydGFuY2Ugb2Ygd2lkZSBiaWN5Y2xlIHRyYWNrcyBhbmQgdGhlIHNlcGFyYXRpb24gb2YgY3ljbGlzdHMgZnJvbSBtb3Rvcml6ZWQgYW5kIHBlZGVzdHJpYW4gdHJhZmZpYy4gVGhlIHJlbW92YWwgb2YgcGFya2luZyBuZXh0IHRvIGJpY3ljbGUgbGFuZXMgYWxzbyBoYXMgZ3JlYXQgaW1wb3J0YW5jZSBmb3IgaW1wcm92aW5nIHBlcmNlcHRpb25zIG9mIHNhZmV0eS4gVGhlIGRhdGEgb2ZmZXJzIGRldGFpbGVkIGluc2lnaHQgaW50byBrZXkgZWxlbWVudHMgb2YgdXJiYW4gc2FmZXR5IGRlc2lnbiBjaGFyYWN0ZXJpc3RpY3MsIHdoaWNoIGFyZSByZW1hcmthYmx5IHNpbWlsYXIgaXJyZXNwZWN0aXZlIG9mIG1vZGUgdHlwZSBwcmVmZXJlbmNlLiBUaGUgc3R1ZHkgY29uY2x1ZGVzIHRoYXQgc3ViamVjdGl2ZSBzYWZldHkgaXMgYSBub3ZlbCBzdGFydGluZyBwb2ludCBmb3IgdXJiYW4gdHJhbnNwb3J0IGRlc2lnbnMuIiwicHVibGlzaGVyIjoiUGVyZ2Ftb24iLCJ2b2x1bWUiOiIxMDEiLCJjb250YWluZXItdGl0bGUtc2hvcnQiOiJKLiBUcmFuc3AuIEdlb2dyLiJ9LCJpc1RlbXBvcmFyeSI6ZmFsc2V9LHsiaWQiOiI0YzMyZjljYi0xMmYyLTNiODAtYmU3Yy01ODFhYWY0NDRmYjQiLCJpdGVtRGF0YSI6eyJ0eXBlIjoiYXJ0aWNsZS1qb3VybmFsIiwiaWQiOiI0YzMyZjljYi0xMmYyLTNiODAtYmU3Yy01ODFhYWY0NDRmYjQiLCJ0aXRsZSI6IlJldmlzaXRpbmcgdGhlIEZvdXIgVHlwZXMgb2YgQ3ljbGlzdHM6IEZpbmRpbmdzIGZyb20gYSBOYXRpb25hbCBTdXJ2ZXkiLCJhdXRob3IiOlt7ImZhbWlseSI6IkRpbGwiLCJnaXZlbiI6Ikplbm5pZmVyIiwicGFyc2UtbmFtZXMiOmZhbHNlLCJkcm9wcGluZy1wYXJ0aWNsZSI6IiIsIm5vbi1kcm9wcGluZy1wYXJ0aWNsZSI6IiJ9LHsiZmFtaWx5IjoiTWNOZWlsIiwiZ2l2ZW4iOiJOYXRoYW4iLCJwYXJzZS1uYW1lcyI6ZmFsc2UsImRyb3BwaW5nLXBhcnRpY2xlIjoiIiwibm9uLWRyb3BwaW5nLXBhcnRpY2xlIjoiIn1dLCJjb250YWluZXItdGl0bGUiOiJUcmFuc3BvcnRhdGlvbiBSZXNlYXJjaCBSZWNvcmQiLCJjb250YWluZXItdGl0bGUtc2hvcnQiOiJUcmFuc3AuIFJlcy4gUmVjLiIsImFjY2Vzc2VkIjp7ImRhdGUtcGFydHMiOltbMjAyNiw0LDI1XV19LCJET0kiOiIxMC4zMTQxLzI1ODctMTEiLCJJU1NOIjoiMjE2OTQwNTIiLCJVUkwiOiIvZG9pL3BkZi8xMC4zMTQxLzI1ODctMTE/ZG93bmxvYWQ9dHJ1ZSIsImlzc3VlZCI6eyJkYXRlLXBhcnRzIjpbWzIwMTYsMSwxXV19LCJwYWdlIjoiOTAtOTkiLCJhYnN0cmFjdCI6IlRvIHVuZGVyc3RhbmQgdGhlIG1ha2V1cCBvZiBhIHBvcHVsYXRpb24gaW4gdGVybXMgb2YgaG93IHBlb3BsZSB2aWV3IGJpY3ljbGluZyBjYW4gaGVscCBpbiBwbGFubmluZyBiaWN5Y2xlIGZhY2lsaXRpZXMgYW5kIHByb2dyYW1zLiBSb2dlciBHZWxsZXIsIGJpY3ljbGUgY29vcmRpbmF0b3IgZm9yIHRoZSBDaXR5IG9mIFBvcnRsYW5kLCBPcmVnLi4uIiwicHVibGlzaGVyIjoiU0FHRSBQdWJsaWNhdGlvbnNTYWdlIENBOiBMb3MgQW5nZWxlcywgQ0EiLCJpc3N1ZSI6IjEiLCJ2b2x1bWUiOiIyNTg3In0sImlzVGVtcG9yYXJ5IjpmYWxzZX0seyJpZCI6ImRmZDk5MzY5LTExMTYtMzRmYy04NjNlLWM2Nzg5YzhhYjAyOCIsIml0ZW1EYXRhIjp7InR5cGUiOiJhcnRpY2xlLWpvdXJuYWwiLCJpZCI6ImRmZDk5MzY5LTExMTYtMzRmYy04NjNlLWM2Nzg5YzhhYjAyOCIsInRpdGxlIjoiTW9kZWxsaW5nIGRldGVybWluYW50cyBvZiB3YWxraW5nIGFuZCBjeWNsaW5nIGFkb3B0aW9uOiBBIHN0YWdlLW9mLWNoYW5nZSBwZXJzcGVjdGl2ZSIsImF1dGhvciI6W3siZmFtaWx5IjoiQmllaGwiLCJnaXZlbiI6IkFsZWMiLCJwYXJzZS1uYW1lcyI6ZmFsc2UsImRyb3BwaW5nLXBhcnRpY2xlIjoiIiwibm9uLWRyb3BwaW5nLXBhcnRpY2xlIjoiIn0seyJmYW1pbHkiOiJFcm1hZ3VuIiwiZ2l2ZW4iOiJBbGlyZXphIiwicGFyc2UtbmFtZXMiOmZhbHNlLCJkcm9wcGluZy1wYXJ0aWNsZSI6IiIsIm5vbi1kcm9wcGluZy1wYXJ0aWNsZSI6IiJ9LHsiZmFtaWx5IjoiU3RhdGhvcG91bG9zIiwiZ2l2ZW4iOiJBbWFuZGEiLCJwYXJzZS1uYW1lcyI6ZmFsc2UsImRyb3BwaW5nLXBhcnRpY2xlIjoiIiwibm9uLWRyb3BwaW5nLXBhcnRpY2xlIjoiIn1dLCJjb250YWluZXItdGl0bGUiOiJUcmFuc3BvcnRhdGlvbiBSZXNlYXJjaCBQYXJ0IEY6IFRyYWZmaWMgUHN5Y2hvbG9neSBhbmQgQmVoYXZpb3VyIiwiY29udGFpbmVyLXRpdGxlLXNob3J0IjoiVHJhbnNwLiBSZXMuIFBhcnQgRiBUcmFmZmljIFBzeWNob2wuIEJlaGF2LiIsIkRPSSI6IjEwLjEwMTYvai50cmYuMjAxOC4wNi4wMTYiLCJJU1NOIjoiMTM2OTg0NzgiLCJpc3N1ZWQiOnsiZGF0ZS1wYXJ0cyI6W1syMDE4LDEwLDFdXX0sInBhZ2UiOiI0NTItNDcwIiwiYWJzdHJhY3QiOiJTaGlmdGluZyB0cmF2ZWwgYXdheSBmcm9tIGNhcnMgYW5kIHRvd2FyZHMgbW9yZSBhY3RpdmUgbW9kZXMgaGFzIHByb3ZlbiBhIGZvcm1pZGFibGUgcG9saWN5IGNoYWxsZW5nZS4gVGhpcyBzdHVkeSBhaW1zIHRvIHVuY292ZXIgdGhlIGRldGVybWluYW50cyBvZiB3YWxraW5nIGFuZCBjeWNsaW5nIGFkb3B0aW9uIGJ5IGFwcGx5aW5nIGEgc3RhZ2Utb2YtY2hhbmdlIGZyYW1ld29yay4gRHJhd2luZyBvbiB0aGUgVHJhbnN0aGVvcmV0aWNhbCBNb2RlbCwgdGhpcyBmcmFtZXdvcmsgbW9kZWxzIHRoZSBhZG9wdGlvbiBvZiBhY3RpdmUgbW9kZXMgYXMgYSBzZXJpZXMgb2Ygc3RhZ2VzIGZyb20gcHJlLWNvbnRlbXBsYXRpb24gdG8gbWFpbnRlbmFuY2UuIE9yZGluYWwgbG9naXQgbW9kZWxzIGFwcGxpZWQgdG8gVVMgZGF0YSAobiA9IDkxNCkgaWxsdXN0cmF0ZSB0aGUgaW1wb3J0YW5jZSBvZiBib3RoIG9ic2VydmFibGUgZGVtb2dyYXBoaWMtcGVyc29uYWwgYW5kIHBlcmNlcHR1YWwtYXR0aXR1ZGluYWwgdmFyaWFibGVzIGZvciBkZXRlcm1pbmluZyBzdGFnZS1vZi1jaGFuZ2UgbWVtYmVyc2hpcC4gQ29tcGFyaW5nIHdhbGtpbmcgYW5kIGN5Y2xpbmcsIHRoZSBtb2RlbCByZXZlYWxzIGJvdGggc2hhcmVkIHZhcmlhYmxlcyAodmVoaWNsZSBvd25lcnNoaXAsIHNlbGYtaWRlbnRpdHkpIGFuZCBkaWZmZXJpbmcgZmFjdG9ycyAoZ2VuZGVyLCBlbnZpcm9ubWVudGFsIHNwYXRpYWwgYWJpbGl0eSkgZGlzdGluZ3Vpc2hpbmcgYW1vbmcgYWRvcHRpb24gc3RhZ2VzLCB3aGljaCBoYXMgc2lnbmlmaWNhbnQgaW1wbGljYXRpb25zIGZvciB0cmFuc3BvcnQgcG9saWN5LiBSZXN1bHRzIGluZGljYXRlIHRoYXQgYSBtb2RlbCBjb21iaW5pbmcgYm90aCBkZW1vZ3JhcGhpYy1wZXJzb25hbCBhbmQgcGVyY2VwdHVhbC1hdHRpdHVkaW5hbCBmYWN0b3JzIGhhcyB0aGUgYmVzdCBmaXQgYW5kIHZhbGlkaXR5LCBzdWdnZXN0aW5nIHRoYXQgdHJhdmVsIGJlaGF2aW9yIGludGVydmVudGlvbnMgd291bGQgYmVuZWZpdCBmcm9tIG11bHRpdmFyaWF0ZSBzZWdtZW50YXRpb24gbWV0aG9kcyB0aGF0IGNvbnNpZGVyIGFuIGFycmF5IG9mIGluZGl2aWR1YWwgYW5kIGdyb3VwIGNoYXJhY3RlcmlzdGljcy4gVGhpcyByZXNlYXJjaCBhbHNvIGdpdmVzIGV2aWRlbmNlIG9mIGRpZmZlcmVudCBkZXRlcm1pbmFudHMgbW90aXZhdGluZyBjaGFuZ2UgcHJvY2Vzc2VzIGZvciBjeWNsaW5nIHZlcnN1cyB3YWxraW5nLiBUYWtlbiB0b2dldGhlciwgcmVzdWx0cyBzdWdnZXN0IGEgbmVlZCBmb3IgdGFpbG9yZWQgcG9saWN5IGludGVydmVudGlvbnMgdG8gcHJvbW90ZSBiZWhhdmlvdXJhbCBhZG9wdGlvbiBiYXNlZCBub3QgbWVyZWx5IG9uIHRoZSBzcGVjaWZpYyBtb2RlIHNlbGVjdGlvbiwgYnV0IGFsc28gb24gdGhlIHVzYWdlIHN0YWdlIHVuZGVyIGNvbnNpZGVyYXRpb24uIiwicHVibGlzaGVyIjoiRWxzZXZpZXIgTHRkIiwidm9sdW1lIjoiNTgifSwiaXNUZW1wb3JhcnkiOmZhbHNlfV19&quot;,&quot;citationItems&quot;:[{&quot;id&quot;:&quot;30c3bb6c-d760-3044-9280-880962466c5c&quot;,&quot;itemData&quot;:{&quot;type&quot;:&quot;article-journal&quot;,&quot;id&quot;:&quot;30c3bb6c-d760-3044-9280-880962466c5c&quot;,&quot;title&quot;:&quot;Subjectively safe cycling infrastructure: New insights for urban designs&quot;,&quot;author&quot;:[{&quot;family&quot;:&quot;Gössling&quot;,&quot;given&quot;:&quot;Stefan&quot;,&quot;parse-names&quot;:false,&quot;dropping-particle&quot;:&quot;&quot;,&quot;non-dropping-particle&quot;:&quot;&quot;},{&quot;family&quot;:&quot;McRae&quot;,&quot;given&quot;:&quot;Sophia&quot;,&quot;parse-names&quot;:false,&quot;dropping-particle&quot;:&quot;&quot;,&quot;non-dropping-particle&quot;:&quot;&quot;}],&quot;container-title&quot;:&quot;Journal of Transport Geography&quot;,&quot;accessed&quot;:{&quot;date-parts&quot;:[[2026,6,21]]},&quot;DOI&quot;:&quot;10.1016/j.jtrangeo.2022.103340&quot;,&quot;ISSN&quot;:&quot;0966-6923&quot;,&quot;URL&quot;:&quot;https://www.sciencedirect.com/science/article/pii/S0966692322000631?casa_token=YBXb-_HR9VoAAAAA:eFg1q60iL0mnr12_p9N9dq1Mc796VyDmnRg2fsPtgS5P63fsZeN9C9MqbokWaZAmbFCgC-IL1A&quot;,&quot;issued&quot;:{&quot;date-parts&quot;:[[2022,5,1]]},&quot;page&quot;:&quot;103340&quot;,&quot;abstract&quot;:&quot;Transportation infrastructure that accommodates the needs of active mode users is an essential element of sustainable and just urban mobility transitions. Safety is a major factor influencing bicyclist behavior, and understanding how safety is perceived by traffic participants can support urban designs that will attract greater shares of active travelers. This paper evaluates the stated preferences of motorists, cyclists, and pedestrians for safe transport infrastructures. It relies on data collected by the non-governmental organization FixMyBerlin in cooperation with a German newspaper, Berliner Tagesspiegel. 21,401 participants assessed a total of 1900 different traffic situations, generating a sample of 468,379 opinions on street design elements including major streets, side streets and pavements. Results point at the importance of wide bicycle tracks and the separation of cyclists from motorized and pedestrian traffic. The removal of parking next to bicycle lanes also has great importance for improving perceptions of safety. The data offers detailed insight into key elements of urban safety design characteristics, which are remarkably similar irrespective of mode type preference. The study concludes that subjective safety is a novel starting point for urban transport designs.&quot;,&quot;publisher&quot;:&quot;Pergamon&quot;,&quot;volume&quot;:&quot;101&quot;,&quot;container-title-short&quot;:&quot;J. Transp. Geogr.&quot;},&quot;isTemporary&quot;:false},{&quot;id&quot;:&quot;4c32f9cb-12f2-3b80-be7c-581aaf444fb4&quot;,&quot;itemData&quot;:{&quot;type&quot;:&quot;article-journal&quot;,&quot;id&quot;:&quot;4c32f9cb-12f2-3b80-be7c-581aaf444fb4&quot;,&quot;title&quot;:&quot;Revisiting the Four Types of Cyclists: Findings from a National Survey&quot;,&quot;author&quot;:[{&quot;family&quot;:&quot;Dill&quot;,&quot;given&quot;:&quot;Jennifer&quot;,&quot;parse-names&quot;:false,&quot;dropping-particle&quot;:&quot;&quot;,&quot;non-dropping-particle&quot;:&quot;&quot;},{&quot;family&quot;:&quot;McNeil&quot;,&quot;given&quot;:&quot;Nathan&quot;,&quot;parse-names&quot;:false,&quot;dropping-particle&quot;:&quot;&quot;,&quot;non-dropping-particle&quot;:&quot;&quot;}],&quot;container-title&quot;:&quot;Transportation Research Record&quot;,&quot;container-title-short&quot;:&quot;Transp. Res. Rec.&quot;,&quot;accessed&quot;:{&quot;date-parts&quot;:[[2026,4,25]]},&quot;DOI&quot;:&quot;10.3141/2587-11&quot;,&quot;ISSN&quot;:&quot;21694052&quot;,&quot;URL&quot;:&quot;/doi/pdf/10.3141/2587-11?download=true&quot;,&quot;issued&quot;:{&quot;date-parts&quot;:[[2016,1,1]]},&quot;page&quot;:&quot;90-99&quot;,&quot;abstract&quot;:&quot;To understand the makeup of a population in terms of how people view bicycling can help in planning bicycle facilities and programs. Roger Geller, bicycle coordinator for the City of Portland, Oreg...&quot;,&quot;publisher&quot;:&quot;SAGE PublicationsSage CA: Los Angeles, CA&quot;,&quot;issue&quot;:&quot;1&quot;,&quot;volume&quot;:&quot;2587&quot;},&quot;isTemporary&quot;:false},{&quot;id&quot;:&quot;dfd99369-1116-34fc-863e-c6789c8ab028&quot;,&quot;itemData&quot;:{&quot;type&quot;:&quot;article-journal&quot;,&quot;id&quot;:&quot;dfd99369-1116-34fc-863e-c6789c8ab028&quot;,&quot;title&quot;:&quot;Modelling determinants of walking and cycling adoption: A stage-of-change perspective&quot;,&quot;author&quot;:[{&quot;family&quot;:&quot;Biehl&quot;,&quot;given&quot;:&quot;Alec&quot;,&quot;parse-names&quot;:false,&quot;dropping-particle&quot;:&quot;&quot;,&quot;non-dropping-particle&quot;:&quot;&quot;},{&quot;family&quot;:&quot;Ermagun&quot;,&quot;given&quot;:&quot;Alireza&quot;,&quot;parse-names&quot;:false,&quot;dropping-particle&quot;:&quot;&quot;,&quot;non-dropping-particle&quot;:&quot;&quot;},{&quot;family&quot;:&quot;Stathopoulos&quot;,&quot;given&quot;:&quot;Amanda&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8.06.016&quot;,&quot;ISSN&quot;:&quot;13698478&quot;,&quot;issued&quot;:{&quot;date-parts&quot;:[[2018,10,1]]},&quot;page&quot;:&quot;452-470&quot;,&quot;abstract&quot;:&quot;Shifting travel away from cars and towards more active modes has proven a formidable policy challenge. This study aims to uncover the determinants of walking and cycling adoption by applying a stage-of-change framework. Drawing on the Transtheoretical Model, this framework models the adoption of active modes as a series of stages from pre-contemplation to maintenance. Ordinal logit models applied to US data (n = 914) illustrate the importance of both observable demographic-personal and perceptual-attitudinal variables for determining stage-of-change membership. Comparing walking and cycling, the model reveals both shared variables (vehicle ownership, self-identity) and differing factors (gender, environmental spatial ability) distinguishing among adoption stages, which has significant implications for transport policy. Results indicate that a model combining both demographic-personal and perceptual-attitudinal factors has the best fit and validity, suggesting that travel behavior interventions would benefit from multivariate segmentation methods that consider an array of individual and group characteristics. This research also gives evidence of different determinants motivating change processes for cycling versus walking. Taken together, results suggest a need for tailored policy interventions to promote behavioural adoption based not merely on the specific mode selection, but also on the usage stage under consideration.&quot;,&quot;publisher&quot;:&quot;Elsevier Ltd&quot;,&quot;volume&quot;:&quot;58&quot;},&quot;isTemporary&quot;:false}]},{&quot;citationID&quot;:&quot;MENDELEY_CITATION_51b409aa-5bb1-4fde-a1d9-8b5be5f75cd1&quot;,&quot;properties&quot;:{&quot;noteIndex&quot;:0},&quot;isEdited&quot;:false,&quot;manualOverride&quot;:{&quot;isManuallyOverridden&quot;:false,&quot;citeprocText&quot;:&quot;(van der Vlugt et al., 2022)&quot;,&quot;manualOverrideText&quot;:&quot;&quot;},&quot;citationTag&quot;:&quot;MENDELEY_CITATION_v3_eyJjaXRhdGlvbklEIjoiTUVOREVMRVlfQ0lUQVRJT05fNTFiNDA5YWEtNWJiMS00ZmRlLWExZDktOGI1YmU1Zjc1Y2QxIiwicHJvcGVydGllcyI6eyJub3RlSW5kZXgiOjB9LCJpc0VkaXRlZCI6ZmFsc2UsIm1hbnVhbE92ZXJyaWRlIjp7ImlzTWFudWFsbHlPdmVycmlkZGVuIjpmYWxzZSwiY2l0ZXByb2NUZXh0IjoiKHZhbiBkZXIgVmx1Z3QgZXQgYWwuLCAyMDIyKSIsIm1hbnVhbE92ZXJyaWRlVGV4dCI6IiJ9LCJjaXRhdGlvbkl0ZW1zIjpbeyJpZCI6IjAzYjAyNzEwLTE3ZDAtM2U5Yi04Y2YyLWE2NjkxZTU5NDViOCIsIml0ZW1EYXRhIjp7InR5cGUiOiJhcnRpY2xlLWpvdXJuYWwiLCJpZCI6IjAzYjAyNzEwLTE3ZDAtM2U5Yi04Y2YyLWE2NjkxZTU5NDViOCIsInRpdGxlIjoiVGhlIGluZmx1ZW5jZSBvZiB0cmF2ZWwgYXR0aXR1ZGVzIG9uIHBlcmNlaXZlZCB3YWxraW5nIGFjY2Vzc2liaWxpdHkgYW5kIHdhbGtpbmcgYmVoYXZpb3VyIiwiYXV0aG9yIjpbeyJmYW1pbHkiOiJWbHVndCIsImdpdmVuIjoiQW5uYSBMZW5hIiwicGFyc2UtbmFtZXMiOmZhbHNlLCJkcm9wcGluZy1wYXJ0aWNsZSI6IiIsIm5vbi1kcm9wcGluZy1wYXJ0aWNsZSI6InZhbiBkZXIifSx7ImZhbWlseSI6IkN1cmwiLCJnaXZlbiI6IkFuZ2VsYSIsInBhcnNlLW5hbWVzIjpmYWxzZSwiZHJvcHBpbmctcGFydGljbGUiOiIiLCJub24tZHJvcHBpbmctcGFydGljbGUiOiIifSx7ImZhbWlseSI6IlNjaGVpbmVyIiwiZ2l2ZW4iOiJKb2FjaGltIiwicGFyc2UtbmFtZXMiOmZhbHNlLCJkcm9wcGluZy1wYXJ0aWNsZSI6IiIsIm5vbi1kcm9wcGluZy1wYXJ0aWNsZSI6IiJ9XSwiY29udGFpbmVyLXRpdGxlIjoiVHJhdmVsIEJlaGF2aW91ciBhbmQgU29jaWV0eSIsImNvbnRhaW5lci10aXRsZS1zaG9ydCI6IlRyYXZlbCBCZWhhdi4gU29jLiIsIkRPSSI6IjEwLjEwMTYvai50YnMuMjAyMS4xMS4wMDIiLCJJU1NOIjoiMjIxNDM2N1giLCJpc3N1ZWQiOnsiZGF0ZS1wYXJ0cyI6W1syMDIyLDQsMV1dfSwicGFnZSI6IjQ3LTU2IiwiYWJzdHJhY3QiOiJQZW9wbGUgYXJlIGRyaXZlbiBieSB0aGVpciBwZXJjZXB0aW9ucy4gUGVyY2VwdGlvbnMgb2YgdGhlIGVudmlyb25tZW50IHNoYXBlIG1vYmlsaXR5IGRlY2lzaW9ucyBhbmQgcmVwcmVzZW50IHRoZSDigJxsaXZlZCByZWFsaXR54oCdIG9mIGFjY2Vzc2liaWxpdHkgYnV0IGFyZSBtb3N0bHkgZGlzcmVnYXJkZWQgaW4gY29tbW9uIGFjY2Vzc2liaWxpdHkgYW5hbHlzaXMuIFRoaXMgcGFwZXIgZXhwbG9yZXMgdGhlIHJvbGUgb2YgcGVyY2VpdmVkIGFjY2Vzc2liaWxpdHkuIEJ5IHVzaW5nIGEgc3RydWN0dXJhbCBlcXVhdGlvbiBtb2RlbGxpbmcgKFNFTSkgYXBwcm9hY2gsIHdlIGludmVzdGlnYXRlIG11bHRpcGxlIHJlbGF0aW9ucyBiZXR3ZWVuIHRyYXZlbCBhdHRpdHVkZXMsIHNvY2lvLWRlbW9ncmFwaGljIGZhY3RvcnMsIG9iamVjdGl2ZSB3YWxraW5nIGFjY2Vzc2liaWxpdHksIHBlcmNlaXZlZCB3YWxraW5nIGFjY2Vzc2liaWxpdHkgYW5kIHJlYWxpc2VkIHdhbGtpbmcgYmVoYXZpb3VyIGluIHRocmVlIHN0ZXBzLiBGaXJzdGx5LCB3ZSBhbmFseXNlIHRoZSBpbmZsdWVuY2Ugb2Ygb2JqZWN0aXZlIHdhbGtpbmcgYWNjZXNzaWJpbGl0eSBhbmQgdHJhdmVsIGF0dGl0dWRlcyBvbiBwZXJjZWl2ZWQgd2Fsa2luZyBhY2Nlc3NpYmlsaXR5LiBTZWNvbmRseSwgd2UgbG9vayBhdCBwZXJjZWl2ZWQgd2Fsa2luZyBhY2Nlc3NpYmlsaXR5IGFzIGEgbWVkaWF0b3IgdmFyaWFibGUgYW5kLCBmaW5hbGx5LCB3ZSBpbnZlc3RpZ2F0ZSB0aGUgYXNzb2NpYXRpb24gYmV0d2VlbiBwZXJjZWl2ZWQgd2Fsa2luZyBhY2Nlc3NpYmlsaXR5IGFuZCB3YWxraW5nIGJlaGF2aW91ci4gS2V5IHJlc3VsdHMgaW1wbHkgdGhhdCB0cmF2ZWwgYXR0aXR1ZGVzIGFyZSBpbXBvcnRhbnQgaW4gdW5kZXJzdGFuZGluZyB2YXJpYXRpb25zIGluIHBlcmNlcHRpb25zLCBpbiB0ZXJtcyBvZiBkaXJlY3QgZWZmZWN0cyBhbmQgYXMgbWVkaWF0b3IgdmFyaWFibGVzLiBQZXJjZWl2ZWQgd2Fsa2luZyBhY2Nlc3NpYmlsaXR5IGRpcmVjdGx5IGFmZmVjdHMgdGhlIHByb2JhYmlsaXR5IG9mIHdhbGtpbmcgYW5kIHBsYXlzLCB0aGVyZWZvcmUsIGFuIGltcG9ydGFudCByb2xlIGluIHVuZGVyc3RhbmRpbmcgdHJhdmVsIGJlaGF2aW91ci4gVGhlIGltcGxpY2F0aW9ucyBvZiBvdXIgcmVzdWx0cyBhcmUgZGlzY3Vzc2VkIHdpdGggcmVnYXJkIHRvIGZ1dHVyZSByZXNlYXJjaCBnYXBzIGFuZCBwb2xpY3kuIiwicHVibGlzaGVyIjoiRWxzZXZpZXIgTHRkIiwidm9sdW1lIjoiMjcifSwiaXNUZW1wb3JhcnkiOmZhbHNlLCJzdXBwcmVzcy1hdXRob3IiOmZhbHNlLCJjb21wb3NpdGUiOmZhbHNlLCJhdXRob3Itb25seSI6ZmFsc2V9XX0=&quot;,&quot;citationItems&quot;:[{&quot;id&quot;:&quot;03b02710-17d0-3e9b-8cf2-a6691e5945b8&quot;,&quot;itemData&quot;:{&quot;type&quot;:&quot;article-journal&quot;,&quot;id&quot;:&quot;03b02710-17d0-3e9b-8cf2-a6691e5945b8&quot;,&quot;title&quot;:&quot;The influence of travel attitudes on perceived walking accessibility and walking behaviour&quot;,&quot;author&quot;:[{&quot;family&quot;:&quot;Vlugt&quot;,&quot;given&quot;:&quot;Anna Lena&quot;,&quot;parse-names&quot;:false,&quot;dropping-particle&quot;:&quot;&quot;,&quot;non-dropping-particle&quot;:&quot;van der&quot;},{&quot;family&quot;:&quot;Curl&quot;,&quot;given&quot;:&quot;Angela&quot;,&quot;parse-names&quot;:false,&quot;dropping-particle&quot;:&quot;&quot;,&quot;non-dropping-particle&quot;:&quot;&quot;},{&quot;family&quot;:&quot;Scheiner&quot;,&quot;given&quot;:&quot;Joachim&quot;,&quot;parse-names&quot;:false,&quot;dropping-particle&quot;:&quot;&quot;,&quot;non-dropping-particle&quot;:&quot;&quot;}],&quot;container-title&quot;:&quot;Travel Behaviour and Society&quot;,&quot;container-title-short&quot;:&quot;Travel Behav. Soc.&quot;,&quot;DOI&quot;:&quot;10.1016/j.tbs.2021.11.002&quot;,&quot;ISSN&quot;:&quot;2214367X&quot;,&quot;issued&quot;:{&quot;date-parts&quot;:[[2022,4,1]]},&quot;page&quot;:&quot;47-56&quot;,&quot;abstract&quot;:&quot;People are driven by their perceptions. Perceptions of the environment shape mobility decisions and represent the “lived reality” of accessibility but are mostly disregarded in common accessibility analysis. This paper explores the role of perceived accessibility. By using a structural equation modelling (SEM) approach, we investigate multiple relations between travel attitudes, socio-demographic factors, objective walking accessibility, perceived walking accessibility and realised walking behaviour in three steps. Firstly, we analyse the influence of objective walking accessibility and travel attitudes on perceived walking accessibility. Secondly, we look at perceived walking accessibility as a mediator variable and, finally, we investigate the association between perceived walking accessibility and walking behaviour. Key results imply that travel attitudes are important in understanding variations in perceptions, in terms of direct effects and as mediator variables. Perceived walking accessibility directly affects the probability of walking and plays, therefore, an important role in understanding travel behaviour. The implications of our results are discussed with regard to future research gaps and policy.&quot;,&quot;publisher&quot;:&quot;Elsevier Ltd&quot;,&quot;volume&quot;:&quot;27&quot;},&quot;isTemporary&quot;:false,&quot;suppress-author&quot;:false,&quot;composite&quot;:false,&quot;author-only&quot;:false}]},{&quot;citationID&quot;:&quot;MENDELEY_CITATION_00bb6910-b066-4b2b-a225-931ddaa2d8d0&quot;,&quot;properties&quot;:{&quot;noteIndex&quot;:0},&quot;isEdited&quot;:false,&quot;manualOverride&quot;:{&quot;isManuallyOverridden&quot;:true,&quot;citeprocText&quot;:&quot;(Sanders, 2015; Soto et al., 2022; Winters et al., 2011)&quot;,&quot;manualOverrideText&quot;:&quot;(Winters et al., 2011; Sanders, 2015; Soto et al., 2022)&quot;},&quot;citationTag&quot;:&quot;MENDELEY_CITATION_v3_eyJjaXRhdGlvbklEIjoiTUVOREVMRVlfQ0lUQVRJT05fMDBiYjY5MTAtYjA2Ni00YjJiLWEyMjUtOTMxZGRhYTJkOGQwIiwicHJvcGVydGllcyI6eyJub3RlSW5kZXgiOjB9LCJpc0VkaXRlZCI6ZmFsc2UsIm1hbnVhbE92ZXJyaWRlIjp7ImlzTWFudWFsbHlPdmVycmlkZGVuIjp0cnVlLCJjaXRlcHJvY1RleHQiOiIoU2FuZGVycywgMjAxNTsgU290byBldCBhbC4sIDIwMjI7IFdpbnRlcnMgZXQgYWwuLCAyMDExKSIsIm1hbnVhbE92ZXJyaWRlVGV4dCI6IihXaW50ZXJzIGV0IGFsLiwgMjAxMTsgU2FuZGVycywgMjAxNTsgU290byBldCBhbC4sIDIwMjIpIn0sImNpdGF0aW9uSXRlbXMiOlt7ImlkIjoiZDM4OTU1YTQtNDE2Mi0zNjdkLWE5NGEtN2Y5ZGZlMGUwNmJjIiwiaXRlbURhdGEiOnsidHlwZSI6ImFydGljbGUtam91cm5hbCIsImlkIjoiZDM4OTU1YTQtNDE2Mi0zNjdkLWE5NGEtN2Y5ZGZlMGUwNmJjIiwidGl0bGUiOiJQZXJjZWl2ZWQgdHJhZmZpYyByaXNrIGZvciBjeWNsaXN0czogVGhlIGltcGFjdCBvZiBuZWFyIG1pc3MgYW5kIGNvbGxpc2lvbiBleHBlcmllbmNlcyIsImF1dGhvciI6W3siZmFtaWx5IjoiU2FuZGVycyIsImdpdmVuIjoiUmViZWNjYSBMLiIsInBhcnNlLW5hbWVzIjpmYWxzZSwiZHJvcHBpbmctcGFydGljbGUiOiIiLCJub24tZHJvcHBpbmctcGFydGljbGUiOiIifV0sImNvbnRhaW5lci10aXRsZSI6IkFjY2lkZW50IEFuYWx5c2lzIGFuZCBQcmV2ZW50aW9uIiwiY29udGFpbmVyLXRpdGxlLXNob3J0IjoiQWNjaWQuIEFuYWwuIFByZXYuIiwiRE9JIjoiMTAuMTAxNi9qLmFhcC4yMDE0LjExLjAwNCIsIklTU04iOiIwMDAxNDU3NSIsIlBNSUQiOiIyNTQ2MDA4OCIsImlzc3VlZCI6eyJkYXRlLXBhcnRzIjpbWzIwMTVdXX0sInBhZ2UiOiIyNi0zNCIsImFic3RyYWN0IjoiVGhvdWdoIHRoZSBwZXJjZW50YWdlIG9mIHBlb3BsZSBiaWN5Y2xpbmcgZm9yIHRyYW5zcG9ydGF0aW9uIHJvc2UgZHVyaW5nIHRoZSBsYXN0IGRlY2FkZSwgd2l0aCBhbiBhdmVyYWdlIGluY3JlYXNlIGluIGJpY3ljbGUgY29tbXV0aW5nIG9mIDQ3JSAoRmx1c2NoZSwgMjAxMiksIHN0aWxsIG9ubHkgMSUgb2YgYWxsIFUuUy4gdHJpcHMgYXJlIG1hZGUgYnkgYmlrZSAoRmx1c2NoZSwgMjAxMCkuIFJlc2VhcmNoIHN1Z2dlc3RzIHRoYXQgcGVvcGxlJ3MgY29uY2VybiByZWdhcmRpbmcgdGhlIHJpc2sgb2YgYmljeWNsaW5nIG5lYXIgdHJhZmZpYy1uYW1lbHkgdGhlIHJpc2sgb2YgYmVpbmcgaGl0IGJ5IGEgY2FyLXJlbWFpbiBhIHNpZ25pZmljYW50IGJhcnJpZXIgdG8gd2lkZXNwcmVhZCBjeWNsaW5nLiBIb3dldmVyLCByZXNlYXJjaCBoYXMgbm90IGRpc2FnZ3JlZ2F0ZWQgdHJhZmZpYyByaXNrIHRvIGV4cG9zZSBpdHMgbWFueSBhc3BlY3RzIGFuZCBob3cgdGhleSBtYXkgYWZmZWN0IGJpY3ljbGlzdHMgd2l0aCBkaWZmZXJpbmcgc2tpbGwgbGV2ZWxzLCBleHBlcmllbmNlcywgYW5kIGJlaGF2aW9ycy4gVGhpcyBzdHVkeSBiZWdpbnMgdG8gYWRkcmVzcyB0aGlzIGdhcCBpbiBvdXIgdW5kZXJzdGFuZGluZy4gRWxhYm9yYXRpbmcgb24gcmVzdWx0cyBmcm9tIGFuIGludGVybmV0IHN1cnZleSwgdGhpcyBzdHVkeSBleGFtaW5lZCB2YXJpb3VzIGFzcGVjdHMgb2YgdHJhZmZpYyByaXNrIGFtb25nIDQwNiBwb3RlbnRpYWwgYW5kIGN1cnJlbnQgYmljeWNsaXN0cyBpbiB0aGUgU2FuIEZyYW5jaXNjbyBCYXkgQXJlYS4gVGhlIGRhdGEgaW5kaWNhdGUgdGhhdCBwZXJjZWl2ZWQgdHJhZmZpYyByaXNrIG5lZ2F0aXZlbHkgaW5mbHVlbmNlcyB0aGUgZGVjaXNpb24gdG8gYmljeWNsZSBmb3IgcG90ZW50aWFsIGFuZCBvY2Nhc2lvbmFsIGJpY3ljbGlzdHMsIGFsdGhvdWdoIHRoZSBpbmZsdWVuY2UgZGVjcmVhc2VzIHdpdGggY3ljbGluZyBmcmVxdWVuY3kuIEFkZGl0aW9uYWxseSwgY3ljbGluZyBmcmVxdWVuY3kgc2VlbXMgdG8gaGVpZ2h0ZW4gYXdhcmVuZXNzIG9mIHRyYWZmaWMgcmlzaywgcGFydGljdWxhcmx5IGZvciBjeWNsaXN0cyB3aG8gaGF2ZSBleHBlcmllbmNlZCBcIm5lYXIgbWlzc2VzXCIgb3IgY29sbGlzaW9ucy4gSW4gcGFydGljdWxhciwgbmVhciBtaXNzZXMgd2VyZSBmb3VuZCB0byBiZSAoYSkgbXVjaCBtb3JlIGNvbW1vbiB0aGFuIGNvbGxpc2lvbnMgYW5kIChiKSBtb3JlIHN0cm9uZ2x5IGFzc29jaWF0ZWQgdGhhbiBjb2xsaXNpb25zIHdpdGggcGVyY2VpdmVkIHRyYWZmaWMgcmlzay4gVGhlIGZpbmRpbmdzIHN1Z2dlc3QgdGhhdCBlZmZvcnRzIHRhcmdldGluZyByb2FkIHVzZXIgYmVoYXZpb3JzIGFuZCByb2Fkd2F5IGRlc2lnbnMgYXNzb2NpYXRlZCB3aXRoIHRoZXNlIG5lYXIgbWlzc2VzIGNvdWxkIG1pdGlnYXRlIHBlcmNlaXZlZCBhbmQgYWN0dWFsIHRyYWZmaWMgcmlzayBmb3IgYmljeWNsaXN0cywgYW5kIHRoZXJlYnkgZXZlbnR1YWxseSBoZWxwIGFjaGlldmUgaGlnaGVyIGN5Y2xpbmcgcmlkZXJzaGlwLiIsInB1Ymxpc2hlciI6IkVsc2V2aWVyIEx0ZCIsInZvbHVtZSI6Ijc1In0sImlzVGVtcG9yYXJ5IjpmYWxzZX0s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JmZGU4MjE1Yi04ZThlLTNjN2UtODY0Ny1iMjE3ZmE5ZmFjNjQiLCJpdGVtRGF0YSI6eyJ0eXBlIjoiYXJ0aWNsZS1qb3VybmFsIiwiaWQiOiJmZGU4MjE1Yi04ZThlLTNjN2UtODY0Ny1iMjE3ZmE5ZmFjNjQiLCJ0aXRsZSI6Ik1vdGl2YXRvcnMgYW5kIGRldGVycmVudHMgb2YgYmljeWNsaW5nOiBDb21wYXJpbmcgaW5mbHVlbmNlcyBvbiBkZWNpc2lvbnMgdG8gcmlkZSIsImF1dGhvciI6W3siZmFtaWx5IjoiV2ludGVycyIsImdpdmVuIjoiTWVnaGFuIiwicGFyc2UtbmFtZXMiOmZhbHNlLCJkcm9wcGluZy1wYXJ0aWNsZSI6IiIsIm5vbi1kcm9wcGluZy1wYXJ0aWNsZSI6IiJ9LHsiZmFtaWx5IjoiRGF2aWRzb24iLCJnaXZlbiI6IkdhdmluIiwicGFyc2UtbmFtZXMiOmZhbHNlLCJkcm9wcGluZy1wYXJ0aWNsZSI6IiIsIm5vbi1kcm9wcGluZy1wYXJ0aWNsZSI6IiJ9LHsiZmFtaWx5IjoiS2FvIiwiZ2l2ZW4iOiJEaWFuYSIsInBhcnNlLW5hbWVzIjpmYWxzZSwiZHJvcHBpbmctcGFydGljbGUiOiIiLCJub24tZHJvcHBpbmctcGFydGljbGUiOiIifSx7ImZhbWlseSI6IlRlc2Noa2UiLCJnaXZlbiI6IktheSIsInBhcnNlLW5hbWVzIjpmYWxzZSwiZHJvcHBpbmctcGFydGljbGUiOiIiLCJub24tZHJvcHBpbmctcGFydGljbGUiOiIifV0sImNvbnRhaW5lci10aXRsZSI6IlRyYW5zcG9ydGF0aW9uIiwiY29udGFpbmVyLXRpdGxlLXNob3J0IjoiVHJhbnNwb3J0YXRpb24gKEFtc3QpLiIsIkRPSSI6IjEwLjEwMDcvczExMTE2LTAxMC05Mjg0LXkiLCJJU1NOIjoiMTU3Mjk0MzUiLCJpc3N1ZWQiOnsiZGF0ZS1wYXJ0cyI6W1syMDExLDEsMV1dfSwicGFnZSI6IjE1My0xNjgiLCJhYnN0cmFjdCI6IkluIGEgc3VydmV5IG9mIDEsNDAyIGN1cnJlbnQgYW5kIHBvdGVudGlhbCBjeWNsaXN0cyBpbiBNZXRybyBWYW5jb3V2ZXIsIDczIG1vdGl2YXRvcnMgYW5kIGRldGVycmVudHMgb2YgY3ljbGluZyB3ZXJlIGV2YWx1YXRlZC4gVGhlIHRvcCBtb3RpdmF0b3JzLCBjb25zaXN0ZW50IGFtb25nIHJlZ3VsYXIsIGZyZXF1ZW50LCBvY2Nhc2lvbmFsIGFuZCBwb3RlbnRpYWwgY3ljbGlzdHMsIHdlcmU6IHJvdXRlcyBhd2F5IGZyb20gdHJhZmZpYyBub2lzZSBhbmQgcG9sbHV0aW9uOyByb3V0ZXMgd2l0aCBiZWF1dGlmdWwgc2NlbmVyeTsgYW5kIHBhdGhzIHNlcGFyYXRlZCBmcm9tIHRyYWZmaWMuIEluIGZhY3RvciBhbmFseXNpcywgdGhlIDczIHN1cnZleSBpdGVtcyB3ZXJlIGdyb3VwZWQgaW50byAxNSBmYWN0b3JzLiBUaGUgZm9sbG93aW5nIGZhY3RvcnMgaGFkIHRoZSBtb3N0IGluZmx1ZW5jZSBvbiBsaWtlbGlob29kIG9mIGN5Y2xpbmc6IHNhZmV0eTsgZWFzZSBvZiBjeWNsaW5nOyB3ZWF0aGVyIGNvbmRpdGlvbnM7IHJvdXRlIGNvbmRpdGlvbnM7IGFuZCBpbnRlcmFjdGlvbnMgd2l0aCBtb3RvciB2ZWhpY2xlcy4gVGhlc2UgcmVzdWx0cyBpbmRpY2F0ZSB0aGUgaW1wb3J0YW5jZSBvZiB0aGUgbG9jYXRpb24gYW5kIGRlc2lnbiBvZiBiaWN5Y2xlIHJvdXRlcyB0byBwcm9tb3RlIGN5Y2xpbmcuIMKpIDIwMTAgU3ByaW5nZXIgU2NpZW5jZStCdXNpbmVzcyBNZWRpYSwgTExDLiIsInB1Ymxpc2hlciI6IktsdXdlciBBY2FkZW1pYyBQdWJsaXNoZXJzIiwiaXNzdWUiOiIxIiwidm9sdW1lIjoiMzgifSwiaXNUZW1wb3JhcnkiOmZhbHNlfV19&quot;,&quot;citationItems&quot;:[{&quot;id&quot;:&quot;d38955a4-4162-367d-a94a-7f9dfe0e06bc&quot;,&quot;itemData&quot;:{&quot;type&quot;:&quot;article-journal&quot;,&quot;id&quot;:&quot;d38955a4-4162-367d-a94a-7f9dfe0e06bc&quot;,&quot;title&quot;:&quot;Perceived traffic risk for cyclists: The impact of near miss and collision experiences&quot;,&quot;author&quot;:[{&quot;family&quot;:&quot;Sanders&quot;,&quot;given&quot;:&quot;Rebecca L.&quot;,&quot;parse-names&quot;:false,&quot;dropping-particle&quot;:&quot;&quot;,&quot;non-dropping-particle&quot;:&quot;&quot;}],&quot;container-title&quot;:&quot;Accident Analysis and Prevention&quot;,&quot;container-title-short&quot;:&quot;Accid. Anal. Prev.&quot;,&quot;DOI&quot;:&quot;10.1016/j.aap.2014.11.004&quot;,&quot;ISSN&quot;:&quot;00014575&quot;,&quot;PMID&quot;:&quot;25460088&quot;,&quot;issued&quot;:{&quot;date-parts&quot;:[[2015]]},&quot;page&quot;:&quot;26-34&quot;,&quot;abstract&quot;:&quot;Though the percentage of people bicycling for transportation rose during the last decade, with an average increase in bicycle commuting of 47% (Flusche, 2012), still only 1% of all U.S. trips are made by bike (Flusche, 2010). Research suggests that people's concern regarding the risk of bicycling near traffic-namely the risk of being hit by a car-remain a significant barrier to widespread cycling. However, research has not disaggregated traffic risk to expose its many aspects and how they may affect bicyclists with differing skill levels, experiences, and behaviors. This study begins to address this gap in our understanding. Elaborating on results from an internet survey, this study examined various aspects of traffic risk among 406 potential and current bicyclists in the San Francisco Bay Area. The data indicate that perceived traffic risk negatively influences the decision to bicycle for potential and occasional bicyclists, although the influence decreases with cycling frequency. Additionally, cycling frequency seems to heighten awareness of traffic risk, particularly for cyclists who have experienced \&quot;near misses\&quot; or collisions. In particular, near misses were found to be (a) much more common than collisions and (b) more strongly associated than collisions with perceived traffic risk. The findings suggest that efforts targeting road user behaviors and roadway designs associated with these near misses could mitigate perceived and actual traffic risk for bicyclists, and thereby eventually help achieve higher cycling ridership.&quot;,&quot;publisher&quot;:&quot;Elsevier Ltd&quot;,&quot;volume&quot;:&quot;75&quot;},&quot;isTemporary&quot;:false},{&quot;id&quot;:&quot;5ca983f5-7599-3467-9733-8d06b53fd651&quot;,&quot;itemData&quot;:{&quot;type&quot;:&quot;article-journal&quot;,&quot;id&quot;:&quot;5ca983f5-7599-3467-9733-8d06b53fd651&quot;,&quot;title&quot;:&quot;Traffic as a barrier to walking safely in the United States: Perceived reasons and potential mitigation strategies&quot;,&quot;author&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Webber&quot;,&quot;given&quot;:&quot;Bryant J.&quot;,&quot;parse-names&quot;:false,&quot;dropping-particle&quot;:&quot;&quot;,&quot;non-dropping-particle&quot;:&quot;&quot;},{&quot;family&quot;:&quot;Omura&quot;,&quot;given&quot;:&quot;John D.&quot;,&quot;parse-names&quot;:false,&quot;dropping-particle&quot;:&quot;&quot;,&quot;non-dropping-particle&quot;:&quot;&quot;},{&quot;family&quot;:&quot;Chen&quot;,&quot;given&quot;:&quot;Tiffany J.&quot;,&quot;parse-names&quot;:false,&quot;dropping-particle&quot;:&quot;&quot;,&quot;non-dropping-particle&quot;:&quot;&quot;},{&quot;family&quot;:&quot;Zaganjor&quot;,&quot;given&quot;:&quot;Hatidza&quot;,&quot;parse-names&quot;:false,&quot;dropping-particle&quot;:&quot;&quot;,&quot;non-dropping-particle&quot;:&quot;&quot;},{&quot;family&quot;:&quot;Rose&quot;,&quot;given&quot;:&quot;Kenneth&quot;,&quot;parse-names&quot;:false,&quot;dropping-particle&quot;:&quot;&quot;,&quot;non-dropping-particle&quot;:&quot;&quot;}],&quot;container-title&quot;:&quot;Preventive Medicine Reports&quot;,&quot;container-title-short&quot;:&quot;Prev. Med. Rep.&quot;,&quot;DOI&quot;:&quot;10.1016/j.pmedr.2022.102003&quot;,&quot;ISSN&quot;:&quot;22113355&quot;,&quot;issued&quot;:{&quot;date-parts&quot;:[[2022,12,1]]},&quot;abstract&quot;:&quot;Motor vehicle traffic is commonly cited as a barrier to walking, but national level perceptions of traffic characteristics that negatively influence walking and potential traffic mitigation strategies remain unclear. The objectives of this study were to describe perceptions of (1) traffic characteristics that make walking unsafe in the United States and (2) potential mitigation strategies to address these concerns among those who report traffic as a barrier to walking. Data were from FallStyles, a nationwide internet panel survey conducted in October 2019 (n = 3,284 adults). Respondents reported if traffic makes walking unsafe where they live; those who answered yes were then asked about traffic characteristics that make walking unsafe (number of vehicles, speed of vehicles, distracted or impaired driving, types of vehicles, and other reasons) and potential mitigation strategies (new or improved sidewalks, crosswalks, pedestrian signals, street lighting, things that slow vehicles down, separating the sidewalk from the road, fewer vehicle lanes, and other). Prevalence of responses was assessed overall and by select sociodemographic and geographic characteristics, and by walking status. Nearly 25% of US adults reported that traffic is a barrier to walking where they live. Of these, 79% selected vehicle speed as a contributing traffic characteristic, and 57% indicated new or improved sidewalks as a potential mitigation strategy. These top responses were shared across all sociodemographic, geographic, and walking behavior subgroups. Speed reduction efforts and built environment enhancements such as sidewalks may alleviate pedestrian safety concerns. Promotion campaigns may be needed to bring awareness to such changes.&quot;,&quot;publisher&quot;:&quot;Elsevier Inc.&quot;,&quot;volume&quot;:&quot;30&quot;},&quot;isTemporary&quot;:false},{&quot;id&quot;:&quot;fde8215b-8e8e-3c7e-8647-b217fa9fac64&quot;,&quot;itemData&quot;:{&quot;type&quot;:&quot;article-journal&quot;,&quot;id&quot;:&quot;fde8215b-8e8e-3c7e-8647-b217fa9fac64&quot;,&quot;title&quot;:&quot;Motivators and deterrents of bicycling: Comparing influences on decisions to ride&quot;,&quot;author&quot;:[{&quot;family&quot;:&quot;Winters&quot;,&quot;given&quot;:&quot;Meghan&quot;,&quot;parse-names&quot;:false,&quot;dropping-particle&quot;:&quot;&quot;,&quot;non-dropping-particle&quot;:&quot;&quot;},{&quot;family&quot;:&quot;Davidson&quot;,&quot;given&quot;:&quot;Gavin&quot;,&quot;parse-names&quot;:false,&quot;dropping-particle&quot;:&quot;&quot;,&quot;non-dropping-particle&quot;:&quot;&quot;},{&quot;family&quot;:&quot;Kao&quot;,&quot;given&quot;:&quot;Diana&quot;,&quot;parse-names&quot;:false,&quot;dropping-particle&quot;:&quot;&quot;,&quot;non-dropping-particle&quot;:&quot;&quot;},{&quot;family&quot;:&quot;Teschke&quot;,&quot;given&quot;:&quot;Kay&quot;,&quot;parse-names&quot;:false,&quot;dropping-particle&quot;:&quot;&quot;,&quot;non-dropping-particle&quot;:&quot;&quot;}],&quot;container-title&quot;:&quot;Transportation&quot;,&quot;container-title-short&quot;:&quot;Transportation (Amst).&quot;,&quot;DOI&quot;:&quot;10.1007/s11116-010-9284-y&quot;,&quot;ISSN&quot;:&quot;15729435&quot;,&quot;issued&quot;:{&quot;date-parts&quot;:[[2011,1,1]]},&quot;page&quot;:&quot;153-168&quot;,&quot;abstract&quot;:&quot;In a survey of 1,402 current and potential cyclists in Metro Vancouver, 73 motivators and deterrents of cycling were evaluated. The top motivators, consistent among regular, frequent, occasional and potential cyclists, were: routes away from traffic noise and pollution; routes with beautiful scenery; and paths separated from traffic. In factor analysis, the 73 survey items were grouped into 15 factors. The following factors had the most influence on likelihood of cycling: safety; ease of cycling; weather conditions; route conditions; and interactions with motor vehicles. These results indicate the importance of the location and design of bicycle routes to promote cycling. © 2010 Springer Science+Business Media, LLC.&quot;,&quot;publisher&quot;:&quot;Kluwer Academic Publishers&quot;,&quot;issue&quot;:&quot;1&quot;,&quot;volume&quot;:&quot;38&quot;},&quot;isTemporary&quot;:false}]},{&quot;citationID&quot;:&quot;MENDELEY_CITATION_ff6e35be-0efb-42e1-ada2-ee3834151cf6&quot;,&quot;properties&quot;:{&quot;noteIndex&quot;:0},&quot;isEdited&quot;:false,&quot;manualOverride&quot;:{&quot;isManuallyOverridden&quot;:true,&quot;citeprocText&quot;:&quot;(Ogilvie et al., 2010; Sundling &amp;#38; Jakobsson, 2023)&quot;,&quot;manualOverrideText&quot;:&quot;(Ogilvie et al., 2010; Sundling and Jakobsson, 2023)&quot;},&quot;citationTag&quot;:&quot;MENDELEY_CITATION_v3_eyJjaXRhdGlvbklEIjoiTUVOREVMRVlfQ0lUQVRJT05fZmY2ZTM1YmUtMGVmYi00MmUxLWFkYTItZWUzODM0MTUxY2Y2IiwicHJvcGVydGllcyI6eyJub3RlSW5kZXgiOjB9LCJpc0VkaXRlZCI6ZmFsc2UsIm1hbnVhbE92ZXJyaWRlIjp7ImlzTWFudWFsbHlPdmVycmlkZGVuIjp0cnVlLCJjaXRlcHJvY1RleHQiOiIoT2dpbHZpZSBldCBhbC4sIDIwMTA7IFN1bmRsaW5nICYjMzg7IEpha29ic3NvbiwgMjAyMykiLCJtYW51YWxPdmVycmlkZVRleHQiOiIoT2dpbHZpZSBldCBhbC4sIDIwMTA7IFN1bmRsaW5nIGFuZCBKYWtvYnNzb24sIDIwMjMpIn0sImNpdGF0aW9uSXRlbXMiOlt7ImlkIjoiODMwMGFmMzMtZDM1OS0zNWI1LTgyMWUtM2VmYmZlNDVmMGY2IiwiaXRlbURhdGEiOnsidHlwZSI6InJlcG9ydCIsImlkIjoiODMwMGFmMzMtZDM1OS0zNWI1LTgyMWUtM2VmYmZlNDVmMGY2IiwidGl0bGUiOiJTaG9lIGxlYXRoZXIgZXBpZGVtaW9sb2d5OiBhY3RpdmUgdHJhdmVsIGFuZCB0cmFuc3BvcnQgaW5mcmFzdHJ1Y3R1cmUgaW4gdGhlIHVyYmFuIGxhbmRzY2FwZSIsImF1dGhvciI6W3siZmFtaWx5IjoiT2dpbHZpZSIsImdpdmVuIjoiRGF2aWQiLCJwYXJzZS1uYW1lcyI6ZmFsc2UsImRyb3BwaW5nLXBhcnRpY2xlIjoiIiwibm9uLWRyb3BwaW5nLXBhcnRpY2xlIjoiIn0seyJmYW1pbHkiOiJNaXRjaGVsbCIsImdpdmVuIjoiUmljaGFyZCIsInBhcnNlLW5hbWVzIjpmYWxzZSwiZHJvcHBpbmctcGFydGljbGUiOiIiLCJub24tZHJvcHBpbmctcGFydGljbGUiOiIifSx7ImZhbWlseSI6Ik11dHJpZSIsImdpdmVuIjoiTmFuZXR0ZSIsInBhcnNlLW5hbWVzIjpmYWxzZSwiZHJvcHBpbmctcGFydGljbGUiOiIiLCJub24tZHJvcHBpbmctcGFydGljbGUiOiIifSx7ImZhbWlseSI6IlBldHRpY3JldyIsImdpdmVuIjoiTWFyayIsInBhcnNlLW5hbWVzIjpmYWxzZSwiZHJvcHBpbmctcGFydGljbGUiOiIiLCJub24tZHJvcHBpbmctcGFydGljbGUiOiIifSx7ImZhbWlseSI6IlBsYXR0IiwiZ2l2ZW4iOiJTdGVwaGVuIiwicGFyc2UtbmFtZXMiOmZhbHNlLCJkcm9wcGluZy1wYXJ0aWNsZSI6IiIsIm5vbi1kcm9wcGluZy1wYXJ0aWNsZSI6IiJ9XSwiY29udGFpbmVyLXRpdGxlIjoiSW50ZXJuYXRpb25hbCBKb3VybmFsIG9mIEJlaGF2aW9yYWwgTnV0cml0aW9uIGFuZCBQaHlzaWNhbCBBY3Rpdml0eSIsIkRPSSI6IjEwLjExODYvMTQ3OS01ODY4LTctNDMiLCJVUkwiOiJodHRwOi8vd3d3LmlqYm5wYS5vcmcvY29udGVudC83LzEvNDMiLCJpc3N1ZWQiOnsiZGF0ZS1wYXJ0cyI6W1syMDEwXV19LCJudW1iZXItb2YtcGFnZXMiOiI0MyIsImFic3RyYWN0IjoiQmFja2dyb3VuZDogQnVpbGRpbmcgbmV3IHRyYW5zcG9ydCBpbmZyYXN0cnVjdHVyZSBjb3VsZCBoZWxwIHRvIHByb21vdGUgY2hhbmdlcyBpbiBwYXR0ZXJucyBvZiBtb2JpbGl0eSwgcGh5c2ljYWwgYWN0aXZpdHksIGFuZCBvdGhlciBkZXRlcm1pbmFudHMgb2YgcG9wdWxhdGlvbiBoZWFsdGggc3VjaCBhcyBlY29ub21pYyBkZXZlbG9wbWVudC4gSG93ZXZlciwgbG9jYWwgcmVzaWRlbnRzIG1heSBub3Qgc2hhcmUgcGxhbm5lcnMnIGdvYWxzIG9yIGFzc3VtcHRpb25zIGFib3V0IHRoZSBiZW5lZml0cyBvZiBzdWNoIGludGVydmVudGlvbnMuIEEgcGFydGljdWxhcmx5IGNvbnRlbnRpb3VzIGV4YW1wbGUgaXMgdGhlIGNvbnN0cnVjdGlvbiBvZiBtYWpvciByb2FkcyBjbG9zZSB0byBkZXByaXZlZCByZXNpZGVudGlhbCBhcmVhcy4gV2UgcmVwb3J0IHRoZSBxdWFsaXRhdGl2ZSBmaW5kaW5ncyBvZiB0aGUgYmFzZWxpbmUgcGhhc2Ugb2YgYSBsb25naXR1ZGluYWwgbWl4ZWQtbWV0aG9kIHN0dWR5IG9mIGEgbmV3IHVyYmFuIHNlY3Rpb24gb2YgdGhlIE03NCBtb3RvcndheSBpbiBHbGFzZ293LCBTY290bGFuZCwgdGhhdCBhaW1zIHRvIGNvbWJpbmUgcXVhbnRpdGF0aXZlIGVwaWRlbWlvbG9naWNhbCBhbmQgc3BhdGlhbCBkYXRhIHdpdGggcXVhbGl0YXRpdmUgaW50ZXJ2aWV3IGRhdGEgZnJvbSBsb2NhbCByZXNpZGVudHMuIE1ldGhvZHM6IFdlIGludGVydmlld2VkIDEyIHJlc2lkZW50cyBwdXJwb3NpdmVseSBzYW1wbGVkIGZyb20gYSBsYXJnZXIgc3R1ZHkgY29ob3J0IG9mIDEzMjIgdG8gaW5jbHVkZSBtZW4gYW5kIHdvbWVuLCBkaWZmZXJlbnQgYWdlIGdyb3VwcywgYW5kIHBlb3BsZSB3aXRoIGFuZCB3aXRob3V0IGNhcnMsIGFsbCBsaXZpbmcgd2l0aGluIDQwMCBtZXRyZXMgb2YgdGhlIHByb3Bvc2VkIHJvdXRlIG9mIHRoZSBuZXcgbW90b3J3YXkuIFdlIGVsaWNpdGVkIHRoZWlyIHZpZXdzIGFuZCBleHBlcmllbmNlcyBvZiB0aGUgbG9jYWwgdXJiYW4gZW52aXJvbm1lbnQgYW5kIHRoZSBsaWtlbHkgaW1wYWN0IG9mIHRoZSBuZXcgbW90b3J3YXkgdXNpbmcgYSB0b3BpYyBndWlkZSBiYXNlZCBvbiBzZXZlbiBrZXkgZW52aXJvbm1lbnRhbCBjb25zdHJ1Y3RzIChhZXN0aGV0aWNzLCBncmVlbiBzcGFjZSwgY29udmVuaWVuY2Ugb2Ygcm91dGVzLCBhY2Nlc3MgdG8gYW1lbml0aWVzLCB0cmFmZmljLCByb2FkIGRhbmdlciBhbmQgcGVyc29uYWwgZGFuZ2VyKSByZWZsZWN0aW5nIGFuIG92ZXJhbGwgZWNvbG9naWNhbCBtb2RlbCBvZiB3YWxraW5nIGFuZCBjeWNsaW5nLiBSZXN1bHRzOiBUcmFmZmljIHdhcyB3aWRlbHkgcGVyY2VpdmVkIHRvIGJlIGhlYXZ5IGRlc3BpdGUgYSBsb3cgbG9jYWwgbGV2ZWwgb2YgY2FyIG93bmVyc2hpcC4gRmV3IHBlb3BsZSBjeWNsZWQsIGFuZCBjeWNsaW5nIG9uIHRoZSByb2FkcyB3YXMgd2lkZWx5IHBlcmNlaXZlZCB0byBiZSBkYW5nZXJvdXMgZm9yIGJvdGggYWR1bHRzIGFuZCBjaGlsZHJlbi4gVmlld3MgYWJvdXQgdGhlIGxpa2VseSBpbXBhY3RzIG9mIHRoZSBuZXcgbW90b3J3YXkgb24gdHJhZmZpYyBjb25nZXN0aW9uLCBwb2xsdXRpb24gYW5kIHRoZSBwbGVhc2FudG5lc3Mgb2YgdGhlIGxvY2FsIGVudmlyb25tZW50IHdlcmUgcG9sYXJpc2VkLiBBIG5ldyBtb3RvcndheSBoYXMgcG90ZW50aWFsIHRvIGNhdXNlIGluZXF1aXRhYmxlIHBzeWNob2xvZ2ljYWwgb3IgcGh5c2ljYWwgc2V2ZXJhbmNlIG9mIHJvdXRlcyB0byBsb2NhbCBhbWVuaXRpZXMsIGFuZCBwZW9wbGUgbWF5IG5vdCBuZWNlc3NhcmlseSB1c2UgbG9jYWwgd2Fsa2luZyByb3V0ZXMgb3IgZGVzdGluYXRpb25zIHN1Y2ggYXMgcGFya3MgYW5kIHNob3BzIGlmIHRoZXNlIGFyZSBjb25zaWRlcmVkIHVuZGVzaXJhYmxlLCB1bnNhZmUgb3IgJ25vdCBmb3IgdXMnLiBQdWJsaWMgdHJhbnNwb3J0IG1heSBoYXZlIHRoZSBwb3RlbnRpYWwgdG8gcHJvbW90ZSBvciBkaXNjb3VyYWdlIGFjdGl2ZSB0cmF2ZWwgaW4gZGlmZmVyZW50IHNvY2lvZWNvbm9taWMgY29udGV4dHMuIENvbmNsdXNpb25zOiBBbHRlcmluZyB0aGUgdXJiYW4gbGFuZHNjYXBlIG1heSBpbmZsdWVuY2Ugd2Fsa2luZyBhbmQgY3ljbGluZyBpbiB3YXlzIHRoYXQgdmFyeSBiZXR3ZWVuIGluZGl2aWR1YWxzLCBtYXkgYmUgaW5lcXVpdGFibGUsIGFuZCBtYXkgbm90IGJlIHByZWRpY3RhYmxlIGZyb20gcXVhbnRpdGF0aXZlIGRhdGEgYWxvbmUuIEEgbW9yZSBhcHBsaWVkIGVjb2xvZ2ljYWwgYmVoYXZpb3VyYWwgbW9kZWwgbWF5IGJlIHJlcXVpcmVkIHRvIGNhcHR1cmUgdGhlc2UgZWZmZWN0cy4iLCJ2b2x1bWUiOiI3IiwiY29udGFpbmVyLXRpdGxlLXNob3J0IjoiIn0sImlzVGVtcG9yYXJ5IjpmYWxzZX0seyJpZCI6ImI0ZWU4YzFmLTZkNWYtM2ZiNi05MTc2LTcxYTVmYjQ4OWI0YSIsIml0ZW1EYXRhIjp7InR5cGUiOiJhcnRpY2xlLWpvdXJuYWwiLCJpZCI6ImI0ZWU4YzFmLTZkNWYtM2ZiNi05MTc2LTcxYTVmYjQ4OWI0YSIsInRpdGxlIjoiSG93IERvIFVyYmFuIFdhbGtpbmcgRW52aXJvbm1lbnRzIEltcGFjdCBQZWRlc3RyaWFuc+KAmSBFeHBlcmllbmNlIGFuZCBQc3ljaG9sb2dpY2FsIEhlYWx0aD8gQSBTeXN0ZW1hdGljIFJldmlldyIsImF1dGhvciI6W3siZmFtaWx5IjoiU3VuZGxpbmciLCJnaXZlbiI6IkNhdGhlcmluZSIsInBhcnNlLW5hbWVzIjpmYWxzZSwiZHJvcHBpbmctcGFydGljbGUiOiIiLCJub24tZHJvcHBpbmctcGFydGljbGUiOiIifSx7ImZhbWlseSI6Ikpha29ic3NvbiIsImdpdmVuIjoiTWFyaWFubmUiLCJwYXJzZS1uYW1lcyI6ZmFsc2UsImRyb3BwaW5nLXBhcnRpY2xlIjoiIiwibm9uLWRyb3BwaW5nLXBhcnRpY2xlIjoiIn1dLCJjb250YWluZXItdGl0bGUiOiJTdXN0YWluYWJpbGl0eSAyMDIzLCBWb2wuIDE1LCBQYWdlIDEwODE3IiwiYWNjZXNzZWQiOnsiZGF0ZS1wYXJ0cyI6W1syMDI2LDQsNV1dfSwiRE9JIjoiMTAuMzM5MC9zdTE1MTQxMDgxNyIsIklTU04iOiIyMDcxLTEwNTAiLCJVUkwiOiJodHRwczovL3d3dy5tZHBpLmNvbS8yMDcxLTEwNTAvMTUvMTQvMTA4MTcvaHRtIiwiaXNzdWVkIjp7ImRhdGUtcGFydHMiOltbMjAyMyw3LDEwXV19LCJwYWdlIjoiMTA4MTciLCJhYnN0cmFjdCI6IkRhaWx5IHdhbGtzIGFyZSByZWNvbW1lbmRlZCBmb3IgaGVhbHRoIGdhaW5zLCBhbmQgd2Fsa2FibGUgdXJiYW4gZW52aXJvbm1lbnRzIGFyZSByZWNvbW1lbmRlZCBhcyBvbmUgc3RyYXRlZ3kgdG8gY29tYmF0IGNsaW1hdGUgY2hhbmdlLiBFdmlkZW5jZSBvZiB0aGUgcmVsYXRpb25zaGlwIGJldHdlZW4gcGh5c2ljYWwgZW52aXJvbm1lbnRzIGFuZCBwc3ljaG9sb2dpY2FsIGhlYWx0aCBpcyBpbmNyZWFzaW5nLiBUaGUgYWltIG9mIHRoaXMgc3R1ZHkgd2FzIHRvIHN5c3RlbWF0aWNhbGx5IHJldmlldyBhbmQgY29tcGlsZSBldmlkZW5jZSByZWdhcmRpbmcgbWljcm8tc2NhbGUgY2hhcmFjdGVyaXN0aWNzIGluIHVyYmFuIG91dGRvb3IgZW52aXJvbm1lbnRzIHRoYXQgaW1wYWN0ZWQgcGVkZXN0cmlhbiBzaG9ydC10ZXJtIGV4cGVyaWVuY2UgYW5kL29yIGxvbmctdGVybSBwc3ljaG9sb2dpY2FsIGhlYWx0aC4gVGhlIGRhdGFiYXNlcyBTY2llbmNlRGlyZWN0LCBTY29wdXMsIFB1Yk1lZCwgUHN5Y2hJbmZvLCBhbmQgR29vZ2xlIFNjaG9sYXIgd2VyZSB1c2VkLiBUbyBleHBsb3JlIHRoZSBhcmVhLCBhIGxhcmdlIGhldGVyb2dlbmVpdHkgaW4gcHVibGljYXRpb25zIHdhcyBhbGxvd2VkOyB0aGVyZWZvcmUsIGl0IHdhcyBub3QgcG9zc2libGUgdG8gY29uZHVjdCBhIG1ldGEtYW5hbHlzaXMuIEZyb20gNjMgcHVibGljYXRpb25zLCBkYXRhIGl0ZW1zIHdlcmUgZXh0cmFjdGVkIGZyb20gZnVsbCB0ZXh0IGFuZCBjYXRlZ29yaXplZCBhY2NvcmRpbmcgdG8gdGhlIG1haW4gc3R1ZHkgY2hhcmFjdGVyaXN0aWNzLiBFbnZpcm9ubWVudGFsIGNoYXJhY3RlcmlzdGljcyBpbXBhY3RpbmcgcGVkZXN0cmlhbnMgcHN5Y2hvbG9naWNhbGx5IHdlcmUgaWRlbnRpZmllZCBhbmQgY2F0ZWdvcml6ZWQgaW50byB0aGVtZXM6IGdyZXksIGdyZWVuLCBibHVlLCBhbmQgd2hpdGUgYXJlYXMsIGFuZCB3ZWF0aGVyLCB0ZW1wb3JhbGl0aWVzLCB0b3BvZ3JhcGh5LCBwZXJzb24gZmFjdG9ycywgYW5kIHNhZmV0eS4gRW52aXJvbm1lbnRhbCBmYWN0b3JzIHdlcmUgYW5hbHl6ZWQgZnJvbSB0aGUgcGVyc3BlY3RpdmUgb2YgdGhlIGNpcmN1bXBsZXggbW9kZWwgb2YgaHVtYW4gYWZmZWN0IChuZWdhdGl2ZS9wb3NpdGl2ZSBkaW1lbnNpb25zIGFuZCBhY3RpdmF0aW9uL2RlYWN0aXZhdGlvbikuIFRoZSBmaW5kaW5ncyBpbmNsdWRlZCB0aGUgZmFjdCB0aGF0IHVyYmFuIHBlZGVzdHJpYW5zIG5lZWQgYm90aCBwb3NpdGl2ZWx5IGFjdGl2YXRpbmcgYW5kIGRlYWN0aXZhdGluZyAocmVzdG9yYXRpdmUpIGFyZWFzIGR1cmluZyB3YWxrYWJvdXRzLiBQZXJjZWl2ZWQgc2FmZXR5IGlzIGVzc2VudGlhbCBmb3IgZXhwZXJpZW5jaW5nIHRoZSBwb3NpdGl2ZSBhc3BlY3RzIG9mIHVyYmFuIGVudmlyb25tZW50cy4gU29tZSBjaGFyYWN0ZXJpc3RpY3MgaW50ZXJhY3QgZGlmZmVyZW50bHkgb3IgaGF2ZSBkaWZmZXJlbnQgaW1wb3J0YW5jZSBmb3IgaGVhbHRoIGluIGRpZmZlcmVudCBncm91cHMuIFRvIGZ1cnRoZXIgZGV2ZWxvcCByZXNlYXJjaCBvbiBwZWRlc3RyaWFuIGVudmlyb25tZW50cywgcHN5Y2hvbG9naWNhbCBleHBlcmllbmNlcyBzaG91bGQgYmUgaW5jbHVkZWQuIiwicHVibGlzaGVyIjoiTXVsdGlkaXNjaXBsaW5hcnkgRGlnaXRhbCBQdWJsaXNoaW5nIEluc3RpdHV0ZSIsImlzc3VlIjoiMTQiLCJ2b2x1bWUiOiIxNSIsImNvbnRhaW5lci10aXRsZS1zaG9ydCI6IiJ9LCJpc1RlbXBvcmFyeSI6ZmFsc2V9XX0=&quot;,&quot;citationItems&quot;:[{&quot;id&quot;:&quot;8300af33-d359-35b5-821e-3efbfe45f0f6&quot;,&quot;itemData&quot;:{&quot;type&quot;:&quot;report&quot;,&quot;id&quot;:&quot;8300af33-d359-35b5-821e-3efbfe45f0f6&quot;,&quot;title&quot;:&quot;Shoe leather epidemiology: active travel and transport infrastructure in the urban landscape&quot;,&quot;author&quot;:[{&quot;family&quot;:&quot;Ogilvie&quot;,&quot;given&quot;:&quot;David&quot;,&quot;parse-names&quot;:false,&quot;dropping-particle&quot;:&quot;&quot;,&quot;non-dropping-particle&quot;:&quot;&quot;},{&quot;family&quot;:&quot;Mitchell&quot;,&quot;given&quot;:&quot;Richard&quot;,&quot;parse-names&quot;:false,&quot;dropping-particle&quot;:&quot;&quot;,&quot;non-dropping-particle&quot;:&quot;&quot;},{&quot;family&quot;:&quot;Mutrie&quot;,&quot;given&quot;:&quot;Nanette&quot;,&quot;parse-names&quot;:false,&quot;dropping-particle&quot;:&quot;&quot;,&quot;non-dropping-particle&quot;:&quot;&quot;},{&quot;family&quot;:&quot;Petticrew&quot;,&quot;given&quot;:&quot;Mark&quot;,&quot;parse-names&quot;:false,&quot;dropping-particle&quot;:&quot;&quot;,&quot;non-dropping-particle&quot;:&quot;&quot;},{&quot;family&quot;:&quot;Platt&quot;,&quot;given&quot;:&quot;Stephen&quot;,&quot;parse-names&quot;:false,&quot;dropping-particle&quot;:&quot;&quot;,&quot;non-dropping-particle&quot;:&quot;&quot;}],&quot;container-title&quot;:&quot;International Journal of Behavioral Nutrition and Physical Activity&quot;,&quot;DOI&quot;:&quot;10.1186/1479-5868-7-43&quot;,&quot;URL&quot;:&quot;http://www.ijbnpa.org/content/7/1/43&quot;,&quot;issued&quot;:{&quot;date-parts&quot;:[[2010]]},&quot;number-of-pages&quot;:&quot;43&quot;,&quot;abstract&quot;:&quot;Background: Building new transport infrastructure could help to promote changes in patterns of mobility, physical activity, and other determinants of population health such as economic development. However, local residents may not share planners' goals or assumptions about the benefits of such interventions. A particularly contentious example is the construction of major roads close to deprived residential areas. We report the qualitative findings of the baseline phase of a longitudinal mixed-method study of a new urban section of the M74 motorway in Glasgow, Scotland, that aims to combine quantitative epidemiological and spatial data with qualitative interview data from local residents. Methods: We interviewed 12 residents purposively sampled from a larger study cohort of 1322 to include men and women, different age groups, and people with and without cars, all living within 400 metres of the proposed route of the new motorway. We elicited their views and experiences of the local urban environment and the likely impact of the new motorway using a topic guide based on seven key environmental constructs (aesthetics, green space, convenience of routes, access to amenities, traffic, road danger and personal danger) reflecting an overall ecological model of walking and cycling. Results: Traffic was widely perceived to be heavy despite a low local level of car ownership. Few people cycled, and cycling on the roads was widely perceived to be dangerous for both adults and children. Views about the likely impacts of the new motorway on traffic congestion, pollution and the pleasantness of the local environment were polarised. A new motorway has potential to cause inequitable psychological or physical severance of routes to local amenities, and people may not necessarily use local walking routes or destinations such as parks and shops if these are considered undesirable, unsafe or 'not for us'. Public transport may have the potential to promote or discourage active travel in different socioeconomic contexts. Conclusions: Altering the urban landscape may influence walking and cycling in ways that vary between individuals, may be inequitable, and may not be predictable from quantitative data alone. A more applied ecological behavioural model may be required to capture these effects.&quot;,&quot;volume&quot;:&quot;7&quot;,&quot;container-title-short&quot;:&quot;&quot;},&quot;isTemporary&quot;:false},{&quot;id&quot;:&quot;b4ee8c1f-6d5f-3fb6-9176-71a5fb489b4a&quot;,&quot;itemData&quot;:{&quot;type&quot;:&quot;article-journal&quot;,&quot;id&quot;:&quot;b4ee8c1f-6d5f-3fb6-9176-71a5fb489b4a&quot;,&quot;title&quot;:&quot;How Do Urban Walking Environments Impact Pedestrians’ Experience and Psychological Health? A Systematic Review&quot;,&quot;author&quot;:[{&quot;family&quot;:&quot;Sundling&quot;,&quot;given&quot;:&quot;Catherine&quot;,&quot;parse-names&quot;:false,&quot;dropping-particle&quot;:&quot;&quot;,&quot;non-dropping-particle&quot;:&quot;&quot;},{&quot;family&quot;:&quot;Jakobsson&quot;,&quot;given&quot;:&quot;Marianne&quot;,&quot;parse-names&quot;:false,&quot;dropping-particle&quot;:&quot;&quot;,&quot;non-dropping-particle&quot;:&quot;&quot;}],&quot;container-title&quot;:&quot;Sustainability 2023, Vol. 15, Page 10817&quot;,&quot;accessed&quot;:{&quot;date-parts&quot;:[[2026,4,5]]},&quot;DOI&quot;:&quot;10.3390/su151410817&quot;,&quot;ISSN&quot;:&quot;2071-1050&quot;,&quot;URL&quot;:&quot;https://www.mdpi.com/2071-1050/15/14/10817/htm&quot;,&quot;issued&quot;:{&quot;date-parts&quot;:[[2023,7,10]]},&quot;page&quot;:&quot;10817&quot;,&quot;abstract&quot;:&quot;Daily walks are recommended for health gains, and walkable urban environments are recommended as one strategy to combat climate change. Evidence of the relationship between physical environments and psychological health is increasing. The aim of this study was to systematically review and compile evidence regarding micro-scale characteristics in urban outdoor environments that impacted pedestrian short-term experience and/or long-term psychological health. The databases ScienceDirect, Scopus, PubMed, PsychInfo, and Google Scholar were used. To explore the area, a large heterogeneity in publications was allowed; therefore, it was not possible to conduct a meta-analysis. From 63 publications, data items were extracted from full text and categorized according to the main study characteristics. Environmental characteristics impacting pedestrians psychologically were identified and categorized into themes: grey, green, blue, and white areas, and weather, temporalities, topography, person factors, and safety. Environmental factors were analyzed from the perspective of the circumplex model of human affect (negative/positive dimensions and activation/deactivation). The findings included the fact that urban pedestrians need both positively activating and deactivating (restorative) areas during walkabouts. Perceived safety is essential for experiencing the positive aspects of urban environments. Some characteristics interact differently or have different importance for health in different groups. To further develop research on pedestrian environments, psychological experiences should be included.&quot;,&quot;publisher&quot;:&quot;Multidisciplinary Digital Publishing Institute&quot;,&quot;issue&quot;:&quot;14&quot;,&quot;volume&quot;:&quot;15&quot;,&quot;container-title-short&quot;:&quot;&quot;},&quot;isTemporary&quot;:false}]},{&quot;citationID&quot;:&quot;MENDELEY_CITATION_4e808905-cd4a-48e3-8acd-9948d3ca5f2d&quot;,&quot;properties&quot;:{&quot;noteIndex&quot;:0},&quot;isEdited&quot;:false,&quot;manualOverride&quot;:{&quot;isManuallyOverridden&quot;:true,&quot;citeprocText&quot;:&quot;(Duren et al., 2023; Schneider et al., 2022)&quot;,&quot;manualOverrideText&quot;:&quot;(Schneider et al., 2022; Duren et al., 2023)&quot;},&quot;citationTag&quot;:&quot;MENDELEY_CITATION_v3_eyJjaXRhdGlvbklEIjoiTUVOREVMRVlfQ0lUQVRJT05fNGU4MDg5MDUtY2Q0YS00OGUzLThhY2QtOTk0OGQzY2E1ZjJkIiwicHJvcGVydGllcyI6eyJub3RlSW5kZXgiOjB9LCJpc0VkaXRlZCI6ZmFsc2UsIm1hbnVhbE92ZXJyaWRlIjp7ImlzTWFudWFsbHlPdmVycmlkZGVuIjp0cnVlLCJjaXRlcHJvY1RleHQiOiIoRHVyZW4gZXQgYWwuLCAyMDIzOyBTY2huZWlkZXIgZXQgYWwuLCAyMDIyKSIsIm1hbnVhbE92ZXJyaWRlVGV4dCI6IihTY2huZWlkZXIgZXQgYWwuLCAyMDIyOyBEdXJlbiBldCBhbC4sIDIwMjMpIn0sImNpdGF0aW9uSXRlbXMiOlt7ImlkIjoiMDRlYjlmMjctNzlkZi0zMWUwLWE5N2MtNmRkNmYwOWIxOWE1IiwiaXRlbURhdGEiOnsidHlwZSI6ImFydGljbGUtam91cm5hbCIsImlkIjoiMDRlYjlmMjctNzlkZi0zMWUwLWE5N2MtNmRkNmYwOWIxOWE1IiwidGl0bGUiOiJJZGVudGlmeWluZyBhbmQgQXNzZXNzaW5nIFBlcmNlaXZlZCBDeWNsaW5nIFNhZmV0eSBDb21wb25lbnRzIiwiYXV0aG9yIjpbeyJmYW1pbHkiOiJEdXJlbiIsImdpdmVuIjoiTWljaGVsbGUiLCJwYXJzZS1uYW1lcyI6ZmFsc2UsImRyb3BwaW5nLXBhcnRpY2xlIjoiIiwibm9uLWRyb3BwaW5nLXBhcnRpY2xlIjoiIn0seyJmYW1pbHkiOiJDb3JyaWdhbiIsImdpdmVuIjoiQnJ5Y2UiLCJwYXJzZS1uYW1lcyI6ZmFsc2UsImRyb3BwaW5nLXBhcnRpY2xlIjoiIiwibm9uLWRyb3BwaW5nLXBhcnRpY2xlIjoiIn0seyJmYW1pbHkiOiJLZW5uZWR5IiwiZ2l2ZW4iOiJSeWFuIERhdmlkIiwicGFyc2UtbmFtZXMiOmZhbHNlLCJkcm9wcGluZy1wYXJ0aWNsZSI6IiIsIm5vbi1kcm9wcGluZy1wYXJ0aWNsZSI6IiJ9LHsiZmFtaWx5IjoiUG9sbGFjayBQb3J0ZXIiLCJnaXZlbiI6Iktlc2hpYSBNLiIsInBhcnNlLW5hbWVzIjpmYWxzZSwiZHJvcHBpbmctcGFydGljbGUiOiIiLCJub24tZHJvcHBpbmctcGFydGljbGUiOiIifSx7ImZhbWlseSI6IkVoc2FuaSIsImdpdmVuIjoiSm9obmF0aG9uIiwicGFyc2UtbmFtZXMiOmZhbHNlLCJkcm9wcGluZy1wYXJ0aWNsZSI6IiIsIm5vbi1kcm9wcGluZy1wYXJ0aWNsZSI6IiJ9XSwiY29udGFpbmVyLXRpdGxlIjoiU2FmZXR5IiwiRE9JIjoiMTAuMzM5MC9zYWZldHk5MDQwMDc1IiwiSVNTTiI6IjIzMTM1NzZYIiwiaXNzdWVkIjp7ImRhdGUtcGFydHMiOltbMjAyMywxMiwxXV19LCJhYnN0cmFjdCI6IlBlcmNlaXZlZCBzYWZldHkgaXMgcmVjb2duaXplZCB0aHJvdWdob3V0IHRoZSBtb2RlIGNob2ljZSBsaXRlcmF0dXJlIGFzIGEga2V5IGJhcnJpZXIgdG8gY3ljbGluZywgeWV0IGl0cyBjb25zdHJ1Y3RzIGFyZSBwb29ybHkgdW5kZXJzdG9vZC4gQWx0aG91Z2ggY29tbW9ubHkgdW5kZXJzdG9vZCB0byByZWxhdGUgdG8gY3Jhc2ggYW5kIGluanVyeSByaXNrIGFuZCBzb21ldGltZXMgdnVsbmVyYWJpbGl0eSB0byBjcmltZSwgaGVhbHRoIGltcGFjdCBhc3Nlc3NtZW50cyBpZGVudGlmeSBudW1lcm91cyBvdGhlciBwYXRod2F5cyB0aHJvdWdoIHdoaWNoIGN5Y2xpbmcgY2FuIG5lZ2F0aXZlbHkgaW1wYWN0IGhlYWx0aC4gVGhpcyBzdHVkeSBsZXZlcmFnZXMgYSBuYXRpb25hbGx5IHJlcHJlc2VudGF0aXZlIHN1cnZleSBvZiBVLlMuIGFkdWx0cyBpbiAyMDIyIHRvIGFzc2VzcyBhIHNldCBvZiBlbGV2ZW4gZmFjdG9ycyBhcyBwb3RlbnRpYWwgY29tcG9uZW50cyBvZiBwZXJjZWl2ZWQgY3ljbGluZyBzYWZldHkuIFdlIHVzZSBwcmluY2lwYWwgY29tcG9uZW50IGFuYWx5c2lzIHRvIGlkZW50aWZ5IGNvbXBvbmVudHMgb2YgcGVyY2VpdmVkIGN5Y2xpbmcgc2FmZXR5IGFuZCB0aGVuIGVtcGxveSBwcmluY2lwYWwgY29tcG9uZW50IHJlZ3Jlc3Npb24gdG8gYXNzZXNzIHRoZXNlIGNvbXBvbmVudHMgaW4gcmVsYXRpb24gdG8gcHJlZGljdGluZyB1bnNhZmUgY3ljbGluZyBwZXJjZXB0aW9uLiBXZSBpZGVudGlmeSBmaXZlIGtleSBkaW1lbnNpb25zIG9mIHBlcmNlaXZlZCBzYWZldHkuIFNwZWNpZmljYWxseSwgd2UgZm91bmQgdGhhdCBwZXJjZWl2ZWQgYmljeWNsaW5nIHNhZmV0eSBjYW4gYmUgZW5jb21wYXNzZWQgaW4gdGhlIGZvbGxvd2luZyBjb21wb25lbnRzOiAoMSkgY29udGFtaW5hbnQgZXhwb3N1cmUsICgyKSBpbmp1cmlvdXMgY29sbGlzaW9uIHJpc2ssICgzKSBzdHJlZXQgY29uZGl0aW9ucywgKDQpIHdlYXRoZXIgY29uZGl0aW9ucywgYW5kICg1KSBjcmltZSByaXNrLiBJbiBldmFsdWF0aW5nIGVhY2ggaWRlbnRpZmllZCBjb21wb25lbnQsIHdlIGZvdW5kIHRoYXQgaW5qdXJpb3VzIGNvbGxpc2lvbiByaXNrIGFuZCBzdHJlZXQgY29uZGl0aW9ucyB3ZXJlIHRoZSBtb3N0IHByZWRpY3RpdmUgb2YgY29uc2lkZXJpbmcgY3ljbGluZyBhcyB1bnNhZmUuIFdlIGZ1cnRoZXIgZGV2ZWxvcCBhbiB1bmRlcnN0YW5kaW5nIG9mIGhvdyBkaWZmZXJlbmNlcyBpbiBjeWNsaW5nIGJlaGF2aW9yLCBzdWNoIGFzIHVzaW5nIGN5Y2xpbmcgZm9yIGNvbW11dGluZyBwdXJwb3NlcywgbWF5IGNvbnRyaWJ1dGUgdG8gZGlmZmVyZW5jZXMgaW4gaG93IGN5Y2xpbmcgc2FmZXR5IGNvbXBvbmVudHMgY29hbGVzY2UgaW50byBwZXJjZWl2ZWQgc2FmZXR5LiIsInB1Ymxpc2hlciI6Ik11bHRpZGlzY2lwbGluYXJ5IERpZ2l0YWwgUHVibGlzaGluZyBJbnN0aXR1dGUgKE1EUEkpIiwiaXNzdWUiOiI0Iiwidm9sdW1lIjoiOSIsImNvbnRhaW5lci10aXRsZS1zaG9ydCI6IiJ9LCJpc1RlbXBvcmFyeSI6ZmFsc2V9LHsiaWQiOiJkMTA5MWI5Yi1iOGMxLTNkM2UtYjg2YS01ZDI0ZWIzNzQ2NWMiLCJpdGVtRGF0YSI6eyJ0eXBlIjoiYXJ0aWNsZS1qb3VybmFsIiwiaWQiOiJkMTA5MWI5Yi1iOGMxLTNkM2UtYjg2YS01ZDI0ZWIzNzQ2NWMiLCJ0aXRsZSI6IlBlcmNlaXZlZCBTYWZldHkgYW5kIFNlY3VyaXR5IEJhcnJpZXJzIHRvIFdhbGtpbmcgYW5kIEJpY3ljbGluZzogSW5zaWdodHMgZnJvbSBNaWx3YXVrZWUiLCJhdXRob3IiOlt7ImZhbWlseSI6IlNjaG5laWRlciIsImdpdmVuIjoiUm9iZXJ0IEphbWVzIiwicGFyc2UtbmFtZXMiOmZhbHNlLCJkcm9wcGluZy1wYXJ0aWNsZSI6IiIsIm5vbi1kcm9wcGluZy1wYXJ0aWNsZSI6IiJ9LHsiZmFtaWx5IjoiV2llcnMiLCJnaXZlbiI6IkhheWxleSIsInBhcnNlLW5hbWVzIjpmYWxzZSwiZHJvcHBpbmctcGFydGljbGUiOiIiLCJub24tZHJvcHBpbmctcGFydGljbGUiOiIifSx7ImZhbWlseSI6IlNjaG1pdHoiLCJnaXZlbiI6IkFuZHJldyIsInBhcnNlLW5hbWVzIjpmYWxzZSwiZHJvcHBpbmctcGFydGljbGUiOiIiLCJub24tZHJvcHBpbmctcGFydGljbGUiOiIifV0sImNvbnRhaW5lci10aXRsZSI6IlRyYW5zcG9ydGF0aW9uIFJlc2VhcmNoIFJlY29yZCIsImNvbnRhaW5lci10aXRsZS1zaG9ydCI6IlRyYW5zcC4gUmVzLiBSZWMuIiwiRE9JIjoiMTAuMTE3Ny8wMzYxMTk4MTIyMTA4NjY0NiIsIklTU04iOiIyMTY5NDA1MiIsImlzc3VlZCI6eyJkYXRlLXBhcnRzIjpbWzIwMjIsOSwxXV19LCJwYWdlIjoiMzI1LTMzOCIsImFic3RyYWN0IjoiVHdvIGJyb2FkIGNhdGVnb3JpZXMgb2YgYmFycmllcnMgdG8gaW1wcm92aW5nIHBlZGVzdHJpYW4gYW5kIGJpY3ljbGUgdHJhbnNwb3J0YXRpb24gYXJlIGNvbmNlcm5zIGFib3V0IHRyYWZmaWMgc2FmZXR5IGFuZCBwZXJzb25hbCBzZWN1cml0eS4gR2F0aGVyaW5nIHJlc2lkZW50c+KAmSBwZXJjZXB0aW9ucyBvZiB0aGVzZSBiYXJyaWVycyBjYW4gaGVscCBwdWJsaWMgYWdlbmNpZXMgZGV2ZWxvcCBlZmZlY3RpdmUgYW5kIGVxdWl0YWJsZSBzdHJhdGVnaWVzIHRvIGNyZWF0ZSBtb3JlIHN1c3RhaW5hYmxlIHRyYW5zcG9ydGF0aW9uIHN5c3RlbXMuIFdlIGFuYWx5emVkIG9wZW4tZW5kZWQgcmVzcG9uc2VzIHRvIHRoZSAyMDIwIE1pbHdhdWtlZSBTYWZlIGFuZCBIZWFsdGh5IFN0cmVldHMgc3VydmV5IHRvIGlkZW50aWZ5IGNvbW1vbiB0cmFmZmljIHNhZmV0eSBiYXJyaWVycyAoZS5nLiwgZHJpdmVyIGJlaGF2aW9yIHN1Y2ggYXMgc3BlZWRpbmcgYW5kIHJlZC1saWdodC1ydW5uaW5nKSBhbmQgcGVyc29uYWwgc2VjdXJpdHkgYmFycmllcnMgKGUuZy4sIHVuZGVzaXJhYmxlIHN0cmVldCBiZWhhdmlvcnMgc3VjaCBhcyBndW4gdmlvbGVuY2UsIHJvYmJlcnksIGFuZCBhc3NhdWx0KSB0byB3YWxraW5nIGFuZCBiaWN5Y2xpbmcuIFRoZW4sIHdlIGRldmVsb3BlZCBiaW5hcnkgbG9naXN0aWMgbW9kZWxzIHRvIGlkZW50aWZ5IHBlcmNlcHRpb25zIG9mIG5laWdoYm9yaG9vZCBjaGFyYWN0ZXJpc3RpY3MsIGFuZCBpbmRpdmlkdWFsIGRlbW9ncmFwaGljIGNoYXJhY3RlcmlzdGljcyByZWxhdGVkIHRvIHBlcmNlaXZpbmcgd2Fsa2luZyBvciBiaWN5Y2xpbmcgYXMgdW5zYWZlIHdpdGggcmVzcGVjdCB0byB0cmFmZmljIG9yIHBlcnNvbmFsIHNlY3VyaXR5LiBGb3Igd2Fsa2luZywgcmVzcG9uZGVudHPigJkgdHJhZmZpYyBzYWZldHkgY29uY2VybnMgd2VyZSBtb3N0IHN0cm9uZ2x5IGFzc29jaWF0ZWQgd2l0aCBwZXJjZXB0aW9ucyBvZiBmYXN0IG5laWdoYm9yaG9vZCB0cmFmZmljIHNwZWVkcywgYW5kIHBlcnNvbmFsIHNlY3VyaXR5IGNvbmNlcm5zIHdlcmUgYXNzb2NpYXRlZCB3aXRoIHBlcmNlcHRpb25zIG9mIHBvb3IgbmVpZ2hib3Job29kIGNsZWFubGluZXNzLiBGb3IgYmljeWNsaW5nLCBib3RoIHRyYWZmaWMgc2FmZXR5IGNvbmNlcm5zIGFuZCBwZXJzb25hbCBzZWN1cml0eSBjb25jZXJucyB3ZXJlIG1vc3Qgc3Ryb25nbHkgYXNzb2NpYXRlZCB3aXRoIHBvb3IgbmVpZ2hib3Job29kIG9wcG9ydHVuaXRpZXMgZm9yIGV4ZXJjaXNlLiBBdCBhbiBpbmRpdmlkdWFsIGxldmVsLCBsaXZpbmcgaW4gYSB6ZXJvLXZlaGljbGUgaG91c2Vob2xkIGFuZCBoYXZpbmcgc2VsZi1yZXBvcnRlZCBwb29yIGhlYWx0aCB3ZXJlIGFzc29jaWF0ZWQgd2l0aCByYXRpbmcgdHJhZmZpYyBzYWZldHkgZm9yIGJvdGggd2Fsa2luZyBhbmQgYmljeWNsaW5nIGFzIHVuc2FmZTsgaGF2aW5nIGRpc2FiaWxpdGllcyB3YXMgYXNzb2NpYXRlZCB3aXRoIHJhdGluZyB3YWxraW5nIGFzIHVuc2FmZS4gSW4gYWxtb3N0IGV2ZXJ5IGFzcGVjdCBvZiBvdXIgYW5hbHlzaXMsIHJlc3BvbmRlbnRzIGxpdmluZyBpbiBsb3dlci1pbmNvbWUgY29tbXVuaXRpZXMgcmVwb3J0ZWQgZ3JlYXRlciBiYXJyaWVycyB0byBwZWRlc3RyaWFuIGFuZCBiaWN5Y2xlIHNhZmV0eSBhbmQgc2VjdXJpdHkgdGhhbiByZXNpZGVudHMgZnJvbSB3ZWFsdGhpZXIgbmVpZ2hib3Job29kcy4gVGhlIHJlc3VsdHMgZW1waGFzaXplZCB0aGUgaW1wb3J0YW5jZSBvZiBib3RoIHRoZSBzb2NpYWwgYW5kIHBoeXNpY2FsIGVudmlyb25tZW50IGZvciBpbXByb3ZpbmcgcGVkZXN0cmlhbiBhbmQgYmljeWNsZSB0cmFuc3BvcnRhdGlvbi4iLCJwdWJsaXNoZXIiOiJTQUdFIFB1YmxpY2F0aW9ucyBMdGQiLCJpc3N1ZSI6IjkiLCJ2b2x1bWUiOiIyNjc2In0sImlzVGVtcG9yYXJ5IjpmYWxzZX1dfQ==&quot;,&quot;citationItems&quot;:[{&quot;id&quot;:&quot;04eb9f27-79df-31e0-a97c-6dd6f09b19a5&quot;,&quot;itemData&quot;:{&quot;type&quot;:&quot;article-journal&quot;,&quot;id&quot;:&quot;04eb9f27-79df-31e0-a97c-6dd6f09b19a5&quot;,&quot;title&quot;:&quot;Identifying and Assessing Perceived Cycling Safety Components&quot;,&quot;author&quot;:[{&quot;family&quot;:&quot;Duren&quot;,&quot;given&quot;:&quot;Michelle&quot;,&quot;parse-names&quot;:false,&quot;dropping-particle&quot;:&quot;&quot;,&quot;non-dropping-particle&quot;:&quot;&quot;},{&quot;family&quot;:&quot;Corrigan&quot;,&quot;given&quot;:&quot;Bryce&quot;,&quot;parse-names&quot;:false,&quot;dropping-particle&quot;:&quot;&quot;,&quot;non-dropping-particle&quot;:&quot;&quot;},{&quot;family&quot;:&quot;Kennedy&quot;,&quot;given&quot;:&quot;Ryan David&quot;,&quot;parse-names&quot;:false,&quot;dropping-particle&quot;:&quot;&quot;,&quot;non-dropping-particle&quot;:&quot;&quot;},{&quot;family&quot;:&quot;Pollack Porter&quot;,&quot;given&quot;:&quot;Keshia M.&quot;,&quot;parse-names&quot;:false,&quot;dropping-particle&quot;:&quot;&quot;,&quot;non-dropping-particle&quot;:&quot;&quot;},{&quot;family&quot;:&quot;Ehsani&quot;,&quot;given&quot;:&quot;Johnathon&quot;,&quot;parse-names&quot;:false,&quot;dropping-particle&quot;:&quot;&quot;,&quot;non-dropping-particle&quot;:&quot;&quot;}],&quot;container-title&quot;:&quot;Safety&quot;,&quot;DOI&quot;:&quot;10.3390/safety9040075&quot;,&quot;ISSN&quot;:&quot;2313576X&quot;,&quot;issued&quot;:{&quot;date-parts&quot;:[[2023,12,1]]},&quot;abstract&quot;:&quot;Perceived safety is recognized throughout the mode choice literature as a key barrier to cycling, yet its constructs are poorly understood. Although commonly understood to relate to crash and injury risk and sometimes vulnerability to crime, health impact assessments identify numerous other pathways through which cycling can negatively impact health. This study leverages a nationally representative survey of U.S. adults in 2022 to assess a set of eleven factors as potential components of perceived cycling safety. We use principal component analysis to identify components of perceived cycling safety and then employ principal component regression to assess these components in relation to predicting unsafe cycling perception. We identify five key dimensions of perceived safety. Specifically, we found that perceived bicycling safety can be encompassed in the following components: (1) contaminant exposure, (2) injurious collision risk, (3) street conditions, (4) weather conditions, and (5) crime risk. In evaluating each identified component, we found that injurious collision risk and street conditions were the most predictive of considering cycling as unsafe. We further develop an understanding of how differences in cycling behavior, such as using cycling for commuting purposes, may contribute to differences in how cycling safety components coalesce into perceived safety.&quot;,&quot;publisher&quot;:&quot;Multidisciplinary Digital Publishing Institute (MDPI)&quot;,&quot;issue&quot;:&quot;4&quot;,&quot;volume&quot;:&quot;9&quot;,&quot;container-title-short&quot;:&quot;&quot;},&quot;isTemporary&quot;:false},{&quot;id&quot;:&quot;d1091b9b-b8c1-3d3e-b86a-5d24eb37465c&quot;,&quot;itemData&quot;:{&quot;type&quot;:&quot;article-journal&quot;,&quot;id&quot;:&quot;d1091b9b-b8c1-3d3e-b86a-5d24eb37465c&quot;,&quot;title&quot;:&quot;Perceived Safety and Security Barriers to Walking and Bicycling: Insights from Milwaukee&quot;,&quot;author&quot;:[{&quot;family&quot;:&quot;Schneider&quot;,&quot;given&quot;:&quot;Robert James&quot;,&quot;parse-names&quot;:false,&quot;dropping-particle&quot;:&quot;&quot;,&quot;non-dropping-particle&quot;:&quot;&quot;},{&quot;family&quot;:&quot;Wiers&quot;,&quot;given&quot;:&quot;Hayley&quot;,&quot;parse-names&quot;:false,&quot;dropping-particle&quot;:&quot;&quot;,&quot;non-dropping-particle&quot;:&quot;&quot;},{&quot;family&quot;:&quot;Schmitz&quot;,&quot;given&quot;:&quot;Andrew&quot;,&quot;parse-names&quot;:false,&quot;dropping-particle&quot;:&quot;&quot;,&quot;non-dropping-particle&quot;:&quot;&quot;}],&quot;container-title&quot;:&quot;Transportation Research Record&quot;,&quot;container-title-short&quot;:&quot;Transp. Res. Rec.&quot;,&quot;DOI&quot;:&quot;10.1177/03611981221086646&quot;,&quot;ISSN&quot;:&quot;21694052&quot;,&quot;issued&quot;:{&quot;date-parts&quot;:[[2022,9,1]]},&quot;page&quot;:&quot;325-338&quot;,&quot;abstract&quot;:&quot;Two broad categories of barriers to improving pedestrian and bicycle transportation are concerns about traffic safety and personal security. Gathering residents’ perceptions of these barriers can help public agencies develop effective and equitable strategies to create more sustainable transportation systems. We analyzed open-ended responses to the 2020 Milwaukee Safe and Healthy Streets survey to identify common traffic safety barriers (e.g., driver behavior such as speeding and red-light-running) and personal security barriers (e.g., undesirable street behaviors such as gun violence, robbery, and assault) to walking and bicycling. Then, we developed binary logistic models to identify perceptions of neighborhood characteristics, and individual demographic characteristics related to perceiving walking or bicycling as unsafe with respect to traffic or personal security. For walking, respondents’ traffic safety concerns were most strongly associated with perceptions of fast neighborhood traffic speeds, and personal security concerns were associated with perceptions of poor neighborhood cleanliness. For bicycling, both traffic safety concerns and personal security concerns were most strongly associated with poor neighborhood opportunities for exercise. At an individual level, living in a zero-vehicle household and having self-reported poor health were associated with rating traffic safety for both walking and bicycling as unsafe; having disabilities was associated with rating walking as unsafe. In almost every aspect of our analysis, respondents living in lower-income communities reported greater barriers to pedestrian and bicycle safety and security than residents from wealthier neighborhoods. The results emphasized the importance of both the social and physical environment for improving pedestrian and bicycle transportation.&quot;,&quot;publisher&quot;:&quot;SAGE Publications Ltd&quot;,&quot;issue&quot;:&quot;9&quot;,&quot;volume&quot;:&quot;2676&quot;},&quot;isTemporary&quot;:false}]},{&quot;citationID&quot;:&quot;MENDELEY_CITATION_dabf3ed5-7630-4748-a19d-fbb42e1d70f2&quot;,&quot;properties&quot;:{&quot;noteIndex&quot;:0},&quot;isEdited&quot;:false,&quot;manualOverride&quot;:{&quot;isManuallyOverridden&quot;:true,&quot;citeprocText&quot;:&quot;(Badia &amp;#38; Jenelius, 2023; Heinen et al., 2010; Sanders et al., 2020; Soto et al., 2022)&quot;,&quot;manualOverrideText&quot;:&quot;Heinen et al., 2010; Sanders et al., 2020; Soto et al., 2022; Badia and Jenelius, 2023&quot;},&quot;citationTag&quot;:&quot;MENDELEY_CITATION_v3_eyJjaXRhdGlvbklEIjoiTUVOREVMRVlfQ0lUQVRJT05fZGFiZjNlZDUtNzYzMC00NzQ4LWExOWQtZmJiNDJlMWQ3MGYyIiwicHJvcGVydGllcyI6eyJub3RlSW5kZXgiOjB9LCJpc0VkaXRlZCI6ZmFsc2UsIm1hbnVhbE92ZXJyaWRlIjp7ImlzTWFudWFsbHlPdmVycmlkZGVuIjp0cnVlLCJjaXRlcHJvY1RleHQiOiIoQmFkaWEgJiMzODsgSmVuZWxpdXMsIDIwMjM7IEhlaW5lbiBldCBhbC4sIDIwMTA7IFNhbmRlcnMgZXQgYWwuLCAyMDIwOyBTb3RvIGV0IGFsLiwgMjAyMikiLCJtYW51YWxPdmVycmlkZVRleHQiOiJIZWluZW4gZXQgYWwuLCAyMDEwOyBTYW5kZXJzIGV0IGFsLiwgMjAyMDsgU290byBldCBhbC4sIDIwMjI7IEJhZGlhIGFuZCBKZW5lbGl1cywgMjAyMyJ9LCJjaXRhdGlvbkl0ZW1zIjpb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I2YTlmNzZmMS0xMWNiLTNlY2YtOTlkMi1lNjVjMmI2NWUxZmEiLCJpdGVtRGF0YSI6eyJ0eXBlIjoiYXJ0aWNsZS1qb3VybmFsIiwiaWQiOiI2YTlmNzZmMS0xMWNiLTNlY2YtOTlkMi1lNjVjMmI2NWUxZmEiLCJ0aXRsZSI6IlNoYXJlZCBlLXNjb290ZXIgbWljcm9tb2JpbGl0eTogcmV2aWV3IG9mIHVzZSBwYXR0ZXJucywgcGVyY2VwdGlvbnMgYW5kIGVudmlyb25tZW50YWwgaW1wYWN0cyIsImF1dGhvciI6W3siZmFtaWx5IjoiQmFkaWEiLCJnaXZlbiI6Ikh1Z28iLCJwYXJzZS1uYW1lcyI6ZmFsc2UsImRyb3BwaW5nLXBhcnRpY2xlIjoiIiwibm9uLWRyb3BwaW5nLXBhcnRpY2xlIjoiIn0seyJmYW1pbHkiOiJKZW5lbGl1cyIsImdpdmVuIjoiRXJpa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cuMjAyMy4yMTcxNTAwIiwiSVNTTiI6IjE0NjQ1MzI3IiwiVVJMIjoiaHR0cHM6Ly93d3cudGFuZGZvbmxpbmUuY29tL2RvaS9wZGYvMTAuMTA4MC8wMTQ0MTY0Ny4yMDIzLjIxNzE1MDAiLCJpc3N1ZWQiOnsiZGF0ZS1wYXJ0cyI6W1syMDIzLDksM11dfSwicGFnZSI6IjgxMS04MzciLCJhYnN0cmFjdCI6IjEuIE1pY3JvbW9iaWxpdHksIGkuZS4gdGhlIHVzZSBvZiBsaWdodCB2ZWhpY2xlcyBmb3IgdHJhbnNwb3J0YXRpb24sIGhhcyBiZWVuIHByb21vdGVkIHRocm91Z2ggdGhlIGltcGxlbWVudGF0aW9uIG9mIGJpa2Utc2hhcmluZyBzeXN0ZW1zIGZyb20gdGhlIGJlZ2lubmluZyBvZiB0aGlzIGNlbnR1cnkgKEZpc2htYW4sIDIwMTY7IEZpc2htYW4gLi4uIiwicHVibGlzaGVyIjoiUm91dGxlZGdlIiwiaXNzdWUiOiI1Iiwidm9sdW1lIjoiNDMifSwiaXNUZW1wb3JhcnkiOmZhbHNlfSx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quot;,&quot;citationItems&quot;:[{&quot;id&quot;:&quot;5ca983f5-7599-3467-9733-8d06b53fd651&quot;,&quot;itemData&quot;:{&quot;type&quot;:&quot;article-journal&quot;,&quot;id&quot;:&quot;5ca983f5-7599-3467-9733-8d06b53fd651&quot;,&quot;title&quot;:&quot;Traffic as a barrier to walking safely in the United States: Perceived reasons and potential mitigation strategies&quot;,&quot;author&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Webber&quot;,&quot;given&quot;:&quot;Bryant J.&quot;,&quot;parse-names&quot;:false,&quot;dropping-particle&quot;:&quot;&quot;,&quot;non-dropping-particle&quot;:&quot;&quot;},{&quot;family&quot;:&quot;Omura&quot;,&quot;given&quot;:&quot;John D.&quot;,&quot;parse-names&quot;:false,&quot;dropping-particle&quot;:&quot;&quot;,&quot;non-dropping-particle&quot;:&quot;&quot;},{&quot;family&quot;:&quot;Chen&quot;,&quot;given&quot;:&quot;Tiffany J.&quot;,&quot;parse-names&quot;:false,&quot;dropping-particle&quot;:&quot;&quot;,&quot;non-dropping-particle&quot;:&quot;&quot;},{&quot;family&quot;:&quot;Zaganjor&quot;,&quot;given&quot;:&quot;Hatidza&quot;,&quot;parse-names&quot;:false,&quot;dropping-particle&quot;:&quot;&quot;,&quot;non-dropping-particle&quot;:&quot;&quot;},{&quot;family&quot;:&quot;Rose&quot;,&quot;given&quot;:&quot;Kenneth&quot;,&quot;parse-names&quot;:false,&quot;dropping-particle&quot;:&quot;&quot;,&quot;non-dropping-particle&quot;:&quot;&quot;}],&quot;container-title&quot;:&quot;Preventive Medicine Reports&quot;,&quot;container-title-short&quot;:&quot;Prev. Med. Rep.&quot;,&quot;DOI&quot;:&quot;10.1016/j.pmedr.2022.102003&quot;,&quot;ISSN&quot;:&quot;22113355&quot;,&quot;issued&quot;:{&quot;date-parts&quot;:[[2022,12,1]]},&quot;abstract&quot;:&quot;Motor vehicle traffic is commonly cited as a barrier to walking, but national level perceptions of traffic characteristics that negatively influence walking and potential traffic mitigation strategies remain unclear. The objectives of this study were to describe perceptions of (1) traffic characteristics that make walking unsafe in the United States and (2) potential mitigation strategies to address these concerns among those who report traffic as a barrier to walking. Data were from FallStyles, a nationwide internet panel survey conducted in October 2019 (n = 3,284 adults). Respondents reported if traffic makes walking unsafe where they live; those who answered yes were then asked about traffic characteristics that make walking unsafe (number of vehicles, speed of vehicles, distracted or impaired driving, types of vehicles, and other reasons) and potential mitigation strategies (new or improved sidewalks, crosswalks, pedestrian signals, street lighting, things that slow vehicles down, separating the sidewalk from the road, fewer vehicle lanes, and other). Prevalence of responses was assessed overall and by select sociodemographic and geographic characteristics, and by walking status. Nearly 25% of US adults reported that traffic is a barrier to walking where they live. Of these, 79% selected vehicle speed as a contributing traffic characteristic, and 57% indicated new or improved sidewalks as a potential mitigation strategy. These top responses were shared across all sociodemographic, geographic, and walking behavior subgroups. Speed reduction efforts and built environment enhancements such as sidewalks may alleviate pedestrian safety concerns. Promotion campaigns may be needed to bring awareness to such changes.&quot;,&quot;publisher&quot;:&quot;Elsevier Inc.&quot;,&quot;volume&quot;:&quot;30&quot;},&quot;isTemporary&quot;:false},{&quot;id&quot;:&quot;6a9f76f1-11cb-3ecf-99d2-e65c2b65e1fa&quot;,&quot;itemData&quot;:{&quot;type&quot;:&quot;article-journal&quot;,&quot;id&quot;:&quot;6a9f76f1-11cb-3ecf-99d2-e65c2b65e1fa&quot;,&quot;title&quot;:&quot;Shared e-scooter micromobility: review of use patterns, perceptions and environmental impacts&quot;,&quot;author&quot;:[{&quot;family&quot;:&quot;Badia&quot;,&quot;given&quot;:&quot;Hugo&quot;,&quot;parse-names&quot;:false,&quot;dropping-particle&quot;:&quot;&quot;,&quot;non-dropping-particle&quot;:&quot;&quot;},{&quot;family&quot;:&quot;Jenelius&quot;,&quot;given&quot;:&quot;Erik&quot;,&quot;parse-names&quot;:false,&quot;dropping-particle&quot;:&quot;&quot;,&quot;non-dropping-particle&quot;:&quot;&quot;}],&quot;container-title&quot;:&quot;Transport Reviews&quot;,&quot;container-title-short&quot;:&quot;Transp. Rev.&quot;,&quot;accessed&quot;:{&quot;date-parts&quot;:[[2026,4,22]]},&quot;DOI&quot;:&quot;10.1080/01441647.2023.2171500&quot;,&quot;ISSN&quot;:&quot;14645327&quot;,&quot;URL&quot;:&quot;https://www.tandfonline.com/doi/pdf/10.1080/01441647.2023.2171500&quot;,&quot;issued&quot;:{&quot;date-parts&quot;:[[2023,9,3]]},&quot;page&quot;:&quot;811-837&quot;,&quot;abstract&quot;:&quot;1. Micromobility, i.e. the use of light vehicles for transportation, has been promoted through the implementation of bike-sharing systems from the beginning of this century (Fishman, 2016; Fishman ...&quot;,&quot;publisher&quot;:&quot;Routledge&quot;,&quot;issue&quot;:&quot;5&quot;,&quot;volume&quot;:&quot;43&quot;},&quot;isTemporary&quot;:false},{&quot;id&quot;:&quot;076b83c9-641e-32c4-abc5-3e51d0a29e80&quot;,&quot;itemData&quot;:{&quot;type&quot;:&quot;article-journal&quot;,&quot;id&quot;:&quot;076b83c9-641e-32c4-abc5-3e51d0a29e80&quot;,&quot;title&quot;:&quot;Commuting by Bicycle: An Overview of the Literature&quot;,&quot;author&quot;:[{&quot;family&quot;:&quot;Heinen&quot;,&quot;given&quot;:&quot;Eva&quot;,&quot;parse-names&quot;:false,&quot;dropping-particle&quot;:&quot;&quot;,&quot;non-dropping-particle&quot;:&quot;&quot;},{&quot;family&quot;:&quot;Wee&quot;,&quot;given&quot;:&quot;Bert&quot;,&quot;parse-names&quot;:false,&quot;dropping-particle&quot;:&quot;&quot;,&quot;non-dropping-particle&quot;:&quot;van&quot;},{&quot;family&quot;:&quot;Maat&quot;,&quot;given&quot;:&quot;Kees&quot;,&quot;parse-names&quot;:false,&quot;dropping-particle&quot;:&quot;&quot;,&quot;non-dropping-particle&quot;:&quot;&quot;}],&quot;container-title&quot;:&quot;Transport Reviews&quot;,&quot;container-title-short&quot;:&quot;Transp. Rev.&quot;,&quot;accessed&quot;:{&quot;date-parts&quot;:[[2026,4,22]]},&quot;DOI&quot;:&quot;10.1080/01441640903187001&quot;,&quot;ISSN&quot;:&quot;01441647&quot;,&quot;URL&quot;:&quot;https://scholar.google.com/scholar_url?url=https://www.tandfonline.com/doi/pdf/10.1080/01441640903187001%3Fcasa_token%3Ds5Vke43CByAAAAAA:8Zzmfne7Z1RsAGIFIhUL-KjXHrxZpnYtkpuJeNIxwvKXkzT07CL5EDytAde-zKXPYfuWg4Ef3JTf&amp;hl=en&amp;sa=T&amp;oi=ucasa&amp;ct=ucasa&amp;ei=Q8Ppab32AdXXieoPjom1oQ0&amp;scisig=ADi0EEWnyboaMhXR9v1v5HYNbPCp&quot;,&quot;issued&quot;:{&quot;date-parts&quot;:[[2010,1]]},&quot;page&quot;:&quot;59-96&quot;,&quot;abstract&quot;:&quot;For society and for the individual, cycling presents a number of interesting advantages over other modes of transport. Individuals benefit from the fact that cycling is a healthy and cheap form of ...&quot;,&quot;publisher&quot;:&quot;Routledge&quot;,&quot;issue&quot;:&quot;1&quot;,&quot;volume&quot;:&quot;30&quot;},&quot;isTemporary&quot;:false},{&quot;id&quot;:&quot;e77d3695-e5ed-324b-a44b-4e159b4edb01&quot;,&quot;itemData&quot;:{&quot;type&quot;:&quot;article-journal&quot;,&quot;id&quot;:&quot;e77d3695-e5ed-324b-a44b-4e159b4edb01&quot;,&quot;title&quot;:&quot;To scoot or not to scoot: Findings from a recent survey about the benefits and barriers of using E-scooters for riders and non-riders&quot;,&quot;author&quot;:[{&quot;family&quot;:&quot;Sanders&quot;,&quot;given&quot;:&quot;Rebecca L.&quot;,&quot;parse-names&quot;:false,&quot;dropping-particle&quot;:&quot;&quot;,&quot;non-dropping-particle&quot;:&quot;&quot;},{&quot;family&quot;:&quot;Branion-Calles&quot;,&quot;given&quot;:&quot;Michael&quot;,&quot;parse-names&quot;:false,&quot;dropping-particle&quot;:&quot;&quot;,&quot;non-dropping-particle&quot;:&quot;&quot;},{&quot;family&quot;:&quot;Nelson&quot;,&quot;given&quot;:&quot;Trisalyn A.&quot;,&quot;parse-names&quot;:false,&quot;dropping-particle&quot;:&quot;&quot;,&quot;non-dropping-particle&quot;:&quot;&quot;}],&quot;container-title&quot;:&quot;Transportation Research Part A: Policy and Practice&quot;,&quot;container-title-short&quot;:&quot;Transp. Res. Part A Policy Pract.&quot;,&quot;accessed&quot;:{&quot;date-parts&quot;:[[2026,4,22]]},&quot;DOI&quot;:&quot;10.1016/j.tra.2020.07.009&quot;,&quot;ISSN&quot;:&quot;0965-8564&quot;,&quot;URL&quot;:&quot;https://www.sciencedirect.com/science/article/pii/S0965856420306522&quot;,&quot;issued&quot;:{&quot;date-parts&quot;:[[2020,9,1]]},&quot;page&quot;:&quot;217-227&quot;,&quot;abstract&quot;:&quot;E-scooters are rapidly changing transportation in US cities and university campuses. Hailed as a convenient, inexpensive solution for “last mile” and other short trips, e-scooters are available in over 100 US cities and were used for nearly forty million trips in 2018. Yet relatively little is known about e-scooter use, including who uses them, for which types of trips, and the perceived benefits and barriers related to e-scooters. This information is particularly important in light of concerns about safety and the loss of physical activity (PA) due to replacing walking and biking with e-scooting. In this paper, we aim to characterize trends in the barriers and benefits related to e-scooter use within a professional population. We surveyed 1,256 university staff in Tempe, AZ, finding that 36% of respondents had ridden e-scooters and 40% indicated that they would do so outside of campus in the next year. Overwhelmingly, e-scooters are seen as a convenient way to travel, particularly in the heat and compared to walking. However, demographic differences were notable, particularly regarding barriers. African American and non-white Hispanic respondents were significantly more likely than non-Hispanic white respondents to intend to try e-scooters and to be unhappy with current transportation options. E-scooters are also associated with concerns about traffic safety – particularly for women – and barriers related to being able to find working equipment when needed. These findings suggest that e-scooters fill an important transportation niche and may contribute to transportation equity, and that efforts to address barriers could further enhance that contribution.&quot;,&quot;publisher&quot;:&quot;Pergamon&quot;,&quot;volume&quot;:&quot;139&quot;},&quot;isTemporary&quot;:false}]},{&quot;citationID&quot;:&quot;MENDELEY_CITATION_2a79265d-29f2-4c95-b331-3a7595c5e436&quot;,&quot;properties&quot;:{&quot;noteIndex&quot;:0},&quot;isEdited&quot;:false,&quot;manualOverride&quot;:{&quot;isManuallyOverridden&quot;:false,&quot;citeprocText&quot;:&quot;(Garrard et al., 2008; Prati et al., 2019)&quot;,&quot;manualOverrideText&quot;:&quot;&quot;},&quot;citationTag&quot;:&quot;MENDELEY_CITATION_v3_eyJjaXRhdGlvbklEIjoiTUVOREVMRVlfQ0lUQVRJT05fMmE3OTI2NWQtMjlmMi00Yzk1LWIzMzEtM2E3NTk1YzVlNDM2IiwicHJvcGVydGllcyI6eyJub3RlSW5kZXgiOjB9LCJpc0VkaXRlZCI6ZmFsc2UsIm1hbnVhbE92ZXJyaWRlIjp7ImlzTWFudWFsbHlPdmVycmlkZGVuIjpmYWxzZSwiY2l0ZXByb2NUZXh0IjoiKEdhcnJhcmQgZXQgYWwuLCAyMDA4OyBQcmF0aSBldCBhbC4sIDIwMTkpIiwibWFudWFsT3ZlcnJpZGVUZXh0IjoiIn0sImNpdGF0aW9uSXRlbXMiOlt7ImlkIjoiOTQwMzgyMTQtNzg2Ni0zNGRlLWFmZWUtMTY3MTc4YTRiODM4IiwiaXRlbURhdGEiOnsidHlwZSI6ImFydGljbGUtam91cm5hbCIsImlkIjoiOTQwMzgyMTQtNzg2Ni0zNGRlLWFmZWUtMTY3MTc4YTRiODM4IiwidGl0bGUiOiJHZW5kZXIgZGlmZmVyZW5jZXMgaW4gY3ljbGluZyBwYXR0ZXJucyBhbmQgYXR0aXR1ZGVzIHRvd2FyZHMgY3ljbGluZyBpbiBhIHNhbXBsZSBvZiBFdXJvcGVhbiByZWd1bGFyIGN5Y2xpc3RzIiwiYXV0aG9yIjpbeyJmYW1pbHkiOiJQcmF0aSIsImdpdmVuIjoiR2FicmllbGUiLCJwYXJzZS1uYW1lcyI6ZmFsc2UsImRyb3BwaW5nLXBhcnRpY2xlIjoiIiwibm9uLWRyb3BwaW5nLXBhcnRpY2xlIjoiIn0seyJmYW1pbHkiOiJGcmFib25pIiwiZ2l2ZW4iOiJGZWRlcmljbyIsInBhcnNlLW5hbWVzIjpmYWxzZSwiZHJvcHBpbmctcGFydGljbGUiOiIiLCJub24tZHJvcHBpbmctcGFydGljbGUiOiIifSx7ImZhbWlseSI6IkFuZ2VsaXMiLCJnaXZlbiI6Ik1hcmNvIiwicGFyc2UtbmFtZXMiOmZhbHNlLCJkcm9wcGluZy1wYXJ0aWNsZSI6IiIsIm5vbi1kcm9wcGluZy1wYXJ0aWNsZSI6IkRlIn0seyJmYW1pbHkiOiJQaWV0cmFudG9uaSIsImdpdmVuIjoiTHVjYSIsInBhcnNlLW5hbWVzIjpmYWxzZSwiZHJvcHBpbmctcGFydGljbGUiOiIiLCJub24tZHJvcHBpbmctcGFydGljbGUiOiIifSx7ImZhbWlseSI6IkpvaG5zb24iLCJnaXZlbiI6IkRhbmllbCIsInBhcnNlLW5hbWVzIjpmYWxzZSwiZHJvcHBpbmctcGFydGljbGUiOiIiLCJub24tZHJvcHBpbmctcGFydGljbGUiOiIifSx7ImZhbWlseSI6IlNoaXJlcyIsImdpdmVuIjoiSmVyZW15IiwicGFyc2UtbmFtZXMiOmZhbHNlLCJkcm9wcGluZy1wYXJ0aWNsZSI6IiIsIm5vbi1kcm9wcGluZy1wYXJ0aWNsZSI6IiJ9XSwiY29udGFpbmVyLXRpdGxlIjoiSm91cm5hbCBvZiBUcmFuc3BvcnQgR2VvZ3JhcGh5IiwiYWNjZXNzZWQiOnsiZGF0ZS1wYXJ0cyI6W1syMDI2LDQsMV1dfSwiRE9JIjoiMTAuMTAxNi9qLmp0cmFuZ2VvLjIwMTkuMDUuMDA2IiwiSVNTTiI6IjA5NjYtNjkyMyIsIlVSTCI6Imh0dHBzOi8vd3d3LnNjaWVuY2VkaXJlY3QuY29tL3NjaWVuY2UvYXJ0aWNsZS9hYnMvcGlpL1MwOTY2NjkyMzE4MzA1NTU2P3ZpYSUzRGlodWIiLCJpc3N1ZWQiOnsiZGF0ZS1wYXJ0cyI6W1syMDE5LDYsMV1dfSwicGFnZSI6IjEtNyIsImFic3RyYWN0IjoiUHJldmlvdXMgcmVzZWFyY2ggaGFzIHNob3duIHRoYXQgbWVuIGN5Y2xlIG1vcmUgdGhhbiB3b21lbiBhbmQgd29tZW4gdGVudCB0byByZXBvcnQgbGVzcyBmYXZvdXJhYmxlIHBlcmNlcHRpb25zIGFuZCBhdHRpdHVkZXMgdG93YXJkcyBjeWNsaW5nIHRoYW4gbWVuLiBHZW5kZXIgZGlmZmVyZW5jZXMgaW4gcGVyY2VwdGlvbnMgYW5kIGF0dGl0dWRlcyB0b3dhcmRzIGN5Y2xpbmcgbWF5IGJlIGluZmx1ZW5jZWQgYnkgc3VjaCBkaWZmZXJlbmNlIGluIGJpY3ljbGUgdXNlLiBBdHRpdHVkaW5hbCBkaWZmZXJlbmNlcyBjb25jZXJuaW5nIGN5Y2xpbmcgYmV0d2VlbiBtYWxlIGFuZCBmZW1hbGUgbWF5IGJlIHRoZSBjb25zZXF1ZW5jZSBhbmQgbm90IG9ubHkgdGhlIGNhdXNlIG9mIGdlbmRlciBpbWJhbGFuY2UgaW4gYmljeWNsZSB1c2UuIFRvIG91ciBrbm93bGVkZ2UsIG5vIHByZXZpb3VzIHJlc2VhcmNoIGhhcyBmb2N1c2VkIG9uIGdlbmRlciBkaWZmZXJlbmNlcyBpbiBwZXJjZXB0aW9ucyBhbmQgYXR0aXR1ZGVzIHRvd2FyZHMgY3ljbGluZyBpbnZvbHZpbmcgYSBzYW1wbGUgd2l0aCBnZW5kZXIgYmFsYW5jZSBpbiBiaWN5Y2xlIHVzZSAoZS5nLiByZWd1bGFyIGN5Y2xpc3RzKS4gSW4gb3VyIHN0dWR5LCB3ZSBpbnZlc3RpZ2F0ZWQgZ2VuZGVyIGRpZmZlcmVuY2VzIGluIGF0dGl0dWRlcyB0b3dhcmRzIGN5Y2xpbmcgYW5kIHRvd2FyZHMgY3ljbGluZyBpbmZyYXN0cnVjdHVyZSwgcHVycG9zZSBvZiBjeWNsaW5nLCByaXNrIHBlcmNlcHRpb24sIGFuZCBleHBvc3VyZSB0byBzZXZlcmUgY3Jhc2hlcyBpbiBhIGxhcmdlIHNhbXBsZSBvZiByZWd1bGFyIGN5Y2xpc3RzLiBGb2xsb3dpbmcgYSBjcm9zcy1zZWN0aW9uYWwgZGVzaWduLCB3ZSBjb2xsZWN0ZWQgZGF0YSBmcm9tIDI0MTcgcGFydGljaXBhbnRzIGZyb20gSHVuZ2FyeSwgSXRhbHksIFNwYWluLCBTd2VkZW4sIE5ldGhlcmxhbmRzLCBhbmQgVW5pdGVkIEtpbmdkb20uIEEgc3VydmV5IHdhcyBhZG1pbmlzdGVyZWQgdG8gYW4gb25saW5lIHBhbmVsIG9mIHJlc3BvbmRlbnRzLiBHZW5kZXIgZGlmZmVyZW5jZXMgaW4gYXR0aXR1ZGVzIHRvd2FyZHMgY3ljbGluZyB3ZXJlIHNtYWxsIGluIHRlcm1zIG9mIGVmZmVjdCBzaXplIG9yIG5vbi1zaWduaWZpY2FudCwgd2l0aCB3b21lbiBoYXZpbmcgbW9yZSBwb3NpdGl2ZSBhdHRpdHVkZXMgaW4gcGVyc29uYWwgYmVuZWZpdHMgcmF0aGVyIHRoYW4gbW9iaWxpdHkgYmVuZWZpdHMuIFdvbWVuIHJlcG9ydGVkIGdlbmRlci1zdGVyZW90eXBlZCByZWFzb25zIGZvciBjeWNsaW5nIG1vcmUgdGhhbiBtZW4sIGV4Y2VwdCBmb3Igc29jaWFsIGFjdGl2aXRpZXMuIEFsc28sIHdvbWVuIHNob3dlZCBoaWdoZXIgZGlzY29tZm9ydCB0aGFuIG1lbiBjeWNsaW5nIGluIG1peGVkIHRyYWZmaWMgYW5kIGhpZ2hlciByaXNrIHBlcmNlcHRpb24gdGhhbiBtZW4uIEZ1cnRoZXJtb3JlLCBtZW4gcmVwb3J0ZWQgaGlnaGVyIGV4cG9zdXJlIHRvIHNldmVyZSBjcmFzaGVzIHRoYW4gd29tZW4uIFdlIGNvbnRlbmQgdGhhdCBiaWN5Y2xlIHVzZSBhbmQgZ2VuZGVyIHJvbGUgKGkuZS4gc29jaWV0eSdzIHNoYXJlZCBiZWxpZWZzIGNvbmNlcm5pbmcgYSByYW5nZSBvZiBhdHRpdHVkZXMsIG5vcm1zLCBhbmQgYmVoYXZpb3VycyB0aGF0IGFyZSBnZW5lcmFsbHkgY29uc2lkZXJlZCBhcHByb3ByaWF0ZSBvciBkZXNpcmFibGUgZm9yIGluZGl2aWR1YWxzIGJhc2VkIG9uIHRoZWlyIGFjdHVhbCBvciBwZXJjZWl2ZWQgc2V4KWNhbiBhZmZlY3QgZGlmZmVyZW5jZXMgYmV0d2VlbiBtYWxlIGFuZCBmZW1hbGUgY3ljbGlzdHMgaW4gcGVyY2VwdGlvbnMsIGF0dGl0dWRlcyB0b3dhcmRzIGN5Y2xpbmcsIGFuZCBjeWNsaW5nIGJlaGF2aW91cnMuIiwicHVibGlzaGVyIjoiUGVyZ2Ftb24iLCJ2b2x1bWUiOiI3OCIsImNvbnRhaW5lci10aXRsZS1zaG9ydCI6IkouIFRyYW5zcC4gR2VvZ3IuIn0sImlzVGVtcG9yYXJ5IjpmYWxzZX0seyJpZCI6ImRkZWUwZjRlLTNiNjctMzIxOS05MWRmLTY3ZjhlN2U3MDc4YSIsIml0ZW1EYXRhIjp7InR5cGUiOiJhcnRpY2xlLWpvdXJuYWwiLCJpZCI6ImRkZWUwZjRlLTNiNjctMzIxOS05MWRmLTY3ZjhlN2U3MDc4YSIsInRpdGxlIjoiUHJvbW90aW5nIHRyYW5zcG9ydGF0aW9uIGN5Y2xpbmcgZm9yIHdvbWVuOiBUaGUgcm9sZSBvZiBiaWN5Y2xlIGluZnJhc3RydWN0dXJlIiwiYXV0aG9yIjpbeyJmYW1pbHkiOiJHYXJyYXJkIiwiZ2l2ZW4iOiJKYW4iLCJwYXJzZS1uYW1lcyI6ZmFsc2UsImRyb3BwaW5nLXBhcnRpY2xlIjoiIiwibm9uLWRyb3BwaW5nLXBhcnRpY2xlIjoiIn0seyJmYW1pbHkiOiJSb3NlIiwiZ2l2ZW4iOiJHZW9mZnJleSIsInBhcnNlLW5hbWVzIjpmYWxzZSwiZHJvcHBpbmctcGFydGljbGUiOiIiLCJub24tZHJvcHBpbmctcGFydGljbGUiOiIifSx7ImZhbWlseSI6IkxvIiwiZ2l2ZW4iOiJTaW5nIEthaSIsInBhcnNlLW5hbWVzIjpmYWxzZSwiZHJvcHBpbmctcGFydGljbGUiOiIiLCJub24tZHJvcHBpbmctcGFydGljbGUiOiIifV0sImNvbnRhaW5lci10aXRsZSI6IlByZXZlbnRpdmUgTWVkaWNpbmUiLCJjb250YWluZXItdGl0bGUtc2hvcnQiOiJQcmV2LiBNZWQuIChCYWx0aW0pLiIsImFjY2Vzc2VkIjp7ImRhdGUtcGFydHMiOltbMjAyNiw0LDI1XV19LCJET0kiOiIxMC4xMDE2L2oueXBtZWQuMjAwNy4wNy4wMTAiLCJJU1NOIjoiMDA5MS03NDM1IiwiUE1JRCI6IjE3Njk4MTg1IiwiVVJMIjoiaHR0cHM6Ly93d3cuc2NpZW5jZWRpcmVjdC5jb20vc2NpZW5jZS9hcnRpY2xlL2Ficy9waWkvUzAwOTE3NDM1MDcwMDMwMzk/Y2FzYV90b2tlbj1sUFExaVZpWmdTa0FBQUFBOkhCSm1qSWdvMVNzWW1jMHgxdGczd1NjV1N0Nmw3SVRpcVhVWGRfUDU4NEkteWFSSTJTUEpVOVcxcWtDLVNsVUk2eDhiWnB2ZmxnIiwiaXNzdWVkIjp7ImRhdGUtcGFydHMiOltbMjAwOCwxLDFdXX0sInBhZ2UiOiI1NS01OSIsImFic3RyYWN0IjoiT2JqZWN0aXZlLjogRmVtYWxlcyBhcmUgc3Vic3RhbnRpYWxseSBsZXNzIGxpa2VseSB0aGFuIG1hbGVzIHRvIGN5Y2xlIGZvciB0cmFuc3BvcnQgaW4gY291bnRyaWVzIHdpdGggbG93IGJpY3ljbGUgdHJhbnNwb3J0IG1vZGUgc2hhcmUuIFdlIGludmVzdGlnYXRlZCB3aGV0aGVyIGZlbWFsZSBjb21tdXRlciBjeWNsaXN0cyB3ZXJlIG1vcmUgbGlrZWx5IHRvIHVzZSBiaWN5Y2xlIHJvdXRlcyB0aGF0IHByb3ZpZGUgc2VwYXJhdGlvbiBmcm9tIG1vdG9yIHZlaGljbGUgdHJhZmZpYy4gTWV0aG9kcy46IENlbnN1cyBvZiBjeWNsaXN0cyBvYnNlcnZlZCBhdCAxNSBsb2NhdGlvbnMgKGluY2x1ZGluZyBvZmYtcm9hZCBiaWN5Y2xlIHBhdGhzLCBvbi1yb2FkIGxhbmVzIGFuZCByb2FkcyB3aXRoIG5vIGJpY3ljbGUgZmFjaWxpdGllcykgd2l0aGluIGEgNy40wqBrbSByYWRpdXMgb2YgdGhlIGNlbnRyYWwgYnVzaW5lc3MgZGlzdHJpY3QgKENCRCkgb2YgTWVsYm91cm5lLCBBdXN0cmFsaWEsIGR1cmluZyBwZWFrIGNvbW11dGluZyB0aW1lcyBpbiBGZWJydWFyeSAyMDA0LiBSZXN1bHRzLjogNjU4OSBjeWNsaXN0cyB3ZXJlIG9ic2VydmVkLCBjb21wcmlzaW5nIDUyMjkgbWFsZXMgKDc5LjQlKSBhbmQgMTM2MCBmZW1hbGVzICgyMC42JSkuIEFmdGVyIGFkanVzdG1lbnQgZm9yIGRpc3RhbmNlIG9mIHRoZSBiaWN5Y2xlIGZhY2lsaXR5IGZyb20gdGhlIENCRCwgZmVtYWxlcyBzaG93ZWQgYSBwcmVmZXJlbmNlIGZvciB1c2luZyBvZmYtcm9hZCBwYXRocyByYXRoZXIgdGhhbiByb2FkcyB3aXRoIG5vIGJpY3ljbGUgZmFjaWxpdGllcyAob2RkcyByYXRpbyBbT1JdID0gMS40MywgOTUlIGNvbmZpZGVuY2UgaW50ZXJ2YWwgW0NJXTogMS4xMiwgMS44MyksIG9yIHJvYWRzIHdpdGggb24tcm9hZCBiaWN5Y2xlIGxhbmVzIChPUiA9IDEuMzQsIDk1JSBDSTogMS4wMywgMS43NSkuIENvbmNsdXNpb25zLjogQ29uc2lzdGVudCB3aXRoIGdlbmRlciBkaWZmZXJlbmNlcyBpbiByaXNrIGF2ZXJzaW9uLCBmZW1hbGUgY29tbXV0ZXIgY3ljbGlzdHMgcHJlZmVycmVkIHRvIHVzZSByb3V0ZXMgd2l0aCBtYXhpbXVtIHNlcGFyYXRpb24gZnJvbSBtb3Rvcml6ZWQgdHJhZmZpYy4gSW1wcm92ZWQgY3ljbGluZyBpbmZyYXN0cnVjdHVyZSBpbiB0aGUgZm9ybSBvZiBiaWN5Y2xlIHBhdGhzIGFuZCBsYW5lcyB0aGF0IHByb3ZpZGUgYSBoaWdoIGRlZ3JlZSBvZiBzZXBhcmF0aW9uIGZyb20gbW90b3IgdHJhZmZpYyBpcyBsaWtlbHkgdG8gYmUgaW1wb3J0YW50IGZvciBpbmNyZWFzaW5nIHRyYW5zcG9ydGF0aW9uIGN5Y2xpbmcgYW1vbmdzdCB1bmRlci1yZXByZXNlbnRlZCBwb3B1bGF0aW9uIGdyb3VwcyBzdWNoIGFzIHdvbWVuLiDCqSAyMDA3IEVsc2V2aWVyIEluYy4gQWxsIHJpZ2h0cyByZXNlcnZlZC4iLCJwdWJsaXNoZXIiOiJBY2FkZW1pYyBQcmVzcyIsImlzc3VlIjoiMSIsInZvbHVtZSI6IjQ2In0sImlzVGVtcG9yYXJ5IjpmYWxzZX1dfQ==&quot;,&quot;citationItems&quot;:[{&quot;id&quot;:&quot;94038214-7866-34de-afee-167178a4b838&quot;,&quot;itemData&quot;:{&quot;type&quot;:&quot;article-journal&quot;,&quot;id&quot;:&quot;94038214-7866-34de-afee-167178a4b838&quot;,&quot;title&quot;:&quot;Gender differences in cycling patterns and attitudes towards cycling in a sample of European regular cyclists&quot;,&quot;author&quot;:[{&quot;family&quot;:&quot;Prati&quot;,&quot;given&quot;:&quot;Gabriele&quot;,&quot;parse-names&quot;:false,&quot;dropping-particle&quot;:&quot;&quot;,&quot;non-dropping-particle&quot;:&quot;&quot;},{&quot;family&quot;:&quot;Fraboni&quot;,&quot;given&quot;:&quot;Federico&quot;,&quot;parse-names&quot;:false,&quot;dropping-particle&quot;:&quot;&quot;,&quot;non-dropping-particle&quot;:&quot;&quot;},{&quot;family&quot;:&quot;Angelis&quot;,&quot;given&quot;:&quot;Marco&quot;,&quot;parse-names&quot;:false,&quot;dropping-particle&quot;:&quot;&quot;,&quot;non-dropping-particle&quot;:&quot;De&quot;},{&quot;family&quot;:&quot;Pietrantoni&quot;,&quot;given&quot;:&quot;Luca&quot;,&quot;parse-names&quot;:false,&quot;dropping-particle&quot;:&quot;&quot;,&quot;non-dropping-particle&quot;:&quot;&quot;},{&quot;family&quot;:&quot;Johnson&quot;,&quot;given&quot;:&quot;Daniel&quot;,&quot;parse-names&quot;:false,&quot;dropping-particle&quot;:&quot;&quot;,&quot;non-dropping-particle&quot;:&quot;&quot;},{&quot;family&quot;:&quot;Shires&quot;,&quot;given&quot;:&quot;Jeremy&quot;,&quot;parse-names&quot;:false,&quot;dropping-particle&quot;:&quot;&quot;,&quot;non-dropping-particle&quot;:&quot;&quot;}],&quot;container-title&quot;:&quot;Journal of Transport Geography&quot;,&quot;accessed&quot;:{&quot;date-parts&quot;:[[2026,4,1]]},&quot;DOI&quot;:&quot;10.1016/j.jtrangeo.2019.05.006&quot;,&quot;ISSN&quot;:&quot;0966-6923&quot;,&quot;URL&quot;:&quot;https://www.sciencedirect.com/science/article/abs/pii/S0966692318305556?via%3Dihub&quot;,&quot;issued&quot;:{&quot;date-parts&quot;:[[2019,6,1]]},&quot;page&quot;:&quot;1-7&quot;,&quot;abstract&quot;:&quot;Previous research has shown that men cycle more than women and women tent to report less favourable perceptions and attitudes towards cycling than men. Gender differences in perceptions and attitudes towards cycling may be influenced by such difference in bicycle use. Attitudinal differences concerning cycling between male and female may be the consequence and not only the cause of gender imbalance in bicycle use. To our knowledge, no previous research has focused on gender differences in perceptions and attitudes towards cycling involving a sample with gender balance in bicycle use (e.g. regular cyclists). In our study, we investigated gender differences in attitudes towards cycling and towards cycling infrastructure, purpose of cycling, risk perception, and exposure to severe crashes in a large sample of regular cyclists. Following a cross-sectional design, we collected data from 2417 participants from Hungary, Italy, Spain, Sweden, Netherlands, and United Kingdom. A survey was administered to an online panel of respondents. Gender differences in attitudes towards cycling were small in terms of effect size or non-significant, with women having more positive attitudes in personal benefits rather than mobility benefits. Women reported gender-stereotyped reasons for cycling more than men, except for social activities. Also, women showed higher discomfort than men cycling in mixed traffic and higher risk perception than men. Furthermore, men reported higher exposure to severe crashes than women. We contend that bicycle use and gender role (i.e. society's shared beliefs concerning a range of attitudes, norms, and behaviours that are generally considered appropriate or desirable for individuals based on their actual or perceived sex)can affect differences between male and female cyclists in perceptions, attitudes towards cycling, and cycling behaviours.&quot;,&quot;publisher&quot;:&quot;Pergamon&quot;,&quot;volume&quot;:&quot;78&quot;,&quot;container-title-short&quot;:&quot;J. Transp. Geogr.&quot;},&quot;isTemporary&quot;:false},{&quot;id&quot;:&quot;ddee0f4e-3b67-3219-91df-67f8e7e7078a&quot;,&quot;itemData&quot;:{&quot;type&quot;:&quot;article-journal&quot;,&quot;id&quot;:&quot;ddee0f4e-3b67-3219-91df-67f8e7e7078a&quot;,&quot;title&quot;:&quot;Promoting transportation cycling for women: The role of bicycle infrastructure&quot;,&quot;author&quot;:[{&quot;family&quot;:&quot;Garrard&quot;,&quot;given&quot;:&quot;Jan&quot;,&quot;parse-names&quot;:false,&quot;dropping-particle&quot;:&quot;&quot;,&quot;non-dropping-particle&quot;:&quot;&quot;},{&quot;family&quot;:&quot;Rose&quot;,&quot;given&quot;:&quot;Geoffrey&quot;,&quot;parse-names&quot;:false,&quot;dropping-particle&quot;:&quot;&quot;,&quot;non-dropping-particle&quot;:&quot;&quot;},{&quot;family&quot;:&quot;Lo&quot;,&quot;given&quot;:&quot;Sing Kai&quot;,&quot;parse-names&quot;:false,&quot;dropping-particle&quot;:&quot;&quot;,&quot;non-dropping-particle&quot;:&quot;&quot;}],&quot;container-title&quot;:&quot;Preventive Medicine&quot;,&quot;container-title-short&quot;:&quot;Prev. Med. (Baltim).&quot;,&quot;accessed&quot;:{&quot;date-parts&quot;:[[2026,4,25]]},&quot;DOI&quot;:&quot;10.1016/j.ypmed.2007.07.010&quot;,&quot;ISSN&quot;:&quot;0091-7435&quot;,&quot;PMID&quot;:&quot;17698185&quot;,&quot;URL&quot;:&quot;https://www.sciencedirect.com/science/article/abs/pii/S0091743507003039?casa_token=lPQ1iViZgSkAAAAA:HBJmjIgo1SsYmc0x1tg3wScWSt6l7ITiqXUXd_P584I-yaRI2SPJU9W1qkC-SlUI6x8bZpvflg&quot;,&quot;issued&quot;:{&quot;date-parts&quot;:[[2008,1,1]]},&quot;page&quot;:&quot;55-59&quot;,&quot;abstract&quot;:&quot;Objective.: Females are substantially less likely than males to cycle for transport in countries with low bicycle transport mode share. We investigated whether female commuter cyclists were more likely to use bicycle routes that provide separation from motor vehicle traffic. Methods.: Census of cyclists observed at 15 locations (including off-road bicycle paths, on-road lanes and roads with no bicycle facilities) within a 7.4 km radius of the central business district (CBD) of Melbourne, Australia, during peak commuting times in February 2004. Results.: 6589 cyclists were observed, comprising 5229 males (79.4%) and 1360 females (20.6%). After adjustment for distance of the bicycle facility from the CBD, females showed a preference for using off-road paths rather than roads with no bicycle facilities (odds ratio [OR] = 1.43, 95% confidence interval [CI]: 1.12, 1.83), or roads with on-road bicycle lanes (OR = 1.34, 95% CI: 1.03, 1.75). Conclusions.: Consistent with gender differences in risk aversion, female commuter cyclists preferred to use routes with maximum separation from motorized traffic. Improved cycling infrastructure in the form of bicycle paths and lanes that provide a high degree of separation from motor traffic is likely to be important for increasing transportation cycling amongst under-represented population groups such as women. © 2007 Elsevier Inc. All rights reserved.&quot;,&quot;publisher&quot;:&quot;Academic Press&quot;,&quot;issue&quot;:&quot;1&quot;,&quot;volume&quot;:&quot;46&quot;},&quot;isTemporary&quot;:false}]},{&quot;citationID&quot;:&quot;MENDELEY_CITATION_c4738ea6-3dc9-44f5-acba-a701d3bcb330&quot;,&quot;properties&quot;:{&quot;noteIndex&quot;:0},&quot;isEdited&quot;:false,&quot;manualOverride&quot;:{&quot;isManuallyOverridden&quot;:true,&quot;citeprocText&quot;:&quot;(Brüchert et al., 2022; Van Cauwenberg et al., 2012)&quot;,&quot;manualOverrideText&quot;:&quot;(Van Cauwenberg et al., 2012; Brüchert et al., 2022)&quot;},&quot;citationTag&quot;:&quot;MENDELEY_CITATION_v3_eyJjaXRhdGlvbklEIjoiTUVOREVMRVlfQ0lUQVRJT05fYzQ3MzhlYTYtM2RjOS00NGY1LWFjYmEtYTcwMWQzYmNiMzMwIiwicHJvcGVydGllcyI6eyJub3RlSW5kZXgiOjB9LCJpc0VkaXRlZCI6ZmFsc2UsIm1hbnVhbE92ZXJyaWRlIjp7ImlzTWFudWFsbHlPdmVycmlkZGVuIjp0cnVlLCJjaXRlcHJvY1RleHQiOiIoQnLDvGNoZXJ0IGV0IGFsLiwgMjAyMjsgVmFuIENhdXdlbmJlcmcgZXQgYWwuLCAyMDEyKSIsIm1hbnVhbE92ZXJyaWRlVGV4dCI6IihWYW4gQ2F1d2VuYmVyZyBldCBhbC4sIDIwMTI7IEJyw7xjaGVydCBldCBhbC4sIDIwMjIpIn0sImNpdGF0aW9uSXRlbXMiOlt7ImlkIjoiNjczMzQ3ZjMtNmM5OS0zNDJmLWE2NzUtMjUzNjQxOGRmZjZmIiwiaXRlbURhdGEiOnsidHlwZSI6ImFydGljbGUtam91cm5hbCIsImlkIjoiNjczMzQ3ZjMtNmM5OS0zNDJmLWE2NzUtMjUzNjQxOGRmZjZmIiwidGl0bGUiOiJFbnZpcm9ubWVudGFsIGZhY3RvcnMgaW5mbHVlbmNpbmcgb2xkZXIgYWR1bHRzJyB3YWxraW5nIGZvciB0cmFuc3BvcnRhdGlvbjogYSBzdHVkeSB1c2luZyB3YWxrLWFsb25nIGludGVydmlld3MiLCJhdXRob3IiOlt7ImZhbWlseSI6IkNhdXdlbmJlcmciLCJnaXZlbiI6IkplbGxlIiwicGFyc2UtbmFtZXMiOmZhbHNlLCJkcm9wcGluZy1wYXJ0aWNsZSI6IiIsIm5vbi1kcm9wcGluZy1wYXJ0aWNsZSI6IlZhbiJ9LHsiZmFtaWx5IjoiSG9sbGUiLCJnaXZlbiI6IlZlZXJsZSIsInBhcnNlLW5hbWVzIjpmYWxzZSwiZHJvcHBpbmctcGFydGljbGUiOiIiLCJub24tZHJvcHBpbmctcGFydGljbGUiOiJWYW4ifSx7ImZhbWlseSI6IlNpbW9ucyIsImdpdmVuIjoiRG9yaWVuIiwicGFyc2UtbmFtZXMiOmZhbHNlLCJkcm9wcGluZy1wYXJ0aWNsZSI6IiIsIm5vbi1kcm9wcGluZy1wYXJ0aWNsZSI6IiJ9LHsiZmFtaWx5IjoiRGVyaWRkZXIiLCJnaXZlbiI6IlJpZXQiLCJwYXJzZS1uYW1lcyI6ZmFsc2UsImRyb3BwaW5nLXBhcnRpY2xlIjoiIiwibm9uLWRyb3BwaW5nLXBhcnRpY2xlIjoiIn0seyJmYW1pbHkiOiJDbGFyeXMiLCJnaXZlbiI6IlBldGVyIiwicGFyc2UtbmFtZXMiOmZhbHNlLCJkcm9wcGluZy1wYXJ0aWNsZSI6IiIsIm5vbi1kcm9wcGluZy1wYXJ0aWNsZSI6IiJ9LHsiZmFtaWx5IjoiR291YmVydCIsImdpdmVuIjoiTGllc2JldCIsInBhcnNlLW5hbWVzIjpmYWxzZSwiZHJvcHBpbmctcGFydGljbGUiOiIiLCJub24tZHJvcHBpbmctcGFydGljbGUiOiIifSx7ImZhbWlseSI6Ik5hc2FyIiwiZ2l2ZW4iOiJKYWNrIiwicGFyc2UtbmFtZXMiOmZhbHNlLCJkcm9wcGluZy1wYXJ0aWNsZSI6IiIsIm5vbi1kcm9wcGluZy1wYXJ0aWNsZSI6IiJ9LHsiZmFtaWx5IjoiU2FsbW9uIiwiZ2l2ZW4iOiJKbyIsInBhcnNlLW5hbWVzIjpmYWxzZSwiZHJvcHBpbmctcGFydGljbGUiOiIiLCJub24tZHJvcHBpbmctcGFydGljbGUiOiIifSx7ImZhbWlseSI6IkJvdXJkZWF1ZGh1aWoiLCJnaXZlbiI6Iklsc2UiLCJwYXJzZS1uYW1lcyI6ZmFsc2UsImRyb3BwaW5nLXBhcnRpY2xlIjoiIiwibm9uLWRyb3BwaW5nLXBhcnRpY2xlIjoiRGUifSx7ImZhbWlseSI6IkRlZm9yY2hlIiwiZ2l2ZW4iOiJCZW5lZGljdGUiLCJwYXJzZS1uYW1lcyI6ZmFsc2UsImRyb3BwaW5nLXBhcnRpY2xlIjoiIiwibm9uLWRyb3BwaW5nLXBhcnRpY2xlIjoiIn1dLCJjb250YWluZXItdGl0bGUiOiJJbnRlcm5hdGlvbmFsIEpvdXJuYWwgb2YgQmVoYXZpb3JhbCBOdXRyaXRpb24gYW5kIFBoeXNpY2FsIEFjdGl2aXR5IiwiRE9JIjoiMTAuMTE4Ni8xNDc5LTU4NjgtOS04NSIsIklTU04iOiIxNDc5NTg2OCIsIlBNSUQiOiIyMjc4MDk0OCIsImlzc3VlZCI6eyJkYXRlLXBhcnRzIjpbWzIwMTIsNywxMF1dfSwiYWJzdHJhY3QiOiJCYWNrZ3JvdW5kOiBDdXJyZW50IGtub3dsZWRnZSBvbiB0aGUgcmVsYXRpb25zaGlwIGJldHdlZW4gdGhlIHBoeXNpY2FsIGVudmlyb25tZW50IGFuZCB3YWxraW5nIGZvciB0cmFuc3BvcnRhdGlvbiBhbW9uZyBvbGRlciBhZHVsdHMgKOKJpSA2NSB5ZWFycykgaXMgbGltaXRlZC4gUXVhbGl0YXRpdmUgcmVzZWFyY2ggY2FuIHByb3ZpZGUgdmFsdWFibGUgaW5mb3JtYXRpb24gYW5kIGluZm9ybSBmdXJ0aGVyIHJlc2VhcmNoLiBIb3dldmVyLCBxdWFsaXRhdGl2ZSBzdHVkaWVzIGFyZSBzY2FyY2UgYW5kIGZhaWwgdG8gaW5jbHVkZSBuZWlnaGJvcmhvb2Qgb3V0aW5ncyBuZWNlc3NhcnkgdG8gc3R1ZHkgcGFydGljaXBhbnRzJyBleHBlcmllbmNlcyBhbmQgcGVyY2VwdGlvbnMgd2hpbGUgaW50ZXJhY3Rpbmcgd2l0aCBhbmQgaW50ZXJwcmV0aW5nIHRoZSBsb2NhbCBzb2NpYWwgYW5kIHBoeXNpY2FsIGVudmlyb25tZW50LiBUaGUgY3VycmVudCBzdHVkeSBzb3VnaHQgdG8gdW5jb3ZlciB0aGUgcGVyY2VpdmVkIGVudmlyb25tZW50YWwgaW5mbHVlbmNlcyBvbiBGbGVtaXNoIG9sZGVyIGFkdWx0cycgd2Fsa2luZyBmb3IgdHJhbnNwb3J0YXRpb24uIFRvIGdldCBkZXRhaWxlZCBhbmQgY29udGV4dC1zZW5zaXRpdmUgZW52aXJvbm1lbnRhbCBpbmZvcm1hdGlvbiwgaXQgdXNlZCB3YWxrLWFsb25nIGludGVydmlld3MuTWV0aG9kczogUHVycG9zZWZ1bCBjb252ZW5pZW5jZSBzYW1wbGluZyB3YXMgdXNlZCB0byByZWNydWl0IDU3IG9sZGVyIGFkdWx0cyByZXNpZGluZyBpbiB1cmJhbiBvciBzZW1pLXVyYmFuIGFyZWFzLiBXYWxrLWFsb25nIGludGVydmlld3MgdG8gYW5kIGZyb20gYSBkZXN0aW5hdGlvbiAoZS5nLiBhIHNob3ApIGxvY2F0ZWQgd2l0aGluIGEgMTUgbWludXRlcycgd2FsayBmcm9tIHRoZSBwYXJ0aWNpcGFudHMnIGhvbWUgd2VyZSBjb25kdWN0ZWQuIENvbnRlbnQgYW5hbHlzaXMgd2FzIHBlcmZvcm1lZCB1c2luZyBOVml2byA5IHNvZnR3YXJlIChRU1IgSW50ZXJuYXRpb25hbCkuIEFuIGluZHVjdGl2ZSBhcHByb2FjaCB3YXMgdXNlZCB0byBkZXJpdmUgY2F0ZWdvcmllcyBhbmQgc3ViY2F0ZWdvcmllcyBmcm9tIHRoZSBkYXRhLlJlc3VsdHM6IERhdGEgd2VyZSBjYXRlZ29yaXplZCBpbiB0aGUgZm9sbG93aW5nIGNhdGVnb3JpZXMgYW5kIHN1YmNhdGVnb3JpZXM6IGFjY2VzcyB0byBmYWNpbGl0aWVzIChzaG9wcyAmIHNlcnZpY2VzLCBwdWJsaWMgdHJhbnNpdCwgY29ubmVjdGl2aXR5KSwgd2Fsa2luZyBmYWNpbGl0aWVzIChzaWRld2FsayBxdWFsaXR5LCBjcm9zc2luZ3MsIGxlZ2liaWxpdHksIGJlbmNoZXMpLCB0cmFmZmljIHNhZmV0eSAoYnVzeSB0cmFmZmljLCBiZWhhdmlvciBvZiBvdGhlciByb2FkIHVzZXJzKSwgZmFtaWxpYXJpdHksIHNhZmV0eSBmcm9tIGNyaW1lIChwaHlzaWNhbCBmYWN0b3JzLCBvdGhlciBwZXJzb25zKSwgc29jaWFsIGNvbnRhY3RzLCBhZXN0aGV0aWNzIChidWlsZGluZ3MsIG5hdHVyYWwgZWxlbWVudHMsIG5vaXNlICYgc21lbGwsIG9wZW5uZXNzLCBkZWNheSkgYW5kIHdlYXRoZXIuQ29uY2x1c2lvbnM6IFRoZSBmaW5kaW5ncyBpbmRpY2F0ZSB0aGF0IHRvIHByb21vdGUgd2Fsa2luZyBmb3IgdHJhbnNwb3J0YXRpb24gYSBuZWlnaGJvcmhvb2Qgc2hvdWxkIHByb3ZpZGUgZ29vZCBhY2Nlc3MgdG8gc2hvcHMgYW5kIHNlcnZpY2VzLCB3ZWxsLW1haW50YWluZWQgd2Fsa2luZyBmYWNpbGl0aWVzLCBhZXN0aGV0aWNhbGx5IGFwcGVhbGluZyBwbGFjZXMsIHN0cmVldHMgd2l0aCBsaXR0bGUgdHJhZmZpYyBhbmQgcGxhY2VzIGZvciBzb2NpYWwgaW50ZXJhY3Rpb24uIEluIGFkZGl0aW9uLCB0aGUgbmVpZ2hib3Job29kIGVudmlyb25tZW50IHNob3VsZCBldm9rZSBmZWVsaW5ncyBvZiBmYW1pbGlhcml0eSBhbmQgc2FmZXR5IGZyb20gY3JpbWUuIEZ1dHVyZSBxdWFudGl0YXRpdmUgc3R1ZGllcyBzaG91bGQgaW52ZXN0aWdhdGUgaWYgKGNoYW5nZXMgaW4pIHRoZXNlIGVudmlyb25tZW50YWwgZmFjdG9ycyByZWxhdGUgdG8gKGNoYW5nZXMgaW4pIG9sZGVyIGFkdWx0cycgd2Fsa2luZyBmb3IgdHJhbnNwb3J0YXRpb24uIMKpIDIwMTIgVmFuIENhdXdlbmJlcmcgZXQgYWwuOyBsaWNlbnNlZSBCaW9NZWQgQ2VudHJhbCBMdGQuIiwidm9sdW1lIjoiOSIsImNvbnRhaW5lci10aXRsZS1zaG9ydCI6IiJ9LCJpc1RlbXBvcmFyeSI6ZmFsc2V9LHsiaWQiOiJkYTY4Y2M1YS0zMzg3LTM2MzAtOGMyNy1lNDUxZDgxYmRjYmIiLCJpdGVtRGF0YSI6eyJ0eXBlIjoiYXJ0aWNsZS1qb3VybmFsIiwiaWQiOiJkYTY4Y2M1YS0zMzg3LTM2MzAtOGMyNy1lNDUxZDgxYmRjYmIiLCJ0aXRsZSI6IlRoZSByZWxhdGlvbnNoaXAgYmV0d2VlbiBwZXJjZWl2ZWQgYnVpbHQgZW52aXJvbm1lbnQgYW5kIGN5Y2xpbmcgb3IgZS1iaWtpbmcgZm9yIHRyYW5zcG9ydCBhbW9uZyBvbGRlciBhZHVsdHPigJNhIGNyb3NzLXNlY3Rpb25hbCBzdHVkeSIsImF1dGhvciI6W3siZmFtaWx5IjoiQnLDvGNoZXJ0IiwiZ2l2ZW4iOiJUYW5qYSIsInBhcnNlLW5hbWVzIjpmYWxzZSwiZHJvcHBpbmctcGFydGljbGUiOiIiLCJub24tZHJvcHBpbmctcGFydGljbGUiOiIifSx7ImZhbWlseSI6IlF1ZW50aW4iLCJnaXZlbiI6IlBhdWxhIiwicGFyc2UtbmFtZXMiOmZhbHNlLCJkcm9wcGluZy1wYXJ0aWNsZSI6IiIsIm5vbi1kcm9wcGluZy1wYXJ0aWNsZSI6IiJ9LHsiZmFtaWx5IjoiQm9sdGUiLCJnaXZlbiI6IkdhYnJpZWxlIiwicGFyc2UtbmFtZXMiOmZhbHNlLCJkcm9wcGluZy1wYXJ0aWNsZSI6IiIsIm5vbi1kcm9wcGluZy1wYXJ0aWNsZSI6IiJ9XSwiY29udGFpbmVyLXRpdGxlIjoiUExvUyBPTkUiLCJjb250YWluZXItdGl0bGUtc2hvcnQiOiJQTG9TIE9uZSIsIkRPSSI6IjEwLjEzNzEvam91cm5hbC5wb25lLjAyNjczMTQiLCJJU1NOIjoiMTkzMjYyMDMiLCJQTUlEIjoiMzU1MDM3NjAiLCJpc3N1ZWQiOnsiZGF0ZS1wYXJ0cyI6W1syMDIyLDUsMV1dfSwiYWJzdHJhY3QiOiJUaGUgYnVpbHQgZW52aXJvbm1lbnQgcGxheXMgYSBrZXkgcm9sZSBpbiBwcm9tb3RpbmcgYWN0aXZlIG1vYmlsaXR5IGZvciBoZWFsdGh5IGFnaW5nLiBFbmNvdXJhZ2luZyBhY3RpdmUgbW9iaWxpdHkgYW1vbmcgb2xkZXIgYWR1bHRzLCBob3dldmVyLCBjYW4gYmUgZXNwZWNpYWxseSBjaGFsbGVuZ2luZyBpbiBtb3JlIHJ1cmFsIGFyZWFzIHdoZXJlIGRpc3RhbmNlcyB0ZW5kIHRvIGJlIGxvbmdlciBhbmQgaW5mcmFzdHJ1Y3R1cmUgaXMgZmF2b3JpbmcgY2FyIHRyYWZmaWMuIFRoZSBhc3NvY2lhdGlvbiBvZiBvbGRlciBhZHVsdHPigJkgcGVyY2VwdGlvbiBvZiBhdHRyaWJ1dGVzIG9mIHRoZSBidWlsdCBlbnZpcm9ubWVudCB3aXRoIGN5Y2xpbmcgYW5kIGUtYmlraW5nIGZvciB0cmFuc3BvcnQgd2FzIGludmVzdGlnYXRlZC4gVGhlIHBvdGVudGlhbCBtb2RlcmF0aW5nIGVmZmVjdHMgb2YgYWdlLCBzZXgsIGFuZCBtb2JpbGl0eSBpbXBhaXJtZW50cyB3ZXJlIGV4cGxvcmVkLiBBIGNyb3NzLXNlY3Rpb25hbCBzdXJ2ZXkgd2FzIGNvbmR1Y3RlZCBpbiB0b3ducyBhbmQgY29tbXVuaXRpZXMgb2YgPDEwMCwwMDAgaW5oYWJpdGFudHMsIGluY2x1ZGluZyAyLDE0NCBwYXJ0aWNpcGFudHMgKG1lYW4gYWdlOiA3NDsgNTMlIG1lbikuIFRocmVlIGRpZmZlcmVudCBjeWNsaW5nIG91dGNvbWVzIChhbnkgY3ljbGluZy9lLWJpa2luZywgZnJlcXVlbmN5ICjiiaUzIGRheXMvd2VlaykgYW5kIGFtb3VudCAobWludXRlcy93ZWVrKSkgd2VyZSBhbmFseXplZCBhbW9uZyBhbGwgY3ljbGlzdHMgYW5kIGUtYmlrZSB1c2VycyBzZXBhcmF0ZWx5LCByZXN1bHRpbmcgaW4gc2l4IGRlcGVuZGVudCB2YXJpYWJsZXMuIFRoZSBpbXBhY3Qgb2YgdGVuIGVudmlyb25tZW50YWwgYXR0cmlidXRlcyBvbiB0aGVzZSBvdXRjb21lcyB3YXMgYW5hbHl6ZWQgaW4gc2VwYXJhdGUgbW9kZWxzLiBPdmVyYWxsLCBzdHJlZXQgY29ubmVjdGl2aXR5LCBhbmQgdGhlIHByb3hpbWl0eSBhbmQgbnVtYmVyIG9mIGRlc3RpbmF0aW9ucyB3ZXJlIG1vc3QgaW1wb3J0YW50LiBPbmx5IHN0cmVldCBjb25uZWN0aXZpdHkgYW5kIHRyYWZmaWMgc2FmZXR5IHdlcmUgcmVsYXRlZCB0byBtaW51dGVzIGN5Y2xpbmcgb3IgZS1iaWtpbmcgcGVyIHdlZWsuIEN5Y2xpbmcgYW1vdW50IHdhcyBoaWdoZXIgb3ZlcmFsbCBmb3IgZS1iaWtpbmcgYnV0IGZld2VyIGVudmlyb25tZW50YWwgYXR0cmlidXRlcyBzaG93ZWQgYW4gYXNzb2NpYXRpb24gY29tcGFyZWQgdG8gYW55IGN5Y2xpbmcsIHJlZ2FyZGxlc3Mgb2YgYmljeWNsZSB0eXBlLiBUcmFmZmljIHNhZmV0eSB3YXMgbm90IGFzc29jaWF0ZWQgd2l0aCBmb3VyIG91dCBvZiB0aGUgc2l4IGN5Y2xpbmcgb3V0Y29tZXMgYW5kIHdhcyBpbnZlcnNlbHkgYXNzb2NpYXRlZCB3aXRoIG1pbnV0ZXMgY3ljbGluZyBvciBlLWJpa2luZy4gRGVuc2l0eSB3YXMgbm90IHJlbGF0ZWQgdG8gYW55IG9mIHRoZSB2YXJpYWJsZXMgaW52ZXN0aWdhdGVkLiBTZXZlcmFsIGludGVyYWN0aW9uIGVmZmVjdHMgb2Ygc2V4LCBhZ2UsIGFuZCBtb2JpbGl0eSBpbXBhaXJtZW50cyB3ZXJlIGZvdW5kLiBGdXJ0aGVyIHJlc2VhcmNoIGlzIG5lZWRlZCBvbiBlbnZpcm9ubWVudGFsIGF0dHJpYnV0ZXMgaW5mbHVlbmNpbmcgZS1iaWtlIHVzZSwgdGhlIG1vc3QgaW1wb3J0YW50IHR5cGVzIG9mIGRlc3RpbmF0aW9ucywgYW5kIGEgbW9yZSBkaWZmZXJlbnRpYXRlZCBhc3Nlc3NtZW50IG9mIHBlcmNlaXZlZCB0cmFmZmljIHNhZmV0eSBpbiBvbGRlciBhZHVsdHMuIiwicHVibGlzaGVyIjoiUHVibGljIExpYnJhcnkgb2YgU2NpZW5jZSIsImlzc3VlIjoiNSBNYXkiLCJ2b2x1bWUiOiIxNyJ9LCJpc1RlbXBvcmFyeSI6ZmFsc2V9XX0=&quot;,&quot;citationItems&quot;:[{&quot;id&quot;:&quot;673347f3-6c99-342f-a675-2536418dff6f&quot;,&quot;itemData&quot;:{&quot;type&quot;:&quot;article-journal&quot;,&quot;id&quot;:&quot;673347f3-6c99-342f-a675-2536418dff6f&quot;,&quot;title&quot;:&quot;Environmental factors influencing older adults' walking for transportation: a study using walk-along interviews&quot;,&quot;author&quot;:[{&quot;family&quot;:&quot;Cauwenberg&quot;,&quot;given&quot;:&quot;Jelle&quot;,&quot;parse-names&quot;:false,&quot;dropping-particle&quot;:&quot;&quot;,&quot;non-dropping-particle&quot;:&quot;Van&quot;},{&quot;family&quot;:&quot;Holle&quot;,&quot;given&quot;:&quot;Veerle&quot;,&quot;parse-names&quot;:false,&quot;dropping-particle&quot;:&quot;&quot;,&quot;non-dropping-particle&quot;:&quot;Van&quot;},{&quot;family&quot;:&quot;Simons&quot;,&quot;given&quot;:&quot;Dorien&quot;,&quot;parse-names&quot;:false,&quot;dropping-particle&quot;:&quot;&quot;,&quot;non-dropping-particle&quot;:&quot;&quot;},{&quot;family&quot;:&quot;Deridder&quot;,&quot;given&quot;:&quot;Riet&quot;,&quot;parse-names&quot;:false,&quot;dropping-particle&quot;:&quot;&quot;,&quot;non-dropping-particle&quot;:&quot;&quot;},{&quot;family&quot;:&quot;Clarys&quot;,&quot;given&quot;:&quot;Peter&quot;,&quot;parse-names&quot;:false,&quot;dropping-particle&quot;:&quot;&quot;,&quot;non-dropping-particle&quot;:&quot;&quot;},{&quot;family&quot;:&quot;Goubert&quot;,&quot;given&quot;:&quot;Liesbet&quot;,&quot;parse-names&quot;:false,&quot;dropping-particle&quot;:&quot;&quot;,&quot;non-dropping-particle&quot;:&quot;&quot;},{&quot;family&quot;:&quot;Nasar&quot;,&quot;given&quot;:&quot;Jack&quot;,&quot;parse-names&quot;:false,&quot;dropping-particle&quot;:&quot;&quot;,&quot;non-dropping-particle&quot;:&quot;&quot;},{&quot;family&quot;:&quot;Salmon&quot;,&quot;given&quot;:&quot;Jo&quot;,&quot;parse-names&quot;:false,&quot;dropping-particle&quot;:&quot;&quot;,&quot;non-dropping-particle&quot;:&quot;&quot;},{&quot;family&quot;:&quot;Bourdeaudhuij&quot;,&quot;given&quot;:&quot;Ilse&quot;,&quot;parse-names&quot;:false,&quot;dropping-particle&quot;:&quot;&quot;,&quot;non-dropping-particle&quot;:&quot;De&quot;},{&quot;family&quot;:&quot;Deforche&quot;,&quot;given&quot;:&quot;Benedicte&quot;,&quot;parse-names&quot;:false,&quot;dropping-particle&quot;:&quot;&quot;,&quot;non-dropping-particle&quot;:&quot;&quot;}],&quot;container-title&quot;:&quot;International Journal of Behavioral Nutrition and Physical Activity&quot;,&quot;DOI&quot;:&quot;10.1186/1479-5868-9-85&quot;,&quot;ISSN&quot;:&quot;14795868&quot;,&quot;PMID&quot;:&quot;22780948&quot;,&quot;issued&quot;:{&quot;date-parts&quot;:[[2012,7,10]]},&quot;abstract&quot;:&quot;Background: Current knowledge on the relationship between the physical environment and walking for transportation among older adults (≥ 65 years) is limited. Qualitative research can provide valuable information and inform further research. However, qualitative studies are scarce and fail to include neighborhood outings necessary to study participants' experiences and perceptions while interacting with and interpreting the local social and physical environment. The current study sought to uncover the perceived environmental influences on Flemish older adults' walking for transportation. To get detailed and context-sensitive environmental information, it used walk-along interviews.Methods: Purposeful convenience sampling was used to recruit 57 older adults residing in urban or semi-urban areas. Walk-along interviews to and from a destination (e.g. a shop) located within a 15 minutes' walk from the participants' home were conducted. Content analysis was performed using NVivo 9 software (QSR International). An inductive approach was used to derive categories and subcategories from the data.Results: Data were categorized in the following categories and subcategories: access to facilities (shops &amp; services, public transit, connectivity), walking facilities (sidewalk quality, crossings, legibility, benches), traffic safety (busy traffic, behavior of other road users), familiarity, safety from crime (physical factors, other persons), social contacts, aesthetics (buildings, natural elements, noise &amp; smell, openness, decay) and weather.Conclusions: The findings indicate that to promote walking for transportation a neighborhood should provide good access to shops and services, well-maintained walking facilities, aesthetically appealing places, streets with little traffic and places for social interaction. In addition, the neighborhood environment should evoke feelings of familiarity and safety from crime. Future quantitative studies should investigate if (changes in) these environmental factors relate to (changes in) older adults' walking for transportation. © 2012 Van Cauwenberg et al.; licensee BioMed Central Ltd.&quot;,&quot;volume&quot;:&quot;9&quot;,&quot;container-title-short&quot;:&quot;&quot;},&quot;isTemporary&quot;:false},{&quot;id&quot;:&quot;da68cc5a-3387-3630-8c27-e451d81bdcbb&quot;,&quot;itemData&quot;:{&quot;type&quot;:&quot;article-journal&quot;,&quot;id&quot;:&quot;da68cc5a-3387-3630-8c27-e451d81bdcbb&quot;,&quot;title&quot;:&quot;The relationship between perceived built environment and cycling or e-biking for transport among older adults–a cross-sectional study&quot;,&quot;author&quot;:[{&quot;family&quot;:&quot;Brüchert&quot;,&quot;given&quot;:&quot;Tanja&quot;,&quot;parse-names&quot;:false,&quot;dropping-particle&quot;:&quot;&quot;,&quot;non-dropping-particle&quot;:&quot;&quot;},{&quot;family&quot;:&quot;Quentin&quot;,&quot;given&quot;:&quot;Paula&quot;,&quot;parse-names&quot;:false,&quot;dropping-particle&quot;:&quot;&quot;,&quot;non-dropping-particle&quot;:&quot;&quot;},{&quot;family&quot;:&quot;Bolte&quot;,&quot;given&quot;:&quot;Gabriele&quot;,&quot;parse-names&quot;:false,&quot;dropping-particle&quot;:&quot;&quot;,&quot;non-dropping-particle&quot;:&quot;&quot;}],&quot;container-title&quot;:&quot;PLoS ONE&quot;,&quot;container-title-short&quot;:&quot;PLoS One&quot;,&quot;DOI&quot;:&quot;10.1371/journal.pone.0267314&quot;,&quot;ISSN&quot;:&quot;19326203&quot;,&quot;PMID&quot;:&quot;35503760&quot;,&quot;issued&quot;:{&quot;date-parts&quot;:[[2022,5,1]]},&quot;abstract&quot;:&quot;The built environment plays a key role in promoting active mobility for healthy aging. Encouraging active mobility among older adults, however, can be especially challenging in more rural areas where distances tend to be longer and infrastructure is favoring car traffic. The association of older adults’ perception of attributes of the built environment with cycling and e-biking for transport was investigated. The potential moderating effects of age, sex, and mobility impairments were explored. A cross-sectional survey was conducted in towns and communities of &lt;100,000 inhabitants, including 2,144 participants (mean age: 74; 53% men). Three different cycling outcomes (any cycling/e-biking, frequency (≥3 days/week) and amount (minutes/week)) were analyzed among all cyclists and e-bike users separately, resulting in six dependent variables. The impact of ten environmental attributes on these outcomes was analyzed in separate models. Overall, street connectivity, and the proximity and number of destinations were most important. Only street connectivity and traffic safety were related to minutes cycling or e-biking per week. Cycling amount was higher overall for e-biking but fewer environmental attributes showed an association compared to any cycling, regardless of bicycle type. Traffic safety was not associated with four out of the six cycling outcomes and was inversely associated with minutes cycling or e-biking. Density was not related to any of the variables investigated. Several interaction effects of sex, age, and mobility impairments were found. Further research is needed on environmental attributes influencing e-bike use, the most important types of destinations, and a more differentiated assessment of perceived traffic safety in older adults.&quot;,&quot;publisher&quot;:&quot;Public Library of Science&quot;,&quot;issue&quot;:&quot;5 May&quot;,&quot;volume&quot;:&quot;17&quot;},&quot;isTemporary&quot;:false}]},{&quot;citationID&quot;:&quot;MENDELEY_CITATION_40d8b054-75a8-43b9-92b2-9df1b7e27c80&quot;,&quot;properties&quot;:{&quot;noteIndex&quot;:0},&quot;isEdited&quot;:false,&quot;manualOverride&quot;:{&quot;isManuallyOverridden&quot;:true,&quot;citeprocText&quot;:&quot;(Bruner et al., 2023; Oluyomi et al., 2014)&quot;,&quot;manualOverrideText&quot;:&quot;(Oluyomi et al., 2014; Bruner et al., 2023)&quot;},&quot;citationTag&quot;:&quot;MENDELEY_CITATION_v3_eyJjaXRhdGlvbklEIjoiTUVOREVMRVlfQ0lUQVRJT05fNDBkOGIwNTQtNzVhOC00M2I5LTkyYjItOWRmMWI3ZTI3YzgwIiwicHJvcGVydGllcyI6eyJub3RlSW5kZXgiOjB9LCJpc0VkaXRlZCI6ZmFsc2UsIm1hbnVhbE92ZXJyaWRlIjp7ImlzTWFudWFsbHlPdmVycmlkZGVuIjp0cnVlLCJjaXRlcHJvY1RleHQiOiIoQnJ1bmVyIGV0IGFsLiwgMjAyMzsgT2x1eW9taSBldCBhbC4sIDIwMTQpIiwibWFudWFsT3ZlcnJpZGVUZXh0IjoiKE9sdXlvbWkgZXQgYWwuLCAyMDE0OyBCcnVuZXIgZXQgYWwuLCAyMDIzKSJ9LCJjaXRhdGlvbkl0ZW1zIjpbeyJpZCI6Ijk1NzgwYzMwLTFiZWMtM2RkNi1hZWRlLTM0ZjA2NGM2YmUxOCIsIml0ZW1EYXRhIjp7InR5cGUiOiJhcnRpY2xlLWpvdXJuYWwiLCJpZCI6Ijk1NzgwYzMwLTFiZWMtM2RkNi1hZWRlLTM0ZjA2NGM2YmUxOCIsInRpdGxlIjoiUGFyZW50YWwgc2FmZXR5IGNvbmNlcm5zIGFuZCBhY3RpdmUgc2Nob29sIGNvbW11dGU6IENvcnJlbGF0ZXMgYWNyb3NzIG11bHRpcGxlIGRvbWFpbnMgaW4gdGhlIGhvbWUtdG8tc2Nob29sIGpvdXJuZXkiLCJhdXRob3IiOlt7ImZhbWlseSI6Ik9sdXlvbWkiLCJnaXZlbiI6IkFiaW9kdW4gTy4iLCJwYXJzZS1uYW1lcyI6ZmFsc2UsImRyb3BwaW5nLXBhcnRpY2xlIjoiIiwibm9uLWRyb3BwaW5nLXBhcnRpY2xlIjoiIn0seyJmYW1pbHkiOiJMZWUiLCJnaXZlbiI6IkNoYW5hbSIsInBhcnNlLW5hbWVzIjpmYWxzZSwiZHJvcHBpbmctcGFydGljbGUiOiIiLCJub24tZHJvcHBpbmctcGFydGljbGUiOiIifSx7ImZhbWlseSI6Ik5laG1lIiwiZ2l2ZW4iOiJFaWxlZW4iLCJwYXJzZS1uYW1lcyI6ZmFsc2UsImRyb3BwaW5nLXBhcnRpY2xlIjoiIiwibm9uLWRyb3BwaW5nLXBhcnRpY2xlIjoiIn0seyJmYW1pbHkiOiJEb3dkeSIsImdpdmVuIjoiRGlhbmUiLCJwYXJzZS1uYW1lcyI6ZmFsc2UsImRyb3BwaW5nLXBhcnRpY2xlIjoiIiwibm9uLWRyb3BwaW5nLXBhcnRpY2xlIjoiIn0seyJmYW1pbHkiOiJPcnkiLCJnaXZlbiI6Ik1hcmNpYSBHLiIsInBhcnNlLW5hbWVzIjpmYWxzZSwiZHJvcHBpbmctcGFydGljbGUiOiIiLCJub24tZHJvcHBpbmctcGFydGljbGUiOiIifSx7ImZhbWlseSI6IkhvZWxzY2hlciIsImdpdmVuIjoiRGVhbm5hIE0uIiwicGFyc2UtbmFtZXMiOmZhbHNlLCJkcm9wcGluZy1wYXJ0aWNsZSI6IiIsIm5vbi1kcm9wcGluZy1wYXJ0aWNsZSI6IiJ9XSwiY29udGFpbmVyLXRpdGxlIjoiSW50ZXJuYXRpb25hbCBKb3VybmFsIG9mIEJlaGF2aW9yYWwgTnV0cml0aW9uIGFuZCBQaHlzaWNhbCBBY3Rpdml0eSIsIkRPSSI6IjEwLjExODYvMTQ3OS01ODY4LTExLTMyIiwiSVNTTiI6IjE0Nzk1ODY4IiwiUE1JRCI6IjI0NjAyMjEzIiwiaXNzdWVkIjp7ImRhdGUtcGFydHMiOltbMjAxNCwzLDZdXX0sImFic3RyYWN0IjoiQmFja2dyb3VuZDogRW1waXJpY2FsIGV2aWRlbmNlIG9mIHRoZSByZWxhdGlvbnNoaXAgYmV0d2VlbiBzYWZldHkgY29uY2VybnMgYW5kIHdhbGtpbmcgdG8gc2Nob29sIChXVFMpIGlzIGdyb3dpbmcuIEhvd2V2ZXIsIGN1cnJlbnQgcmVzZWFyY2ggb2ZmZXJzIGxpbWl0ZWQgdW5kZXJzdGFuZGluZyBvZiB0aGUgbXVsdGlwbGUgZG9tYWlucyBvZiBwYXJlbnRhbCBzYWZldHkgY29uY2VybnMgYW5kIHRoZSBzcGVjaWZpYyBtZWNoYW5pc21zIHRocm91Z2ggd2hpY2ggcGFyZW50cyBhcnRpY3VsYXRlIHNhZmV0eSBjb25jZXJucyBhYm91dCBXVFMuIEEgbW9yZSBkZXRhaWxlZCB1bmRlcnN0YW5kaW5nIGlzIG5lZWRlZCB0byBpbmZvcm0gZW52aXJvbm1lbnRhbCBhbmQgcG9saWN5IGludGVydmVudGlvbnMuIFRoaXMgc3R1ZHkgZXhhbWluZWQgdGhlIHJlbGF0aW9uc2hpcHMgYmV0d2VlbiBib3RoIHRyYWZmaWMgc2FmZXR5IGFuZCBwZXJzb25hbCBzYWZldHkgY29uY2VybnMgYW5kIFdUUyBpbiB0aGUgVS5TLiBNZXRob2RzOiBUaGlzIGNyb3NzLXNlY3Rpb25hbCBhbmFseXNpcyBleGFtaW5lZCBkYXRhIGZyb20gdGhlIFRleGFzIENoaWxkaG9vZCBPYmVzaXR5IFByZXZlbnRpb24gUG9saWN5IEV2YWx1YXRpb24gKFQtQ09QUEUpIHByb2plY3QsIGFuIGV2YWx1YXRpb24gb2Ygc3RhdGUtd2lkZSBvYmVzaXR5IHByZXZlbnRpb24gcG9saWN5IGludGVydmVudGlvbnMuIEFsbCBzdHVkeSBkYXRhIHdlcmUgZnJvbSB0aGUgc3VydmV5IChuID0gODMwKSBvZiBwYXJlbnRzIHdpdGggNHRoIGdyYWRlIHN0dWRlbnRzIGF0dGVuZGluZyA4MSBlbGVtZW50YXJ5IHNjaG9vbHMgYWNyb3NzIFRleGFzLCBhbmQgbGl2aW5nIHdpdGhpbiB0d28gbWlsZXMgZnJvbSB0aGVpciBjaGlsZHJlbidzIHNjaG9vbHMuIFRyYWZmaWMgc2FmZXR5IGFuZCBwZXJzb25hbCBzYWZldHkgY29uY2VybnMgd2VyZSBjYXB0dXJlZCBmb3IgdGhlIGhvbWUgbmVpZ2hib3Job29kLCBlbi1yb3V0ZSB0byBzY2hvb2wsIGFuZCBzY2hvb2wgZW52aXJvbm1lbnRzLiBCaW5hcnkgbG9naXN0aWMgcmVncmVzc2lvbiBhbmFseXNpcyB3YXMgdXNlZCB0byBhc3Nlc3MgdGhlIG9kZHMgb2YgV1RTIGNvbnRyb2xsaW5nIGZvciBzaWduaWZpY2FudCBjb3ZhcmlhdGVzLiBSZXN1bHRzOiBPdmVyYWxsLCAxOCUgb2YgcGFyZW50cyByZXBvcnRlZCB0aGF0IHRoZWlyIGNoaWxkIHdhbGtlZCB0byBzY2hvb2wgb24gbW9zdCBkYXlzIG9mIHRoZSB3ZWVrLiBGb3IgdHJhZmZpYyBzYWZldHksIHN0dWRlbnRzIHdlcmUgbW9yZSBsaWtlbHkgdG8gd2FsayB0byBzY2hvb2wgaWYgdGhlaXIgcGFyZW50IHJlcG9ydGVkIGZhdm9yYWJsZSBwZXJjZXB0aW9ucyBhYm91dCB0aGUgZm9sbG93aW5nIGl0ZW1zIGluIHRoZSBob21lIG5laWdoYm9yaG9vZCBlbnZpcm9ubWVudDogaGlnaGVyIHNpZGV3YWxrIGF2YWlsYWJpbGl0eSwgd2VsbCBtYWludGFpbmVkIHNpZGV3YWxrcyBhbmQgc2FmZSByb2FkIGNyb3NzaW5ncy4gRm9yIHRoZSByb3V0ZSB0byBzY2hvb2wsIHRoZSBvZGRzIG9mIFdUUyB3ZXJlIGhpZ2hlciBmb3IgdGhvc2Ugd2hvIHJlcG9ydGVkIFwibm8gcHJvYmxlbVwiIHdpdGggZWFjaCBvbmUgb2YgdGhlIGZvbGxvd2luZzogdHJhZmZpYyBzcGVlZCwgYW1vdW50IG9mIHRyYWZmaWMsIHNpZGV3YWxrcy9wYXRod2F5cywgaW50ZXJzZWN0aW9uL2Nyb3NzaW5nIHNhZmV0eSwgYW5kIGNyb3NzaW5nIGd1YXJkcywgd2hlbiBjb21wYXJlZCB0byB0aG9zZSB0aGF0IHJlcG9ydGVkIFwiYWx3YXlzIGEgcHJvYmxlbVwiLiBGb3IgcGVyc29uYWwgc2FmZXR5IGluIHRoZSBlbi1yb3V0ZSB0byBzY2hvb2wgZW52aXJvbm1lbnQsIHRoZSBvZGRzIG9mIFdUUyB3ZXJlIGxvd2VyIHdoZW4gcGFyZW50cyByZXBvcnRlZCBjb25jZXJucyBhYm91dDogc3RyYXkgb3IgZGFuZ2Vyb3VzIGFuaW1hbHMgYW5kIGF2YWlsYWJpbGl0eSBvZiBvdGhlcnMgd2l0aCB3aG9tIHRvIHdhbGsuIENvbmNsdXNpb25zOiBGaW5kaW5ncyBvZmZlcmVkIGluc2lnaHRzIGludG8gdGhlIHNwZWNpZmljIGlzc3VlcyB0aGF0IGRyaXZlIHNhZmV0eSBjb25jZXJucyBmb3IgZWxlbWVudGFyeSBzY2hvb2wgY2hpbGRyZW4ncyBXVFMgYmVoYXZpb3JzLiBUaGUgb2JzZXJ2ZWQgYXNzb2NpYXRpb25zIGJldHdlZW4gbW9yZSBmYXZvcmFibGUgcGVyY2VwdGlvbnMgb2Ygc2FmZXR5IGFuZCBXVFMgcHJvdmlkZSBmdXJ0aGVyIGp1c3RpZmljYXRpb24gZm9yIHByYWN0aWNhbCBpbnRlcnZlbnRpb24gc3RyYXRlZ2llcyB0byByZWR1Y2UgV1RTIGJhcnJpZXJzIHRoYXQgY2FuIHBvdGVudGlhbGx5IGJyaW5nIGxvbmctdGVybSBwaHlzaWNhbCBhY3Rpdml0eSBhbmQgaGVhbHRoIGJlbmVmaXRzIHRvIHNjaG9vbC1hZ2VkIGNoaWxkcmVuLiDCqSAyMDE0IE9sdXlvbWkgZXQgYWwuOyBsaWNlbnNlZSBCaW9NZWQgQ2VudHJhbCBMdGQuIiwicHVibGlzaGVyIjoiQmlvTWVkIENlbnRyYWwgTHRkLiIsImlzc3VlIjoiMSIsInZvbHVtZSI6IjExIiwiY29udGFpbmVyLXRpdGxlLXNob3J0IjoiIn0sImlzVGVtcG9yYXJ5IjpmYWxzZX0seyJpZCI6IjdlNWVkYmY5LTM2ZDMtMzhjMC05MzRkLTJjOGJkM2NiYzFhZiIsIml0ZW1EYXRhIjp7InR5cGUiOiJhcnRpY2xlLWpvdXJuYWwiLCJpZCI6IjdlNWVkYmY5LTM2ZDMtMzhjMC05MzRkLTJjOGJkM2NiYzFhZiIsInRpdGxlIjoiQ2hpbGQgYW5kIHBhcmVudCBwZXJzcGVjdGl2ZXMgb24gYWN0aXZlIHNjaG9vbCB0cmFuc3BvcnRhdGlvbjogQmFycmllcnMgYW5kIGZhY2lsaXRhdG9ycyBpbiBhIG5vcnRoZXJuIGVudmlyb25tZW50IiwiYXV0aG9yIjpbeyJmYW1pbHkiOiJCcnVuZXIiLCJnaXZlbiI6IkJyZW5kYSIsInBhcnNlLW5hbWVzIjpmYWxzZSwiZHJvcHBpbmctcGFydGljbGUiOiIiLCJub24tZHJvcHBpbmctcGFydGljbGUiOiIifSx7ImZhbWlseSI6IlJpY2t3b29kIiwiZ2l2ZW4iOiJHcmVnIiwicGFyc2UtbmFtZXMiOmZhbHNlLCJkcm9wcGluZy1wYXJ0aWNsZSI6IiIsIm5vbi1kcm9wcGluZy1wYXJ0aWNsZSI6IiJ9LHsiZmFtaWx5IjoiU2h3ZWQiLCJnaXZlbiI6IkFsYW5uYSIsInBhcnNlLW5hbWVzIjpmYWxzZSwiZHJvcHBpbmctcGFydGljbGUiOiIiLCJub24tZHJvcHBpbmctcGFydGljbGUiOiIifSx7ImZhbWlseSI6IkthcnZpbmVuIiwiZ2l2ZW4iOiJLcmlzdGluYSIsInBhcnNlLW5hbWVzIjpmYWxzZSwiZHJvcHBpbmctcGFydGljbGUiOiIiLCJub24tZHJvcHBpbmctcGFydGljbGUiOiIifSx7ImZhbWlseSI6IkzDqXZlc3F1ZSIsImdpdmVuIjoiTHVjaWUiLCJwYXJzZS1uYW1lcyI6ZmFsc2UsImRyb3BwaW5nLXBhcnRpY2xlIjoiIiwibm9uLWRyb3BwaW5nLXBhcnRpY2xlIjoiIn0seyJmYW1pbHkiOiJNYW50aGEiLCJnaXZlbiI6IlNoYW5ub24iLCJwYXJzZS1uYW1lcyI6ZmFsc2UsImRyb3BwaW5nLXBhcnRpY2xlIjoiIiwibm9uLWRyb3BwaW5nLXBhcnRpY2xlIjoiIn0seyJmYW1pbHkiOiJSYXltZXIiLCJnaXZlbiI6IkdyYXlkb24iLCJwYXJzZS1uYW1lcyI6ZmFsc2UsImRyb3BwaW5nLXBhcnRpY2xlIjoiIiwibm9uLWRyb3BwaW5nLXBhcnRpY2xlIjoiIn1dLCJjb250YWluZXItdGl0bGUiOiJKb3VybmFsIG9mIFRyYW5zcG9ydCBhbmQgSGVhbHRoIiwiY29udGFpbmVyLXRpdGxlLXNob3J0IjoiSi4gVHJhbnNwLiBIZWFsdGgiLCJET0kiOiIxMC4xMDE2L2ouanRoLjIwMjMuMTAxNzA4IiwiSVNTTiI6IjIyMTQxNDA1IiwiaXNzdWVkIjp7ImRhdGUtcGFydHMiOltbMjAyMywxMSwxXV19LCJhYnN0cmFjdCI6IkludHJvZHVjdGlvbjogVGhlcmUgaXMgYSBwb3NpdGl2ZSBjb3JyZWxhdGlvbiBiZXR3ZWVuIGFjdGl2ZSBzY2hvb2wgdHJhbnNwb3J0YXRpb24gYW5kIGluY3JlYXNlZCBwaHlzaWNhbCBhY3Rpdml0eSBpbiBjaGlsZHJlbi4gVW5mb3J0dW5hdGVseSwgb3ZlciBoYWxmIG9mIENhbmFkaWFuIGNoaWxkcmVuIHJlbHkgc29sZWx5IG9uIGluYWN0aXZlIG1vZGVzIG9mIHRyYW5zcG9ydGF0aW9uIHRvIGFuZCBmcm9tIHNjaG9vbC4gVGhlIHB1cnBvc2Ugb2YgdGhpcyBzdHVkeSB3YXMgdG8gZXhwbG9yZSBiYXJyaWVycyBhbmQgZmFjaWxpdGF0b3JzIHRvIGFjdGl2ZSBzY2hvb2wgdHJhbnNwb3J0YXRpb24gYW1vbmcgY2hpbGRyZW4gYW5kIHBhcmVudHMgaW4gYSBzbWFsbCBjaXR5IGluIG5vcnRoZWFzdGVybiBPbnRhcmlvLCBDYW5hZGEuIE1ldGhvZHM6IFNlbWktc3RydWN0dXJlZCBpbnRlcnZpZXdzIHdlcmUgY29uZHVjdGVkIHdpdGggcGFyZW50cyAobiA9IDE1KSBhbmQgdHdvIGZvY3VzIGdyb3VwcyB3ZXJlIGhlbGQgd2l0aCBlbGVtZW50YXJ5LCBzY2hvb2wtYWdlZCBjaGlsZHJlbiAobiA9IDE0KS4gSW50ZXJ2aWV3cyB3aXRoIHBhcmVudHMgd2VyZSBndWlkZWQgYnkgdGhlIG1vZGlmaWVkIFBoeXNpY2FsbHkgQWN0aXZlIFNjaG9vbCBTZXR0aW5ncyBzdXJ2ZXkgdG8gaW52ZXN0aWdhdGUgYmFycmllcnMgYW5kIGZhY2lsaXRhdG9ycyB0byBhY3RpdmUgdHJhbnNwb3J0YXRpb24gdG8gc2Nob29sLiBDaGlsZHJlbiB3ZXJlIGFza2VkIG9wZW4tZW5kZWQgcXVlc3Rpb25zIGFib3V0IHRoZWlyIGJhcnJpZXJzIGFuZCBmYWNpbGl0YXRvcnMgdG8gYWN0aXZlIHNjaG9vbCB0cmFuc3BvcnRhdGlvbi4gVHJhbnNjcmliZWQgYXVkaW8gcmVjb3JkaW5ncyB1bmRlcndlbnQgY29udGVudCBhbmFseXNpcy4gUmVzdWx0czogRmluZGluZ3MgcmV2ZWFsZWQga2V5IGZhY3RvcnMgdGhhdCBpbmZsdWVuY2UgY2hpbGRyZW4gYW5kIHRoZWlyIHBhcmVudHPigJkgZGVjaXNpb25zIHJlbGF0ZWQgdG8gYWN0aXZlIHRyYW5zcG9ydGF0aW9uIHRvIHNjaG9vbC4gUGFyZW50cyBkaXNjdXNzZWQgdmVoaWNsZSB0cmFmZmljLCB3aWxkIGFuaW1hbHMgKGkuZS4sIGJlYXJzKSwgaW5mcmFzdHJ1Y3R1cmUsIGFuZCBsaW1pdGVkIHNhZmV0eSBrbm93bGVkZ2UgYXMgYmFycmllcnMuIENoaWxkcmVuIGRpc2N1c3NlZCBzaW1pbGFyIGJhcnJpZXJzIGFuZCBwb3RlbnRpYWwgc29sdXRpb25zIHN1Y2ggYXMgbWFwcyBvZiBzYWZlIHJvdXRlcywgdHJhdmVsaW5nIGluIGdyb3VwcywgYW5kIGltcHJvdmluZyBpbmZyYXN0cnVjdHVyZS4gQ29uY2x1c2lvbnM6IFJlc3VsdHMgaGlnaGxpZ2h0IGNvbnRleHQgaXMgaW1wb3J0YW50IGZvciB1bmRlcnN0YW5kaW5nIGJhcnJpZXJzIGFuZCBmYWNpbGl0YXRvcnMgdG8gZW5nYWdpbmcgaW4gYWN0aXZlIHRyYW5zcG9ydGF0aW9uIHRvIHNjaG9vbC4gVG8gb3ZlcmNvbWUgYmFycmllcnMgYW5kIHN1cHBvcnQgZmFjaWxpdGF0b3JzLCBsb2NhbCBhY3RpdmUgdHJhbnNwb3J0YXRpb24gc3Rha2Vob2xkZXJzIG5lZWQgdG8gd29yayB0b2dldGhlciB0byBpbXBsZW1lbnQgbG9uZy10ZXJtIHNjaG9vbC1iYXNlZCBpbml0aWF0aXZlcy4iLCJwdWJsaXNoZXIiOiJFbHNldmllciBMdGQiLCJ2b2x1bWUiOiIzMyJ9LCJpc1RlbXBvcmFyeSI6ZmFsc2V9XX0=&quot;,&quot;citationItems&quot;:[{&quot;id&quot;:&quot;95780c30-1bec-3dd6-aede-34f064c6be18&quot;,&quot;itemData&quot;:{&quot;type&quot;:&quot;article-journal&quot;,&quot;id&quot;:&quot;95780c30-1bec-3dd6-aede-34f064c6be18&quot;,&quot;title&quot;:&quot;Parental safety concerns and active school commute: Correlates across multiple domains in the home-to-school journey&quot;,&quot;author&quot;:[{&quot;family&quot;:&quot;Oluyomi&quot;,&quot;given&quot;:&quot;Abiodun O.&quot;,&quot;parse-names&quot;:false,&quot;dropping-particle&quot;:&quot;&quot;,&quot;non-dropping-particle&quot;:&quot;&quot;},{&quot;family&quot;:&quot;Lee&quot;,&quot;given&quot;:&quot;Chanam&quot;,&quot;parse-names&quot;:false,&quot;dropping-particle&quot;:&quot;&quot;,&quot;non-dropping-particle&quot;:&quot;&quot;},{&quot;family&quot;:&quot;Nehme&quot;,&quot;given&quot;:&quot;Eileen&quot;,&quot;parse-names&quot;:false,&quot;dropping-particle&quot;:&quot;&quot;,&quot;non-dropping-particle&quot;:&quot;&quot;},{&quot;family&quot;:&quot;Dowdy&quot;,&quot;given&quot;:&quot;Diane&quot;,&quot;parse-names&quot;:false,&quot;dropping-particle&quot;:&quot;&quot;,&quot;non-dropping-particle&quot;:&quot;&quot;},{&quot;family&quot;:&quot;Ory&quot;,&quot;given&quot;:&quot;Marcia G.&quot;,&quot;parse-names&quot;:false,&quot;dropping-particle&quot;:&quot;&quot;,&quot;non-dropping-particle&quot;:&quot;&quot;},{&quot;family&quot;:&quot;Hoelscher&quot;,&quot;given&quot;:&quot;Deanna M.&quot;,&quot;parse-names&quot;:false,&quot;dropping-particle&quot;:&quot;&quot;,&quot;non-dropping-particle&quot;:&quot;&quot;}],&quot;container-title&quot;:&quot;International Journal of Behavioral Nutrition and Physical Activity&quot;,&quot;DOI&quot;:&quot;10.1186/1479-5868-11-32&quot;,&quot;ISSN&quot;:&quot;14795868&quot;,&quot;PMID&quot;:&quot;24602213&quot;,&quot;issued&quot;:{&quot;date-parts&quot;:[[2014,3,6]]},&quot;abstract&quot;:&quot;Background: Empirical evidence of the relationship between safety concerns and walking to school (WTS) is growing. However, current research offers limited understanding of the multiple domains of parental safety concerns and the specific mechanisms through which parents articulate safety concerns about WTS. A more detailed understanding is needed to inform environmental and policy interventions. This study examined the relationships between both traffic safety and personal safety concerns and WTS in the U.S. Methods: This cross-sectional analysis examined data from the Texas Childhood Obesity Prevention Policy Evaluation (T-COPPE) project, an evaluation of state-wide obesity prevention policy interventions. All study data were from the survey (n = 830) of parents with 4th grade students attending 81 elementary schools across Texas, and living within two miles from their children's schools. Traffic safety and personal safety concerns were captured for the home neighborhood, en-route to school, and school environments. Binary logistic regression analysis was used to assess the odds of WTS controlling for significant covariates. Results: Overall, 18% of parents reported that their child walked to school on most days of the week. For traffic safety, students were more likely to walk to school if their parent reported favorable perceptions about the following items in the home neighborhood environment: higher sidewalk availability, well maintained sidewalks and safe road crossings. For the route to school, the odds of WTS were higher for those who reported \&quot;no problem\&quot; with each one of the following: traffic speed, amount of traffic, sidewalks/pathways, intersection/crossing safety, and crossing guards, when compared to those that reported \&quot;always a problem\&quot;. For personal safety in the en-route to school environment, the odds of WTS were lower when parents reported concerns about: stray or dangerous animals and availability of others with whom to walk. Conclusions: Findings offered insights into the specific issues that drive safety concerns for elementary school children's WTS behaviors. The observed associations between more favorable perceptions of safety and WTS provide further justification for practical intervention strategies to reduce WTS barriers that can potentially bring long-term physical activity and health benefits to school-aged children. © 2014 Oluyomi et al.; licensee BioMed Central Ltd.&quot;,&quot;publisher&quot;:&quot;BioMed Central Ltd.&quot;,&quot;issue&quot;:&quot;1&quot;,&quot;volume&quot;:&quot;11&quot;,&quot;container-title-short&quot;:&quot;&quot;},&quot;isTemporary&quot;:false},{&quot;id&quot;:&quot;7e5edbf9-36d3-38c0-934d-2c8bd3cbc1af&quot;,&quot;itemData&quot;:{&quot;type&quot;:&quot;article-journal&quot;,&quot;id&quot;:&quot;7e5edbf9-36d3-38c0-934d-2c8bd3cbc1af&quot;,&quot;title&quot;:&quot;Child and parent perspectives on active school transportation: Barriers and facilitators in a northern environment&quot;,&quot;author&quot;:[{&quot;family&quot;:&quot;Bruner&quot;,&quot;given&quot;:&quot;Brenda&quot;,&quot;parse-names&quot;:false,&quot;dropping-particle&quot;:&quot;&quot;,&quot;non-dropping-particle&quot;:&quot;&quot;},{&quot;family&quot;:&quot;Rickwood&quot;,&quot;given&quot;:&quot;Greg&quot;,&quot;parse-names&quot;:false,&quot;dropping-particle&quot;:&quot;&quot;,&quot;non-dropping-particle&quot;:&quot;&quot;},{&quot;family&quot;:&quot;Shwed&quot;,&quot;given&quot;:&quot;Alanna&quot;,&quot;parse-names&quot;:false,&quot;dropping-particle&quot;:&quot;&quot;,&quot;non-dropping-particle&quot;:&quot;&quot;},{&quot;family&quot;:&quot;Karvinen&quot;,&quot;given&quot;:&quot;Kristina&quot;,&quot;parse-names&quot;:false,&quot;dropping-particle&quot;:&quot;&quot;,&quot;non-dropping-particle&quot;:&quot;&quot;},{&quot;family&quot;:&quot;Lévesque&quot;,&quot;given&quot;:&quot;Lucie&quot;,&quot;parse-names&quot;:false,&quot;dropping-particle&quot;:&quot;&quot;,&quot;non-dropping-particle&quot;:&quot;&quot;},{&quot;family&quot;:&quot;Mantha&quot;,&quot;given&quot;:&quot;Shannon&quot;,&quot;parse-names&quot;:false,&quot;dropping-particle&quot;:&quot;&quot;,&quot;non-dropping-particle&quot;:&quot;&quot;},{&quot;family&quot;:&quot;Raymer&quot;,&quot;given&quot;:&quot;Graydon&quot;,&quot;parse-names&quot;:false,&quot;dropping-particle&quot;:&quot;&quot;,&quot;non-dropping-particle&quot;:&quot;&quot;}],&quot;container-title&quot;:&quot;Journal of Transport and Health&quot;,&quot;container-title-short&quot;:&quot;J. Transp. Health&quot;,&quot;DOI&quot;:&quot;10.1016/j.jth.2023.101708&quot;,&quot;ISSN&quot;:&quot;22141405&quot;,&quot;issued&quot;:{&quot;date-parts&quot;:[[2023,11,1]]},&quot;abstract&quot;:&quot;Introduction: There is a positive correlation between active school transportation and increased physical activity in children. Unfortunately, over half of Canadian children rely solely on inactive modes of transportation to and from school. The purpose of this study was to explore barriers and facilitators to active school transportation among children and parents in a small city in northeastern Ontario, Canada. Methods: Semi-structured interviews were conducted with parents (n = 15) and two focus groups were held with elementary, school-aged children (n = 14). Interviews with parents were guided by the modified Physically Active School Settings survey to investigate barriers and facilitators to active transportation to school. Children were asked open-ended questions about their barriers and facilitators to active school transportation. Transcribed audio recordings underwent content analysis. Results: Findings revealed key factors that influence children and their parents’ decisions related to active transportation to school. Parents discussed vehicle traffic, wild animals (i.e., bears), infrastructure, and limited safety knowledge as barriers. Children discussed similar barriers and potential solutions such as maps of safe routes, traveling in groups, and improving infrastructure. Conclusions: Results highlight context is important for understanding barriers and facilitators to engaging in active transportation to school. To overcome barriers and support facilitators, local active transportation stakeholders need to work together to implement long-term school-based initiatives.&quot;,&quot;publisher&quot;:&quot;Elsevier Ltd&quot;,&quot;volume&quot;:&quot;33&quot;},&quot;isTemporary&quot;:false}]},{&quot;citationID&quot;:&quot;MENDELEY_CITATION_44a6453e-d33e-4a5b-938f-1581ff8debf8&quot;,&quot;properties&quot;:{&quot;noteIndex&quot;:0},&quot;isEdited&quot;:false,&quot;manualOverride&quot;:{&quot;isManuallyOverridden&quot;:false,&quot;citeprocText&quot;:&quot;(Evenson et al., 2012; Foster et al., 2021)&quot;,&quot;manualOverrideText&quot;:&quot;&quot;},&quot;citationTag&quot;:&quot;MENDELEY_CITATION_v3_eyJjaXRhdGlvbklEIjoiTUVOREVMRVlfQ0lUQVRJT05fNDRhNjQ1M2UtZDMzZS00YTViLTkzOGYtMTU4MWZmOGRlYmY4IiwicHJvcGVydGllcyI6eyJub3RlSW5kZXgiOjB9LCJpc0VkaXRlZCI6ZmFsc2UsIm1hbnVhbE92ZXJyaWRlIjp7ImlzTWFudWFsbHlPdmVycmlkZGVuIjpmYWxzZSwiY2l0ZXByb2NUZXh0IjoiKEV2ZW5zb24gZXQgYWwuLCAyMDEyOyBGb3N0ZXIgZXQgYWwuLCAyMDIxKSIsIm1hbnVhbE92ZXJyaWRlVGV4dCI6IiJ9LCJjaXRhdGlvbkl0ZW1zIjpbeyJpZCI6ImM5YzhiYTFlLTVlYjMtMzJjNC04ZTZkLTM1OTgzZWQ3MDgzMiIsIml0ZW1EYXRhIjp7InR5cGUiOiJhcnRpY2xlLWpvdXJuYWwiLCJpZCI6ImM5YzhiYTFlLTVlYjMtMzJjNC04ZTZkLTM1OTgzZWQ3MDgzMiIsInRpdGxlIjoiU2FmZSBIYWJpdGF0czogRG9lcyB0aGUgQXNzb2NpYXRpb24gQmV0d2VlbiBOZWlnaGJvcmhvb2QgQ3JpbWUgYW5kIFdhbGtpbmcgRGlmZmVyIGJ5IE5laWdoYm9yaG9vZCBEaXNhZHZhbnRhZ2U/IiwiYXV0aG9yIjpbeyJmYW1pbHkiOiJGb3N0ZXIiLCJnaXZlbiI6IlNhcmFoIiwicGFyc2UtbmFtZXMiOmZhbHNlLCJkcm9wcGluZy1wYXJ0aWNsZSI6IiIsIm5vbi1kcm9wcGluZy1wYXJ0aWNsZSI6IiJ9LHsiZmFtaWx5IjoiSG9vcGVyIiwiZ2l2ZW4iOiJQYXVsYSIsInBhcnNlLW5hbWVzIjpmYWxzZSwiZHJvcHBpbmctcGFydGljbGUiOiIiLCJub24tZHJvcHBpbmctcGFydGljbGUiOiIifSx7ImZhbWlseSI6IkJ1cnRvbiIsImdpdmVuIjoiTmljb2xhIFcuIiwicGFyc2UtbmFtZXMiOmZhbHNlLCJkcm9wcGluZy1wYXJ0aWNsZSI6IiIsIm5vbi1kcm9wcGluZy1wYXJ0aWNsZSI6IiJ9LHsiZmFtaWx5IjoiQnJvd24iLCJnaXZlbiI6IldlbmR5IEouIiwicGFyc2UtbmFtZXMiOmZhbHNlLCJkcm9wcGluZy1wYXJ0aWNsZSI6IiIsIm5vbi1kcm9wcGluZy1wYXJ0aWNsZSI6IiJ9LHsiZmFtaWx5IjoiR2lsZXMtQ29ydGkiLCJnaXZlbiI6IkJpbGxpZSIsInBhcnNlLW5hbWVzIjpmYWxzZSwiZHJvcHBpbmctcGFydGljbGUiOiIiLCJub24tZHJvcHBpbmctcGFydGljbGUiOiIifSx7ImZhbWlseSI6IlJhY2hlbGUiLCJnaXZlbiI6Ikplcm9tZSBOLiIsInBhcnNlLW5hbWVzIjpmYWxzZSwiZHJvcHBpbmctcGFydGljbGUiOiIiLCJub24tZHJvcHBpbmctcGFydGljbGUiOiIifSx7ImZhbWlseSI6IlR1cnJlbGwiLCJnaXZlbiI6IkdhdmluIiwicGFyc2UtbmFtZXMiOmZhbHNlLCJkcm9wcGluZy1wYXJ0aWNsZSI6IiIsIm5vbi1kcm9wcGluZy1wYXJ0aWNsZSI6IiJ9XSwiY29udGFpbmVyLXRpdGxlIjoiRW52aXJvbm1lbnQgYW5kIEJlaGF2aW9yIiwiY29udGFpbmVyLXRpdGxlLXNob3J0IjoiRW52aXJvbi4gQmVoYXYuIiwiYWNjZXNzZWQiOnsiZGF0ZS1wYXJ0cyI6W1syMDI2LDYsMjFdXX0sIkRPSSI6IjEwLjExNzcvMDAxMzkxNjUxOTg1MzMwMCIsIklTU04iOiIxNTUyMzkwWCIsIlVSTCI6Imh0dHBzOi8vc2Nob2xhci5nb29nbGUuY29tL3NjaG9sYXJfdXJsP3VybD1odHRwczovL2pvdXJuYWxzLnNhZ2VwdWIuY29tL2RvaS9wZGYvMTAuMTE3Ny8wMDEzOTE2NTE5ODUzMzAwJTNGY2FzYV90b2tlbiUzRDBSZnBxTHh4ek84QUFBQUE6NzZoUU96TlRLX2hhcHFicU0xRVhmVW9DdElzNDdUSVpnVWFDLTZESVd5bVdXaVVwbHJQaldMTDZpYmZsM1dqejhpVERTSmk1Rnc3QiZobD1lbiZzYT1UJm9pPXVjYXNhJmN0PXVjYXNhJmVpPXlNczVhcFBBUEtldzZyUVB3ODJNZ0FZJnNjaXNpZz1BTkRtRVU3bXcwUjZIT25ZQjhPUHBhSXd4QzZnIiwiaXNzdWVkIjp7ImRhdGUtcGFydHMiOltbMjAyMSwxLDFdXX0sInBhZ2UiOiIzLTM5IiwiYWJzdHJhY3QiOiJJbnRlcnJlbGF0aW9uc2hpcHMgYmV0d2VlbiBuZWlnaGJvcmhvb2Qgd2Fsa2FiaWxpdHksIGFyZWEgZGlzYWR2YW50YWdlLCBhbmQgY3JpbWUgbWF5IGNvbnRyaWJ1dGUgdG8gdGhlIGluY29uc2lzdGVudCBhc3NvY2lhdGlvbnMgYmV0d2VlbiBjcmltZSBhbmQgd2Fsa2luZy4gV2UgZXhhbWluZWQgYXNzb2NpYXRpb25zIGJldHdlZW4gY3JpbWUgYS4uLiIsInB1Ymxpc2hlciI6IlNBR0UgUHVibGljYXRpb25zU2FnZSBDQTogTG9zIEFuZ2VsZXMsIENBIiwiaXNzdWUiOiIxIiwidm9sdW1lIjoiNTMifSwiaXNUZW1wb3JhcnkiOmZhbHNlfSx7ImlkIjoiNzEwN2EyZjMtNjkxZS0zMzIwLWExMzQtZjhkZmFiNjkyY2E0IiwiaXRlbURhdGEiOnsidHlwZSI6InJlcG9ydCIsImlkIjoiNzEwN2EyZjMtNjkxZS0zMzIwLWExMzQtZjhkZmFiNjkyY2E0IiwidGl0bGUiOiJBc3NvY2lhdGlvbnMgb2YgYWR1bHQgcGh5c2ljYWwgYWN0aXZpdHkgd2l0aCBwZXJjZWl2ZWQgc2FmZXR5IGFuZCBwb2xpY2UtcmVjb3JkZWQgY3JpbWU6IHRoZSBNdWx0aS1ldGhuaWMgU3R1ZHkgb2YgQXRoZXJvc2NsZXJvc2lzIiwiYXV0aG9yIjpbeyJmYW1pbHkiOiJFdmVuc29uIiwiZ2l2ZW4iOiJLZWxseSBSIiwicGFyc2UtbmFtZXMiOmZhbHNlLCJkcm9wcGluZy1wYXJ0aWNsZSI6IiIsIm5vbi1kcm9wcGluZy1wYXJ0aWNsZSI6IiJ9LHsiZmFtaWx5IjoiQmxvY2siLCJnaXZlbiI6IlJpY2hhcmQiLCJwYXJzZS1uYW1lcyI6ZmFsc2UsImRyb3BwaW5nLXBhcnRpY2xlIjoiIiwibm9uLWRyb3BwaW5nLXBhcnRpY2xlIjoiIn0seyJmYW1pbHkiOiJSb3V4IiwiZ2l2ZW4iOiJBbmEgViBEaWV6IiwicGFyc2UtbmFtZXMiOmZhbHNlLCJkcm9wcGluZy1wYXJ0aWNsZSI6IiIsIm5vbi1kcm9wcGluZy1wYXJ0aWNsZSI6IiJ9LHsiZmFtaWx5IjoiTWNnaW5uIiwiZ2l2ZW4iOiJBaWxlZW4gUCIsInBhcnNlLW5hbWVzIjpmYWxzZSwiZHJvcHBpbmctcGFydGljbGUiOiIiLCJub24tZHJvcHBpbmctcGFydGljbGUiOiIifSx7ImZhbWlseSI6IldlbiIsImdpdmVuIjoiRmFuZyIsInBhcnNlLW5hbWVzIjpmYWxzZSwiZHJvcHBpbmctcGFydGljbGUiOiIiLCJub24tZHJvcHBpbmctcGFydGljbGUiOiIifSx7ImZhbWlseSI6IlJvZHLDrWd1ZXoiLCJnaXZlbiI6IkRhbmllbCBBIiwicGFyc2UtbmFtZXMiOmZhbHNlLCJkcm9wcGluZy1wYXJ0aWNsZSI6IiIsIm5vbi1kcm9wcGluZy1wYXJ0aWNsZSI6IiJ9XSwiRE9JIjoiMTAuMTE4Ni8xNDc5LTU4NjgtOS0xNDYiLCJVUkwiOiJodHRwOi8vd3d3LmlqYm5wYS5vcmcvY29udGVudC85LzEvMTQ2IiwiaXNzdWVkIjp7ImRhdGUtcGFydHMiOltbMjAxMl1dfSwiYWJzdHJhY3QiOiJCYWNrZ3JvdW5kOiBEdWUgdG8gdGhlIGluY29uc2lzdGVudCBmaW5kaW5ncyBvZiBwcmlvciBzdHVkaWVzLCB3ZSBleHBsb3JlZCB0aGUgYXNzb2NpYXRpb24gb2YgcGVyY2VpdmVkIHNhZmV0eSBhbmQgcG9saWNlLXJlY29yZGVkIGNyaW1lIG1lYXN1cmVzIHdpdGggcGh5c2ljYWwgYWN0aXZpdHkuIE1ldGhvZHM6IFRoZSBzdHVkeSBpbmNsdWRlZCA4MTggQ2hpY2FnbyBwYXJ0aWNpcGFudHMgb2YgdGhlIE11bHRpZXRobmljIFN0dWR5IG9mIEF0aGVyb3NjbGVyb3NpcyA0NSB0byA4NCB5ZWFycyBvZiBhZ2UuIFF1ZXN0aW9ubmFpcmUtYXNzZXNzZWQgcGh5c2ljYWwgYWN0aXZpdHkgaW5jbHVkZWQgYSkgdHJhbnNwb3J0IHdhbGtpbmc7IGIpIGxlaXN1cmUgd2Fsa2luZzsgYW5kIGMpIG5vbi13YWxraW5nIGxlaXN1cmUgYWN0aXZpdGllcy4gUGVyY2VpdmVkIHNhZmV0eSB3YXMgYXNzZXNzZWQgdGhyb3VnaCBhbiBpbnRlcnZpZXdlci1hZG1pbmlzdGVyZWQgcXVlc3Rpb25uYWlyZS4gUG9saWNlLXJlY29yZGVkIGNyaW1lIHdhcyBhc3Nlc3NlZCB0aHJvdWdoIDIteWVhciBjb3VudHMgb2Ygc2VsZWN0ZWQgY3JpbWVzICh0b3RhbCBhbmQgb3V0ZG9vciBpbmNpdmlsaXRpZXMsIGNyaW1pbmFsIG9mZmVuc2VzLCBob21pY2lkZXMpIHBlciAxMDAwIHBvcHVsYXRpb24uIEFzc29jaWF0aW9ucyB3ZXJlIGV4YW1pbmVkIHVzaW5nIGdlbmVyYWxpemVkIGVzdGltYXRpbmcgZXF1YXRpb24gbG9naXN0aWMgcmVncmVzc2lvbiBtb2RlbHMuIFJlc3VsdHM6IFBlcmNlaXZpbmcgYSBzYWZlciBuZWlnaGJvcmhvb2Qgd2FzIHBvc2l0aXZlbHkgYXNzb2NpYXRlZCB3aXRoIHRyYW5zcG9ydCB3YWxraW5nIGFuZCBwZXJjZWl2aW5nIGxvd2VyIHZpb2xlbmNlIHdhcyBhc3NvY2lhdGVkIHdpdGggbGVpc3VyZSB3YWxraW5nLiBUaG9zZSBpbiB0aGUgbG93ZXN0IHRlcnRpbGUgb2YgdG90YWwgb3Igb3V0ZG9vciBpbmNpdmlsaXRpZXMgd2VyZSBtb3JlIGxpa2VseSB0byByZXBvcnQgdHJhbnNwb3J0IHdhbGtpbmcuIE1vZGVscyB3aXRoIGJvdGggcGVyY2VpdmVkIHNhZmV0eSBhbmQgcG9saWNlLXJlY29yZGVkIG1lYXN1cmVzIG9mIGNyaW1lIGFzIGluZGVwZW5kZW50IHZhcmlhYmxlcyBoYWQgc3VwZXJpb3IgZml0IGZvciBib3RoIHRyYW5zcG9ydCB3YWxraW5nIGFuZCBsZWlzdXJlIHdhbGtpbmcgb3V0Y29tZXMuIE5laXRoZXIgcGVyY2VpdmVkIHNhZmV0eSBub3IgcG9saWNlLXJlY29yZGVkIG1lYXN1cmVzIG9mIGNyaW1lIHdlcmUgYXNzb2NpYXRlZCB3aXRoIG5vbi13YWxraW5nIGxlaXN1cmUgYWN0aXZpdHkuIiwiY29udGFpbmVyLXRpdGxlLXNob3J0IjoiIn0sImlzVGVtcG9yYXJ5IjpmYWxzZX1dfQ==&quot;,&quot;citationItems&quot;:[{&quot;id&quot;:&quot;c9c8ba1e-5eb3-32c4-8e6d-35983ed70832&quot;,&quot;itemData&quot;:{&quot;type&quot;:&quot;article-journal&quot;,&quot;id&quot;:&quot;c9c8ba1e-5eb3-32c4-8e6d-35983ed70832&quot;,&quot;title&quot;:&quot;Safe Habitats: Does the Association Between Neighborhood Crime and Walking Differ by Neighborhood Disadvantage?&quot;,&quot;author&quot;:[{&quot;family&quot;:&quot;Foster&quot;,&quot;given&quot;:&quot;Sarah&quot;,&quot;parse-names&quot;:false,&quot;dropping-particle&quot;:&quot;&quot;,&quot;non-dropping-particle&quot;:&quot;&quot;},{&quot;family&quot;:&quot;Hooper&quot;,&quot;given&quot;:&quot;Paula&quot;,&quot;parse-names&quot;:false,&quot;dropping-particle&quot;:&quot;&quot;,&quot;non-dropping-particle&quot;:&quot;&quot;},{&quot;family&quot;:&quot;Burton&quot;,&quot;given&quot;:&quot;Nicola W.&quot;,&quot;parse-names&quot;:false,&quot;dropping-particle&quot;:&quot;&quot;,&quot;non-dropping-particle&quot;:&quot;&quot;},{&quot;family&quot;:&quot;Brown&quot;,&quot;given&quot;:&quot;Wendy J.&quot;,&quot;parse-names&quot;:false,&quot;dropping-particle&quot;:&quot;&quot;,&quot;non-dropping-particle&quot;:&quot;&quot;},{&quot;family&quot;:&quot;Giles-Corti&quot;,&quot;given&quot;:&quot;Billie&quot;,&quot;parse-names&quot;:false,&quot;dropping-particle&quot;:&quot;&quot;,&quot;non-dropping-particle&quot;:&quot;&quot;},{&quot;family&quot;:&quot;Rachele&quot;,&quot;given&quot;:&quot;Jerome N.&quot;,&quot;parse-names&quot;:false,&quot;dropping-particle&quot;:&quot;&quot;,&quot;non-dropping-particle&quot;:&quot;&quot;},{&quot;family&quot;:&quot;Turrell&quot;,&quot;given&quot;:&quot;Gavin&quot;,&quot;parse-names&quot;:false,&quot;dropping-particle&quot;:&quot;&quot;,&quot;non-dropping-particle&quot;:&quot;&quot;}],&quot;container-title&quot;:&quot;Environment and Behavior&quot;,&quot;container-title-short&quot;:&quot;Environ. Behav.&quot;,&quot;accessed&quot;:{&quot;date-parts&quot;:[[2026,6,21]]},&quot;DOI&quot;:&quot;10.1177/0013916519853300&quot;,&quot;ISSN&quot;:&quot;1552390X&quot;,&quot;URL&quot;:&quot;https://scholar.google.com/scholar_url?url=https://journals.sagepub.com/doi/pdf/10.1177/0013916519853300%3Fcasa_token%3D0RfpqLxxzO8AAAAA:76hQOzNTK_hapqbqM1EXfUoCtIs47TIZgUaC-6DIWymWWiUplrPjWLL6ibfl3Wjz8iTDSJi5Fw7B&amp;hl=en&amp;sa=T&amp;oi=ucasa&amp;ct=ucasa&amp;ei=yMs5apPAPKew6rQPw82MgAY&amp;scisig=ANDmEU7mw0R6HOnYB8OPpaIwxC6g&quot;,&quot;issued&quot;:{&quot;date-parts&quot;:[[2021,1,1]]},&quot;page&quot;:&quot;3-39&quot;,&quot;abstract&quot;:&quot;Interrelationships between neighborhood walkability, area disadvantage, and crime may contribute to the inconsistent associations between crime and walking. We examined associations between crime a...&quot;,&quot;publisher&quot;:&quot;SAGE PublicationsSage CA: Los Angeles, CA&quot;,&quot;issue&quot;:&quot;1&quot;,&quot;volume&quot;:&quot;53&quot;},&quot;isTemporary&quot;:false},{&quot;id&quot;:&quot;7107a2f3-691e-3320-a134-f8dfab692ca4&quot;,&quot;itemData&quot;:{&quot;type&quot;:&quot;report&quot;,&quot;id&quot;:&quot;7107a2f3-691e-3320-a134-f8dfab692ca4&quot;,&quot;title&quot;:&quot;Associations of adult physical activity with perceived safety and police-recorded crime: the Multi-ethnic Study of Atherosclerosis&quot;,&quot;author&quot;:[{&quot;family&quot;:&quot;Evenson&quot;,&quot;given&quot;:&quot;Kelly R&quot;,&quot;parse-names&quot;:false,&quot;dropping-particle&quot;:&quot;&quot;,&quot;non-dropping-particle&quot;:&quot;&quot;},{&quot;family&quot;:&quot;Block&quot;,&quot;given&quot;:&quot;Richard&quot;,&quot;parse-names&quot;:false,&quot;dropping-particle&quot;:&quot;&quot;,&quot;non-dropping-particle&quot;:&quot;&quot;},{&quot;family&quot;:&quot;Roux&quot;,&quot;given&quot;:&quot;Ana V Diez&quot;,&quot;parse-names&quot;:false,&quot;dropping-particle&quot;:&quot;&quot;,&quot;non-dropping-particle&quot;:&quot;&quot;},{&quot;family&quot;:&quot;Mcginn&quot;,&quot;given&quot;:&quot;Aileen P&quot;,&quot;parse-names&quot;:false,&quot;dropping-particle&quot;:&quot;&quot;,&quot;non-dropping-particle&quot;:&quot;&quot;},{&quot;family&quot;:&quot;Wen&quot;,&quot;given&quot;:&quot;Fang&quot;,&quot;parse-names&quot;:false,&quot;dropping-particle&quot;:&quot;&quot;,&quot;non-dropping-particle&quot;:&quot;&quot;},{&quot;family&quot;:&quot;Rodríguez&quot;,&quot;given&quot;:&quot;Daniel A&quot;,&quot;parse-names&quot;:false,&quot;dropping-particle&quot;:&quot;&quot;,&quot;non-dropping-particle&quot;:&quot;&quot;}],&quot;DOI&quot;:&quot;10.1186/1479-5868-9-146&quot;,&quot;URL&quot;:&quot;http://www.ijbnpa.org/content/9/1/146&quot;,&quot;issued&quot;:{&quot;date-parts&quot;:[[2012]]},&quot;abstract&quot;:&quot;Background: Due to the inconsistent findings of prior studies, we explored the association of perceived safety and police-recorded crime measures with physical activity. Methods: The study included 818 Chicago participants of the Multiethnic Study of Atherosclerosis 45 to 84 years of age. Questionnaire-assessed physical activity included a) transport walking; b) leisure walking; and c) non-walking leisure activities. Perceived safety was assessed through an interviewer-administered questionnaire. Police-recorded crime was assessed through 2-year counts of selected crimes (total and outdoor incivilities, criminal offenses, homicides) per 1000 population. Associations were examined using generalized estimating equation logistic regression models. Results: Perceiving a safer neighborhood was positively associated with transport walking and perceiving lower violence was associated with leisure walking. Those in the lowest tertile of total or outdoor incivilities were more likely to report transport walking. Models with both perceived safety and police-recorded measures of crime as independent variables had superior fit for both transport walking and leisure walking outcomes. Neither perceived safety nor police-recorded measures of crime were associated with non-walking leisure activity.&quot;,&quot;container-title-short&quot;:&quot;&quot;},&quot;isTemporary&quot;:false}]},{&quot;citationID&quot;:&quot;MENDELEY_CITATION_6ae18f60-4046-4b60-be2d-ff93551bb878&quot;,&quot;properties&quot;:{&quot;noteIndex&quot;:0},&quot;isEdited&quot;:false,&quot;manualOverride&quot;:{&quot;isManuallyOverridden&quot;:true,&quot;citeprocText&quot;:&quot;(Mason et al., 2013; Ravensbergen, Buliung, &amp;#38; Laliberté, 2020)&quot;,&quot;manualOverrideText&quot;:&quot;(Mason et al., 2013; Ravensbergen et al., 2020a)&quot;},&quot;citationTag&quot;:&quot;MENDELEY_CITATION_v3_eyJjaXRhdGlvbklEIjoiTUVOREVMRVlfQ0lUQVRJT05fNmFlMThmNjAtNDA0Ni00YjYwLWJlMmQtZmY5MzU1MWJiODc4IiwicHJvcGVydGllcyI6eyJub3RlSW5kZXgiOjB9LCJpc0VkaXRlZCI6ZmFsc2UsIm1hbnVhbE92ZXJyaWRlIjp7ImlzTWFudWFsbHlPdmVycmlkZGVuIjp0cnVlLCJjaXRlcHJvY1RleHQiOiIoTWFzb24gZXQgYWwuLCAyMDEzOyBSYXZlbnNiZXJnZW4sIEJ1bGl1bmcsICYjMzg7IExhbGliZXJ0w6ksIDIwMjApIiwibWFudWFsT3ZlcnJpZGVUZXh0IjoiKE1hc29uIGV0IGFsLiwgMjAxMzsgUmF2ZW5zYmVyZ2VuIGV0IGFsLiwgMjAyMGEpIn0sImNpdGF0aW9uSXRlbXMiOlt7ImlkIjoiYjMwYzkzZTAtZjE2NC0zYmVkLTkyNTktZWZkMzcwYWE4NGY0IiwiaXRlbURhdGEiOnsidHlwZSI6ImFydGljbGUtam91cm5hbCIsImlkIjoiYjMwYzkzZTAtZjE2NC0zYmVkLTkyNTktZWZkMzcwYWE4NGY0IiwidGl0bGUiOiJcIlNhZmUgR29pbmdcIjogVGhlIGluZmx1ZW5jZSBvZiBjcmltZSByYXRlcyBhbmQgcGVyY2VpdmVkIGNyaW1lIGFuZCBzYWZldHkgb24gd2Fsa2luZyBpbiBkZXByaXZlZCBuZWlnaGJvdXJob29kcyIsImF1dGhvciI6W3siZmFtaWx5IjoiTWFzb24iLCJnaXZlbiI6IlBoaWwiLCJwYXJzZS1uYW1lcyI6ZmFsc2UsImRyb3BwaW5nLXBhcnRpY2xlIjoiIiwibm9uLWRyb3BwaW5nLXBhcnRpY2xlIjoiIn0seyJmYW1pbHkiOiJLZWFybnMiLCJnaXZlbiI6IkFkZSIsInBhcnNlLW5hbWVzIjpmYWxzZSwiZHJvcHBpbmctcGFydGljbGUiOiIiLCJub24tZHJvcHBpbmctcGFydGljbGUiOiIifSx7ImZhbWlseSI6IkxpdmluZ3N0b24iLCJnaXZlbiI6Ik1hcmsiLCJwYXJzZS1uYW1lcyI6ZmFsc2UsImRyb3BwaW5nLXBhcnRpY2xlIjoiIiwibm9uLWRyb3BwaW5nLXBhcnRpY2xlIjoiIn1dLCJjb250YWluZXItdGl0bGUiOiJTb2NpYWwgU2NpZW5jZSBhbmQgTWVkaWNpbmUiLCJjb250YWluZXItdGl0bGUtc2hvcnQiOiJTb2MuIFNjaS4gTWVkLiIsIkRPSSI6IjEwLjEwMTYvai5zb2NzY2ltZWQuMjAxMy4wNC4wMTEiLCJJU1NOIjoiMDI3Nzk1MzYiLCJQTUlEIjoiMjM4NDkyMzQiLCJpc3N1ZWQiOnsiZGF0ZS1wYXJ0cyI6W1syMDEzLDhdXX0sInBhZ2UiOiIxNS0yNCIsImFic3RyYWN0IjoiRmV3IHN0dWRpZXMgaGF2ZSBzaW11bHRhbmVvdXNseSBleGFtaW5lZCB0aGUgcmVsYXRpb25zaGlwIG9mIGxldmVscyBvZiByZWNvcmRlZCBjcmltZSwgcGVyY2VwdGlvbnMgb2YgY3JpbWUgYW5kIGRpc29yZGVyLCBhbmQgc2FmZXR5IGZyb20gY3JpbWUgd2l0aCByYXRlcyBvZiBwaHlzaWNhbCBhY3Rpdml0eS4gV2UgZGV2ZWxvcGVkIGEgc2VyaWVzIG9mIG11bHRpbGV2ZWwgb3JkaW5hbCByZWdyZXNzaW9uIG1vZGVscyB0byBleGFtaW5lIHRoZXNlIGFzcGVjdHMgaW4gcmVsYXRpb24gdG8gc2VsZi1yZXBvcnRlZCBuZWlnaGJvdXJob29kIHdhbGtpbmcgZnJlcXVlbmN5IGluIGEgY3Jvc3Mtc2VjdGlvbmFsIHNhbXBsZSBvZiAzODI0IEJyaXRpc2ggYWR1bHRzIGZyb20gMjkgZGVwcml2ZWQgbmVpZ2hib3VyaG9vZHMgaW4gR2xhc2dvdywgVUsuIFBlcmNlcHRpb25zIG9mIHNldmVyYWwgc2VyaW91cyBsb2NhbCBhbnRpc29jaWFsIGJlaGF2aW91cnMgKGRydW5rZW5uZXNzIGFuZCBidXJnbGFyeSkgYW5kIGZlZWxpbmdzIG9mIHBlcnNvbmFsIHNhZmV0eSAoZmVlbGluZyBzYWZlIGluIHRoZSBob21lIGFuZCBpZiB3YWxraW5nIGFsb25lIGluIHRoZSBsb2NhbCBhcmVhIGF0IG5pZ2h0KSB3ZXJlIGNvbnNpc3RlbnRseSBhc3NvY2lhdGVkLCByZXNwZWN0aXZlbHksIHdpdGggbGVzcyBhbmQgbW9yZSBmcmVxdWVudCB3YWxraW5nLiBDb252ZXJzZWx5LCBwZXJjZWl2aW5nIGRydWcgZGVhbGluZyBvciBkcnVnIHVzZSBhcyBhIHNlcmlvdXMgcHJvYmxlbSB3YXMgYXNzb2NpYXRlZCB3aXRoIHdhbGtpbmcgbW9yZSBmcmVxdWVudGx5LiBUaGVyZSB3YXMgYSBzbWFsbCBidXQgc2lnbmlmaWNhbnQgYXNzb2NpYXRpb24gYmV0d2VlbiB3YWxraW5nIGZyZXF1ZW5jeSBpbiBuZWlnaGJvdXJob29kcyB3aXRoIGhpZ2hlciByZWNvcmRlZCBwZXJzb24gY3JpbWUgKGJ1dCBub3QgcHJvcGVydHkgY3JpbWUpIHJhdGVzIHdoZW4gY29uc2lkZXJlZCBpbiBjb25qdW5jdGlvbiB3aXRoIG90aGVyIGFzcGVjdHMgb2YgZGlzb3JkZXIgYW5kIGNyaW1lIHNhZmV0eSwgYWx0aG91Z2ggbm90IHdoZW4gYWRkaXRpb25hbGx5IGNvbnRyb2xsaW5nIGZvciBzb2Npb2RlbW9ncmFwaGljLCBuZWlnaGJvdXJob29kIGFuZCBjb21tdW5pdHkgYXNwZWN0cy4gVGhlIG1hZ25pdHVkZSBvZiB0aGVzZSBvYmplY3RpdmUgYW5kIHBlcmNlaXZlZCBjcmltZS1yZWxhdGVkIGVmZmVjdHMgaXMgbW9kZXN0IGFuZCBmZWF0dXJlcyBvZiB0aGUgcHN5Y2hvc29jaWFsIGVudmlyb25tZW50IGFuZCBzb2NpYWwgY29oZXNpb24gKGhhdmluZyBhIHNlbnNlIG9mIHByb2dyZXNzIGZyb20gbGl2aW5nIGluIHRoZSBuZWlnaGJvdXJob29kLCBncm91cCBwYXJ0aWNpcGF0aW9uIGFuZCBwb3NpdGl2ZWx5IHJhdGluZyBzb2NpYWwgdmVudWVzKSwgYXMgd2VsbCBhcyBoZWFsdGggYW5kIHBlcnNvbmFsIGluY29tZSBkZXByaXZhdGlvbiwgbWF5IG1vcmUgc3Ryb25nbHkgZGV0ZXJtaW5lIGxldmVscyBvZiBuZWlnaGJvdXJob29kIHdhbGtpbmcuIE5ldmVydGhlbGVzcywgcGh5c2ljYWwgYWN0aXZpdHkgYmVuZWZpdHMgbWF5IGFjY3J1ZSBhdCB0aGUgcG9wdWxhdGlvbiBsZXZlbCB0aHJvdWdoIHByb3Zpc2lvbiBvZiBlbnZpcm9ubWVudHMgdGhhdCBhcmUgc2FmZXIgZnJvbSBjcmltZS4gT3VyIHN0dWR5IGFsc28gc2hvd3MgdGhlIGltcG9ydGFuY2UgdG8gbG9jYWwgd2Fsa2luZyBvZiBuZWlnaGJvdXJob29kIG1hbmFnZW1lbnQsIHdoaWNoIHJlZHVjZXMgcHJvYmxlbXMgb2YgZGlzb3JkZXIsIGFuZCBvZiBzb2NpYWwgcmVnZW5lcmF0aW9uLCB3aGljaCBoZWxwcyBzdHJlbmd0aGVuIHNlbnNlIG9mIGNvbW11bml0eS4gwqkgMjAxMyBFbHNldmllciBMdGQuIiwidm9sdW1lIjoiOTEifSwiaXNUZW1wb3JhcnkiOmZhbHNlfSx7ImlkIjoiOWY0MTYwNjctMzQxYi0zMmI4LTkwZjYtZGFjMGQzYTljYzFiIiwiaXRlbURhdGEiOnsidHlwZSI6ImFydGljbGUtam91cm5hbCIsImlkIjoiOWY0MTYwNjctMzQxYi0zMmI4LTkwZjYtZGFjMGQzYTljYzFiIiwidGl0bGUiOiJGZWFyIG9mIGN5Y2xpbmc6IFNvY2lhbCwgc3BhdGlhbCwgYW5kIHRlbXBvcmFsIGRpbWVuc2lvbnMiLCJhdXRob3IiOlt7ImZhbWlseSI6IlJhdmVuc2JlcmdlbiIsImdpdmVuIjoiTMOpYSIsInBhcnNlLW5hbWVzIjpmYWxzZSwiZHJvcHBpbmctcGFydGljbGUiOiIiLCJub24tZHJvcHBpbmctcGFydGljbGUiOiIifSx7ImZhbWlseSI6IkJ1bGl1bmciLCJnaXZlbiI6IlJvbiIsInBhcnNlLW5hbWVzIjpmYWxzZSwiZHJvcHBpbmctcGFydGljbGUiOiIiLCJub24tZHJvcHBpbmctcGFydGljbGUiOiIifSx7ImZhbWlseSI6IkxhbGliZXJ0w6kiLCJnaXZlbiI6Ik5pY29sZSIsInBhcnNlLW5hbWVzIjpmYWxzZSwiZHJvcHBpbmctcGFydGljbGUiOiIiLCJub24tZHJvcHBpbmctcGFydGljbGUiOiIifV0sImNvbnRhaW5lci10aXRsZSI6IkpvdXJuYWwgb2YgVHJhbnNwb3J0IEdlb2dyYXBoeSIsImNvbnRhaW5lci10aXRsZS1zaG9ydCI6IkouIFRyYW5zcC4gR2VvZ3IuIiwiRE9JIjoiMTAuMTAxNi9qLmp0cmFuZ2VvLjIwMjAuMTAyODEzIiwiSVNTTiI6IjA5NjY2OTIzIiwiaXNzdWVkIjp7ImRhdGUtcGFydHMiOltbMjAyMCw3LDFdXX0sImFic3RyYWN0IjoiT2JqZWN0aXZlIGFuZCBwZXJjZWl2ZWQgcmlzaywgZGFuZ2VyLCBhbmQgc2FmZXR5IGNvbmNlcm5zIGFyZSBvZnRlbiBpZGVudGlmaWVkIGFzIGJhcnJpZXJzIHRvIHRha2luZyB1cCBjeWNsaW5nLiBXaGlsZSBhIHZhc3QgbGl0ZXJhdHVyZSBleGFtaW5lcyBjeWNsaW5nIHNhZmV0eSwgcmlzaywgYW5kIGRhbmdlciwgbGl0dGxlIHJlc2VhcmNoIGV4YW1pbmVzIHJlbGF0aW9uc2hpcHMgYmV0d2VlbiBmZWFyIGFuZCBjeWNsaW5nLCBpLmUuIHRoZSBlbW90aW9uYWwgZXhwZXJpZW5jZSBvZiByaXNrLCBkYW5nZXIsIGFuZCBzYWZldHkgY29uY2VybnMuIFRoaXMgcGFwZXIgYWRkcmVzc2VzIHRoaXMgcmVzZWFyY2ggZ2FwIGJ5IGV4cGxvcmluZyB0aGUgZmVhcnMgcmVwb3J0ZWQgYnkgcmVjZW50IGltbWlncmFudHMgd2hvIGFyZSBuZXcgY3ljbGlzdHMgaW4gVG9yb250bywgQ2FuYWRhLiBDeWNsaXN0cyBleHByZXNzZWQgbWFueSBkaWZmZXJlbnQgdHlwZXMgb2YgZmVhcjsgdGhlaXIgZmVhcnMgd2VyZSBkeW5hbWljIGFuZCBwb3NzZXNzZWQgc29jaWFsLCB0ZW1wb3JhbCwgYW5kIHNwYXRpYWwgcXVhbGl0aWVzLiBUaGUgdHdvIG1vc3QgZnJlcXVlbnQgZmVhcnMgcGFydGljaXBhbnRzIGRlc2NyaWJlZCB3ZXJlIGZlYXIgb2YgaW5qdXJ5IGFuZCBmZWFyIGZvciBwZXJzb25hbCBzYWZldHkuIEZlYXIgb2YgaW5qdXJ5IHZhcmllZCBhY3Jvc3MgdGhlIGNpdHkgYW5kIGJ5IHRpbWUgb2YgZGF5LiBJdCB3YXMgYWxzbyBzaGFwZWQgYnkgcGFzdCBjeWNsaW5nIGV4cGVyaWVuY2VzLCB3aGlsZSBhcHBlYXJpbmcgdG8gYXR0ZW51YXRlIHdpdGggdGhlIGFjY3VtdWxhdGlvbiBvZiBjeWNsaW5nIHNraWxscy4gRmVhciBvZiBpbmp1cnkgY2FuIGFsc28gYmUgc29jaWFsOyBhbmQgdGhlIHByaW1hcnkgZm9jdXMgaGVyZWluIGlzIG9uIGhvdyBpdCBjYW4gYmUgZ2VuZGVyZWQuIEZvciBpbnN0YW5jZSwgZ2VuZGVyZWQgYWNjZXNzIHRvIG9wcG9ydHVuaXRpZXMgdG8gY3ljbGUgdGhyb3VnaG91dCB0aGUgbGlmZSBjb3Vyc2UgY2FuIHNoYXBlIGN5Y2xpbmcgZmVhcihzKS4gRmVhciBmb3IgcGVyc29uYWwgc2FmZXR5IHdhcyBwcmltYXJpbHkgZXhwcmVzc2VkIGJ5IHdvbWVuLCB3YXMgb2Z0ZW4gc2hhcGVkIGJ5IHBhc3QgZXhwZXJpZW5jZXMgb2Ygc3RyZWV0IGhhcmFzc21lbnQsIGFuZCBjaGFuZ2VkIHRocm91Z2hvdXQgdGhlIGRheSwgYWNyb3NzIHRoZSBjaXR5LCBhbmQgd2FzIHVuZGVyc3Rvb2QgaW4gcmVsYXRpb24gdG8gb3RoZXIgcGxhY2VzLiBQYXJ0aWNpcGFudHMgYWxzbyBkZXNjcmliZWQgZmVhcnMgcmVsYXRlZCB0byBiaWN5Y2xlIHRoZWZ0LCBnZXR0aW5nIGxvc3QsIGVuY291bnRlcmluZyBtZWNoYW5pY2FsIHByb2JsZW1zLCBhbmQgZ2V0dGluZyBpbiB0cm91YmxlIHdpdGggbGF3IGVuZm9yY2VtZW50LiIsInB1Ymxpc2hlciI6IkVsc2V2aWVyIEx0ZCIsInZvbHVtZSI6Ijg3In0sImlzVGVtcG9yYXJ5IjpmYWxzZX1dfQ==&quot;,&quot;citationItems&quot;:[{&quot;id&quot;:&quot;b30c93e0-f164-3bed-9259-efd370aa84f4&quot;,&quot;itemData&quot;:{&quot;type&quot;:&quot;article-journal&quot;,&quot;id&quot;:&quot;b30c93e0-f164-3bed-9259-efd370aa84f4&quot;,&quot;title&quot;:&quot;\&quot;Safe Going\&quot;: The influence of crime rates and perceived crime and safety on walking in deprived neighbourhoods&quot;,&quot;author&quot;:[{&quot;family&quot;:&quot;Mason&quot;,&quot;given&quot;:&quot;Phil&quot;,&quot;parse-names&quot;:false,&quot;dropping-particle&quot;:&quot;&quot;,&quot;non-dropping-particle&quot;:&quot;&quot;},{&quot;family&quot;:&quot;Kearns&quot;,&quot;given&quot;:&quot;Ade&quot;,&quot;parse-names&quot;:false,&quot;dropping-particle&quot;:&quot;&quot;,&quot;non-dropping-particle&quot;:&quot;&quot;},{&quot;family&quot;:&quot;Livingston&quot;,&quot;given&quot;:&quot;Mark&quot;,&quot;parse-names&quot;:false,&quot;dropping-particle&quot;:&quot;&quot;,&quot;non-dropping-particle&quot;:&quot;&quot;}],&quot;container-title&quot;:&quot;Social Science and Medicine&quot;,&quot;container-title-short&quot;:&quot;Soc. Sci. Med.&quot;,&quot;DOI&quot;:&quot;10.1016/j.socscimed.2013.04.011&quot;,&quot;ISSN&quot;:&quot;02779536&quot;,&quot;PMID&quot;:&quot;23849234&quot;,&quot;issued&quot;:{&quot;date-parts&quot;:[[2013,8]]},&quot;page&quot;:&quot;15-24&quot;,&quot;abstract&quot;:&quot;Few studies have simultaneously examined the relationship of levels of recorded crime, perceptions of crime and disorder, and safety from crime with rates of physical activity. We developed a series of multilevel ordinal regression models to examine these aspects in relation to self-reported neighbourhood walking frequency in a cross-sectional sample of 3824 British adults from 29 deprived neighbourhoods in Glasgow, UK. Perceptions of several serious local antisocial behaviours (drunkenness and burglary) and feelings of personal safety (feeling safe in the home and if walking alone in the local area at night) were consistently associated, respectively, with less and more frequent walking. Conversely, perceiving drug dealing or drug use as a serious problem was associated with walking more frequently. There was a small but significant association between walking frequency in neighbourhoods with higher recorded person crime (but not property crime) rates when considered in conjunction with other aspects of disorder and crime safety, although not when additionally controlling for sociodemographic, neighbourhood and community aspects. The magnitude of these objective and perceived crime-related effects is modest and features of the psychosocial environment and social cohesion (having a sense of progress from living in the neighbourhood, group participation and positively rating social venues), as well as health and personal income deprivation, may more strongly determine levels of neighbourhood walking. Nevertheless, physical activity benefits may accrue at the population level through provision of environments that are safer from crime. Our study also shows the importance to local walking of neighbourhood management, which reduces problems of disorder, and of social regeneration, which helps strengthen sense of community. © 2013 Elsevier Ltd.&quot;,&quot;volume&quot;:&quot;91&quot;},&quot;isTemporary&quot;:false},{&quot;id&quot;:&quot;9f416067-341b-32b8-90f6-dac0d3a9cc1b&quot;,&quot;itemData&quot;:{&quot;type&quot;:&quot;article-journal&quot;,&quot;id&quot;:&quot;9f416067-341b-32b8-90f6-dac0d3a9cc1b&quot;,&quot;title&quot;:&quot;Fear of cycling: Social, spatial, and temporal dimensions&quot;,&quot;author&quot;:[{&quot;family&quot;:&quot;Ravensbergen&quot;,&quot;given&quot;:&quot;Léa&quot;,&quot;parse-names&quot;:false,&quot;dropping-particle&quot;:&quot;&quot;,&quot;non-dropping-particle&quot;:&quot;&quot;},{&quot;family&quot;:&quot;Buliung&quot;,&quot;given&quot;:&quot;Ron&quot;,&quot;parse-names&quot;:false,&quot;dropping-particle&quot;:&quot;&quot;,&quot;non-dropping-particle&quot;:&quot;&quot;},{&quot;family&quot;:&quot;Laliberté&quot;,&quot;given&quot;:&quot;Nicole&quot;,&quot;parse-names&quot;:false,&quot;dropping-particle&quot;:&quot;&quot;,&quot;non-dropping-particle&quot;:&quot;&quot;}],&quot;container-title&quot;:&quot;Journal of Transport Geography&quot;,&quot;container-title-short&quot;:&quot;J. Transp. Geogr.&quot;,&quot;DOI&quot;:&quot;10.1016/j.jtrangeo.2020.102813&quot;,&quot;ISSN&quot;:&quot;09666923&quot;,&quot;issued&quot;:{&quot;date-parts&quot;:[[2020,7,1]]},&quot;abstract&quot;:&quot;Objective and perceived risk, danger, and safety concerns are often identified as barriers to taking up cycling. While a vast literature examines cycling safety, risk, and danger, little research examines relationships between fear and cycling, i.e. the emotional experience of risk, danger, and safety concerns. This paper addresses this research gap by exploring the fears reported by recent immigrants who are new cyclists in Toronto, Canada. Cyclists expressed many different types of fear; their fears were dynamic and possessed social, temporal, and spatial qualities. The two most frequent fears participants described were fear of injury and fear for personal safety. Fear of injury varied across the city and by time of day. It was also shaped by past cycling experiences, while appearing to attenuate with the accumulation of cycling skills. Fear of injury can also be social; and the primary focus herein is on how it can be gendered. For instance, gendered access to opportunities to cycle throughout the life course can shape cycling fear(s). Fear for personal safety was primarily expressed by women, was often shaped by past experiences of street harassment, and changed throughout the day, across the city, and was understood in relation to other places. Participants also described fears related to bicycle theft, getting lost, encountering mechanical problems, and getting in trouble with law enforcement.&quot;,&quot;publisher&quot;:&quot;Elsevier Ltd&quot;,&quot;volume&quot;:&quot;87&quot;},&quot;isTemporary&quot;:false}]},{&quot;citationID&quot;:&quot;MENDELEY_CITATION_67980896-9277-47ca-81f8-ab155801937a&quot;,&quot;properties&quot;:{&quot;noteIndex&quot;:0},&quot;isEdited&quot;:false,&quot;manualOverride&quot;:{&quot;isManuallyOverridden&quot;:true,&quot;citeprocText&quot;:&quot;(Graystone et al., 2022; Stark &amp;#38; Meschik, 2018)&quot;,&quot;manualOverrideText&quot;:&quot;(Stark and Meschik, 2018; Graystone et al., 2022)&quot;},&quot;citationTag&quot;:&quot;MENDELEY_CITATION_v3_eyJjaXRhdGlvbklEIjoiTUVOREVMRVlfQ0lUQVRJT05fNjc5ODA4OTYtOTI3Ny00N2NhLTgxZjgtYWIxNTU4MDE5MzdhIiwicHJvcGVydGllcyI6eyJub3RlSW5kZXgiOjB9LCJpc0VkaXRlZCI6ZmFsc2UsIm1hbnVhbE92ZXJyaWRlIjp7ImlzTWFudWFsbHlPdmVycmlkZGVuIjp0cnVlLCJjaXRlcHJvY1RleHQiOiIoR3JheXN0b25lIGV0IGFsLiwgMjAyMjsgU3RhcmsgJiMzODsgTWVzY2hpaywgMjAxOCkiLCJtYW51YWxPdmVycmlkZVRleHQiOiIoU3RhcmsgYW5kIE1lc2NoaWssIDIwMTg7IEdyYXlzdG9uZSBldCBhbC4sIDIwMjIpIn0sImNpdGF0aW9uSXRlbXMiOlt7ImlkIjoiMGFhMzFiMmUtZTdmNS0zMjkwLTgyMTQtOWRlMGE2YmUzOTYyIiwiaXRlbURhdGEiOnsidHlwZSI6ImFydGljbGUtam91cm5hbCIsImlkIjoiMGFhMzFiMmUtZTdmNS0zMjkwLTgyMTQtOWRlMGE2YmUzOTYyIiwidGl0bGUiOiJXb21lbidzIGV2ZXJ5ZGF5IG1vYmlsaXR5OiBGcmlnaHRlbmluZyBzaXR1YXRpb25zIGFuZCB0aGVpciBpbXBhY3RzIG9uIHRyYXZlbCBiZWhhdmlvdXIiLCJhdXRob3IiOlt7ImZhbWlseSI6IlN0YXJrIiwiZ2l2ZW4iOiJKdWxpYW5lIiwicGFyc2UtbmFtZXMiOmZhbHNlLCJkcm9wcGluZy1wYXJ0aWNsZSI6IiIsIm5vbi1kcm9wcGluZy1wYXJ0aWNsZSI6IiJ9LHsiZmFtaWx5IjoiTWVzY2hpayIsImdpdmVuIjoiTWljaGFlbC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4LjAyLjAxNyIsIklTU04iOiIxMzY5ODQ3OCIsImlzc3VlZCI6eyJkYXRlLXBhcnRzIjpbWzIwMTgsNCwxXV19LCJwYWdlIjoiMzExLTMyMyIsImFic3RyYWN0IjoiVGhpcyBwYXBlciBpbnZlc3RpZ2F0ZXMgZnJpZ2h0ZW5pbmcgc2l0dWF0aW9ucyB3b21lbiBmYWNlIGluIHRoZWlyIGV2ZXJ5ZGF5IG1vYmlsaXR5LiBUaGUgZm9jdXMgaXMgbm90IG9uIHNlcmlvdXMgY3JpbWluYWwgb2ZmZW5jZXMgYnV0IHJhdGhlciBvbiBhbGwgc2l0dWF0aW9ucyBjYXVzaW5nIGZlYXIgc3VjaCBhcyBoYXJhc3NtZW50IGFuZCB0aGUgaW5mbHVlbmNlIG9uIHRoZSB0cmF2ZWwgYmVoYXZpb3VyIG9mIHdvbWVuLiBUd28gc3VydmV5cyB3ZXJlIGNvbmR1Y3RlZCBpbiBBdXN0cmlhIGluIDIwMTIgYW5kIDIwMTMgdG8gYXNzZXNzIHdoZXRoZXIgYW5kIGhvdyBtYW55IHdvbWVuIGFyZSBhZmZlY3RlZCBhbmQgdG8gZ2V0IGluc2lnaHRzIGluIGxvY2F0aW9ucyBvZiB0aGUgaW5jaWRlbnRzIGFuZCB0aGUgY2lyY3Vtc3RhbmNlcy4gVGhlIHBlcnNvbmFsIHNlY3VyaXR5IGFzcGVjdHMgb2YgZGlmZmVyZW50IG1vZGVzIG9mIHRyYW5zcG9ydCBhcmUgaW52ZXN0aWdhdGVkLiBUaGUgcmVzdWx0cyBzaG93IHRoYXQgd29tZW4gd2hvIGV4cGVyaWVuY2VkIGZyaWdodGVuaW5nIHNpdHVhdGlvbnMgdGVuZCB0byBhdm9pZCBjZXJ0YWluIGRlc3RpbmF0aW9ucyBvciByb3V0ZXMgYW5kIHRyYXZlbCBtb2RlcyBtb3JlIHRoYW4gb3RoZXIgd29tZW4uIFRoZSByZXN1bHRzIGFsc28gY29uZmlybSB0aGF0IHdvbWVuIGluIGdlbmVyYWwgaGF2ZSBjb25zdHJhaW5lZCB0cmF2ZWwgYmVoYXZpb3VyIGJlY2F1c2Ugb2YgZmVhciBhYm91dCB0aGVpciBwZXJzb25hbCBzZWN1cml0eS4gV2hlbiBpdCBpcyBpbXBvc3NpYmxlIHRvIGNoYW5nZSByb3V0ZSBvciB0cmF2ZWwgdGltZSBlLmcuIGR1ZSB0byBwZXJzb25hbCByZXN0cmFpbnRzLCBvciB3aGVuIHNpbXBseSBubyBvdGhlciB0cmFuc3BvcnQgbW9kZSBpcyBhdmFpbGFibGUsIHdvbWVuIGFyZSBjYXB0aXZlcyB0byB1c2UgdW53YW50ZWQgdHJhbnNwb3J0IG9wdGlvbnMsIGV2ZW4gd2hlbiB0aGV5IGhhdmUgdG8gcmVja29uIHdpdGggZnJpZ2h0ZW5pbmcgc2l0dWF0aW9ucy4gVGhlIGNvbmNsdXNpb25zIHN1bW1hcml6ZSB0aGF0IHdvbWVuJ3MgcGVyc29uYWwgc2VjdXJpdHkgcGxheXMgYW4gaW1wb3J0YW50IHJvbGUgaW4gdGVybXMgb2YgdHJhdmVsIGJlaGF2aW91ciBhbmQgaW5jcmVhc2VkIGF0dGVudGlvbiBzaG91bGQgYmUgcGFpZCBieSBhdXRob3JpdGllcyBhcyB3ZWxsIGFzIGNpdHktIGFuZCB0cmFuc3BvcnQgcGxhbm5lcnMgc3RyaXZpbmcgZm9yIHN1c3RhaW5hYmxlIGJ1aWx0IGVudmlyb25tZW50cy4gQXMgdGhlIHNoYXJlIG9mIGFmZmVjdGVkIHdvbWVuIGlzIGhpZ2ggYW5kIGl0IGNhbiBiZSBhc3N1bWVkIHRoYXQgd29tZW4gYXJlIG1vcmUgb2Z0ZW4gaW1wZXJpbGxlZCB0aGFuIG1lbiB0aGUgcXVlc3Rpb25zIGFyaXNlcywgaWYgdGhpcyBjYW4gYmUgYXNzaW1pbGF0ZWQgdG8gdW5lcXVhbCBtb2JpbGl0eSBvcHBvcnR1bml0aWVzLCBmaW5hbGx5IHJlc3VsdGluZyBpbiBhIHNvY2lhbCBkZWZpY2llbmN5IGZvciB3b21lbi4iLCJwdWJsaXNoZXIiOiJFbHNldmllciBMdGQiLCJ2b2x1bWUiOiI1NCJ9LCJpc1RlbXBvcmFyeSI6ZmFsc2V9LHsiaWQiOiJkMGMyZTM2Yy1lMmQ2LTM3ZjUtODA4Yy0wNWU5MDdjNzBjN2EiLCJpdGVtRGF0YSI6eyJ0eXBlIjoiYXJ0aWNsZS1qb3VybmFsIiwiaWQiOiJkMGMyZTM2Yy1lMmQ2LTM3ZjUtODA4Yy0wNWU5MDdjNzBjN2EiLCJ0aXRsZSI6IkdlbmRlcmVkIHBlcmNlcHRpb25zIG9mIGN5Y2xpbmcgc2FmZXR5IGFuZCBvbi1zdHJlZXQgYmljeWNsZSBpbmZyYXN0cnVjdHVyZTogQnJpZGdpbmcgdGhlIGdhcCIsImF1dGhvciI6W3siZmFtaWx5IjoiR3JheXN0b25lIiwiZ2l2ZW4iOiJNYXR0aGV3IiwicGFyc2UtbmFtZXMiOmZhbHNlLCJkcm9wcGluZy1wYXJ0aWNsZSI6IiIsIm5vbi1kcm9wcGluZy1wYXJ0aWNsZSI6IiJ9LHsiZmFtaWx5IjoiTWl0cmEiLCJnaXZlbiI6IlJha3RpbSIsInBhcnNlLW5hbWVzIjpmYWxzZSwiZHJvcHBpbmctcGFydGljbGUiOiIiLCJub24tZHJvcHBpbmctcGFydGljbGUiOiIifSx7ImZhbWlseSI6Ikhlc3MiLCJnaXZlbiI6IlBhdWwgTS4iLCJwYXJzZS1uYW1lcyI6ZmFsc2UsImRyb3BwaW5nLXBhcnRpY2xlIjoiIiwibm9uLWRyb3BwaW5nLXBhcnRpY2xlIjoiIn1dLCJjb250YWluZXItdGl0bGUiOiJUcmFuc3BvcnRhdGlvbiBSZXNlYXJjaCBQYXJ0IEQ6IFRyYW5zcG9ydCBhbmQgRW52aXJvbm1lbnQiLCJhY2Nlc3NlZCI6eyJkYXRlLXBhcnRzIjpbWzIwMjYsNiwyMV1dfSwiRE9JIjoiMTAuMTAxNi9qLnRyZC4yMDIyLjEwMzIzNyIsIklTU04iOiIxMzYxLTkyMDkiLCJVUkwiOiJodHRwczovL3d3dy5zY2llbmNlZGlyZWN0LmNvbS9zY2llbmNlL2FydGljbGUvcGlpL1MxMzYxOTIwOTIyMDAwNjcwP2Nhc2FfdG9rZW49RWk5WlpycGUyeG9BQUFBQTp4VTJQSDdRRE84X1hhREh1dngxQUpGaU04c3lwRXFuYjdaSGZJQWNjcGdqZS1ObUxWeFVXTW1DV0ZqemJXbHJ2RXREekZSMEdZUSIsImlzc3VlZCI6eyJkYXRlLXBhcnRzIjpbWzIwMjIsNCwxXV19LCJwYWdlIjoiMTAzMjM3IiwiYWJzdHJhY3QiOiJVbnNhZmUgY3ljbGluZyBlbnZpcm9ubWVudHMgYXJlIG9mdGVuIGh5cG90aGVzaXplZCBhcyBhIGtleSBmYWN0b3IgYmVoaW5kIGEgZ2VuZGVyIGdhcCBpbiBiaWN5Y2xpbmcuIFdlIGV4YW1pbmUgZ2VuZGVyZWQgc2FmZXR5IHBlcmNlcHRpb25zIHVzaW5nIGRhdGEgZnJvbSBzdHJlZXQgaW50ZXJjZXB0IHN1cnZleXMgYWNyb3NzIDEwIHVyYmFuIGFuZCBzdWJ1cmJhbiBzdHVkeSBhcmVhcyBpbiB0aGUgVG9yb250byByZWdpb24sIENhbmFkYSwgZml2ZSB3aXRoIG9uLXN0cmVldCBiaWN5Y2xlIGluZnJhc3RydWN0dXJlLCBhbmQgZml2ZSB3aXRob3V0LiBSZXN1bHRzIHJlaW5mb3JjZSB0aGF0IGN5Y2xpc3RzIHdobyBpZGVudGlmeSBhcyB3b21lbiBhcmUgbW9yZSBjb25jZXJuZWQgYWJvdXQgc2FmZXR5IG92ZXJhbGwgY29tcGFyZWQgdG8gdGhvc2Ugd2hvIGlkZW50aWZ5IGFzIG1lbi4gSG93ZXZlciwgd2UgZm91bmQgbm8gZ2VuZGVyZWQgZGlmZmVyZW5jZSBpbiBmZWFyIG9mIGNvbGxpc2lvbiBhbmQgaW5qdXJ5LiBJbnN0ZWFkLCB3b21lbiByZXBvcnRlZCBtb3JlIGNvbmNlcm5zIHJlbGF0ZWQgdG8gdmVyYmFsIGFidXNlL2J1bGx5aW5nLCBhbmQgd2l0aCBob3cgZHJpdmVycyBpbnRlcmFjdCB3aXRoIGN5Y2xpc3RzLiBTaWduaWZpY2FudCBnZW5kZXJlZCBkaWZmZXJlbmNlIGluIHRoZSBsaWtlbGlob29kIG9mIGhhdmluZyBoaWdoZXIgY29uY2VybnMgb2YgYmVpbmcgYnVsbGllZCBvciB2ZXJiYWxseSBhYnVzZWQgZXhpc3RlZCByZWdhcmRsZXNzIG9mIHRoZSBwcmVzZW5jZSBvZiBiaWN5Y2xlIGluZnJhc3RydWN0dXJlLiBEcmF3aW5nIG9uIGZlbWluaXN0IHRoZW9yaWVzIG9mIHBlcmZvcm1hdGl2aXR5IGFuZCBlbWJvZGltZW50LCB3ZSBjb25jbHVkZSB0aGF0IHNhZmV0eSBwZXJjZXB0aW9ucyBhcmUgbGlrZWx5IGEgcHJvZHVjdCBvZiBzb2NpYWwgbm9ybXMsIGV4cGVjdGF0aW9ucywgYW5kIHRyYWRpdGlvbnMgcmVsYXRlZCB0byBhIGN5Y2xpc3Rz4oCZIGdlbmRlciBleHByZXNzaW9uLiIsInB1Ymxpc2hlciI6IlBlcmdhbW9uIiwidm9sdW1lIjoiMTA1IiwiY29udGFpbmVyLXRpdGxlLXNob3J0IjoiVHJhbnNwLiBSZXMuIEQgVHJhbnNwLiBFbnZpcm9uLiJ9LCJpc1RlbXBvcmFyeSI6ZmFsc2V9XX0=&quot;,&quot;citationItems&quot;:[{&quot;id&quot;:&quot;0aa31b2e-e7f5-3290-8214-9de0a6be3962&quot;,&quot;itemData&quot;:{&quot;type&quot;:&quot;article-journal&quot;,&quot;id&quot;:&quot;0aa31b2e-e7f5-3290-8214-9de0a6be3962&quot;,&quot;title&quot;:&quot;Women's everyday mobility: Frightening situations and their impacts on travel behaviour&quot;,&quot;author&quot;:[{&quot;family&quot;:&quot;Stark&quot;,&quot;given&quot;:&quot;Juliane&quot;,&quot;parse-names&quot;:false,&quot;dropping-particle&quot;:&quot;&quot;,&quot;non-dropping-particle&quot;:&quot;&quot;},{&quot;family&quot;:&quot;Meschik&quot;,&quot;given&quot;:&quot;Michael&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8.02.017&quot;,&quot;ISSN&quot;:&quot;13698478&quot;,&quot;issued&quot;:{&quot;date-parts&quot;:[[2018,4,1]]},&quot;page&quot;:&quot;311-323&quot;,&quot;abstract&quot;:&quot;This paper investigates frightening situations women face in their everyday mobility. The focus is not on serious criminal offences but rather on all situations causing fear such as harassment and the influence on the travel behaviour of women. Two surveys were conducted in Austria in 2012 and 2013 to assess whether and how many women are affected and to get insights in locations of the incidents and the circumstances. The personal security aspects of different modes of transport are investigated. The results show that women who experienced frightening situations tend to avoid certain destinations or routes and travel modes more than other women. The results also confirm that women in general have constrained travel behaviour because of fear about their personal security. When it is impossible to change route or travel time e.g. due to personal restraints, or when simply no other transport mode is available, women are captives to use unwanted transport options, even when they have to reckon with frightening situations. The conclusions summarize that women's personal security plays an important role in terms of travel behaviour and increased attention should be paid by authorities as well as city- and transport planners striving for sustainable built environments. As the share of affected women is high and it can be assumed that women are more often imperilled than men the questions arises, if this can be assimilated to unequal mobility opportunities, finally resulting in a social deficiency for women.&quot;,&quot;publisher&quot;:&quot;Elsevier Ltd&quot;,&quot;volume&quot;:&quot;54&quot;},&quot;isTemporary&quot;:false},{&quot;id&quot;:&quot;d0c2e36c-e2d6-37f5-808c-05e907c70c7a&quot;,&quot;itemData&quot;:{&quot;type&quot;:&quot;article-journal&quot;,&quot;id&quot;:&quot;d0c2e36c-e2d6-37f5-808c-05e907c70c7a&quot;,&quot;title&quot;:&quot;Gendered perceptions of cycling safety and on-street bicycle infrastructure: Bridging the gap&quot;,&quot;author&quot;:[{&quot;family&quot;:&quot;Graystone&quot;,&quot;given&quot;:&quot;Matthew&quot;,&quot;parse-names&quot;:false,&quot;dropping-particle&quot;:&quot;&quot;,&quot;non-dropping-particle&quot;:&quot;&quot;},{&quot;family&quot;:&quot;Mitra&quot;,&quot;given&quot;:&quot;Raktim&quot;,&quot;parse-names&quot;:false,&quot;dropping-particle&quot;:&quot;&quot;,&quot;non-dropping-particle&quot;:&quot;&quot;},{&quot;family&quot;:&quot;Hess&quot;,&quot;given&quot;:&quot;Paul M.&quot;,&quot;parse-names&quot;:false,&quot;dropping-particle&quot;:&quot;&quot;,&quot;non-dropping-particle&quot;:&quot;&quot;}],&quot;container-title&quot;:&quot;Transportation Research Part D: Transport and Environment&quot;,&quot;accessed&quot;:{&quot;date-parts&quot;:[[2026,6,21]]},&quot;DOI&quot;:&quot;10.1016/j.trd.2022.103237&quot;,&quot;ISSN&quot;:&quot;1361-9209&quot;,&quot;URL&quot;:&quot;https://www.sciencedirect.com/science/article/pii/S1361920922000670?casa_token=Ei9ZZrpe2xoAAAAA:xU2PH7QDO8_XaDHuvx1AJFiM8sypEqnb7ZHfIAccpgje-NmLVxUWMmCWFjzbWlrvEtDzFR0GYQ&quot;,&quot;issued&quot;:{&quot;date-parts&quot;:[[2022,4,1]]},&quot;page&quot;:&quot;103237&quot;,&quot;abstract&quot;:&quot;Unsafe cycling environments are often hypothesized as a key factor behind a gender gap in bicycling. We examine gendered safety perceptions using data from street intercept surveys across 10 urban and suburban study areas in the Toronto region, Canada, five with on-street bicycle infrastructure, and five without. Results reinforce that cyclists who identify as women are more concerned about safety overall compared to those who identify as men. However, we found no gendered difference in fear of collision and injury. Instead, women reported more concerns related to verbal abuse/bullying, and with how drivers interact with cyclists. Significant gendered difference in the likelihood of having higher concerns of being bullied or verbally abused existed regardless of the presence of bicycle infrastructure. Drawing on feminist theories of performativity and embodiment, we conclude that safety perceptions are likely a product of social norms, expectations, and traditions related to a cyclists’ gender expression.&quot;,&quot;publisher&quot;:&quot;Pergamon&quot;,&quot;volume&quot;:&quot;105&quot;,&quot;container-title-short&quot;:&quot;Transp. Res. D Transp. Environ.&quot;},&quot;isTemporary&quot;:false}]},{&quot;citationID&quot;:&quot;MENDELEY_CITATION_fef9e273-8a31-4b64-8427-f50d3257e721&quot;,&quot;properties&quot;:{&quot;noteIndex&quot;:0},&quot;isEdited&quot;:false,&quot;manualOverride&quot;:{&quot;isManuallyOverridden&quot;:true,&quot;citeprocText&quot;:&quot;(Belloc et al., 2025; Heinen et al., 2010)&quot;,&quot;manualOverrideText&quot;:&quot;(Heinen et al., 2010; Belloc et al., 2025)&quot;},&quot;citationTag&quot;:&quot;MENDELEY_CITATION_v3_eyJjaXRhdGlvbklEIjoiTUVOREVMRVlfQ0lUQVRJT05fZmVmOWUyNzMtOGEzMS00YjY0LTg0MjctZjUwZDMyNTdlNzIxIiwicHJvcGVydGllcyI6eyJub3RlSW5kZXgiOjB9LCJpc0VkaXRlZCI6ZmFsc2UsIm1hbnVhbE92ZXJyaWRlIjp7ImlzTWFudWFsbHlPdmVycmlkZGVuIjp0cnVlLCJjaXRlcHJvY1RleHQiOiIoQmVsbG9jIGV0IGFsLiwgMjAyNTsgSGVpbmVuIGV0IGFsLiwgMjAxMCkiLCJtYW51YWxPdmVycmlkZVRleHQiOiIoSGVpbmVuIGV0IGFsLiwgMjAxMDsgQmVsbG9jIGV0IGFsLiwgMjAyNSkifSwiY2l0YXRpb25JdGVtcyI6W3siaWQiOiI5OWFmNDlkZi1mZjhhLTMyOGUtOGJlNS1hOGM2YzUwYTk1N2MiLCJpdGVtRGF0YSI6eyJ0eXBlIjoiYXJ0aWNsZS1qb3VybmFsIiwiaWQiOiI5OWFmNDlkZi1mZjhhLTMyOGUtOGJlNS1hOGM2YzUwYTk1N2MiLCJ0aXRsZSI6IldlYXRoZXIgQ29uZGl0aW9ucyBhbmQgRGFpbHkgQ29tbXV0aW5nIiwiYXV0aG9yIjpbeyJmYW1pbHkiOiJCZWxsb2MiLCJnaXZlbiI6IklnbmFjaW8iLCJwYXJzZS1uYW1lcyI6ZmFsc2UsImRyb3BwaW5nLXBhcnRpY2xlIjoiIiwibm9uLWRyb3BwaW5nLXBhcnRpY2xlIjoiIn0seyJmYW1pbHkiOiJHaW1lbmV6LU5hZGFsIiwiZ2l2ZW4iOiJKb3PDqSBJZ25hY2lvIiwicGFyc2UtbmFtZXMiOmZhbHNlLCJkcm9wcGluZy1wYXJ0aWNsZSI6IiIsIm5vbi1kcm9wcGluZy1wYXJ0aWNsZSI6IiJ9LHsiZmFtaWx5IjoiTW9saW5hIiwiZ2l2ZW4iOiJKb3PDqSBBbGJlcnRvIiwicGFyc2UtbmFtZXMiOmZhbHNlLCJkcm9wcGluZy1wYXJ0aWNsZSI6IiIsIm5vbi1kcm9wcGluZy1wYXJ0aWNsZSI6IiJ9XSwiY29udGFpbmVyLXRpdGxlIjoiSm91cm5hbCBvZiBSZWdpb25hbCBTY2llbmNlIiwiY29udGFpbmVyLXRpdGxlLXNob3J0IjoiSi4gUmVnLiBTY2kuIiwiYWNjZXNzZWQiOnsiZGF0ZS1wYXJ0cyI6W1syMDI2LDYsMjFdXX0sIkRPSSI6IjEwLjExMTEvam9ycy4xMjc2NCIsIklTU04iOiIxNDY3OTc4NyIsIlVSTCI6Ii9kb2kvcGRmLzEwLjExMTEvam9ycy4xMjc2NCIsImlzc3VlZCI6eyJkYXRlLXBhcnRzIjpbWzIwMjUsNiwxXV19LCJwYWdlIjoiODE4LTg0MiIsImFic3RyYWN0IjoiQ2xpbWF0ZSBjaGFuZ2UgYW5kIGdsb2JhbCB3YXJtaW5nIGFyZSBzZXZlcmUgdGhyZWF0cyB0aGF0IGN1cnJlbnRseSBhZmZlY3QgdGhlIGRhaWx5IGxpdmVzIG9mIHRoZSB3b3JsZCBwb3B1bGF0aW9uLiBPbmUgb2YgdGhlIGh1bWFuIGJlaGF2aW9ycyB0aGF0IGNhbiBiZSBtb3N0IGFmZmVjdGVkIGJ5IHdlYXRoZXIgY29uZGl0aW9ucyBpcyB0aGF0IG9mIHBlcnNvbmFsIHRyYXZlbCwgaW5jbHVkaW5nIGNvbW11dGluZywgYW4gYWN0aXZpdHkgdGhhdCBtaWxsaW9ucyBvZiB3b3JrZXJzIHdvcmxkd2lkZSBlbmdhZ2UgaW4gZGFpbHkuIFdpdGhpbiB0aGlzIGZyYW1ld29yaywgd2UgYW5hbHl6ZSB0aGUgcmVsYXRpb25zaGlwcyBiZXR3ZWVuIHdlYXRoZXIgY29uZGl0aW9ucyBhbmQgZGFpbHkgY29tbXV0aW5nIGluIHRoZSBVUy4gVG8gdGhhdCBlbmQsIHdlIHVzZSB0d2VudHkgbmF0aW9uYWxseSByZXByZXNlbnRhdGl2ZSBBbWVyaWNhbiBUaW1lIFVzZSBTdXJ2ZXlzLCBjb21iaW5lZCB3aXRoIGRhaWx5IHdlYXRoZXIgZGF0YSBhdCB0aGUgY291bnR5IGxldmVsLCBzcGFubmluZyB0aGUgcGVyaW9kIGZyb20gMjAwMyB0byAyMDIzLiBUaGUgYW5hbHlzaXMgcmV2ZWFscyBzaWduaWZpY2FudCByZWxhdGlvbnNoaXBzIGJldHdlZW4gZGFpbHkgd2VhdGhlciBjb25kaXRpb25zIGFuZCBjb21tdXRpbmcgbW9kZSBjaG9pY2VzLiBTcGVjaWZpY2FsbHksIHJhaW55IGRheXMsIGhpZ2ggdGVtcGVyYXR1cmVzLCBhbmQgZWxldmF0ZWQgc25vd2ZhbGwgYXJlIHBvc2l0aXZlbHkgYXNzb2NpYXRlZCB3aXRoIGFuIGluY3JlYXNlZCBwcm9iYWJpbGl0eSBvZiB1c2luZyBjYXJzIGFzIHRoZSBwcmltYXJ5IGNvbW11dGluZyBtb2RlLiBJbiBjb250cmFzdCwgdGhlc2Ugd2VhdGhlciBjb25kaXRpb25zIGV4aGliaXQgYSBuZWdhdGl2ZSByZWxhdGlvbnNoaXAgd2l0aCBhbHRlcm5hdGl2ZSBtb2RlcyBvZiB0cmFuc3BvcnQsIHN1Y2ggYXMgcHVibGljIHRyYW5zaXQgb3Igd2Fsa2luZy4gRnVydGhlciBmaW5kaW5ncyBzdWdnZXN0IHRoYXQgdGhlc2UgZXN0aW1hdGVzIGFyZSBwcmVkb21pbmFudGx5IGRyaXZlbiBieSBkYXlzIGNoYXJhY3Rlcml6ZWQgYnkgZXh0cmVtZWx5IGhpZ2ggdGVtcGVyYXR1cmVzLCBoZWF2eSBwcmVjaXBpdGF0aW9uLCBhbmQgbGlnaHQgc25vd2ZhbGwuIEZpbmFsbHksIG91ciByZXN1bHRzIHN1Z2dlc3QgYWRhcHRhdGlvbiB0byBoaWdoZXIgdGVtcGVyYXR1cmVzIGluIHdhcm1lciByZWdpb25zLiBUaGVzZSByZXN1bHRzIGFyZSBpbXBvcnRhbnQgZm9yIHRoZSBkZXNpZ24gb2YgcG9saWNpZXMgYWltZWQgYXQgbWl0aWdhdGluZyB0aGUgbW9iaWxpdHkgY29uc2VxdWVuY2VzIG9mIGNsaW1hdGUgY2hhbmdlLiIsInB1Ymxpc2hlciI6IkpvaG4gV2lsZXkgYW5kIFNvbnMgSW5jIiwiaXNzdWUiOiIzIiwidm9sdW1lIjoiNjUifSwiaXNUZW1wb3JhcnkiOmZhbHNlfSx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1dfQ==&quot;,&quot;citationItems&quot;:[{&quot;id&quot;:&quot;99af49df-ff8a-328e-8be5-a8c6c50a957c&quot;,&quot;itemData&quot;:{&quot;type&quot;:&quot;article-journal&quot;,&quot;id&quot;:&quot;99af49df-ff8a-328e-8be5-a8c6c50a957c&quot;,&quot;title&quot;:&quot;Weather Conditions and Daily Commuting&quot;,&quot;author&quot;:[{&quot;family&quot;:&quot;Belloc&quot;,&quot;given&quot;:&quot;Ignacio&quot;,&quot;parse-names&quot;:false,&quot;dropping-particle&quot;:&quot;&quot;,&quot;non-dropping-particle&quot;:&quot;&quot;},{&quot;family&quot;:&quot;Gimenez-Nadal&quot;,&quot;given&quot;:&quot;José Ignacio&quot;,&quot;parse-names&quot;:false,&quot;dropping-particle&quot;:&quot;&quot;,&quot;non-dropping-particle&quot;:&quot;&quot;},{&quot;family&quot;:&quot;Molina&quot;,&quot;given&quot;:&quot;José Alberto&quot;,&quot;parse-names&quot;:false,&quot;dropping-particle&quot;:&quot;&quot;,&quot;non-dropping-particle&quot;:&quot;&quot;}],&quot;container-title&quot;:&quot;Journal of Regional Science&quot;,&quot;container-title-short&quot;:&quot;J. Reg. Sci.&quot;,&quot;accessed&quot;:{&quot;date-parts&quot;:[[2026,6,21]]},&quot;DOI&quot;:&quot;10.1111/jors.12764&quot;,&quot;ISSN&quot;:&quot;14679787&quot;,&quot;URL&quot;:&quot;/doi/pdf/10.1111/jors.12764&quot;,&quot;issued&quot;:{&quot;date-parts&quot;:[[2025,6,1]]},&quot;page&quot;:&quot;818-842&quot;,&quot;abstract&quot;:&quot;Climate change and global warming are severe threats that currently affect the daily lives of the world population. One of the human behaviors that can be most affected by weather conditions is that of personal travel, including commuting, an activity that millions of workers worldwide engage in daily. Within this framework, we analyze the relationships between weather conditions and daily commuting in the US. To that end, we use twenty nationally representative American Time Use Surveys, combined with daily weather data at the county level, spanning the period from 2003 to 2023. The analysis reveals significant relationships between daily weather conditions and commuting mode choices. Specifically, rainy days, high temperatures, and elevated snowfall are positively associated with an increased probability of using cars as the primary commuting mode. In contrast, these weather conditions exhibit a negative relationship with alternative modes of transport, such as public transit or walking. Further findings suggest that these estimates are predominantly driven by days characterized by extremely high temperatures, heavy precipitation, and light snowfall. Finally, our results suggest adaptation to higher temperatures in warmer regions. These results are important for the design of policies aimed at mitigating the mobility consequences of climate change.&quot;,&quot;publisher&quot;:&quot;John Wiley and Sons Inc&quot;,&quot;issue&quot;:&quot;3&quot;,&quot;volume&quot;:&quot;65&quot;},&quot;isTemporary&quot;:false},{&quot;id&quot;:&quot;076b83c9-641e-32c4-abc5-3e51d0a29e80&quot;,&quot;itemData&quot;:{&quot;type&quot;:&quot;article-journal&quot;,&quot;id&quot;:&quot;076b83c9-641e-32c4-abc5-3e51d0a29e80&quot;,&quot;title&quot;:&quot;Commuting by Bicycle: An Overview of the Literature&quot;,&quot;author&quot;:[{&quot;family&quot;:&quot;Heinen&quot;,&quot;given&quot;:&quot;Eva&quot;,&quot;parse-names&quot;:false,&quot;dropping-particle&quot;:&quot;&quot;,&quot;non-dropping-particle&quot;:&quot;&quot;},{&quot;family&quot;:&quot;Wee&quot;,&quot;given&quot;:&quot;Bert&quot;,&quot;parse-names&quot;:false,&quot;dropping-particle&quot;:&quot;&quot;,&quot;non-dropping-particle&quot;:&quot;van&quot;},{&quot;family&quot;:&quot;Maat&quot;,&quot;given&quot;:&quot;Kees&quot;,&quot;parse-names&quot;:false,&quot;dropping-particle&quot;:&quot;&quot;,&quot;non-dropping-particle&quot;:&quot;&quot;}],&quot;container-title&quot;:&quot;Transport Reviews&quot;,&quot;container-title-short&quot;:&quot;Transp. Rev.&quot;,&quot;accessed&quot;:{&quot;date-parts&quot;:[[2026,4,22]]},&quot;DOI&quot;:&quot;10.1080/01441640903187001&quot;,&quot;ISSN&quot;:&quot;01441647&quot;,&quot;URL&quot;:&quot;https://scholar.google.com/scholar_url?url=https://www.tandfonline.com/doi/pdf/10.1080/01441640903187001%3Fcasa_token%3Ds5Vke43CByAAAAAA:8Zzmfne7Z1RsAGIFIhUL-KjXHrxZpnYtkpuJeNIxwvKXkzT07CL5EDytAde-zKXPYfuWg4Ef3JTf&amp;hl=en&amp;sa=T&amp;oi=ucasa&amp;ct=ucasa&amp;ei=Q8Ppab32AdXXieoPjom1oQ0&amp;scisig=ADi0EEWnyboaMhXR9v1v5HYNbPCp&quot;,&quot;issued&quot;:{&quot;date-parts&quot;:[[2010,1]]},&quot;page&quot;:&quot;59-96&quot;,&quot;abstract&quot;:&quot;For society and for the individual, cycling presents a number of interesting advantages over other modes of transport. Individuals benefit from the fact that cycling is a healthy and cheap form of ...&quot;,&quot;publisher&quot;:&quot;Routledge&quot;,&quot;issue&quot;:&quot;1&quot;,&quot;volume&quot;:&quot;30&quot;},&quot;isTemporary&quot;:false}]},{&quot;citationID&quot;:&quot;MENDELEY_CITATION_61dcde07-f927-4ab3-b671-c7f6e85956a9&quot;,&quot;properties&quot;:{&quot;noteIndex&quot;:0},&quot;isEdited&quot;:false,&quot;manualOverride&quot;:{&quot;isManuallyOverridden&quot;:true,&quot;citeprocText&quot;:&quot;(Böcker &amp;#38; Thorsson, 2014; Nosal &amp;#38; Miranda-Moreno, 2014)&quot;,&quot;manualOverrideText&quot;:&quot;(Nosal and Miranda-Moreno, 2014; Böcker and Thorsson, 2014)&quot;},&quot;citationTag&quot;:&quot;MENDELEY_CITATION_v3_eyJjaXRhdGlvbklEIjoiTUVOREVMRVlfQ0lUQVRJT05fNjFkY2RlMDctZjkyNy00YWIzLWI2NzEtYzdmNmU4NTk1NmE5IiwicHJvcGVydGllcyI6eyJub3RlSW5kZXgiOjB9LCJpc0VkaXRlZCI6ZmFsc2UsIm1hbnVhbE92ZXJyaWRlIjp7ImlzTWFudWFsbHlPdmVycmlkZGVuIjp0cnVlLCJjaXRlcHJvY1RleHQiOiIoQsO2Y2tlciAmIzM4OyBUaG9yc3NvbiwgMjAxNDsgTm9zYWwgJiMzODsgTWlyYW5kYS1Nb3Jlbm8sIDIwMTQpIiwibWFudWFsT3ZlcnJpZGVUZXh0IjoiKE5vc2FsIGFuZCBNaXJhbmRhLU1vcmVubywgMjAxNDsgQsO2Y2tlciBhbmQgVGhvcnNzb24sIDIwMTQpIn0sImNpdGF0aW9uSXRlbXMiOlt7ImlkIjoiMWZlMzYxM2YtMDFhZS0zYmEwLTlhZDMtZDM0NGRiMDMxMTdiIiwiaXRlbURhdGEiOnsidHlwZSI6ImFydGljbGUtam91cm5hbCIsImlkIjoiMWZlMzYxM2YtMDFhZS0zYmEwLTlhZDMtZDM0NGRiMDMxMTdiIiwidGl0bGUiOiJJbnRlZ3JhdGVkIHdlYXRoZXIgZWZmZWN0cyBvbiBjeWNsaW5nIHNoYXJlcywgZnJlcXVlbmNpZXMsIGFuZCBkdXJhdGlvbnMgaW4gUm90dGVyZGFtLCB0aGUgTmV0aGVybGFuZHMiLCJhdXRob3IiOlt7ImZhbWlseSI6IkLDtmNrZXIiLCJnaXZlbiI6IkxhcnMiLCJwYXJzZS1uYW1lcyI6ZmFsc2UsImRyb3BwaW5nLXBhcnRpY2xlIjoiIiwibm9uLWRyb3BwaW5nLXBhcnRpY2xlIjoiIn0seyJmYW1pbHkiOiJUaG9yc3NvbiIsImdpdmVuIjoiU29maWEiLCJwYXJzZS1uYW1lcyI6ZmFsc2UsImRyb3BwaW5nLXBhcnRpY2xlIjoiIiwibm9uLWRyb3BwaW5nLXBhcnRpY2xlIjoiIn1dLCJjb250YWluZXItdGl0bGUiOiJXZWF0aGVyLCBDbGltYXRlLCBhbmQgU29jaWV0eSIsIkRPSSI6IjEwLjExNzUvV0NBUy1ELTEzLTAwMDY2LjEiLCJJU1NOIjoiMTk0ODgzMzUiLCJpc3N1ZWQiOnsiZGF0ZS1wYXJ0cyI6W1syMDE0LDEwLDFdXX0sInBhZ2UiOiI0NjgtNDgxIiwiYWJzdHJhY3QiOiJXaXRoIHRoZSBpbmNyZWFzaW5nIHNvY2lldGFsIGludGVyZXN0IGluIGNsaW1hdGUgY2hhbmdlLCBoZWFsdGgsIGFjY2Vzc2liaWxpdHksIGFuZCBsaXZlYWJpbGl0eSBhbmQgc3Vic2VxdWVudCBwb2xpY3kgYWltcyB0byBwcm9tb3RlIGFjdGl2ZSB0cmFuc3BvcnQgbW9kZXMgb3ZlciBjYXIgdXNhZ2UsIG1hbnkgc2Nob2xhcnMgaGF2ZSBpbnZlc3RpZ2F0ZWQgdGhlIHJlbGF0aW9uc2hpcCBiZXR3ZWVuIHdlYXRoZXIgYW5kIGN5Y2xpbmcuIEV4aXN0aW5nIHN0dWRpZXMsIGhvd2V2ZXIsIGhhcmRseSBhZGRyZXNzIHRoZSBlZmZlY3RzIG9mIHdlYXRoZXIgb24gY3ljbGluZyBkdXJhdGlvbnMgYW5kIG9mdGVuIGxhY2sgYXNzZXNzbWVudHMgb2YgdGhlIGNvbWJpbmVkIGVmZmVjdHMgb2YgZGlmZmVyZW50IG1ldGVvcm9sb2dpY2FsIHZhcmlhYmxlcyBhbmQgcG90ZW50aWFsIG5vbmxpbmVhcml0eSBvZiB0aGVzZSBlZmZlY3RzLiBEcmF3aW5nIG9uIHRyYXZlbCBkaWFyeSBkYXRhIGZyb20gYSBwYW5lbCBzdHVkeSBvZiA5NDUgR3JlYXRlciBSb3R0ZXJkYW0gcmVzcG9uZGVudHMgKHRoZSBOZXRoZXJsYW5kcyksIHRoaXMgcGFwZXIgaW52ZXN0aWdhdGVzIGFuZCBjb21wYXJlcyB0aGUgZWZmZWN0cyBvZiBkaWZmZXJlbnQgbWV0ZW9yb2xvZ2ljYWwgdmFyaWFibGVzLCBzaW5nbHkgYXN3ZWxsIGFzIGNvbWJpbmVkLCBvbiBjeWNsaW5nIGZyZXF1ZW5jaWVzLCBjeWNsaW5nIGR1cmF0aW9ucywgYW5kIHRoZSBleGNoYW5nZSBiZXR3ZWVuIGN5Y2xpbmcgYW5kIG90aGVyIHRyYW5zcG9ydCBtb2Rlcy4gUmVzdWx0cyBzaG93IGxpbmVhciBuZWdhdGl2ZSBlZmZlY3RzIG9mIHByZWNpcGl0YXRpb24gc3VtIGFuZCB3aW5kIHNwZWVkIGFuZCBub25saW5lYXIgYmVsbC1zaGFwZWQgZWZmZWN0cyBvZiB0aGVybWFsIHZhcmlhYmxlcyBvbiBjeWNsaW5nIGFuZCBvcHBvc2l0ZSBlZmZlY3RzIG9uIGNhciB1c2FnZS4gT3V0IG9mIHRocmVlIHRoZXJtYWwgdmFyaWFibGVzIGludmVzdGlnYXRlZCxtZWFuIHJhZGlhbnQgdGVtcGVyYXR1cmUgKHJhZGlhbnQgaGVhdCBleGNoYW5nZSBiZXR3ZWVuIGh1bWFucyBhbmQgdGhlIGVudmlyb25tZW50KSBhbmQgcGh5c2lvbG9naWNhbCBlcXVpdmFsZW50IHRlbXBlcmF0dXJlIChhbiBpbmRleCBjb21iaW5pbmcgdGhlIGVmZmVjdHMgb2YgYWlyIHRlbXBlcmF0dXJlLCBtZWFuIHJhZGlhbnQgdGVtcGVyYXR1cmUsIGFpciBodW1pZGl0eSwgYW5kIHdpbmQgc3BlZWQpIGJldHRlciBleHBsYWluIGN5Y2xpbmcgYmVoYXZpb3IgdGhhbiBqdXN0IGFpciB0ZW1wZXJhdHVyZS4gT3B0aW11bSB0aGVybWFsIGNvbmRpdGlvbnMgZm9yIGN5Y2xpbmcgd2VyZSBmb3VuZCBvbiBkYXlzIHdpdGggbWF4aW11bSBhaXIgdGVtcGVyYXR1cmVzIGFyb3VuZCAyNMKwQywgbWVhbiByYWRpYW50IHRlbXBlcmF0dXJlcyBhcm91bmQgNTLCsEMsIGFuZCBwaHlzaW9sb2dpY2FsIGVxdWl2YWxlbnQgdGVtcGVyYXR1cmVzIGFyb3VuZCAzMMKwQy4gUG9saWN5IGFuZCBwbGFubmluZyBpbXBsaWNhdGlvbnMgYXJlIGhpZ2hsaWdodGVkIHRoYXQgY291bGQgcmVkdWNlIGN5Y2xpc3RzJyBleHBvc3VyZXMgdG8gZGlzYWR2YW50YWdlb3VzIHdlYXRoZXIgY29uZGl0aW9ucyBzdWNoIGFzIGhlYXQsIHByZWNpcGl0YXRpb24sIGFuZCB3aW5kLCBhdCBwcmVzZW50IGFuZCBpbiBhIHBvdGVudGlhbGx5IGNoYW5naW5nIGNsaW1hdGUuIiwicHVibGlzaGVyIjoiQW1lcmljYW4gTWV0ZW9yb2xvZ2ljYWwgU29jaWV0eSIsImlzc3VlIjoiNCIsInZvbHVtZSI6IjYiLCJjb250YWluZXItdGl0bGUtc2hvcnQiOiIifSwiaXNUZW1wb3JhcnkiOmZhbHNlfSx7ImlkIjoiMjc1ZDUxODgtNTg5Yy0zNTIxLWE5MGMtMjJkZWM4NmU3NDM0IiwiaXRlbURhdGEiOnsidHlwZSI6ImFydGljbGUtam91cm5hbCIsImlkIjoiMjc1ZDUxODgtNTg5Yy0zNTIxLWE5MGMtMjJkZWM4NmU3NDM0IiwidGl0bGUiOiJUaGUgZWZmZWN0IG9mIHdlYXRoZXIgb24gdGhlIHVzZSBvZiBOb3J0aCBBbWVyaWNhbiBiaWN5Y2xlIGZhY2lsaXRpZXM6IEEgbXVsdGktY2l0eSBhbmFseXNpcyB1c2luZyBhdXRvbWF0aWMgY291bnRzIiwiYXV0aG9yIjpbeyJmYW1pbHkiOiJOb3NhbCIsImdpdmVuIjoiVGhvbWFzIiwicGFyc2UtbmFtZXMiOmZhbHNlLCJkcm9wcGluZy1wYXJ0aWNsZSI6IiIsIm5vbi1kcm9wcGluZy1wYXJ0aWNsZSI6IiJ9LHsiZmFtaWx5IjoiTWlyYW5kYS1Nb3Jlbm8iLCJnaXZlbiI6Ikx1aXMgRi4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TQuMDQuMDEyIiwiSVNTTiI6IjA5NjU4NTY0IiwiaXNzdWVkIjp7ImRhdGUtcGFydHMiOltbMjAxNCw4XV19LCJwYWdlIjoiMjEzLTIyNSIsImFic3RyYWN0IjoiVGhpcyBzdHVkeSBpbnZlc3RpZ2F0ZXMgdGhlIGltcGFjdCBvZiB3ZWF0aGVyIG9uIHRoZSB1c2Ugb2YgdXJiYW4gYmljeWNsZSBmYWNpbGl0aWVzIGluIE1vbnRyZWFsLCBPdHRhd2EsIFZhbmNvdXZlciBhbmQgUG9ydGxhbmQsIGFzIHdlbGwgYXMgb24gdGhlIEdyZWVuIFJvdXRlIGluIFF1ZWJlYy4gVGhpcyByZXNlYXJjaCBtYWtlcyB1c2Ugb2YgbG9uZy10ZXJtIGhvdXJseSBhbmQgZGFpbHkgY291bnRzIGNvbGxlY3RlZCBhdXRvbWF0aWNhbGx5IHVzaW5nIGluZHVjdGl2ZSBsb29wIGRldGVjdG9ycy4gVGhlIGNvdW50IGRhdGEgbG9jYXRpb25zIGFyZSBvcmdhbml6ZWQgaW50byB0d28gZ3JvdXBzIC0gdXRpbGl0YXJpYW4gYW5kIHJlY3JlYXRpb25hbC4gVXNpbmcgcmVncmVzc2lvbiBtb2RlbHMgd2l0aCBhdXRvcmVncmVzc2l2ZSBhbmQgbW92aW5nIGF2ZXJhZ2UgKEFSTUEpIGVycm9ycywgdGhlIGRpcmVjdCBpbXBhY3QgYW5kIGxhZ2dlZCBlZmZlY3RzIG9mIHdlYXRoZXIgdmFyaWFibGVzIG9uIGhvdXJseSBhbmQgZGFpbHkgYmljeWNsZSBjb3VudHMgYXJlIGludmVzdGlnYXRlZC4gQW1vbmcgdGhlIG1haW4gZmluZGluZ3MsIHRlbXBlcmF0dXJlIGFuZCBodW1pZGl0eSBhcmUgcG9zaXRpdmVseSBhbmQgbmVnYXRpdmVseSBhc3NvY2lhdGVkIHdpdGggY3ljbGluZywgcmVzcGVjdGl2ZWx5LCB3aXRoIGEgbm9uLWxpbmVhciBhc3NvY2lhdGlvbiBpbiBtb3N0IGNhc2VzLiBQcmVjaXBpdGF0aW9uIGhhcyBhIHNpZ25pZmljYW50IG5lZ2F0aXZlIGltcGFjdCBvbiBjeWNsaW5nIGZsb3dzLCBhbmQgaXRzIGVmZmVjdCB3YXMgb2JzZXJ2ZWQgdG8gaW5jcmVhc2Ugd2l0aCByYWluIGludGVuc2l0eS4gTGFnZ2VkIGVmZmVjdHMgb2YgcmFpbiB3ZXJlIGFsc28gb2JzZXJ2ZWQsIHN1Y2ggYXMgdGhlIGVmZmVjdCBvZiByYWluIGluIHRoZSBwcmV2aW91cyB0aHJlZSBob3VycywgcmFpbiBpbiB0aGUgbW9ybmluZyBvbmx5LCBhbmQgcmFpbiBpbiB0aGUgYWZ0ZXJub29uIG9ubHkuIEZ1cnRoZXJtb3JlLCB1cmJhbiBiaWN5Y2xlIGZsb3dzIGFyZSBtb3JlIHNlbnNpdGl2ZSB0byB3ZWF0aGVyIG9uIHdlZWtlbmRzIHRoYW4gb24gd2Vla2RheXMsIGFuZCByZWNyZWF0aW9uYWwgZmFjaWxpdGllcyBhcmUgbW9yZSBzZW5zaXRpdmUgdGhhbiB1dGlsaXRhcmlhbiBmYWNpbGl0aWVzLiDCqSAyMDE0IEVsc2V2aWVyIEx0ZC4iLCJwdWJsaXNoZXIiOiJFbHNldmllciBMdGQiLCJpc3N1ZSI6IjEiLCJ2b2x1bWUiOiI2NiJ9LCJpc1RlbXBvcmFyeSI6ZmFsc2V9XX0=&quot;,&quot;citationItems&quot;:[{&quot;id&quot;:&quot;1fe3613f-01ae-3ba0-9ad3-d344db03117b&quot;,&quot;itemData&quot;:{&quot;type&quot;:&quot;article-journal&quot;,&quot;id&quot;:&quot;1fe3613f-01ae-3ba0-9ad3-d344db03117b&quot;,&quot;title&quot;:&quot;Integrated weather effects on cycling shares, frequencies, and durations in Rotterdam, the Netherlands&quot;,&quot;author&quot;:[{&quot;family&quot;:&quot;Böcker&quot;,&quot;given&quot;:&quot;Lars&quot;,&quot;parse-names&quot;:false,&quot;dropping-particle&quot;:&quot;&quot;,&quot;non-dropping-particle&quot;:&quot;&quot;},{&quot;family&quot;:&quot;Thorsson&quot;,&quot;given&quot;:&quot;Sofia&quot;,&quot;parse-names&quot;:false,&quot;dropping-particle&quot;:&quot;&quot;,&quot;non-dropping-particle&quot;:&quot;&quot;}],&quot;container-title&quot;:&quot;Weather, Climate, and Society&quot;,&quot;DOI&quot;:&quot;10.1175/WCAS-D-13-00066.1&quot;,&quot;ISSN&quot;:&quot;19488335&quot;,&quot;issued&quot;:{&quot;date-parts&quot;:[[2014,10,1]]},&quot;page&quot;:&quot;468-481&quot;,&quot;abstract&quot;:&quot;With the increasing societal interest in climate change, health, accessibility, and liveability and subsequent policy aims to promote active transport modes over car usage, many scholars have investigated the relationship between weather and cycling. Existing studies, however, hardly address the effects of weather on cycling durations and often lack assessments of the combined effects of different meteorological variables and potential nonlinearity of these effects. Drawing on travel diary data from a panel study of 945 Greater Rotterdam respondents (the Netherlands), this paper investigates and compares the effects of different meteorological variables, singly aswell as combined, on cycling frequencies, cycling durations, and the exchange between cycling and other transport modes. Results show linear negative effects of precipitation sum and wind speed and nonlinear bell-shaped effects of thermal variables on cycling and opposite effects on car usage. Out of three thermal variables investigated,mean radiant temperature (radiant heat exchange between humans and the environment) and physiological equivalent temperature (an index combining the effects of air temperature, mean radiant temperature, air humidity, and wind speed) better explain cycling behavior than just air temperature. Optimum thermal conditions for cycling were found on days with maximum air temperatures around 24°C, mean radiant temperatures around 52°C, and physiological equivalent temperatures around 30°C. Policy and planning implications are highlighted that could reduce cyclists' exposures to disadvantageous weather conditions such as heat, precipitation, and wind, at present and in a potentially changing climate.&quot;,&quot;publisher&quot;:&quot;American Meteorological Society&quot;,&quot;issue&quot;:&quot;4&quot;,&quot;volume&quot;:&quot;6&quot;,&quot;container-title-short&quot;:&quot;&quot;},&quot;isTemporary&quot;:false},{&quot;id&quot;:&quot;275d5188-589c-3521-a90c-22dec86e7434&quot;,&quot;itemData&quot;:{&quot;type&quot;:&quot;article-journal&quot;,&quot;id&quot;:&quot;275d5188-589c-3521-a90c-22dec86e7434&quot;,&quot;title&quot;:&quot;The effect of weather on the use of North American bicycle facilities: A multi-city analysis using automatic counts&quot;,&quot;author&quot;:[{&quot;family&quot;:&quot;Nosal&quot;,&quot;given&quot;:&quot;Thomas&quot;,&quot;parse-names&quot;:false,&quot;dropping-particle&quot;:&quot;&quot;,&quot;non-dropping-particle&quot;:&quot;&quot;},{&quot;family&quot;:&quot;Miranda-Moreno&quot;,&quot;given&quot;:&quot;Luis F.&quot;,&quot;parse-names&quot;:false,&quot;dropping-particle&quot;:&quot;&quot;,&quot;non-dropping-particle&quot;:&quot;&quot;}],&quot;container-title&quot;:&quot;Transportation Research Part A: Policy and Practice&quot;,&quot;container-title-short&quot;:&quot;Transp. Res. Part A Policy Pract.&quot;,&quot;DOI&quot;:&quot;10.1016/j.tra.2014.04.012&quot;,&quot;ISSN&quot;:&quot;09658564&quot;,&quot;issued&quot;:{&quot;date-parts&quot;:[[2014,8]]},&quot;page&quot;:&quot;213-225&quot;,&quot;abstract&quot;:&quot;This study investigates the impact of weather on the use of urban bicycle facilities in Montreal, Ottawa, Vancouver and Portland, as well as on the Green Route in Quebec. This research makes use of long-term hourly and daily counts collected automatically using inductive loop detectors. The count data locations are organized into two groups - utilitarian and recreational. Using regression models with autoregressive and moving average (ARMA) errors, the direct impact and lagged effects of weather variables on hourly and daily bicycle counts are investigated. Among the main findings, temperature and humidity are positively and negatively associated with cycling, respectively, with a non-linear association in most cases. Precipitation has a significant negative impact on cycling flows, and its effect was observed to increase with rain intensity. Lagged effects of rain were also observed, such as the effect of rain in the previous three hours, rain in the morning only, and rain in the afternoon only. Furthermore, urban bicycle flows are more sensitive to weather on weekends than on weekdays, and recreational facilities are more sensitive than utilitarian facilities. © 2014 Elsevier Ltd.&quot;,&quot;publisher&quot;:&quot;Elsevier Ltd&quot;,&quot;issue&quot;:&quot;1&quot;,&quot;volume&quot;:&quot;66&quot;},&quot;isTemporary&quot;:false}]},{&quot;citationID&quot;:&quot;MENDELEY_CITATION_4238db92-d736-4a4f-8387-87e3e4ce08f1&quot;,&quot;properties&quot;:{&quot;noteIndex&quot;:0},&quot;isEdited&quot;:false,&quot;manualOverride&quot;:{&quot;isManuallyOverridden&quot;:true,&quot;citeprocText&quot;:&quot;(Habib et al., 2021; McGuckin et al., 2005; McGuckin &amp;#38; Murakami, 1999)&quot;,&quot;manualOverrideText&quot;:&quot;(McGuckin and Murakami, 1999; McGuckin et al., 2005; Habib et al., 2021)&quot;},&quot;citationTag&quot;:&quot;MENDELEY_CITATION_v3_eyJjaXRhdGlvbklEIjoiTUVOREVMRVlfQ0lUQVRJT05fNDIzOGRiOTItZDczNi00YTRmLTgzODctODdlM2U0Y2UwOGYxIiwicHJvcGVydGllcyI6eyJub3RlSW5kZXgiOjB9LCJpc0VkaXRlZCI6ZmFsc2UsIm1hbnVhbE92ZXJyaWRlIjp7ImlzTWFudWFsbHlPdmVycmlkZGVuIjp0cnVlLCJjaXRlcHJvY1RleHQiOiIoSGFiaWIgZXQgYWwuLCAyMDIxOyBNY0d1Y2tpbiBldCBhbC4sIDIwMDU7IE1jR3Vja2luICYjMzg7IE11cmFrYW1pLCAxOTk5KSIsIm1hbnVhbE92ZXJyaWRlVGV4dCI6IihNY0d1Y2tpbiBhbmQgTXVyYWthbWksIDE5OTk7IE1jR3Vja2luIGV0IGFsLiwgMjAwNTsgSGFiaWIgZXQgYWwuLCAyMDIxKSJ9LCJjaXRhdGlvbkl0ZW1zIjpbeyJpZCI6IjhjMDRjNWE0LTYwOGUtMzE2ZC04YjQxLTY5MmZiM2ViMmQ1OSIsIml0ZW1EYXRhIjp7InR5cGUiOiJhcnRpY2xlLWpvdXJuYWwiLCJpZCI6IjhjMDRjNWE0LTYwOGUtMzE2ZC04YjQxLTY5MmZiM2ViMmQ1OSIsInRpdGxlIjoiRXhwbG9yaW5nIHRyYXZlbCBiZWhhdmlvciBvZiBob3VzZWhvbGRzIHdpdGggcHJlLXNjaG9vbCBhZ2VkIGNoaWxkcmVuIiwiYXV0aG9yIjpbeyJmYW1pbHkiOiJIYWJpYiIsImdpdmVuIjoiTXVoYW1tYWQgQWhzYW51bCIsInBhcnNlLW5hbWVzIjpmYWxzZSwiZHJvcHBpbmctcGFydGljbGUiOiIiLCJub24tZHJvcHBpbmctcGFydGljbGUiOiIifSx7ImZhbWlseSI6IkFuaWsiLCJnaXZlbiI6Ik1kIEFzaWYgSGFzYW4iLCJwYXJzZS1uYW1lcyI6ZmFsc2UsImRyb3BwaW5nLXBhcnRpY2xlIjoiIiwibm9uLWRyb3BwaW5nLXBhcnRpY2xlIjoiIn0seyJmYW1pbHkiOiJSb2JlcnRzb24iLCJnaXZlbiI6IkNhcm9saW5lIiwicGFyc2UtbmFtZXMiOmZhbHNlLCJkcm9wcGluZy1wYXJ0aWNsZSI6IiIsIm5vbi1kcm9wcGluZy1wYXJ0aWNsZSI6IiJ9XSwiY29udGFpbmVyLXRpdGxlIjoiVHJhbnNwb3J0YXRpb24gUmVzZWFyY2ggUmVjb3JkIiwiY29udGFpbmVyLXRpdGxlLXNob3J0IjoiVHJhbnNwLiBSZXMuIFJlYy4iLCJET0kiOiIxMC4xMTc3LzAzNjExOTgxMjA5ODgwMDYiLCJJU1NOIjoiMjE2OTQwNTIiLCJpc3N1ZWQiOnsiZGF0ZS1wYXJ0cyI6W1syMDIxXV19LCJwYWdlIjoiMzE0LTMyOCIsImFic3RyYWN0IjoiQ2hpbGQtY2FyZSBjZW50ZXJzIGFyZSBtYWpvciB0cmlwIGdlbmVyYXRvcnMgZm9yIGhvdXNlaG9sZHMgd2l0aCBwcmUtc2Nob29sIGFnZWQgY2hpbGRyZW4gKFxcIDUgeWVhcnMpLiBUaGlzIHBhcGVyIHByZXNlbnRzIGEgZnJhbWV3b3JrIHRvIGFuYWx5emUgdGhlIGZhY3RvcnMgYWZmZWN0aW5nIGRhaWx5IHRyYXZlbCBjaG9pY2VzIGFuZCBjaGFsbGVuZ2VzIG9mIGNoaWxkLWNhcmUgZ29pbmcgaG91c2Vob2xkcy4gVGhyb3VnaCByaWdvcm91cyBsaXRlcmF0dXJlIHJldmlldywgdGhpcyBzdHVkeSBmaXJzdCBpZGVudGlmaWVzIGltcG9ydGFudCB2YXJpYWJsZXMgYWZmZWN0aW5nIG1vZGUgY2hvaWNlLCBjaGlsZC1jYXJlIGNlbnRlciBjaG9pY2UsIHRyYW5zaXQgdXNlLCBhbmQgaW50ZW50aW9uIHRvIGRyaXZlLiBOZXh0LCBpdCBkZXZlbG9wcyBhbmQgZGlzdHJpYnV0ZXMgYW4gb25saW5lIHN1cnZleSBxdWVzdGlvbm5haXJlIHRvIHRoZSByZWdpc3RlcmVkIGNoaWxkLWNhcmUgY2VudGVycyBpbiBIYWxpZmF4IFJlZ2lvbmFsIE11bmljaXBhbGl0eSwgQ2FuYWRhLCB0byBnZXQgZGF0YSBvbiBpbmRpdmlkdWFsIGhvdXNlaG9sZHPigJkgdHJhdmVsIGNob2ljZXMsIGNoYWxsZW5nZXMsIGZhY3RvcnMgYWZmZWN0aW5nIHRob3NlIGNob2ljZXMsIGFuZCBpbXBvcnRhbmNlIGxldmVsIG9mIHRob3NlIGZhY3RvcnMsIGFzIHdlbGwgYXMgc29jaW8tZGVtb2dyYXBoaWMgaW5mb3JtYXRpb24uIFRoZSBzdHVkeSBjb2xsZWN0cyBkYXRhIGZyb20gb3ZlciAyMDAgaG91c2Vob2xkcywgd2hpY2ggaXMgdGhlbiBhbmFseXplZCB1c2luZyBzdHJ1Y3R1cmFsIGVxdWF0aW9uIG1vZGVsaW5nIHRvIGV4YW1pbmUgdGhlIGVmZmVjdHMgb2YgdGhlIGlkZW50aWZpZWQgZmFjdG9ycyBzdWNoIGFzIHNhZmV0eSwgY29zdCwgZGlzdGFuY2UsIGxvY2F0aW9uLCBhZmZvcmRhYmlsaXR5LCBhbmQgY29udmVuaWVuY2Ugb24gZGF5LXRvLWRheSBjaGlsZC1jYXJlIHRyaXAgZGVjaXNpb25zLiBUaGUgZmluZGluZ3Mgc3VnZ2VzdCB0aGF0IG1vc3Qgb2YgdGhlIGZhbWlsaWVzICg3MyUpIHJlbHkgb24gcHJpdmF0ZSB2ZWhpY2xlcyB0byBtYWtlIGNoaWxkLWNhcmUgdHJpcHMgYXMgYSByZXN1bHQgb2YgZmFtaWx5IHRpbWUsIHRyYXZlbCBmcmVlZG9tLCBhbmQgcGFya2luZyBhdmFpbGFiaWxpdHkuIE90aGVyIHZhcmlhYmxlcyB0aGF0IG1vdGl2YXRlIHRoZW0gdG8gZHJpdmUgYXJlIHRyYXZlbCBzYWZldHksIGNvbnZlbmllbmNlLCBhbmQgb3Bwb3J0dW5pdHkgdG8gZG8gdHJpcCBjaGFpbmluZy4gUmVzdWx0cyBzaG93IHRoYXQgNTclIG9mIHRoZSBob3VzZWhvbGRzIGdyb3VwIHRoZWlyIGNoaWxkLWNhcmUgdHJpcCB3aXRoIGEgd29yayB0cmlwLiBEaXN0YW5jZSB0byBuZWFyZXN0IGJ1cyBzdG9wLCBjYXJyeWluZyBjaGlsZCBiZWxvbmdpbmdzLCBhbmQgbGVuZ3RoIG9mIHRyaXAgdG8gY2hpbGQtY2FyZSBhcmUgY29uc2lkZXJlZCBtYWpvciBiYXJyaWVycyBmb3IgdHJhbnNpdCB1c2UuIFRoZSByZXN1bHRzIG9mIHRoaXMgc3R1ZHkgYXJlIGV4cGVjdGVkIHRvIGFzc2lzdCBwb2xpY3kgbWFrZXJzIHRvIHVuZGVyc3RhbmQgdHJhdmVsIHBhdHRlcm5zIGFuZCBiYXJyaWVycyBvZiBob3VzZWhvbGRzIHdpdGggcHJlLXNjaG9vbCBhZ2VkIGNoaWxkcmVuIGFuZCBoZWxwIGluIGRlc2lnbmluZyBjb21tdW5pdGllcyB0byBwcm9tb3RlIHN1c3RhaW5hYmxlIHRyYXZlbCBiZWhhdmlvci4iLCJwdWJsaXNoZXIiOiJTQUdFIFB1YmxpY2F0aW9ucyBMdGQiLCJpc3N1ZSI6IjUiLCJ2b2x1bWUiOiIyNjc1In0sImlzVGVtcG9yYXJ5IjpmYWxzZX0seyJpZCI6ImMyYTZmMzViLTczYTktM2I3Zi1iN2NjLWFjNjk2NzRjM2U3MCIsIml0ZW1EYXRhIjp7InR5cGUiOiJhcnRpY2xlLWpvdXJuYWwiLCJpZCI6ImMyYTZmMzViLTczYTktM2I3Zi1iN2NjLWFjNjk2NzRjM2U3MCIsInRpdGxlIjoiVHJpcC1DaGFpbmluZyBUcmVuZHMgaW4gdGhlIFVuaXRlZCBTdGF0ZXM6IFVuZGVyc3RhbmRpbmcgVHJhdmVsIEJlaGF2aW9yIGZvciBQb2xpY3kgTWFraW5nIiwiYXV0aG9yIjpbeyJmYW1pbHkiOiJNY0d1Y2tpbiIsImdpdmVuIjoiTmFuY3kiLCJwYXJzZS1uYW1lcyI6ZmFsc2UsImRyb3BwaW5nLXBhcnRpY2xlIjoiIiwibm9uLWRyb3BwaW5nLXBhcnRpY2xlIjoiIn0seyJmYW1pbHkiOiJabXVkIiwiZ2l2ZW4iOiJKb2hhbm5hIiwicGFyc2UtbmFtZXMiOmZhbHNlLCJkcm9wcGluZy1wYXJ0aWNsZSI6IiIsIm5vbi1kcm9wcGluZy1wYXJ0aWNsZSI6IiJ9LHsiZmFtaWx5IjoiTmFrYW1vdG8iLCJnaXZlbiI6Ill1a2lrbyIsInBhcnNlLW5hbWVzIjpmYWxzZSwiZHJvcHBpbmctcGFydGljbGUiOiIiLCJub24tZHJvcHBpbmctcGFydGljbGUiOiIifV0sImNvbnRhaW5lci10aXRsZSI6IlRyYW5zcG9ydGF0aW9uIFJlc2VhcmNoIFJlY29yZCIsImNvbnRhaW5lci10aXRsZS1zaG9ydCI6IlRyYW5zcC4gUmVzLiBSZWMuIiwiYWNjZXNzZWQiOnsiZGF0ZS1wYXJ0cyI6W1syMDI2LDUsMTldXX0sIkRPSSI6IjEwLjExNzcvMDM2MTE5ODEwNTE5MTcwMDEyMiIsIklTU04iOiIwMzYxLTE5ODEiLCJVUkwiOiIvZG9pL3BkZi8xMC4xMTc3LzAzNjExOTgxMDUxOTE3MDAxMjI/ZG93bmxvYWQ9dHJ1ZSIsImlzc3VlZCI6eyJkYXRlLXBhcnRzIjpbWzIwMDUsMV1dfSwicGFnZSI6IjE5OS0yMDQiLCJhYnN0cmFjdCI6IlRoaXMgcGFwZXIgdXNlcyBkYXRhIGZyb20gdGhlIDE5OTUgTmF0aW9ud2lkZSBQZXJzb25hbCBUcmFuc3BvcnRhdGlvbiBTdXJ2ZXkgYW5kIHRoZSAyMDAxIE5hdGlvbmFsIEhvdXNlaG9sZCBUcmF2ZWwgU3VydmV5IHRvIGV4YW1pbmUgdHJpcC1jaGFpbmluZyB0cmVuZHMgaW4gdGhlIFVuaXRlZCBTdGF0ZXMuIFRoZSByZXNlYXJjaCBmb2N1c2VzLi4uIiwicHVibGlzaGVyIjoiU0FHRSBQdWJsaWNhdGlvbnNTYWdlIENBOiBMb3MgQW5nZWxlcywgQ0EiLCJpc3N1ZSI6IjEiLCJ2b2x1bWUiOiIxOTE3In0sImlzVGVtcG9yYXJ5IjpmYWxzZX0seyJpZCI6ImE4NDUzMmJlLWM5MTYtM2E4MS1iNzQxLTM2ZTMxNzI1MWMzYyIsIml0ZW1EYXRhIjp7InR5cGUiOiJhcnRpY2xlLWpvdXJuYWwiLCJpZCI6ImE4NDUzMmJlLWM5MTYtM2E4MS1iNzQxLTM2ZTMxNzI1MWMzYyIsInRpdGxlIjoiRXhhbWluaW5nIHRyaXAtY2hhaW5pbmcgYmVoYXZpb3I6IENvbXBhcmlzb24gb2YgdHJhdmVsIGJ5IG1lbiBhbmQgd29tZW4iLCJhdXRob3IiOlt7ImZhbWlseSI6Ik1jR3Vja2luIiwiZ2l2ZW4iOiJOYW5jeSIsInBhcnNlLW5hbWVzIjpmYWxzZSwiZHJvcHBpbmctcGFydGljbGUiOiIiLCJub24tZHJvcHBpbmctcGFydGljbGUiOiIifSx7ImZhbWlseSI6Ik11cmFrYW1pIiwiZ2l2ZW4iOiJFbGFpbmUiLCJwYXJzZS1uYW1lcyI6ZmFsc2UsImRyb3BwaW5nLXBhcnRpY2xlIjoiIiwibm9uLWRyb3BwaW5nLXBhcnRpY2xlIjoiIn1dLCJjb250YWluZXItdGl0bGUiOiJUcmFuc3BvcnRhdGlvbiBSZXNlYXJjaCBSZWNvcmQiLCJjb250YWluZXItdGl0bGUtc2hvcnQiOiJUcmFuc3AuIFJlcy4gUmVjLiIsImFjY2Vzc2VkIjp7ImRhdGUtcGFydHMiOltbMjAyNiw1LDE5XV19LCJET0kiOiIxMC4zMTQxLzE2OTMtMTIiLCJJU1NOIjoiMDM2MTE5ODEiLCJVUkwiOiIvZG9pL3BkZi8xMC4zMTQxLzE2OTMtMTI/ZG93bmxvYWQ9dHJ1ZSIsImlzc3VlZCI6eyJkYXRlLXBhcnRzIjpbWzE5OTldXX0sInBhZ2UiOiI3OS04NSIsImFic3RyYWN0IjoiR2VuZGVyIGFuZCBob3VzZWhvbGQgbGlmZSBjeWNsZSB0b2dldGhlciBhZmZlY3QgZGFpbHkgdHJhdmVsIGJlaGF2aW9yLiBBbHRob3VnaCB0aGlzIG1ha2VzIGludHVpdGl2ZSBzZW5zZSwgdHJhbnNwb3J0YXRpb24gcGxhbm5lcnMgYW5kIHBvbGljeSBtYWtlcnMgaGF2ZSBkb25lIGxpdHRsZSB0byB1bmRlcnN0YW5kIHdoYXQgZWZmZWN0IGFuZCBpbXBhY3QgdGhlc2UgZmFjdG9ycyBoYXZlIG9uIGRhaWx5IHRyYW5zcG9ydGF0aW9uIGNob2ljZXMuIFRoZSAxOTk1IE5hdGlvbndpZGUgUGVyc29uYWwgVHJhbnNwb3J0YXRpb24gU3VydmV5IHdhcyB1c2VkIHRvIGV4YW1pbmUgdHJpcC1jaGFpbmluZyBiZWhhdmlvciBvZiBhZHVsdCBtZW4gYW5kIHdvbWVuIHRyYXZlbGluZyBNb25kYXkgdGhyb3VnaCBGcmlkYXkuIFRoZSBkYXRhIHNob3cgdGhhdCB3b21lbiBjb250aW51ZSB0byBtYWtlIG1vcmUgdHJpcHMgdG8gcGVyZm9ybSBob3VzZWhvbGQtc3VzdGFpbmluZyBhY3Rpdml0aWVzIHN1Y2ggYXMgc2hvcHBpbmcgYW5kIGZhbWlseSBlcnJhbmRzIHRvIGEgZ3JlYXRlciBleHRlbnQgdGhhbiBtZW4uIFdvbWVuLCBlc3BlY2lhbGx5IHdpdGggY2hpbGRyZW4gaW4gdGhlIGhvdXNlaG9sZCwgYXJlIG1vcmUgbGlrZWx5IHRvIGNoYWluIHRoZXNlIGhvdXNlaG9sZC1zdXN0YWluaW5nIHRyaXBzIHRvIHRoZSB0cmlwIHRvIGFuZCBmcm9tIHdvcmsuIFdvbWVuJ3MgcGFydGljaXBhdGlvbiBpbiB0aGUgbGFib3IgZm9yY2UgaXMgYXQgYW4gYWxsLXRpbWUgaGlnaCwgYnV0IHdvbWVuJ3MgcGF0dGVybnMgaW4gdHJhdmVsIHRvIHdvcmsgYXJlIGRpZmZlcmVudCBmcm9tIG1lbidzIHBhdHRlcm5zLCBhbmQgdGhleSB2YXJ5IHdpdGggZmFtaWx5IGFuZCBsaWZlLWN5Y2xlIHN0YXR1cy4gVGhlIHR5cGUgYW5kIGxvY2F0aW9uIG9mIGpvYnMgdGhhdCB3b21lbiB0YWtlIGFyZSBsaWtlbHkgYWZmZWN0ZWQgYnkgdGhlaXIgZ3JlYXRlciBob3VzZWhvbGQgYW5kIGZhbWlseSByZXNwb25zaWJpbGl0aWVzLiBUaGUgYmlnZ2VzdCBxdWVzdGlvbiBmb3IgdGhlIGZ1dHVyZSBpcyB3aGV0aGVyIGFuZCBob3cgdGhlIGNoYW5nZXMgaW4gd29tZW4ncyBzdGF0dXMgaW4gdGhlIHdvcmtwbGFjZSwgYW5kIHBlcmhhcHMgdGhlIGNvbmNvbWl0YW50IGNoYW5nZSBpbiB0aGUgaG91c2Vob2xkIGR5bmFtaWNzIGFuZCByZXNwb25zaWJpbGl0aWVzLCB3aWxsIGFmZmVjdCB0cmF2ZWwgYmVoYXZpb3Igb2YgYm90aCBtZW4gYW5kIHdvbWVuLiBUaGVzZSBjaGFuZ2VzIHdpbGwgZGVlcGx5IGFmZmVjdCB0aGUgZGV2ZWxvcG1lbnQgb2YgcHJvZ3JhbXMgcmVsYXRlZCB0byB0cmFuc2l0LCBsYW5kLXVzZSBwbGFubmluZywgd29yayBzY2hlZHVsZXMsIHRlbGVjb21tdXRpbmcsIGFuZCBvdGhlciBwcm9ncmFtcyByZWxhdGVkIHRvIGF1dG9tb2JpbGUgdXNlLiIsInB1Ymxpc2hlciI6Ik5hdGlvbmFsIFJlc2VhcmNoIENvdW5jaWwiLCJpc3N1ZSI6IjE2OTMifSwiaXNUZW1wb3JhcnkiOmZhbHNlfV19&quot;,&quot;citationItems&quot;:[{&quot;id&quot;:&quot;8c04c5a4-608e-316d-8b41-692fb3eb2d59&quot;,&quot;itemData&quot;:{&quot;type&quot;:&quot;article-journal&quot;,&quot;id&quot;:&quot;8c04c5a4-608e-316d-8b41-692fb3eb2d59&quot;,&quot;title&quot;:&quot;Exploring travel behavior of households with pre-school aged children&quot;,&quot;author&quot;:[{&quot;family&quot;:&quot;Habib&quot;,&quot;given&quot;:&quot;Muhammad Ahsanul&quot;,&quot;parse-names&quot;:false,&quot;dropping-particle&quot;:&quot;&quot;,&quot;non-dropping-particle&quot;:&quot;&quot;},{&quot;family&quot;:&quot;Anik&quot;,&quot;given&quot;:&quot;Md Asif Hasan&quot;,&quot;parse-names&quot;:false,&quot;dropping-particle&quot;:&quot;&quot;,&quot;non-dropping-particle&quot;:&quot;&quot;},{&quot;family&quot;:&quot;Robertson&quot;,&quot;given&quot;:&quot;Caroline&quot;,&quot;parse-names&quot;:false,&quot;dropping-particle&quot;:&quot;&quot;,&quot;non-dropping-particle&quot;:&quot;&quot;}],&quot;container-title&quot;:&quot;Transportation Research Record&quot;,&quot;container-title-short&quot;:&quot;Transp. Res. Rec.&quot;,&quot;DOI&quot;:&quot;10.1177/0361198120988006&quot;,&quot;ISSN&quot;:&quot;21694052&quot;,&quot;issued&quot;:{&quot;date-parts&quot;:[[2021]]},&quot;page&quot;:&quot;314-328&quot;,&quot;abstract&quot;:&quot;Child-care centers are major trip generators for households with pre-school aged children (\\ 5 years). This paper presents a framework to analyze the factors affecting daily travel choices and challenges of child-care going households. Through rigorous literature review, this study first identifies important variables affecting mode choice, child-care center choice, transit use, and intention to drive. Next, it develops and distributes an online survey questionnaire to the registered child-care centers in Halifax Regional Municipality, Canada, to get data on individual households’ travel choices, challenges, factors affecting those choices, and importance level of those factors, as well as socio-demographic information. The study collects data from over 200 households, which is then analyzed using structural equation modeling to examine the effects of the identified factors such as safety, cost, distance, location, affordability, and convenience on day-to-day child-care trip decisions. The findings suggest that most of the families (73%) rely on private vehicles to make child-care trips as a result of family time, travel freedom, and parking availability. Other variables that motivate them to drive are travel safety, convenience, and opportunity to do trip chaining. Results show that 57% of the households group their child-care trip with a work trip. Distance to nearest bus stop, carrying child belongings, and length of trip to child-care are considered major barriers for transit use. The results of this study are expected to assist policy makers to understand travel patterns and barriers of households with pre-school aged children and help in designing communities to promote sustainable travel behavior.&quot;,&quot;publisher&quot;:&quot;SAGE Publications Ltd&quot;,&quot;issue&quot;:&quot;5&quot;,&quot;volume&quot;:&quot;2675&quot;},&quot;isTemporary&quot;:false},{&quot;id&quot;:&quot;c2a6f35b-73a9-3b7f-b7cc-ac69674c3e70&quot;,&quot;itemData&quot;:{&quot;type&quot;:&quot;article-journal&quot;,&quot;id&quot;:&quot;c2a6f35b-73a9-3b7f-b7cc-ac69674c3e70&quot;,&quot;title&quot;:&quot;Trip-Chaining Trends in the United States: Understanding Travel Behavior for Policy Making&quot;,&quot;author&quot;:[{&quot;family&quot;:&quot;McGuckin&quot;,&quot;given&quot;:&quot;Nancy&quot;,&quot;parse-names&quot;:false,&quot;dropping-particle&quot;:&quot;&quot;,&quot;non-dropping-particle&quot;:&quot;&quot;},{&quot;family&quot;:&quot;Zmud&quot;,&quot;given&quot;:&quot;Johanna&quot;,&quot;parse-names&quot;:false,&quot;dropping-particle&quot;:&quot;&quot;,&quot;non-dropping-particle&quot;:&quot;&quot;},{&quot;family&quot;:&quot;Nakamoto&quot;,&quot;given&quot;:&quot;Yukiko&quot;,&quot;parse-names&quot;:false,&quot;dropping-particle&quot;:&quot;&quot;,&quot;non-dropping-particle&quot;:&quot;&quot;}],&quot;container-title&quot;:&quot;Transportation Research Record&quot;,&quot;container-title-short&quot;:&quot;Transp. Res. Rec.&quot;,&quot;accessed&quot;:{&quot;date-parts&quot;:[[2026,5,19]]},&quot;DOI&quot;:&quot;10.1177/0361198105191700122&quot;,&quot;ISSN&quot;:&quot;0361-1981&quot;,&quot;URL&quot;:&quot;/doi/pdf/10.1177/0361198105191700122?download=true&quot;,&quot;issued&quot;:{&quot;date-parts&quot;:[[2005,1]]},&quot;page&quot;:&quot;199-204&quot;,&quot;abstract&quot;:&quot;This paper uses data from the 1995 Nationwide Personal Transportation Survey and the 2001 National Household Travel Survey to examine trip-chaining trends in the United States. The research focuses...&quot;,&quot;publisher&quot;:&quot;SAGE PublicationsSage CA: Los Angeles, CA&quot;,&quot;issue&quot;:&quot;1&quot;,&quot;volume&quot;:&quot;1917&quot;},&quot;isTemporary&quot;:false},{&quot;id&quot;:&quot;a84532be-c916-3a81-b741-36e317251c3c&quot;,&quot;itemData&quot;:{&quot;type&quot;:&quot;article-journal&quot;,&quot;id&quot;:&quot;a84532be-c916-3a81-b741-36e317251c3c&quot;,&quot;title&quot;:&quot;Examining trip-chaining behavior: Comparison of travel by men and women&quot;,&quot;author&quot;:[{&quot;family&quot;:&quot;McGuckin&quot;,&quot;given&quot;:&quot;Nancy&quot;,&quot;parse-names&quot;:false,&quot;dropping-particle&quot;:&quot;&quot;,&quot;non-dropping-particle&quot;:&quot;&quot;},{&quot;family&quot;:&quot;Murakami&quot;,&quot;given&quot;:&quot;Elaine&quot;,&quot;parse-names&quot;:false,&quot;dropping-particle&quot;:&quot;&quot;,&quot;non-dropping-particle&quot;:&quot;&quot;}],&quot;container-title&quot;:&quot;Transportation Research Record&quot;,&quot;container-title-short&quot;:&quot;Transp. Res. Rec.&quot;,&quot;accessed&quot;:{&quot;date-parts&quot;:[[2026,5,19]]},&quot;DOI&quot;:&quot;10.3141/1693-12&quot;,&quot;ISSN&quot;:&quot;03611981&quot;,&quot;URL&quot;:&quot;/doi/pdf/10.3141/1693-12?download=true&quot;,&quot;issued&quot;:{&quot;date-parts&quot;:[[1999]]},&quot;page&quot;:&quot;79-85&quot;,&quot;abstract&quot;:&quot;Gender and household life cycle together affect daily travel behavior. Although this makes intuitive sense, transportation planners and policy makers have done little to understand what effect and impact these factors have on daily transportation choices. The 1995 Nationwide Personal Transportation Survey was used to examine trip-chaining behavior of adult men and women traveling Monday through Friday. The data show that women continue to make more trips to perform household-sustaining activities such as shopping and family errands to a greater extent than men. Women, especially with children in the household, are more likely to chain these household-sustaining trips to the trip to and from work. Women's participation in the labor force is at an all-time high, but women's patterns in travel to work are different from men's patterns, and they vary with family and life-cycle status. The type and location of jobs that women take are likely affected by their greater household and family responsibilities. The biggest question for the future is whether and how the changes in women's status in the workplace, and perhaps the concomitant change in the household dynamics and responsibilities, will affect travel behavior of both men and women. These changes will deeply affect the development of programs related to transit, land-use planning, work schedules, telecommuting, and other programs related to automobile use.&quot;,&quot;publisher&quot;:&quot;National Research Council&quot;,&quot;issue&quot;:&quot;1693&quot;},&quot;isTemporary&quot;:false}]},{&quot;citationID&quot;:&quot;MENDELEY_CITATION_07a897b9-9616-432c-bb1e-dec74af56da8&quot;,&quot;properties&quot;:{&quot;noteIndex&quot;:0},&quot;isEdited&quot;:false,&quot;manualOverride&quot;:{&quot;isManuallyOverridden&quot;:true,&quot;citeprocText&quot;:&quot;(Buehler, 2011; Buehler &amp;#38; Pucher, 2024)&quot;,&quot;manualOverrideText&quot;:&quot;(Buehler, 2011; Buehler and Pucher, 2024)&quot;},&quot;citationTag&quot;:&quot;MENDELEY_CITATION_v3_eyJjaXRhdGlvbklEIjoiTUVOREVMRVlfQ0lUQVRJT05fMDdhODk3YjktOTYxNi00MzJjLWJiMWUtZGVjNzRhZjU2ZGE4IiwicHJvcGVydGllcyI6eyJub3RlSW5kZXgiOjB9LCJpc0VkaXRlZCI6ZmFsc2UsIm1hbnVhbE92ZXJyaWRlIjp7ImlzTWFudWFsbHlPdmVycmlkZGVuIjp0cnVlLCJjaXRlcHJvY1RleHQiOiIoQnVlaGxlciwgMjAxMTsgQnVlaGxlciAmIzM4OyBQdWNoZXIsIDIwMjQpIiwibWFudWFsT3ZlcnJpZGVUZXh0IjoiKEJ1ZWhsZXIsIDIwMTE7IEJ1ZWhsZXIgYW5kIFB1Y2hlciwgMjAyNCkifSwiY2l0YXRpb25JdGVtcyI6W3siaWQiOiI4ODE3NTMxNC0yMzk5LTNhMmEtYTI2Ni0xMzgxMjdiYTA3YmQiLCJpdGVtRGF0YSI6eyJ0eXBlIjoiYXJ0aWNsZS1qb3VybmFsIiwiaWQiOiI4ODE3NTMxNC0yMzk5LTNhMmEtYTI2Ni0xMzgxMjdiYTA3YmQiLCJ0aXRsZSI6IkRldGVybWluYW50cyBvZiB0cmFuc3BvcnQgbW9kZSBjaG9pY2U6IGEgY29tcGFyaXNvbiBvZiBHZXJtYW55IGFuZCB0aGUgVVNBIiwiYXV0aG9yIjpbeyJmYW1pbHkiOiJCdWVobGVyIiwiZ2l2ZW4iOiJSYWxwaCIsInBhcnNlLW5hbWVzIjpmYWxzZSwiZHJvcHBpbmctcGFydGljbGUiOiIiLCJub24tZHJvcHBpbmctcGFydGljbGUiOiIifV0sImNvbnRhaW5lci10aXRsZSI6IkpvdXJuYWwgb2YgVHJhbnNwb3J0IEdlb2dyYXBoeSIsImNvbnRhaW5lci10aXRsZS1zaG9ydCI6IkouIFRyYW5zcC4gR2VvZ3IuIiwiRE9JIjoiMTAuMTAxNi9qLmp0cmFuZ2VvLjIwMTAuMDcuMDA1IiwiSVNTTiI6IjA5NjY2OTIzIiwiaXNzdWVkIjp7ImRhdGUtcGFydHMiOltbMjAxMSw3XV19LCJwYWdlIjoiNjQ0LTY1NyIsImFic3RyYWN0IjoiR2VybWFueSBhbmQgdGhlIFVTQSBoYXZlIGFtb25nIHRoZSBoaWdoZXN0IG1vdG9yaXphdGlvbiByYXRlcyBpbiB0aGUgd29ybGQuIFlldCBHZXJtYW5zIG1ha2UgYSBmb3VyIHRpbWVzIGhpZ2hlciBzaGFyZSBvZiB0cmlwcyBieSBmb290LCBiaWtlLCBhbmQgcHVibGljIHRyYW5zcG9ydCBhbmQgZHJpdmUgZm9yIGEgMjUlIGxvd2VyIHNoYXJlIG9mIHRyaXBzIGFzIEFtZXJpY2Fucy4gVXNpbmcgdHdvIGNvbXBhcmFibGUgbmF0aW9uYWwgdHJhdmVsIHN1cnZleXMgdGhpcyBwYXBlciBlbXBpcmljYWxseSBpbnZlc3RpZ2F0ZXMgZGV0ZXJtaW5hbnRzIG9mIHRyYW5zcG9ydCBtb2RlIGNob2ljZSBpbiBHZXJtYW55IGFuZCB0aGUgVVNBLiBJbiBib3RoIGNvdW50cmllcyBoaWdoZXIgcG9wdWxhdGlvbiBkZW5zaXR5LCBhIGdyZWF0ZXIgbWl4IG9mIGxhbmQtdXNlcywgaG91c2Vob2xkIHByb3hpbWl0eSB0byBwdWJsaWMgdHJhbnNwb3J0LCBhbmQgZmV3ZXIgY2FycyBwZXIgaG91c2Vob2xkIGFyZSBhc3NvY2lhdGVkIHdpdGggYSBsb3dlciBzaGFyZSBvZiB0cmlwcyBieSBhdXRvbW9iaWxlLiBIb3dldmVyLCBjb25zaWRlcmFibGUgZGlmZmVyZW5jZXMgcmVtYWluOiBhbGwgZ3JvdXBzIG9mIHNvY2lldHkgaW4gQW1lcmljYSBhcmUgbW9yZSBjYXItZGVwZW5kZW50IHRoYW4gR2VybWFucy4gRXZlbiBjb250cm9sbGluZyBmb3IgZGlzc2ltaWxhcml0aWVzIGluIHNvY2lvLWVjb25vbWljIGZhY3RvcnMgYW5kIGxhbmQtdXNlLCBHZXJtYW5zIGFyZSBtb3JlIGxpa2VseSB0byB3YWxrLCBjeWNsZSwgYW5kIHVzZSBwdWJsaWMgdHJhbnNwb3J0LiBNb3Jlb3ZlciwgQW1lcmljYW5zIGxpdmluZyBpbiBkZW5zZSwgbWl4ZWQtdXNlIGFyZWFzLCBhbmQgY2xvc2UgdG8gcHVibGljIHRyYW5zcG9ydCBhcmUgbW9yZSBsaWtlbHkgdG8gZHJpdmUgdGhhbiBHZXJtYW5zIGxpdmluZyBpbiBsb3dlciBkZW5zaXR5IGFyZWFzLCB3aXRoIG1vcmUgbGltaXRlZCBtaXggb2YgbGFuZC11c2VzLCBhbmQgZmFydGhlciBmcm9tIHB1YmxpYyB0cmFuc3BvcnQuIERpZmZlcmVuY2VzIGluIHRyYW5zcG9ydCBwb2xpY3kgdGhhdCBtYWtlIGNhciB0cmF2ZWwgc2xvd2VyLCBtb3JlIGV4cGVuc2l2ZSwgbGVzcyBjb252ZW5pZW50LCBhbmQgYWx0ZXJuYXRpdmVzIHRvIHRoZSBhdXRvbW9iaWxlIG1vcmUgYXR0cmFjdGl2ZSBpbiBHZXJtYW55IG1heSBoZWxwIGFjY291bnQgZm9yIHRoZSByZW1haW5pbmcgZGlmZmVyZW5jZXMuIMKpIDIwMTAgRWxzZXZpZXIgTHRkLiIsImlzc3VlIjoiNCIsInZvbHVtZSI6IjE5In0sImlzVGVtcG9yYXJ5IjpmYWxzZX0seyJpZCI6IjhlYTY5NDJkLWQ3N2ItMzA2OS04YjVhLWVmOWI0MDAxZGRkYSIsIml0ZW1EYXRhIjp7InR5cGUiOiJhcnRpY2xlLWpvdXJuYWwiLCJpZCI6IjhlYTY5NDJkLWQ3N2ItMzA2OS04YjVhLWVmOWI0MDAxZGRkYSIsInRpdGxlIjoiU29jaW9lY29ub21pYyB2YXJpYXRpb25zIGluIHdhbGtpbmcgcmF0ZXMgaW4gdGhlIFVuaXRlZCBTdGF0ZXM6IFJlY2VudCBldmlkZW5jZSBmcm9tIHRoZSAyMDIyIE5hdGlvbmFsIEhvdXNlaG9sZCBUcmF2ZWwgU3VydmV5IiwiYXV0aG9yIjpbeyJmYW1pbHkiOiJCdWVobGVyIiwiZ2l2ZW4iOiJSYWxwaCIsInBhcnNlLW5hbWVzIjpmYWxzZSwiZHJvcHBpbmctcGFydGljbGUiOiIiLCJub24tZHJvcHBpbmctcGFydGljbGUiOiIifSx7ImZhbWlseSI6IlB1Y2hlciIsImdpdmVuIjoiSm9obiIsInBhcnNlLW5hbWVzIjpmYWxzZSwiZHJvcHBpbmctcGFydGljbGUiOiIiLCJub24tZHJvcHBpbmctcGFydGljbGUiOiIifV0sImNvbnRhaW5lci10aXRsZSI6IkpvdXJuYWwgb2YgVHJhbnNwb3J0ICYgSGVhbHRoIiwiY29udGFpbmVyLXRpdGxlLXNob3J0IjoiSi4gVHJhbnNwLiBIZWFsdGgiLCJhY2Nlc3NlZCI6eyJkYXRlLXBhcnRzIjpbWzIwMjYsNCwxXV19LCJET0kiOiIxMC4xMDE2L0ouSlRILjIwMjQuMTAxODc1IiwiSVNTTiI6IjIyMTQtMTQwNSIsIlVSTCI6Imh0dHBzOi8vd3d3LnNjaWVuY2VkaXJlY3QuY29tL3NjaWVuY2UvYXJ0aWNsZS9waWkvUzIyMTQxNDA1MjQwMDEyMVg/dmlhJTNEaWh1YiIsImlzc3VlZCI6eyJkYXRlLXBhcnRzIjpbWzIwMjQsOSwxXV19LCJwYWdlIjoiMTAxODc1IiwiYWJzdHJhY3QiOiJJbnRyb2R1Y3Rpb246IFdlIHVzZSB0aGUgMjAyMiBOYXRpb25hbCBIb3VzZWhvbGQgVHJhdmVsIFN1cnZleSBmb3IgdGhlIFVTQeKAlHRoZSBmaXJzdCBzaW5jZSB0aGUgcGVha2luZyBvZiB0aGUgQ09WSUQtMTkgcGFuZGVtaWPigJR0byBleGFtaW5lIHZhcmlhdGlvbnMgaW4gd2Fsa2luZyByYXRlcyByZWxhdGVkIHRvIGRpZmZlcmVuY2VzIGluIHNvY2lvZWNvbm9taWMgY2hhcmFjdGVyaXN0aWNzLiBPdXIgYW5hbHlzaXMgcHJvdmlkZXMgdGhlIG1vc3QgcmVjZW50IG5hdGlvbmFsIGVzdGltYXRlcyBvZiBzb2Npb2Vjb25vbWljIHZhcmlhdGlvbiBpbiB3YWxraW5nLCBieSBmYXIgdGhlIG1vc3QgaW1wb3J0YW50IGZvcm0gb2YgZGFpbHkgcGh5c2ljYWwgYWN0aXZpdHkgaW4gdGhlIFVTQS4gTWV0aG9kczogV2UgdXNlZCBncmFwaGljYWwgYml2YXJpYXRlIGFuYWx5c2lzIGFuZCBtdWx0aXBsZSByZWdyZXNzaW9ucyB0byBleHBsb3JlIHRoZSByZWxhdGlvbnNoaXAgYmV0d2VlbiBlYWNoIG9mIHRoZSBzb2Npb2Vjb25vbWljIHZhcmlhYmxlcyBhbmQgdGhlIGZvbGxvd2luZyBkYWlseSB3YWxrIHJhdGVzOiB0aGUgbnVtYmVyIG9mIHdhbGsgdHJpcHMsIHRpbWUgd2Fsa2VkLCBhbmQgZGlzdGFuY2Ugd2Fsa2VkLiBXZSBhbHNvIGFuYWx5emVkIHRocmVlIGJpbmFyeSB2YXJpYWJsZXMgaW5kaWNhdGluZyB3aGV0aGVyIGEgcGVyc29uIG1hZGUgYXQgbGVhc3Qgb25lIHdhbGsgdHJpcCBkdXJpbmcgdGhlIHRyYXZlbCBkYXksIGFjaGlldmVkIHRoZSBlcXVpdmFsZW50IG9mIDE1MCBtaW4gb2Ygd2Fsa2luZyBwZXIgd2VlaywgYW5kIHdhbGtlZCBvbiBmaXZlIG9yIG1vcmUgZGF5cyBkdXJpbmcgdGhlIHByZXZpb3VzIDMwIGRheXMuIFJlc3VsdHM6IEhpZ2hlciBlZHVjYXRpb24gbGV2ZWxzLCBub3Qgb3duaW5nIGEgY2FyLCBub3QgaGF2aW5nIGEgZHJpdmVyJ3MgbGljZW5zZSwgbm90IHdvcmtpbmcsIHdvcmtpbmcgZnJvbSBob21lLCBhbmQgaGlnaCBkZW5zaXR5IGFyZSBzdHJvbmdseSByZWxhdGVkIHRvIGhpZ2hlciBsZXZlbHMgb2Ygd2Fsa2luZy4gV2UgZm91bmQgbm8gc2lnbmlmaWNhbnQgZGlmZmVyZW5jZXMgb3IgbWl4ZWQgcmVzdWx0cyBmb3IgZ2VuZGVyLCBhZ2UsIHJhY2UsIGFuZCBpbmNvbWUuIEJlY2F1c2UgdGhlIDIwMjIgTkhUUyBpbmNvcnBvcmF0ZWQgc2lnbmlmaWNhbnQgY2hhbmdlcyBpbiBtZXRob2RvbG9neSwgc2FtcGxlIHNpemUsIHN1cnZleSBxdWVzdGlvbnMsIGFuZCB2YXJpYWJsZSBkZWZpbml0aW9ucywgaXRzIGVzdGltYXRlZCB0cmlwIHJhdGVzIGNhbm5vdCBiZSBjb21wYXJlZCBkaXJlY3RseSB0byB0aGUgMjAxNyBOSFRT4oCUdGhlIGxhc3Qgc3VydmV5IHByaW9yIHRvIENPVklELiBNb3Jlb3ZlciwgdGhlIDIwMjIgTkhUUyBncmVhdGx5IHVuZGVyZXN0aW1hdGVkIHdhbGsgdHJpcHMgYmVjYXVzZeKAlHVubGlrZSBwcmV2aW91cyBOSFRTIHN1cnZleXPigJRpdCBvbWl0dGVkIHRoZSB0cmlwIGRpYXJ5IGFzIHdlbGwgYXMgbXVsdGlwbGUgcHJvbXB0cyB0byByZW1lbWJlciBzaG9ydCB0cmlwcywgZXNwZWNpYWxseSB3YWxrIHRyaXBzLiBDb25jbHVzaW9uczogVGhlIHJlbGF0aW9uc2hpcHMgd2UgZXN0aW1hdGVkIGJldHdlZW4gdmFyaW91cyB3YWxrIHJhdGVzIGFuZCB0aGUgbmluZSBzb2Npb2Vjb25vbWljIHZhcmlhYmxlcyBmb3IgMjAyMiB3ZXJlIGdlbmVyYWxseSBjb25zaXN0ZW50IHdpdGggdGhlIHJlc3VsdHMgb2YgcHJldmlvdXMgc3R1ZGllcywgaW5jbHVkaW5nIHRob3NlIGV4YW1pbmluZyB0aGUgMjAwMSwgMjAwOSwgYW5kIDIwMTcgTkhUUy4gVGhhdCBzdWdnZXN0cyB0aGF0IHRoZXNlIHJlbGF0aW9uc2hpcHMgaGF2ZSByZW1haW5lZCBzdGFibGUgb3ZlciB0aW1l4oCUZXZlbiBpZiBhYnNvbHV0ZSByYXRlcyBvZiB3YWxraW5nIGhhdmUgY2hhbmdlZCwgYXMgaW5kaWNhdGVkIGJ5IG90aGVyIHN0dWRpZXMuIiwicHVibGlzaGVyIjoiRWxzZXZpZXIiLCJ2b2x1bWUiOiIzOCJ9LCJpc1RlbXBvcmFyeSI6ZmFsc2V9XX0=&quot;,&quot;citationItems&quot;:[{&quot;id&quot;:&quot;88175314-2399-3a2a-a266-138127ba07bd&quot;,&quot;itemData&quot;:{&quot;type&quot;:&quot;article-journal&quot;,&quot;id&quot;:&quot;88175314-2399-3a2a-a266-138127ba07bd&quot;,&quot;title&quot;:&quot;Determinants of transport mode choice: a comparison of Germany and the USA&quot;,&quot;author&quot;:[{&quot;family&quot;:&quot;Buehler&quot;,&quot;given&quot;:&quot;Ralph&quot;,&quot;parse-names&quot;:false,&quot;dropping-particle&quot;:&quot;&quot;,&quot;non-dropping-particle&quot;:&quot;&quot;}],&quot;container-title&quot;:&quot;Journal of Transport Geography&quot;,&quot;container-title-short&quot;:&quot;J. Transp. Geogr.&quot;,&quot;DOI&quot;:&quot;10.1016/j.jtrangeo.2010.07.005&quot;,&quot;ISSN&quot;:&quot;09666923&quot;,&quot;issued&quot;:{&quot;date-parts&quot;:[[2011,7]]},&quot;page&quot;:&quot;644-657&quot;,&quot;abstract&quot;:&quot;Germany and the USA have among the highest motorization rates in the world. Yet Germans make a four times higher share of trips by foot, bike, and public transport and drive for a 25% lower share of trips as Americans. Using two comparable national travel surveys this paper empirically investigates determinants of transport mode choice in Germany and the USA. In both countries higher population density, a greater mix of land-uses, household proximity to public transport, and fewer cars per household are associated with a lower share of trips by automobile. However, considerable differences remain: all groups of society in America are more car-dependent than Germans. Even controlling for dissimilarities in socio-economic factors and land-use, Germans are more likely to walk, cycle, and use public transport. Moreover, Americans living in dense, mixed-use areas, and close to public transport are more likely to drive than Germans living in lower density areas, with more limited mix of land-uses, and farther from public transport. Differences in transport policy that make car travel slower, more expensive, less convenient, and alternatives to the automobile more attractive in Germany may help account for the remaining differences. © 2010 Elsevier Ltd.&quot;,&quot;issue&quot;:&quot;4&quot;,&quot;volume&quot;:&quot;19&quot;},&quot;isTemporary&quot;:false},{&quot;id&quot;:&quot;8ea6942d-d77b-3069-8b5a-ef9b4001ddda&quot;,&quot;itemData&quot;:{&quot;type&quot;:&quot;article-journal&quot;,&quot;id&quot;:&quot;8ea6942d-d77b-3069-8b5a-ef9b4001ddda&quot;,&quot;title&quot;:&quot;Socioeconomic variations in walking rates in the United States: Recent evidence from the 2022 National Household Travel Survey&quot;,&quot;author&quot;:[{&quot;family&quot;:&quot;Buehler&quot;,&quot;given&quot;:&quot;Ralph&quot;,&quot;parse-names&quot;:false,&quot;dropping-particle&quot;:&quot;&quot;,&quot;non-dropping-particle&quot;:&quot;&quot;},{&quot;family&quot;:&quot;Pucher&quot;,&quot;given&quot;:&quot;John&quot;,&quot;parse-names&quot;:false,&quot;dropping-particle&quot;:&quot;&quot;,&quot;non-dropping-particle&quot;:&quot;&quot;}],&quot;container-title&quot;:&quot;Journal of Transport &amp; Health&quot;,&quot;container-title-short&quot;:&quot;J. Transp. Health&quot;,&quot;accessed&quot;:{&quot;date-parts&quot;:[[2026,4,1]]},&quot;DOI&quot;:&quot;10.1016/J.JTH.2024.101875&quot;,&quot;ISSN&quot;:&quot;2214-1405&quot;,&quot;URL&quot;:&quot;https://www.sciencedirect.com/science/article/pii/S221414052400121X?via%3Dihub&quot;,&quot;issued&quot;:{&quot;date-parts&quot;:[[2024,9,1]]},&quot;page&quot;:&quot;101875&quot;,&quot;abstract&quot;:&quot;Introduction: We use the 2022 National Household Travel Survey for the USA—the first since the peaking of the COVID-19 pandemic—to examine variations in walking rates related to differences in socioeconomic characteristics. Our analysis provides the most recent national estimates of socioeconomic variation in walking, by far the most important form of daily physical activity in the USA. Methods: We used graphical bivariate analysis and multiple regressions to explore the relationship between each of the socioeconomic variables and the following daily walk rates: the number of walk trips, time walked, and distance walked. We also analyzed three binary variables indicating whether a person made at least one walk trip during the travel day, achieved the equivalent of 150 min of walking per week, and walked on five or more days during the previous 30 days. Results: Higher education levels, not owning a car, not having a driver's license, not working, working from home, and high density are strongly related to higher levels of walking. We found no significant differences or mixed results for gender, age, race, and income. Because the 2022 NHTS incorporated significant changes in methodology, sample size, survey questions, and variable definitions, its estimated trip rates cannot be compared directly to the 2017 NHTS—the last survey prior to COVID. Moreover, the 2022 NHTS greatly underestimated walk trips because—unlike previous NHTS surveys—it omitted the trip diary as well as multiple prompts to remember short trips, especially walk trips. Conclusions: The relationships we estimated between various walk rates and the nine socioeconomic variables for 2022 were generally consistent with the results of previous studies, including those examining the 2001, 2009, and 2017 NHTS. That suggests that these relationships have remained stable over time—even if absolute rates of walking have changed, as indicated by other studies.&quot;,&quot;publisher&quot;:&quot;Elsevier&quot;,&quot;volume&quot;:&quot;38&quot;},&quot;isTemporary&quot;:false}]},{&quot;citationID&quot;:&quot;MENDELEY_CITATION_15a0c252-1d47-4574-ad41-b898b8d7c2d2&quot;,&quot;properties&quot;:{&quot;noteIndex&quot;:0},&quot;isEdited&quot;:false,&quot;manualOverride&quot;:{&quot;isManuallyOverridden&quot;:false,&quot;citeprocText&quot;:&quot;(Pucher et al., 2011)&quot;,&quot;manualOverrideText&quot;:&quot;&quot;},&quot;citationTag&quot;:&quot;MENDELEY_CITATION_v3_eyJjaXRhdGlvbklEIjoiTUVOREVMRVlfQ0lUQVRJT05fMTVhMGMyNTItMWQ0Ny00NTc0LWFkNDEtYjg5OGI4ZDdjMmQyIiwicHJvcGVydGllcyI6eyJub3RlSW5kZXgiOjB9LCJpc0VkaXRlZCI6ZmFsc2UsIm1hbnVhbE92ZXJyaWRlIjp7ImlzTWFudWFsbHlPdmVycmlkZGVuIjpmYWxzZSwiY2l0ZXByb2NUZXh0IjoiKFB1Y2hlciBldCBhbC4sIDIwMTEpIiwibWFudWFsT3ZlcnJpZGVUZXh0IjoiIn0sImNpdGF0aW9uSXRlbXMiOlt7ImlkIjoiMGQzMzYzNjUtOWEwZi0zYjg3LWE0ZDgtOGZlYzE3OTEzMjUyIiwiaXRlbURhdGEiOnsidHlwZSI6ImFydGljbGUtam91cm5hbCIsImlkIjoiMGQzMzYzNjUtOWEwZi0zYjg3LWE0ZDgtOGZlYzE3OTEzMjUyIiwidGl0bGUiOiJXYWxraW5nIGFuZCBjeWNsaW5nIGluIHRoZSBVbml0ZWQgU3RhdGVzLCAyMDAxLTIwMDk6IEV2aWRlbmNlIGZyb20gdGhlIE5hdGlvbmFsIEhvdXNlaG9sZCBUcmF2ZWwgU3VydmV5cyIsImF1dGhvciI6W3siZmFtaWx5IjoiUHVjaGVyIiwiZ2l2ZW4iOiJKb2huIiwicGFyc2UtbmFtZXMiOmZhbHNlLCJkcm9wcGluZy1wYXJ0aWNsZSI6IiIsIm5vbi1kcm9wcGluZy1wYXJ0aWNsZSI6IiJ9LHsiZmFtaWx5IjoiQnVlaGxlciIsImdpdmVuIjoiUmFscGgiLCJwYXJzZS1uYW1lcyI6ZmFsc2UsImRyb3BwaW5nLXBhcnRpY2xlIjoiIiwibm9uLWRyb3BwaW5nLXBhcnRpY2xlIjoiIn0seyJmYW1pbHkiOiJNZXJvbSIsImdpdmVuIjoiRGFmbmEiLCJwYXJzZS1uYW1lcyI6ZmFsc2UsImRyb3BwaW5nLXBhcnRpY2xlIjoiIiwibm9uLWRyb3BwaW5nLXBhcnRpY2xlIjoiIn0seyJmYW1pbHkiOiJCYXVtYW4iLCJnaXZlbiI6IkFkcmlhbiIsInBhcnNlLW5hbWVzIjpmYWxzZSwiZHJvcHBpbmctcGFydGljbGUiOiIiLCJub24tZHJvcHBpbmctcGFydGljbGUiOiIifV0sImNvbnRhaW5lci10aXRsZSI6IkFtZXJpY2FuIEpvdXJuYWwgb2YgUHVibGljIEhlYWx0aCIsImNvbnRhaW5lci10aXRsZS1zaG9ydCI6IkFtLiBKLiBQdWJsaWMgSGVhbHRoIiwiYWNjZXNzZWQiOnsiZGF0ZS1wYXJ0cyI6W1syMDI2LDQsMjJdXX0sIkRPSSI6IjEwLjIxMDUvQUpQSC4yMDEwLjMwMDA2NyIsIklTU04iOiIwMDkwMDAzNiIsIlBNSUQiOiIyMTU1MTM4NyIsIlVSTCI6Ii9kb2kvcGRmLzEwLjIxMDUvQUpQSC4yMDEwLjMwMDA2Nz9kb3dubG9hZD10cnVlIiwiaXNzdWVkIjp7ImRhdGUtcGFydHMiOltbMjAxMSwxMiwxXV19LCJhYnN0cmFjdCI6Ik9iamVjdGl2ZXM6IFRvIGFzc2VzcyBjaGFuZ2VzIGluIHdhbGtpbmcgYW5kIGN5Y2xpbmcgaW4gdGhlIFVuaXRlZCBTdGF0ZXMgYmV0d2VlbiAyMDAxIGFuZCAyMDA5LiBNZXRob2RzOiBUaGUgMjAwMSBhbmQgMjAwOSBOYXRpb25hbCBIb3VzZWhvbGQgVHJhdmVsIFN1cnZleXMgd2VyZSB1c2VkIHRvIGNvbXB1dGUgdGhlIGZyZXF1ZW5jeSwgZHVyYXRpb24sIGFuZCBkaXN0YW5jZSBvZiB3YWxraW5nIGFuZCBjeWNsaW5nIHBlciBjYXBpdGEuIFRoZSBwb3B1bGF0aW9uLXdlaWdodGVkIHBlcnNvbiBhbmQgdHJpcCBmaWxlcyB3ZXJlIG1lcmdlZCB0byBjYWxjdWxhdGUgdGhlIHByZXZhbGVuY2Ugb2YgYW55IHdhbGtpbmcgYW5kIGN5Y2xpbmcgYW5kIG9mIHdhbGtpbmcgYW5kIGN5Y2xpbmcgYXQgbGVhc3QgMzAgbWludXRlcyBwZXIgZGF5LiBSZXN1bHRzOiBUaGUgYXZlcmFnZSBBbWVyaWNhbiBtYWRlIDE3IG1vcmUgd2FsayB0cmlwcyBpbiAyMDA5IHRoYW4gaW4gMjAwMSwgY292ZXJpbmcgOSBtb3JlIG1pbGVzIHBlciB5ZWFyLCBjb21wYXJlZCB3aXRoIG9ubHkgMiBtb3JlIGJpa2UgdHJpcHMsIGFuZCA1IG1vcmUgbWlsZXMgY3ljbGluZy4gQXQgdGhlIHBvcHVsYXRpb24gbGV2ZWwsIHRoZSBwcmV2YWxlbmNlIG9mIFwiYW55IHdhbGtpbmdcIiByZW1haW5lZCB1bmNoYW5nZWQgKGFib3V0IDE4JSksIHdoZXJlYXMgd2Fsa2luZyBhdCBsZWFzdCAzMCBtaW51dGVzIHBlciBkYXkgaW5jcmVhc2VkIGZyb20gNy4yJSB0byA4LjAlLiBUaGUgcHJldmFsZW5jZSBvZiBcImFueSBjeWNsaW5nXCIgYW5kIGN5Y2xpbmcgMzAgbWludXRlcyBwZXIgZGF5IHJlbWFpbmVkIHVuY2hhbmdlZCAoMS43JSBhbmQgMC45JSwgcmVzcGVjdGl2ZWx5KS4gQWN0aXZlIHRyYXZlbCBkZWNsaW5lZCBmb3Igd29tZW4sIGNoaWxkcmVuLCBhbmQgc2VuaW9ycywgYnV0IGluY3JlYXNlZCBhbW9uZyBtZW4sIHRoZSBtaWRkbGUgYWdlZCwgZW1wbG95ZWQsIHdlbGwtZWR1Y2F0ZWQsIGFuZCBwZXJzb25zIHdpdGhvdXQgYSBjYXIuIENvbmNsdXNpb25zOiBXYWxraW5nIGluY3JlYXNlZCBzbGlnaHRseSwgd2hlcmVhcyBjeWNsaW5nIGxldmVscyBzdGFnbmF0ZWQsIGFuZCB0aGUgb3ZlcmFsbCBwcmV2YWxlbmNlIG9mIGFjdGl2ZSB0cmF2ZWwgcmVtYWluZWQgbG93LiBJbXByb3ZlZCBpbmZyYXN0cnVjdHVyZSBmb3Igd2Fsa2luZyBhbmQgY3ljbGluZyBtdXN0IGJlIGNvbWJpbmVkIHdpdGggcHJvZ3JhbXMgdG8gZW5jb3VyYWdlIGFjdGl2ZSB0cmF2ZWwgYW1vbmcgbW9yZSBncm91cHMsIGVzcGVjaWFsbHkgY2hpbGRyZW4sIHNlbmlvcnMsIGFuZCB3b21lbi4iLCJwdWJsaXNoZXIiOiJBbWVyaWNhbiBQdWJsaWMgSGVhbHRoIEFzc29jaWF0aW9uIiwiaXNzdWUiOiJTVVBQTC4gMSIsInZvbHVtZSI6IjEwMSJ9LCJpc1RlbXBvcmFyeSI6ZmFsc2UsInN1cHByZXNzLWF1dGhvciI6ZmFsc2UsImNvbXBvc2l0ZSI6ZmFsc2UsImF1dGhvci1vbmx5IjpmYWxzZX1dfQ==&quot;,&quot;citationItems&quot;:[{&quot;id&quot;:&quot;0d336365-9a0f-3b87-a4d8-8fec17913252&quot;,&quot;itemData&quot;:{&quot;type&quot;:&quot;article-journal&quot;,&quot;id&quot;:&quot;0d336365-9a0f-3b87-a4d8-8fec17913252&quot;,&quot;title&quot;:&quot;Walking and cycling in the United States, 2001-2009: Evidence from the National Household Travel Surveys&quot;,&quot;author&quot;:[{&quot;family&quot;:&quot;Pucher&quot;,&quot;given&quot;:&quot;John&quot;,&quot;parse-names&quot;:false,&quot;dropping-particle&quot;:&quot;&quot;,&quot;non-dropping-particle&quot;:&quot;&quot;},{&quot;family&quot;:&quot;Buehler&quot;,&quot;given&quot;:&quot;Ralph&quot;,&quot;parse-names&quot;:false,&quot;dropping-particle&quot;:&quot;&quot;,&quot;non-dropping-particle&quot;:&quot;&quot;},{&quot;family&quot;:&quot;Merom&quot;,&quot;given&quot;:&quot;Dafna&quot;,&quot;parse-names&quot;:false,&quot;dropping-particle&quot;:&quot;&quot;,&quot;non-dropping-particle&quot;:&quot;&quot;},{&quot;family&quot;:&quot;Bauman&quot;,&quot;given&quot;:&quot;Adrian&quot;,&quot;parse-names&quot;:false,&quot;dropping-particle&quot;:&quot;&quot;,&quot;non-dropping-particle&quot;:&quot;&quot;}],&quot;container-title&quot;:&quot;American Journal of Public Health&quot;,&quot;container-title-short&quot;:&quot;Am. J. Public Health&quot;,&quot;accessed&quot;:{&quot;date-parts&quot;:[[2026,4,22]]},&quot;DOI&quot;:&quot;10.2105/AJPH.2010.300067&quot;,&quot;ISSN&quot;:&quot;00900036&quot;,&quot;PMID&quot;:&quot;21551387&quot;,&quot;URL&quot;:&quot;/doi/pdf/10.2105/AJPH.2010.300067?download=true&quot;,&quot;issued&quot;:{&quot;date-parts&quot;:[[2011,12,1]]},&quot;abstract&quot;:&quot;Objectives: To assess changes in walking and cycling in the United States between 2001 and 2009. Methods: The 2001 and 2009 National Household Travel Surveys were used to compute the frequency, duration, and distance of walking and cycling per capita. The population-weighted person and trip files were merged to calculate the prevalence of any walking and cycling and of walking and cycling at least 30 minutes per day. Results: The average American made 17 more walk trips in 2009 than in 2001, covering 9 more miles per year, compared with only 2 more bike trips, and 5 more miles cycling. At the population level, the prevalence of \&quot;any walking\&quot; remained unchanged (about 18%), whereas walking at least 30 minutes per day increased from 7.2% to 8.0%. The prevalence of \&quot;any cycling\&quot; and cycling 30 minutes per day remained unchanged (1.7% and 0.9%, respectively). Active travel declined for women, children, and seniors, but increased among men, the middle aged, employed, well-educated, and persons without a car. Conclusions: Walking increased slightly, whereas cycling levels stagnated, and the overall prevalence of active travel remained low. Improved infrastructure for walking and cycling must be combined with programs to encourage active travel among more groups, especially children, seniors, and women.&quot;,&quot;publisher&quot;:&quot;American Public Health Association&quot;,&quot;issue&quot;:&quot;SUPPL. 1&quot;,&quot;volume&quot;:&quot;101&quot;},&quot;isTemporary&quot;:false,&quot;suppress-author&quot;:false,&quot;composite&quot;:false,&quot;author-only&quot;:false}]},{&quot;citationID&quot;:&quot;MENDELEY_CITATION_cc2e3251-560e-47bb-9d54-2baa0ad719bb&quot;,&quot;properties&quot;:{&quot;noteIndex&quot;:0},&quot;isEdited&quot;:false,&quot;manualOverride&quot;:{&quot;isManuallyOverridden&quot;:false,&quot;citeprocText&quot;:&quot;(Caspi et al., 2020)&quot;,&quot;manualOverrideText&quot;:&quot;&quot;},&quot;citationTag&quot;:&quot;MENDELEY_CITATION_v3_eyJjaXRhdGlvbklEIjoiTUVOREVMRVlfQ0lUQVRJT05fY2MyZTMyNTEtNTYwZS00N2JiLTlkNTQtMmJhYTBhZDcxOWJiIiwicHJvcGVydGllcyI6eyJub3RlSW5kZXgiOjB9LCJpc0VkaXRlZCI6ZmFsc2UsIm1hbnVhbE92ZXJyaWRlIjp7ImlzTWFudWFsbHlPdmVycmlkZGVuIjpmYWxzZSwiY2l0ZXByb2NUZXh0IjoiKENhc3BpIGV0IGFsLiwgMjAyMCkiLCJtYW51YWxPdmVycmlkZVRleHQiOiIifSwiY2l0YXRpb25JdGVtcyI6W3siaWQiOiIyOTE0YmEwMi00ZjEzLTNiZTEtYjJjNC01ZTkyMjJjYzNmMTYiLCJpdGVtRGF0YSI6eyJ0eXBlIjoiYXJ0aWNsZS1qb3VybmFsIiwiaWQiOiIyOTE0YmEwMi00ZjEzLTNiZTEtYjJjNC01ZTkyMjJjYzNmMTYiLCJ0aXRsZSI6IlNwYXRpYWwgYXNzb2NpYXRpb25zIG9mIGRvY2tsZXNzIHNoYXJlZCBlLXNjb290ZXIgdXNhZ2UiLCJhdXRob3IiOlt7ImZhbWlseSI6IkNhc3BpIiwiZ2l2ZW4iOiJPciIsInBhcnNlLW5hbWVzIjpmYWxzZSwiZHJvcHBpbmctcGFydGljbGUiOiIiLCJub24tZHJvcHBpbmctcGFydGljbGUiOiIifSx7ImZhbWlseSI6IlNtYXJ0IiwiZ2l2ZW4iOiJNaWNoYWVsIEouIiwicGFyc2UtbmFtZXMiOmZhbHNlLCJkcm9wcGluZy1wYXJ0aWNsZSI6IiIsIm5vbi1kcm9wcGluZy1wYXJ0aWNsZSI6IiJ9LHsiZmFtaWx5IjoiTm9sYW5kIiwiZ2l2ZW4iOiJSb2JlcnQgQi4iLCJwYXJzZS1uYW1lcyI6ZmFsc2UsImRyb3BwaW5nLXBhcnRpY2xlIjoiIiwibm9uLWRyb3BwaW5nLXBhcnRpY2xlIjoiIn1dLCJjb250YWluZXItdGl0bGUiOiJUcmFuc3BvcnRhdGlvbiBSZXNlYXJjaCBQYXJ0IEQ6IFRyYW5zcG9ydCBhbmQgRW52aXJvbm1lbnQiLCJjb250YWluZXItdGl0bGUtc2hvcnQiOiJUcmFuc3AuIFJlcy4gRCBUcmFuc3AuIEVudmlyb24uIiwiRE9JIjoiMTAuMTAxNi9qLnRyZC4yMDIwLjEwMjM5NiIsIklTU04iOiIxMzYxOTIwOSIsImlzc3VlZCI6eyJkYXRlLXBhcnRzIjpbWzIwMjAsOSwxXV19LCJhYnN0cmFjdCI6IkluIHRoaXMgc3R1ZHksIHdlIGV4cGxvcmUgdGhlIHVzYWdlIG9mIGUtc2Nvb3RlciBzaGFyaW5nIHNlcnZpY2VzIGluIEF1c3RpbiwgVGV4YXMgb3ZlciBhYm91dCBhIHNpeC1tb250aCBwZXJpb2QuIFRoZSBzdHVkeSBpcyBiYXNlZCBvbiB0cmlwIHJlY29yZHMgb2YgYWxsIHRoZSBzaGFyZWQgZS1zY29vdGVyIG9wZXJhdG9ycyBpbiBBdXN0aW4gYW5kIGluY2x1ZGVzIHRyaXAgc3RhcnQgYW5kIGVuZCBsb2NhdGlvbnMuIFdlIHVzZSBib3RoIGFuYWx5c2lzIG9mIHRyaXAgcGF0dGVybnMgYW5kIHNwYXRpYWwgcmVncmVzc2lvbiB0ZWNobmlxdWVzIHRvIGV4YW1pbmUgaG93IHRoZSBidWlsdCBlbnZpcm9ubWVudCwgbGFuZCB1c2UsIGFuZCBkZW1vZ3JhcGhpY3MgYWZmZWN0IGUtc2Nvb3RlciB0cmlwIGdlbmVyYXRpb24uIE91ciBmaW5kaW5ncyBzaG93IHRoYXQgcGVvcGxlIHVzZSBlLXNjb290ZXJzIGFsbW9zdCBleGNsdXNpdmVseSBpbiBjZW50cmFsIEF1c3Rpbi4gQ29tbXV0aW5nIGRvZXMgbm90IHNlZW0gdG8gYmUgdGhlIG1haW4gdHJpcCBwdXJwb3NlLCBhbmQgdXNhZ2Ugb2YgZS1zY29vdGVycyBpcyBhc3NvY2lhdGVkIHdpdGggYXJlYXMgd2l0aCBoaWdoIGVtcGxveW1lbnQgcmF0ZXMsIGFuZCBpbiBhcmVhcyB3aXRoIGJpY3ljbGUgaW5mcmFzdHJ1Y3R1cmUuIFBlb3BsZSB1c2UgZS1zY29vdGVyIHNoYXJpbmcgcmVnYXJkbGVzcyBvZiB0aGUgYWZmbHVlbmNlIG9mIHRoZSBuZWlnaGJvcmhvb2QsIGFsdGhvdWdoIGxlc3MgYWZmbHVlbnQgYXJlYXMgd2l0aCBoaWdoIHVzYWdlIHJhdGVzIGhhdmUgbGFyZ2Ugc3R1ZGVudCBwb3B1bGF0aW9ucywgc3VnZ2VzdGluZyB0aGF0IHN0dWRlbnRzIHVzZSB0aGlzIG1vZGUgb2YgdHJhdmVsLiBJbXBsaWNhdGlvbnMgZm9yIHBsYW5uZXJzIHN1Z2dlc3QgdGhhdCBiZXR0ZXIgYmljeWNsZSBpbmZyYXN0cnVjdHVyZSB3aWxsIGZhY2lsaXRhdGUgZS1zY29vdGVyIHVzYWdlLCBjb2xsZWdlIHRvd25zIGFyZSBhIHJlYWR5IG1hcmtldCBmb3IgZS1zY29vdGVyIHNoYXJpbmcgc2VydmljZXMsIGFuZCBlLXNjb290ZXJzIG1heSBiZSBhIHN1YnN0aXR1dGUgZm9yIHNvbWUgc2hvcnQgbm9uLXdvcmsgdHJpcHMsIHJlZHVjaW5nIGNhciB1c2FnZSwgYW5kIGJlbmVmaXRpbmcgdGhlIGVudmlyb25tZW50LiIsInB1Ymxpc2hlciI6IkVsc2V2aWVyIEx0ZCIsInZvbHVtZSI6Ijg2In0sImlzVGVtcG9yYXJ5IjpmYWxzZSwic3VwcHJlc3MtYXV0aG9yIjpmYWxzZSwiY29tcG9zaXRlIjpmYWxzZSwiYXV0aG9yLW9ubHkiOmZhbHNlfV19&quot;,&quot;citationItems&quot;:[{&quot;id&quot;:&quot;2914ba02-4f13-3be1-b2c4-5e9222cc3f16&quot;,&quot;itemData&quot;:{&quot;type&quot;:&quot;article-journal&quot;,&quot;id&quot;:&quot;2914ba02-4f13-3be1-b2c4-5e9222cc3f16&quot;,&quot;title&quot;:&quot;Spatial associations of dockless shared e-scooter usage&quot;,&quot;author&quot;:[{&quot;family&quot;:&quot;Caspi&quot;,&quot;given&quot;:&quot;Or&quot;,&quot;parse-names&quot;:false,&quot;dropping-particle&quot;:&quot;&quot;,&quot;non-dropping-particle&quot;:&quot;&quot;},{&quot;family&quot;:&quot;Smart&quot;,&quot;given&quot;:&quot;Michael J.&quot;,&quot;parse-names&quot;:false,&quot;dropping-particle&quot;:&quot;&quot;,&quot;non-dropping-particle&quot;:&quot;&quot;},{&quot;family&quot;:&quot;Noland&quot;,&quot;given&quot;:&quot;Robert B.&quot;,&quot;parse-names&quot;:false,&quot;dropping-particle&quot;:&quot;&quot;,&quot;non-dropping-particle&quot;:&quot;&quot;}],&quot;container-title&quot;:&quot;Transportation Research Part D: Transport and Environment&quot;,&quot;container-title-short&quot;:&quot;Transp. Res. D Transp. Environ.&quot;,&quot;DOI&quot;:&quot;10.1016/j.trd.2020.102396&quot;,&quot;ISSN&quot;:&quot;13619209&quot;,&quot;issued&quot;:{&quot;date-parts&quot;:[[2020,9,1]]},&quot;abstract&quot;:&quot;In this study, we explore the usage of e-scooter sharing services in Austin, Texas over about a six-month period. The study is based on trip records of all the shared e-scooter operators in Austin and includes trip start and end locations. We use both analysis of trip patterns and spatial regression techniques to examine how the built environment, land use, and demographics affect e-scooter trip generation. Our findings show that people use e-scooters almost exclusively in central Austin. Commuting does not seem to be the main trip purpose, and usage of e-scooters is associated with areas with high employment rates, and in areas with bicycle infrastructure. People use e-scooter sharing regardless of the affluence of the neighborhood, although less affluent areas with high usage rates have large student populations, suggesting that students use this mode of travel. Implications for planners suggest that better bicycle infrastructure will facilitate e-scooter usage, college towns are a ready market for e-scooter sharing services, and e-scooters may be a substitute for some short non-work trips, reducing car usage, and benefiting the environment.&quot;,&quot;publisher&quot;:&quot;Elsevier Ltd&quot;,&quot;volume&quot;:&quot;86&quot;},&quot;isTemporary&quot;:false,&quot;suppress-author&quot;:false,&quot;composite&quot;:false,&quot;author-only&quot;:false}]},{&quot;citationID&quot;:&quot;MENDELEY_CITATION_cfe13999-9022-40b3-bfbd-9bb4a600dac0&quot;,&quot;properties&quot;:{&quot;noteIndex&quot;:0},&quot;isEdited&quot;:false,&quot;manualOverride&quot;:{&quot;isManuallyOverridden&quot;:true,&quot;citeprocText&quot;:&quot;(Fang et al., 2022; Kärmeniemi et al., 2019)&quot;,&quot;manualOverrideText&quot;:&quot;(Kärmeniemi et al., 2019; Fang et al., 2022)&quot;},&quot;citationTag&quot;:&quot;MENDELEY_CITATION_v3_eyJjaXRhdGlvbklEIjoiTUVOREVMRVlfQ0lUQVRJT05fY2ZlMTM5OTktOTAyMi00MGIzLWJmYmQtOWJiNGE2MDBkYWMwIiwicHJvcGVydGllcyI6eyJub3RlSW5kZXgiOjB9LCJpc0VkaXRlZCI6ZmFsc2UsIm1hbnVhbE92ZXJyaWRlIjp7ImlzTWFudWFsbHlPdmVycmlkZGVuIjp0cnVlLCJjaXRlcHJvY1RleHQiOiIoRmFuZyBldCBhbC4sIDIwMjI7IEvDpHJtZW5pZW1pIGV0IGFsLiwgMjAxOSkiLCJtYW51YWxPdmVycmlkZVRleHQiOiIoS8Okcm1lbmllbWkgZXQgYWwuLCAyMDE5OyBGYW5nIGV0IGFsLiwgMjAyMikifSwiY2l0YXRpb25JdGVtcyI6W3siaWQiOiJmYjU0ZjFlZC0wYWIwLTNhMjQtOWM4My1iN2M3MzY2Yjg3ZjEiLCJpdGVtRGF0YSI6eyJ0eXBlIjoiYXJ0aWNsZS1qb3VybmFsIiwiaWQiOiJmYjU0ZjFlZC0wYWIwLTNhMjQtOWM4My1iN2M3MzY2Yjg3ZjEiLCJ0aXRsZSI6IlJlc2lkZW50aWFsIHJlbG9jYXRpb24gdHJhamVjdG9yaWVzIGFuZCBuZWlnaGJvcmhvb2QgZGVuc2l0eSwgbWl4ZWQgbGFuZCB1c2UgYW5kIGFjY2VzcyBuZXR3b3JrcyBhcyBwcmVkaWN0b3JzIG9mIHdhbGtpbmcgYW5kIGJpY3ljbGluZyBpbiB0aGUgTm9ydGhlcm4gRmlubGFuZCBCaXJ0aCBDb2hvcnQgMTk2NiIsImF1dGhvciI6W3siZmFtaWx5IjoiS8Okcm1lbmllbWkiLCJnaXZlbiI6Ik1pa2tvIiwicGFyc2UtbmFtZXMiOmZhbHNlLCJkcm9wcGluZy1wYXJ0aWNsZSI6IiIsIm5vbi1kcm9wcGluZy1wYXJ0aWNsZSI6IiJ9LHsiZmFtaWx5IjoiTGFua2lsYSIsImdpdmVuIjoiVGlpbmEiLCJwYXJzZS1uYW1lcyI6ZmFsc2UsImRyb3BwaW5nLXBhcnRpY2xlIjoiIiwibm9uLWRyb3BwaW5nLXBhcnRpY2xlIjoiIn0seyJmYW1pbHkiOiJJa8OkaGVpbW8iLCJnaXZlbiI6IlRpaW5hIiwicGFyc2UtbmFtZXMiOmZhbHNlLCJkcm9wcGluZy1wYXJ0aWNsZSI6IiIsIm5vbi1kcm9wcGluZy1wYXJ0aWNsZSI6IiJ9LHsiZmFtaWx5IjoiUHVoYWtrYSIsImdpdmVuIjoiU29pbGUiLCJwYXJzZS1uYW1lcyI6ZmFsc2UsImRyb3BwaW5nLXBhcnRpY2xlIjoiIiwibm9uLWRyb3BwaW5nLXBhcnRpY2xlIjoiIn0seyJmYW1pbHkiOiJOaWVtZWzDpCIsImdpdmVuIjoiTWFpc2EiLCJwYXJzZS1uYW1lcyI6ZmFsc2UsImRyb3BwaW5nLXBhcnRpY2xlIjoiIiwibm9uLWRyb3BwaW5nLXBhcnRpY2xlIjoiIn0seyJmYW1pbHkiOiJKw6Rtc8OkIiwiZ2l2ZW4iOiJUaW1vIiwicGFyc2UtbmFtZXMiOmZhbHNlLCJkcm9wcGluZy1wYXJ0aWNsZSI6IiIsIm5vbi1kcm9wcGluZy1wYXJ0aWNsZSI6IiJ9LHsiZmFtaWx5IjoiS29pdnVtYWEtSG9ua2FuZW4iLCJnaXZlbiI6IkhlbGkiLCJwYXJzZS1uYW1lcyI6ZmFsc2UsImRyb3BwaW5nLXBhcnRpY2xlIjoiIiwibm9uLWRyb3BwaW5nLXBhcnRpY2xlIjoiIn0seyJmYW1pbHkiOiJLb3JwZWxhaW5lbiIsImdpdmVuIjoiUmFpamEiLCJwYXJzZS1uYW1lcyI6ZmFsc2UsImRyb3BwaW5nLXBhcnRpY2xlIjoiIiwibm9uLWRyb3BwaW5nLXBhcnRpY2xlIjoiIn1dLCJjb250YWluZXItdGl0bGUiOiJJbnRlcm5hdGlvbmFsIEpvdXJuYWwgb2YgQmVoYXZpb3JhbCBOdXRyaXRpb24gYW5kIFBoeXNpY2FsIEFjdGl2aXR5IDIwMTkgMTY6MSIsImFjY2Vzc2VkIjp7ImRhdGUtcGFydHMiOltbMjAyNiw2LDIxXV19LCJET0kiOiIxMC4xMTg2L1MxMjk2Ni0wMTktMDg1Ni04IiwiSVNTTiI6IjE0NzktNTg2OCIsIlBNSUQiOiIzMTYzOTAwMyIsIlVSTCI6Imh0dHBzOi8vbGluay5zcHJpbmdlci5jb20vYXJ0aWNsZS8xMC4xMTg2L3MxMjk2Ni0wMTktMDg1Ni04IiwiaXNzdWVkIjp7ImRhdGUtcGFydHMiOltbMjAxOSwxMCwyMV1dfSwicGFnZSI6Ijg4LSIsImFic3RyYWN0IjoiR2l2ZW4gdGhlIGhpZ2ggZ2xvYmFsIHByZXZhbGVuY2Ugb2YgcGh5c2ljYWwgaW5hY3Rpdml0eSwgdGhlcmUgaXMgYSBuZWVkIHRvIGRlc2lnbiBjaXRpZXMgdGhhdCBzdXBwb3J0IGFjdGl2ZSBtb2RlcyBvZiB0cmFuc3BvcnRhdGlvbi4gSGlnaCBkZW5zaXR5IGRpdmVyc2UgbmVpZ2hib3Job29kcyB3aXRoIGdvb2QgYWNjZXNzIG5ldHdvcmtzIGhhdmUgYmVlbiBhc3NvY2lhdGVkIHdpdGggZW5oYW5jZWQgd2Fsa2luZyBhbmQgY3ljbGluZywgYnV0IHRoZXJlIGlzIGEgbGFjayBvZiBsYXJnZS1zY2FsZSBsb25naXR1ZGluYWwgc3R1ZGllcyB1dGlsaXppbmcgYSBsaWZlIGNvdXJzZSBwZXJzcGVjdGl2ZSB0byBtb2RlbCByZXNpZGVudGlhbCByZWxvY2F0aW9uIHRyYWplY3Rvcmllcy4gVGhlIG9iamVjdGl2ZXMgb2YgdGhlIHByZXNlbnQgbG9uZ2l0dWRpbmFsIHN0dWR5IHdlcmUgdG8gbW9kZWwgYW5kIHZpc3VhbGl6ZSByZXNpZGVudGlhbCByZWxvY2F0aW9uIHRyYWplY3RvcmllcyBiZXR3ZWVuIDMxIGFuZCA0NuKAiXllYXJzIG9mIGFnZSBiYXNlZCBvbiBuZWlnaGJvcmhvb2QgZGVuc2l0eSwgbWl4ZWQgbGFuZCB1c2UgYW5kIGFjY2VzcyBuZXR3b3JrcyAoRE1BKSwgYW5kIHRvIGFzc2VzcyBuZWlnaGJvcmhvb2QgRE1BIGFzIGEgcHJlZGljdG9yIG9mIHNlbGYtcmVwb3J0ZWQgcmVndWxhciB3YWxraW5nIGFuZCBjeWNsaW5nIGFuZCBvYmplY3RpdmVseSBtZWFzdXJlZCBwaHlzaWNhbCBhY3Rpdml0eS4gQmFzZWQgb24gZGF0YSBmcm9tIHRoZSBOb3J0aGVybiBGaW5sYW5kIEJpcnRoIENvaG9ydCAxOTY2IChOJm5ic3A7PeKAiTU5NDcpLCB3ZSB1c2VkIHNlbGYtcmVwb3J0ZWQgcmVndWxhciB3YWxraW5nIGFuZCBjeWNsaW5nIGFuZCBvYmplY3RpdmVseSBtZWFzdXJlZCBwaHlzaWNhbCBhY3Rpdml0eSBhcyBvdXRjb21lIHZhcmlhYmxlcyBhbmQgb2JqZWN0aXZlbHkgYXNzZXNzZWQgbmVpZ2hib3Job29kIERNQSBhcyB0aGUgbWFpbiBleHBsYW5hdG9yeSB2YXJpYWJsZS4gV2UgY29uZHVjdGVkIHNlcXVlbmNlIGFuYWx5c2lzIHRvIG1vZGVsIHJlc2lkZW50aWFsIHJlbG9jYXRpb24gdHJhamVjdG9yaWVzLCBhbmQgZ2VuZXJhbGl6ZWQgbGluZWFyIG1peGVkIG1vZGVscyBhbmQgRmlzaGVy4oCZcyBleGFjdCB0ZXN0IHdlcmUgdXNlZCB0byBleHBsb3JlIGxvbmdpdHVkaW5hbCBhc3NvY2lhdGlvbnMgYmV0d2VlbiBuZWlnaGJvcmhvb2QgRE1BIGFuZCBwaHlzaWNhbCBhY3Rpdml0eS4gT3ZlciA4MCUgb2YgdGhlIHBhcnRpY2lwYW50cyBsaXZlZCBpbiBhIG5laWdoYm9yaG9vZCB3aXRoIHRoZSBzYW1lIGxldmVsIG9mIG5laWdoYm9yaG9vZCBETUEgZHVyaW5nIHRoZSBmb2xsb3ctdXAuIFJlbG9jYXRpb24gb2NjdXJyZWQgbW9yZSBvZnRlbiBmcm9tIGhpZ2hlciB0byBsb3dlciBETUEgbmVpZ2hib3Job29kcyB0aGFuIHJldmVyc2UuIEluY3JlYXNlZCBuZWlnaGJvcmhvb2QgRE1BIHdhcyBhc3NvY2lhdGVkIHdpdGggaW5jcmVhc2VkIHJlZ3VsYXIgd2Fsa2luZyAoT1IgMS4wMzsgOTUlIENJOiAxLjAwLCAxLjA1OyBwJm5ic3A7PeKAiTAuMDIzKSBhbmQgY3ljbGluZyAoT1IgMS4xNzsgOTUlIENJOiAxLjEyLCAxLjIzOyBwJm5ic3A7Jmx0O+KAiSZuYnNwOzAuMDAxKS4gUmVzaWRlbnRpYWwgcmVsb2NhdGlvbiB0cmFqZWN0b3J5IGZyb20gbG93ZXIgdG8gaGlnaGVzdCBuZWlnaGJvcmhvb2QgRE1BIGluY3JlYXNlZCB0aGUgb2RkcyBvZiBzdGFydGluZyByZWd1bGFyIHdhbGtpbmcgKE9SIDMuMTU7IDk1JSBDSTogMS41MCwgNy4xNDsgcCZuYnNwOz3igIkwLjAwMSkgYW5kIGN5Y2xpbmcgKE9SIDIuNjM7IDk1JSBDSTogMS4yMywgNS43OTsgcCZuYnNwOz3igIkwLjAwOSkgYXMgY29tcGFyZWQgdG8gaGlnaGVyIHRvIGxvd2VyIG5laWdoYm9yaG9vZCBETUEgdHJhamVjdG9yeS4gVGhlIHJlc3VsdHMgc3Ryb25nbHkgc3VwcG9ydCB0aGUgaHlwb3RoZXNpcyB0aGF0IGluY3JlYXNpbmcgdXJiYW4gRE1BIGNhbiBlbmhhbmNlIHJlZ3VsYXIgd2Fsa2luZyBhbmQgY3ljbGluZyBhdCBwb3B1bGF0aW9uIGxldmVsIGFuZCBzbyBpbXByb3ZlIHB1YmxpYyBoZWFsdGguIFRoZSBmaW5kaW5ncyBoYXZlIGltcGxpY2F0aW9ucyBmb3Igem9uaW5nIGFuZCB0cmFuc3BvcnRhdGlvbiBwb2xpY2llcywgZmF2b3JpbmcgdGhlIGNyZWF0aW9uIG9mIGRlbnNlIGFuZCBkaXZlcnNlIG5laWdoYm9yaG9vZHMgd2l0aCBnb29kIGFjY2VzcyBuZXR3b3JrcyB0byBzdXBwb3J0IHJlZ3VsYXIgd2Fsa2luZyBhbmQgY3ljbGluZy4iLCJwdWJsaXNoZXIiOiJCaW9NZWQgQ2VudHJhbCIsImlzc3VlIjoiMSIsInZvbHVtZSI6IjE2IiwiY29udGFpbmVyLXRpdGxlLXNob3J0IjoiIn0sImlzVGVtcG9yYXJ5IjpmYWxzZX0seyJpZCI6ImMyYWNlNDBkLWJlNjQtMzdmNi05NDM3LWQ5NWNmNGQ2ZTdlMCIsIml0ZW1EYXRhIjp7InR5cGUiOiJhcnRpY2xlLWpvdXJuYWwiLCJpZCI6ImMyYWNlNDBkLWJlNjQtMzdmNi05NDM3LWQ5NWNmNGQ2ZTdlMCIsInRpdGxlIjoiV2hpY2ggdHJpcCBkZXN0aW5hdGlvbiBtYXR0ZXJzPyBFc3RpbWF0aW5nIHRoZSBpbmZsdWVuY2Ugb2YgdGhlIGJ1aWx0IGVudmlyb25tZW50IG9uIG1vZGUgY2hvaWNlIGZvciBob21lLWJhc2VkIGNvbXBsZXggdG91cnMiLCJhdXRob3IiOlt7ImZhbWlseSI6IkZhbmciLCJnaXZlbiI6IkppYSIsInBhcnNlLW5hbWVzIjpmYWxzZSwiZHJvcHBpbmctcGFydGljbGUiOiIiLCJub24tZHJvcHBpbmctcGFydGljbGUiOiIifSx7ImZhbWlseSI6IllhbiIsImdpdmVuIjoiWGlhbmciLCJwYXJzZS1uYW1lcyI6ZmFsc2UsImRyb3BwaW5nLXBhcnRpY2xlIjoiIiwibm9uLWRyb3BwaW5nLXBhcnRpY2xlIjoiIn0seyJmYW1pbHkiOiJCZWpsZXJpIiwiZ2l2ZW4iOiJJbGlyIiwicGFyc2UtbmFtZXMiOmZhbHNlLCJkcm9wcGluZy1wYXJ0aWNsZSI6IiIsIm5vbi1kcm9wcGluZy1wYXJ0aWNsZSI6IiJ9LHsiZmFtaWx5IjoiQ2hlbiIsImdpdmVuIjoiQ2hhbmdqaWUiLCJwYXJzZS1uYW1lcyI6ZmFsc2UsImRyb3BwaW5nLXBhcnRpY2xlIjoiIiwibm9uLWRyb3BwaW5nLXBhcnRpY2xlIjoiIn1dLCJjb250YWluZXItdGl0bGUiOiJKb3VybmFsIG9mIFRyYW5zcG9ydCBHZW9ncmFwaHkiLCJjb250YWluZXItdGl0bGUtc2hvcnQiOiJKLiBUcmFuc3AuIEdlb2dyLiIsImFjY2Vzc2VkIjp7ImRhdGUtcGFydHMiOltbMjAyNiw2LDIxXV19LCJET0kiOiIxMC4xMDE2L2ouanRyYW5nZW8uMjAyMi4xMDM0NzQiLCJJU1NOIjoiMDk2Ni02OTIzIiwiVVJMIjoiaHR0cHM6Ly93d3cuc2NpZW5jZWRpcmVjdC5jb20vc2NpZW5jZS9hcnRpY2xlL3BpaS9TMDk2NjY5MjMyMjAwMTk3MT9jYXNhX3Rva2VuPVZCb2tkTnBGZGZvQUFBQUE6bFU5TDFCNXptSFN2aUJrZ3JDbXZHb0hTdVpFazNqOXgyeXYyYU4wdUZEZ0pfWTRfb1pCQjRJNjZEQkM5S0lKUVVOLUZHRUNYdEEiLCJpc3N1ZWQiOnsiZGF0ZS1wYXJ0cyI6W1syMDIyLDEyLDFdXX0sInBhZ2UiOiIxMDM0NzQiLCJhYnN0cmFjdCI6IlRoaXMgc3R1ZHkgaW52ZXN0aWdhdGVzIGhvdyBidWlsdCBlbnZpcm9ubWVudCAoQkUpIGNoYXJhY3RlcmlzdGljcyBhdCB2YXJpb3VzIHRyaXAgZGVzdGluYXRpb25zIG9mIGEgaG9tZS1iYXNlZCB0b3VyIHNoYXBlIHRyYXZlbCBtb2RlIGNob2ljZS4gQSBjb21wbGV4IGhvbWUtYmFzZWQgdG91ciBpbnZvbHZlcyBtdWx0aXBsZSBvdXQtb2YtaG9tZSBkZXN0aW5hdGlvbnMsIGVhY2ggb2Ygd2hpY2ggbWF5IGhhdmUgZGlzdGluY3QgbGFuZC11c2UgcGF0dGVybnMuIE1lYXN1cmluZyB0aGUgQkUgYXQgdmFyaW91cyBkZXN0aW5hdGlvbnMgb2YgYSBjb21wbGV4IHRvdXIgaGFzIGJlZW4gYW4gZW1waXJpY2FsIGNoYWxsZW5nZSBmb3IgdGhlIEJFIGFuZCB0cmF2ZWwgYmVoYXZpb3IgbGl0ZXJhdHVyZS4gRXhpc3Rpbmcgc3R1ZGllcyB1c3VhbGx5IGZvY3VzIG9uIHRoZSBCRSBhdCB0aGUgbWFpbiBkZXN0aW5hdGlvbiBvZiBhIHRvdXIsIHBheWluZyBsaXR0bGUgYXR0ZW50aW9uIHRvIGhvdyBCRSBhdHRyaWJ1dGVzIGF0IG90aGVyIGRlc3RpbmF0aW9ucyBvZiB0aGUgdG91ciBzaGFwZSB0cmF2ZWwgYmVoYXZpb3IuIFRoaXMgc3R1ZHkgYWRkcmVzc2VzIHRoaXMgaXNzdWUgYnkgZXhhbWluaW5nIGhvdyBhbmQgdG8gd2hhdCBleHRlbnQgZGlmZmVyZW50IG1lYXN1cmVtZW50cyBvZiB0aGUgQkUgYXQgZGVzdGluYXRpb25zIGFzc29jaWF0ZWQgd2l0aCBhIGNvbXBsZXggaG9tZS1iYXNlZCB0b3VyIGluZmx1ZW5jZSB0aGUgZXN0aW1hdGlvbiBvZiB0cmF2ZWwgbW9kZSBjaG9pY2UuIFdlIGNvbXBhcmUgdGhlIG1lYXN1cmVtZW50IG9mIHRoZSBCRSBhdCB0aHJlZSBkaWZmZXJlbnQgdHJpcCBkZXN0aW5hdGlvbiBjYXRlZ29yaWVzOiAxKSB0aGUgZGVzdGluYXRpb24gd2l0aCB0aGUgbWFpbiBhY3Rpdml0eSAoaS5lLiwgd29ya3BsYWNlcyksIHdoaWNoIGlzIHRoZSBkb21pbmF0aW5nIGFwcHJvYWNoIGFwcGxpZWQgaW4gdGhlIGV4aXN0aW5nIGxpdGVyYXR1cmUsIDIpIHRoZSBkZXN0aW5hdGlvbiB3aXRoIHRoZSBsZWFzdCBjb21wYWN0IEJFLCBhbmQgMykgYWxsIGRlc3RpbmF0aW9ucyBvZiBhIHRvdXIsIHdpdGggdGhlaXIgQkUgdmFyaWFibGVzIGJlaW5nIGF2ZXJhZ2VkLiBPdXIgcmVzdWx0cyByZXZlYWwgdGhhdCBCRSBjaGFyYWN0ZXJpc3RpY3MgYXQgdGhlIGRlc3RpbmF0aW9uIHdpdGggdGhlIGxlYXN0IGNvbXBhY3QgQkUgaGFzIHRoZSBzdHJvbmdlc3QgZXhwbGFuYXRvcnkgcG93ZXIgaW4gZXN0aW1hdGluZyBpbmRpdmlkdWFscycgbW9kZSBjaG9pY2UgZm9yIGhvbWUtYmFzZWQgbm9uLXdvcmsgdG91cnMuIEZvciBob21lLWJhc2VkIHdvcmsgdG91cnMsIEJFIHZhcmlhYmxlcyBhdCB0aGUgbWFpbiBkZXN0aW5hdGlvbiBoYXZlIHRoZSBoaWdoZXN0IGltcGFjdCBvbiBpbmRpdmlkdWFscycgbW9kZSBjaG9pY2UuIEluIGFkZGl0aW9uLCB0cmF2ZWxlcnMnIG1vZGUgY2hvaWNlIGZvciBhIHRvdXIsIGVzcGVjaWFsbHkgdGhlaXIgdXNlIG9mIHB1YmxpYyB0cmFuc2l0LCBpcyBzdHJvbmdseSBpbmZsdWVuY2VkIGJ5IHRoZSBkZXN0aW5hdGlvbiB3aXRoIHRoZSBsZWFzdCBjb21wYWN0IEJFLiIsInB1Ymxpc2hlciI6IlBlcmdhbW9uIiwidm9sdW1lIjoiMTA1In0sImlzVGVtcG9yYXJ5IjpmYWxzZX1dfQ==&quot;,&quot;citationItems&quot;:[{&quot;id&quot;:&quot;fb54f1ed-0ab0-3a24-9c83-b7c7366b87f1&quot;,&quot;itemData&quot;:{&quot;type&quot;:&quot;article-journal&quot;,&quot;id&quot;:&quot;fb54f1ed-0ab0-3a24-9c83-b7c7366b87f1&quot;,&quot;title&quot;:&quot;Residential relocation trajectories and neighborhood density, mixed land use and access networks as predictors of walking and bicycling in the Northern Finland Birth Cohort 1966&quot;,&quot;author&quot;:[{&quot;family&quot;:&quot;Kärmeniemi&quot;,&quot;given&quot;:&quot;Mikko&quot;,&quot;parse-names&quot;:false,&quot;dropping-particle&quot;:&quot;&quot;,&quot;non-dropping-particle&quot;:&quot;&quot;},{&quot;family&quot;:&quot;Lankila&quot;,&quot;given&quot;:&quot;Tiina&quot;,&quot;parse-names&quot;:false,&quot;dropping-particle&quot;:&quot;&quot;,&quot;non-dropping-particle&quot;:&quot;&quot;},{&quot;family&quot;:&quot;Ikäheimo&quot;,&quot;given&quot;:&quot;Tiina&quot;,&quot;parse-names&quot;:false,&quot;dropping-particle&quot;:&quot;&quot;,&quot;non-dropping-particle&quot;:&quot;&quot;},{&quot;family&quot;:&quot;Puhakka&quot;,&quot;given&quot;:&quot;Soile&quot;,&quot;parse-names&quot;:false,&quot;dropping-particle&quot;:&quot;&quot;,&quot;non-dropping-particle&quot;:&quot;&quot;},{&quot;family&quot;:&quot;Niemelä&quot;,&quot;given&quot;:&quot;Maisa&quot;,&quot;parse-names&quot;:false,&quot;dropping-particle&quot;:&quot;&quot;,&quot;non-dropping-particle&quot;:&quot;&quot;},{&quot;family&quot;:&quot;Jämsä&quot;,&quot;given&quot;:&quot;Timo&quot;,&quot;parse-names&quot;:false,&quot;dropping-particle&quot;:&quot;&quot;,&quot;non-dropping-particle&quot;:&quot;&quot;},{&quot;family&quot;:&quot;Koivumaa-Honkanen&quot;,&quot;given&quot;:&quot;Heli&quot;,&quot;parse-names&quot;:false,&quot;dropping-particle&quot;:&quot;&quot;,&quot;non-dropping-particle&quot;:&quot;&quot;},{&quot;family&quot;:&quot;Korpelainen&quot;,&quot;given&quot;:&quot;Raija&quot;,&quot;parse-names&quot;:false,&quot;dropping-particle&quot;:&quot;&quot;,&quot;non-dropping-particle&quot;:&quot;&quot;}],&quot;container-title&quot;:&quot;International Journal of Behavioral Nutrition and Physical Activity 2019 16:1&quot;,&quot;accessed&quot;:{&quot;date-parts&quot;:[[2026,6,21]]},&quot;DOI&quot;:&quot;10.1186/S12966-019-0856-8&quot;,&quot;ISSN&quot;:&quot;1479-5868&quot;,&quot;PMID&quot;:&quot;31639003&quot;,&quot;URL&quot;:&quot;https://link.springer.com/article/10.1186/s12966-019-0856-8&quot;,&quot;issued&quot;:{&quot;date-parts&quot;:[[2019,10,21]]},&quot;page&quot;:&quot;88-&quot;,&quot;abstract&quot;:&quot;Given the high global prevalence of physical inactivity, there is a need to design cities that support active modes of transportation. High density diverse neighborhoods with good access networks have been associated with enhanced walking and cycling, but there is a lack of large-scale longitudinal studies utilizing a life course perspective to model residential relocation trajectories. The objectives of the present longitudinal study were to model and visualize residential relocation trajectories between 31 and 46 years of age based on neighborhood density, mixed land use and access networks (DMA), and to assess neighborhood DMA as a predictor of self-reported regular walking and cycling and objectively measured physical activity. Based on data from the Northern Finland Birth Cohort 1966 (N&amp;nbsp;= 5947), we used self-reported regular walking and cycling and objectively measured physical activity as outcome variables and objectively assessed neighborhood DMA as the main explanatory variable. We conducted sequence analysis to model residential relocation trajectories, and generalized linear mixed models and Fisher’s exact test were used to explore longitudinal associations between neighborhood DMA and physical activity. Over 80% of the participants lived in a neighborhood with the same level of neighborhood DMA during the follow-up. Relocation occurred more often from higher to lower DMA neighborhoods than reverse. Increased neighborhood DMA was associated with increased regular walking (OR 1.03; 95% CI: 1.00, 1.05; p&amp;nbsp;= 0.023) and cycling (OR 1.17; 95% CI: 1.12, 1.23; p&amp;nbsp;&amp;lt; &amp;nbsp;0.001). Residential relocation trajectory from lower to highest neighborhood DMA increased the odds of starting regular walking (OR 3.15; 95% CI: 1.50, 7.14; p&amp;nbsp;= 0.001) and cycling (OR 2.63; 95% CI: 1.23, 5.79; p&amp;nbsp;= 0.009) as compared to higher to lower neighborhood DMA trajectory. The results strongly support the hypothesis that increasing urban DMA can enhance regular walking and cycling at population level and so improve public health. The findings have implications for zoning and transportation policies, favoring the creation of dense and diverse neighborhoods with good access networks to support regular walking and cycling.&quot;,&quot;publisher&quot;:&quot;BioMed Central&quot;,&quot;issue&quot;:&quot;1&quot;,&quot;volume&quot;:&quot;16&quot;,&quot;container-title-short&quot;:&quot;&quot;},&quot;isTemporary&quot;:false},{&quot;id&quot;:&quot;c2ace40d-be64-37f6-9437-d95cf4d6e7e0&quot;,&quot;itemData&quot;:{&quot;type&quot;:&quot;article-journal&quot;,&quot;id&quot;:&quot;c2ace40d-be64-37f6-9437-d95cf4d6e7e0&quot;,&quot;title&quot;:&quot;Which trip destination matters? Estimating the influence of the built environment on mode choice for home-based complex tours&quot;,&quot;author&quot;:[{&quot;family&quot;:&quot;Fang&quot;,&quot;given&quot;:&quot;Jia&quot;,&quot;parse-names&quot;:false,&quot;dropping-particle&quot;:&quot;&quot;,&quot;non-dropping-particle&quot;:&quot;&quot;},{&quot;family&quot;:&quot;Yan&quot;,&quot;given&quot;:&quot;Xiang&quot;,&quot;parse-names&quot;:false,&quot;dropping-particle&quot;:&quot;&quot;,&quot;non-dropping-particle&quot;:&quot;&quot;},{&quot;family&quot;:&quot;Bejleri&quot;,&quot;given&quot;:&quot;Ilir&quot;,&quot;parse-names&quot;:false,&quot;dropping-particle&quot;:&quot;&quot;,&quot;non-dropping-particle&quot;:&quot;&quot;},{&quot;family&quot;:&quot;Chen&quot;,&quot;given&quot;:&quot;Changjie&quot;,&quot;parse-names&quot;:false,&quot;dropping-particle&quot;:&quot;&quot;,&quot;non-dropping-particle&quot;:&quot;&quot;}],&quot;container-title&quot;:&quot;Journal of Transport Geography&quot;,&quot;container-title-short&quot;:&quot;J. Transp. Geogr.&quot;,&quot;accessed&quot;:{&quot;date-parts&quot;:[[2026,6,21]]},&quot;DOI&quot;:&quot;10.1016/j.jtrangeo.2022.103474&quot;,&quot;ISSN&quot;:&quot;0966-6923&quot;,&quot;URL&quot;:&quot;https://www.sciencedirect.com/science/article/pii/S0966692322001971?casa_token=VBokdNpFdfoAAAAA:lU9L1B5zmHSviBkgrCmvGoHSuZEk3j9x2yv2aN0uFDgJ_Y4_oZBB4I66DBC9KIJQUN-FGECXtA&quot;,&quot;issued&quot;:{&quot;date-parts&quot;:[[2022,12,1]]},&quot;page&quot;:&quot;103474&quot;,&quot;abstract&quot;:&quot;This study investigates how built environment (BE) characteristics at various trip destinations of a home-based tour shape travel mode choice. A complex home-based tour involves multiple out-of-home destinations, each of which may have distinct land-use patterns. Measuring the BE at various destinations of a complex tour has been an empirical challenge for the BE and travel behavior literature. Existing studies usually focus on the BE at the main destination of a tour, paying little attention to how BE attributes at other destinations of the tour shape travel behavior. This study addresses this issue by examining how and to what extent different measurements of the BE at destinations associated with a complex home-based tour influence the estimation of travel mode choice. We compare the measurement of the BE at three different trip destination categories: 1) the destination with the main activity (i.e., workplaces), which is the dominating approach applied in the existing literature, 2) the destination with the least compact BE, and 3) all destinations of a tour, with their BE variables being averaged. Our results reveal that BE characteristics at the destination with the least compact BE has the strongest explanatory power in estimating individuals' mode choice for home-based non-work tours. For home-based work tours, BE variables at the main destination have the highest impact on individuals' mode choice. In addition, travelers' mode choice for a tour, especially their use of public transit, is strongly influenced by the destination with the least compact BE.&quot;,&quot;publisher&quot;:&quot;Pergamon&quot;,&quot;volume&quot;:&quot;105&quot;},&quot;isTemporary&quot;:false}]},{&quot;citationID&quot;:&quot;MENDELEY_CITATION_e47a331a-b3d8-4328-b3a1-d6ed5e3ea91a&quot;,&quot;properties&quot;:{&quot;noteIndex&quot;:0},&quot;isEdited&quot;:false,&quot;manualOverride&quot;:{&quot;isManuallyOverridden&quot;:true,&quot;citeprocText&quot;:&quot;(Caspi et al., 2020; Ghaffar et al., 2023; Millard-Ball et al., 2025)&quot;,&quot;manualOverrideText&quot;:&quot;Caspi et al., 2020; Ghaffar et al., 2023; Millard-Ball et al., 2025)&quot;},&quot;citationTag&quot;:&quot;MENDELEY_CITATION_v3_eyJjaXRhdGlvbklEIjoiTUVOREVMRVlfQ0lUQVRJT05fZTQ3YTMzMWEtYjNkOC00MzI4LWIzYTEtZDZlZDVlM2VhOTFhIiwicHJvcGVydGllcyI6eyJub3RlSW5kZXgiOjB9LCJpc0VkaXRlZCI6ZmFsc2UsIm1hbnVhbE92ZXJyaWRlIjp7ImlzTWFudWFsbHlPdmVycmlkZGVuIjp0cnVlLCJjaXRlcHJvY1RleHQiOiIoQ2FzcGkgZXQgYWwuLCAyMDIwOyBHaGFmZmFyIGV0IGFsLiwgMjAyMzsgTWlsbGFyZC1CYWxsIGV0IGFsLiwgMjAyNSkiLCJtYW51YWxPdmVycmlkZVRleHQiOiJDYXNwaSBldCBhbC4sIDIwMjA7IEdoYWZmYXIgZXQgYWwuLCAyMDIzOyBNaWxsYXJkLUJhbGwgZXQgYWwuLCAyMDI1KSJ9LCJjaXRhdGlvbkl0ZW1zIjpbeyJpZCI6ImY1MDBlMzQ2LTBlY2YtM2JjNy1hMWU3LTVlN2VkMGU2NmIzZCIsIml0ZW1EYXRhIjp7InR5cGUiOiJhcnRpY2xlLWpvdXJuYWwiLCJpZCI6ImY1MDBlMzQ2LTBlY2YtM2JjNy1hMWU3LTVlN2VkMGU2NmIzZCIsInRpdGxlIjoiTWV0YS1hbmFseXNpcyBvZiBzaGFyZWQgbWljcm9tb2JpbGl0eSByaWRlcnNoaXAgZGV0ZXJtaW5hbnRzIiwiYXV0aG9yIjpbeyJmYW1pbHkiOiJHaGFmZmFyIiwiZ2l2ZW4iOiJBcmFzaCIsInBhcnNlLW5hbWVzIjpmYWxzZSwiZHJvcHBpbmctcGFydGljbGUiOiIiLCJub24tZHJvcHBpbmctcGFydGljbGUiOiIifSx7ImZhbWlseSI6Ikh5bGFuZCIsImdpdmVuIjoiTWljaGFlbCIsInBhcnNlLW5hbWVzIjpmYWxzZSwiZHJvcHBpbmctcGFydGljbGUiOiIiLCJub24tZHJvcHBpbmctcGFydGljbGUiOiIifSx7ImZhbWlseSI6IlNhcGhvcmVzIiwiZ2l2ZW4iOiJKZWFuIERhbmllbCIsInBhcnNlLW5hbWVzIjpmYWxzZSwiZHJvcHBpbmctcGFydGljbGUiOiIiLCJub24tZHJvcHBpbmctcGFydGljbGUiOiIifV0sImNvbnRhaW5lci10aXRsZSI6IlRyYW5zcG9ydGF0aW9uIFJlc2VhcmNoIFBhcnQgRDogVHJhbnNwb3J0IGFuZCBFbnZpcm9ubWVudCIsImFjY2Vzc2VkIjp7ImRhdGUtcGFydHMiOltbMjAyNiw2LDIzXV19LCJET0kiOiIxMC4xMDE2L2oudHJkLjIwMjMuMTAzODQ3IiwiSVNTTiI6IjEzNjEtOTIwOSIsIlVSTCI6Imh0dHBzOi8vd3d3LnNjaWVuY2VkaXJlY3QuY29tL3NjaWVuY2UvYXJ0aWNsZS9waWkvUzEzNjE5MjA5MjMwMDI0NDQiLCJpc3N1ZWQiOnsiZGF0ZS1wYXJ0cyI6W1syMDIzLDgsMV1dfSwicGFnZSI6IjEwMzg0NyIsImFic3RyYWN0IjoiU2hhcmVkIG1pY3JvbW9iaWxpdHkgKFPOvE0p4oCUc2hhcmVkIGUtc2Nvb3RlcnMgYW5kIChlLSliaWtlc+KAlG9mZmVyIG1vZGVyYXRlLXNwZWVkLCBzcGFjZS1lZmZpY2llbnQsIGFuZCBjYXJib24tbGlnaHQgbW9iaWxpdHksIHByb21vdGluZyBlbnZpcm9ubWVudGFsIHN1c3RhaW5hYmlsaXR5IGFuZCBoZWFsdGh5IHRyYXZlbC4gU868TSBiZW5lZml0cyBhbmQgU868TSBkYXRhIGF2YWlsYWJpbGl0eSBoYXZlIGZ1ZWxlZCBhIGdyb3dpbmcgbGl0ZXJhdHVyZSB0aGF0IGFuYWx5c2VzIFPOvE0gcmlkZXJzaGlwLiBXZSBwcmVzZW50IGEgbWV0YS1hbmFseXNpcyBvZiAyOSBzdHVkaWVzIHRoYXQgZXN0aW1hdGUgc3RhdGlzdGljYWwgbW9kZWxzIG9mIHpvbmUtIG9yIHN0YXRpb24tYmFzZWQgU868TSB0cmlwIGNvdW50cywgaW5jbHVkaW5nIDIyIHRoYXQgZXhhbWluZSBzdGF0aW9uLWJhc2VkIGJpa2VzaGFyZSBzeXN0ZW1zLiBUaGUgbWV0YS1hbmFseXNpcyByZXZlYWxzIHBvc2l0aXZlIGVsYXN0aWNpdGllcyBiZXR3ZWVuIFPOvE0gdXNhZ2UgYW5kIHBvcHVsYXRpb24gZGVuc2l0eSAobWVkaWFuIGVsYXN0aWNpdHkgb2YgMC4xNiksIGVtcGxveW1lbnQgZGVuc2l0eSAoMC4wNyksIG1lZGlhbiBob3VzZWhvbGQgaW5jb21lICgwLjMzKSwgYnVzIHN0b3BzICgwLjEyKSwgbWV0cm8gc3RhdGlvbnMgKDAuMTcpLCBiaWtlIGluZnJhc3RydWN0dXJlICgwLjA5KSwgYW5kIG5lYXJieSBzdGF0aW9uIGNhcGFjaXR5ICgwLjMyKS4gSW4gY29udHJhc3QsIHN0YXRpb24gZWxldmF0aW9uIGhhcyBhIG5lZ2F0aXZlIGVsYXN0aWNpdHkuIFRoZXNlIG1hZ25pdHVkZXMgY2FuIGluZm9ybSBTzrxNIHByb3ZpZGVycyBhbmQgdHJhbnNwb3J0YXRpb24gcGxhbm5lcnMgc2Vla2luZyB0byBwbGFuL2Rlc2lnbiBTzrxNIHN5c3RlbXMgdG8gcHJvbW90ZSBlbnZpcm9ubWVudGFsbHkgc3VzdGFpbmFibGUgdHJhdmVsLiBBZGRpdGlvbmFsbHksIHdlIGNyaXRpcXVlIHRoZSBleGlzdGluZyBsaXRlcmF0dXJlJ3MgZmFpbHVyZSB0byAoaSkgY2FwdHVyZSBzcGF0aWFsIGRlcGVuZGVuY2llcywgYW5kIChpaSkgZGlzY3VzcyB0aGUgcHJhY3RpY2FsIGltcGxpY2F0aW9ucyBvZiBtb2RlbCBwYXJhbWV0ZXJzLiBGaW5hbGx5LCB3ZSBpZGVudGlmeSB0aGVtZXMgZm9yIGZ1dHVyZSByZXNlYXJjaC4iLCJwdWJsaXNoZXIiOiJQZXJnYW1vbiIsInZvbHVtZSI6IjEyMSIsImNvbnRhaW5lci10aXRsZS1zaG9ydCI6IlRyYW5zcC4gUmVzLiBEIFRyYW5zcC4gRW52aXJvbi4ifSwiaXNUZW1wb3JhcnkiOmZhbHNlfSx7ImlkIjoiMjkxNGJhMDItNGYxMy0zYmUxLWIyYzQtNWU5MjIyY2MzZjE2IiwiaXRlbURhdGEiOnsidHlwZSI6ImFydGljbGUtam91cm5hbCIsImlkIjoiMjkxNGJhMDItNGYxMy0zYmUxLWIyYzQtNWU5MjIyY2MzZjE2IiwidGl0bGUiOiJTcGF0aWFsIGFzc29jaWF0aW9ucyBvZiBkb2NrbGVzcyBzaGFyZWQgZS1zY29vdGVyIHVzYWdlIiwiYXV0aG9yIjpbeyJmYW1pbHkiOiJDYXNwaSIsImdpdmVuIjoiT3IiLCJwYXJzZS1uYW1lcyI6ZmFsc2UsImRyb3BwaW5nLXBhcnRpY2xlIjoiIiwibm9uLWRyb3BwaW5nLXBhcnRpY2xlIjoiIn0seyJmYW1pbHkiOiJTbWFydCIsImdpdmVuIjoiTWljaGFlbCBKLiIsInBhcnNlLW5hbWVzIjpmYWxzZSwiZHJvcHBpbmctcGFydGljbGUiOiIiLCJub24tZHJvcHBpbmctcGFydGljbGUiOiIifSx7ImZhbWlseSI6Ik5vbGFuZCIsImdpdmVuIjoiUm9iZXJ0IEIuIiwicGFyc2UtbmFtZXMiOmZhbHNlLCJkcm9wcGluZy1wYXJ0aWNsZSI6IiIsIm5vbi1kcm9wcGluZy1wYXJ0aWNsZSI6IiJ9XSwiY29udGFpbmVyLXRpdGxlIjoiVHJhbnNwb3J0YXRpb24gUmVzZWFyY2ggUGFydCBEOiBUcmFuc3BvcnQgYW5kIEVudmlyb25tZW50IiwiY29udGFpbmVyLXRpdGxlLXNob3J0IjoiVHJhbnNwLiBSZXMuIEQgVHJhbnNwLiBFbnZpcm9uLiIsIkRPSSI6IjEwLjEwMTYvai50cmQuMjAyMC4xMDIzOTYiLCJJU1NOIjoiMTM2MTkyMDkiLCJpc3N1ZWQiOnsiZGF0ZS1wYXJ0cyI6W1syMDIwLDksMV1dfSwiYWJzdHJhY3QiOiJJbiB0aGlzIHN0dWR5LCB3ZSBleHBsb3JlIHRoZSB1c2FnZSBvZiBlLXNjb290ZXIgc2hhcmluZyBzZXJ2aWNlcyBpbiBBdXN0aW4sIFRleGFzIG92ZXIgYWJvdXQgYSBzaXgtbW9udGggcGVyaW9kLiBUaGUgc3R1ZHkgaXMgYmFzZWQgb24gdHJpcCByZWNvcmRzIG9mIGFsbCB0aGUgc2hhcmVkIGUtc2Nvb3RlciBvcGVyYXRvcnMgaW4gQXVzdGluIGFuZCBpbmNsdWRlcyB0cmlwIHN0YXJ0IGFuZCBlbmQgbG9jYXRpb25zLiBXZSB1c2UgYm90aCBhbmFseXNpcyBvZiB0cmlwIHBhdHRlcm5zIGFuZCBzcGF0aWFsIHJlZ3Jlc3Npb24gdGVjaG5pcXVlcyB0byBleGFtaW5lIGhvdyB0aGUgYnVpbHQgZW52aXJvbm1lbnQsIGxhbmQgdXNlLCBhbmQgZGVtb2dyYXBoaWNzIGFmZmVjdCBlLXNjb290ZXIgdHJpcCBnZW5lcmF0aW9uLiBPdXIgZmluZGluZ3Mgc2hvdyB0aGF0IHBlb3BsZSB1c2UgZS1zY29vdGVycyBhbG1vc3QgZXhjbHVzaXZlbHkgaW4gY2VudHJhbCBBdXN0aW4uIENvbW11dGluZyBkb2VzIG5vdCBzZWVtIHRvIGJlIHRoZSBtYWluIHRyaXAgcHVycG9zZSwgYW5kIHVzYWdlIG9mIGUtc2Nvb3RlcnMgaXMgYXNzb2NpYXRlZCB3aXRoIGFyZWFzIHdpdGggaGlnaCBlbXBsb3ltZW50IHJhdGVzLCBhbmQgaW4gYXJlYXMgd2l0aCBiaWN5Y2xlIGluZnJhc3RydWN0dXJlLiBQZW9wbGUgdXNlIGUtc2Nvb3RlciBzaGFyaW5nIHJlZ2FyZGxlc3Mgb2YgdGhlIGFmZmx1ZW5jZSBvZiB0aGUgbmVpZ2hib3Job29kLCBhbHRob3VnaCBsZXNzIGFmZmx1ZW50IGFyZWFzIHdpdGggaGlnaCB1c2FnZSByYXRlcyBoYXZlIGxhcmdlIHN0dWRlbnQgcG9wdWxhdGlvbnMsIHN1Z2dlc3RpbmcgdGhhdCBzdHVkZW50cyB1c2UgdGhpcyBtb2RlIG9mIHRyYXZlbC4gSW1wbGljYXRpb25zIGZvciBwbGFubmVycyBzdWdnZXN0IHRoYXQgYmV0dGVyIGJpY3ljbGUgaW5mcmFzdHJ1Y3R1cmUgd2lsbCBmYWNpbGl0YXRlIGUtc2Nvb3RlciB1c2FnZSwgY29sbGVnZSB0b3ducyBhcmUgYSByZWFkeSBtYXJrZXQgZm9yIGUtc2Nvb3RlciBzaGFyaW5nIHNlcnZpY2VzLCBhbmQgZS1zY29vdGVycyBtYXkgYmUgYSBzdWJzdGl0dXRlIGZvciBzb21lIHNob3J0IG5vbi13b3JrIHRyaXBzLCByZWR1Y2luZyBjYXIgdXNhZ2UsIGFuZCBiZW5lZml0aW5nIHRoZSBlbnZpcm9ubWVudC4iLCJwdWJsaXNoZXIiOiJFbHNldmllciBMdGQiLCJ2b2x1bWUiOiI4NiJ9LCJpc1RlbXBvcmFyeSI6ZmFsc2V9LHsiaWQiOiI0ZmM1ODM4MS0wMGNlLTNhYmYtOTMxOS1mN2Y5YTE3YzVhY2MiLCJpdGVtRGF0YSI6eyJ0eXBlIjoiYXJ0aWNsZS1qb3VybmFsIiwiaWQiOiI0ZmM1ODM4MS0wMGNlLTNhYmYtOTMxOS1mN2Y5YTE3YzVhY2MiLCJ0aXRsZSI6Ikdsb2JhbCBoZWFsdGggYW5kIGNsaW1hdGUgYmVuZWZpdHMgZnJvbSB3YWxraW5nIGFuZCBjeWNsaW5nIGluZnJhc3RydWN0dXJlIiwiYXV0aG9yIjpbeyJmYW1pbHkiOiJNaWxsYXJkLUJhbGwiLCJnaXZlbiI6IkFkYW0iLCJwYXJzZS1uYW1lcyI6ZmFsc2UsImRyb3BwaW5nLXBhcnRpY2xlIjoiIiwibm9uLWRyb3BwaW5nLXBhcnRpY2xlIjoiIn0seyJmYW1pbHkiOiJSZWdpbmFsZCIsImdpdmVuIjoiTW9uaXNoYSIsInBhcnNlLW5hbWVzIjpmYWxzZSwiZHJvcHBpbmctcGFydGljbGUiOiIiLCJub24tZHJvcHBpbmctcGFydGljbGUiOiIifSx7ImZhbWlseSI6Ill1c3VmIiwiZ2l2ZW4iOiJZYXNtaW5hIiwicGFyc2UtbmFtZXMiOmZhbHNlLCJkcm9wcGluZy1wYXJ0aWNsZSI6IiIsIm5vbi1kcm9wcGluZy1wYXJ0aWNsZSI6IiJ9LHsiZmFtaWx5IjoiQmlhbiIsImdpdmVuIjoiQ2hyaXN0b3BoZXI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kRPSSI6IjEwLjEwNzMvcG5hcy4yNDIyMzM0MTIyIiwiSVNTTiI6IjEwOTE2NDkwIiwiUE1JRCI6IjQwNDg5NjE1IiwiaXNzdWVkIjp7ImRhdGUtcGFydHMiOltbMjAyNSw2LDE3XV19LCJhYnN0cmFjdCI6IldlIHVzZSBhIGdsb2JhbGx5IGNvbnNpc3RlbnQgZGF0YXNldOKAlEdvb2dsZSBFbnZpcm9ubWVudGFsIEluc2lnaHRzIEV4cGxvcmVy4oCUdG8gcXVhbnRpZnkgaG93IHVyYmFuIGZvcm0gYW5kIHRyYW5zcG9ydCBpbmZyYXN0cnVjdHVyZSBhZmZlY3Qgd2Fsa2luZyBhbmQgY3ljbGluZyByYXRlcyBpbiAxMSw1ODcgY2l0aWVzIGZyb20gMTIxIGNvdW50cmllcyBhY3Jvc3Mgc2l4IGNvbnRpbmVudHMuIEF0IHRoZSBjaXR5IGxldmVsLCBwb3B1bGF0aW9uIGRlbnNpdHkgaGFzIHRoZSBsYXJnZXN0IGVmZmVjdCBvbiB3YWxrIG1vZGUgc2hhcmUgYW5kIGhhcyBhIHBvc2l0aXZlIGltcGFjdCBvbiBjeWNsaW5nIHRvbywgYXMgaGlnaGVyIGRlbnNpdGllcyBicmluZyBkZXN0aW5hdGlvbnMgd2l0aGluIGZlYXNpYmxlIHdhbGsgYW5kIGN5Y2xlIGRpc3RhbmNlcy4gRGVuc2l0eSBoYXMgdGhlIHN0cm9uZ2VzdCBlZmZlY3RzIGluIHdlYWx0aGllciBjb3VudHJpZXMgd2hlcmUgdHJhdmVsZXJzIG9mdGVuIGhhdmUgbW9yZSB0cmF2ZWwgY2hvaWNlcywgd2hpbGUgaW4gbG93ZXItaW5jb21lIHBsYWNlcywgd2Fsa2luZyBhbmQgY3ljbGluZyBtYXkgYmUgcHJpbWFyaWx5IGRyaXZlbiBieSBmaW5hbmNpYWwgY29uc3RyYWludHMuIFdlIGFsc28gZmluZCBwb3NpdGl2ZSBlZmZlY3RzIG9mIGJpY3ljbGUgbGFuZXMgKHByb3h5aW5nIGZvciBhIHdpZGVyIGFycmF5IG9mIHN0cmVldCBkZXNpZ24gcHJhY3RpY2VzKSBvbiBib3RoIHdhbGtpbmcgYW5kIGN5Y2xpbmcuIEluIHRoZSBtZWRpYW4gY2l0eSwgZWFjaCBuZXcga20gb2YgYmljeWNsZSBsYW5lcyBpcyBhc3NvY2lhdGVkIHdpdGggfjEzLDQwMCBhZGRpdGlvbmFsIGttIHlyLTEgb2YgYmljeWNsZSB0cmF2ZWwuIElmIGV2ZXJ5IGNpdHkgaW5jcmVhc2VkIHRoZSBleHRlbnQgb2YgaXRzIGJpY3ljbGUgbmV0d29yayB0byB0aGUgbGV2ZWwgb2YgQ29wZW5oYWdlbiwgRGVubWFyaywgb3VyIHNpbXVsYXRpb25zIGluZGljYXRlIHJlZHVjdGlvbnMgaW4gcHJpdmF0ZSB2ZWhpY2xlIGVtaXNzaW9ucyBvZiB+NiUgYW5kIGhlYWx0aCBiZW5lZml0cyBvZiB+VVMkNDM1IGJpbGxpb24gcGVyIHllYXIuIiwicHVibGlzaGVyIjoiTmF0aW9uYWwgQWNhZGVteSBvZiBTY2llbmNlcyIsImlzc3VlIjoiMjQiLCJ2b2x1bWUiOiIxMjIifSwiaXNUZW1wb3JhcnkiOmZhbHNlfV19&quot;,&quot;citationItems&quot;:[{&quot;id&quot;:&quot;f500e346-0ecf-3bc7-a1e7-5e7ed0e66b3d&quot;,&quot;itemData&quot;:{&quot;type&quot;:&quot;article-journal&quot;,&quot;id&quot;:&quot;f500e346-0ecf-3bc7-a1e7-5e7ed0e66b3d&quot;,&quot;title&quot;:&quot;Meta-analysis of shared micromobility ridership determinants&quot;,&quot;author&quot;:[{&quot;family&quot;:&quot;Ghaffar&quot;,&quot;given&quot;:&quot;Arash&quot;,&quot;parse-names&quot;:false,&quot;dropping-particle&quot;:&quot;&quot;,&quot;non-dropping-particle&quot;:&quot;&quot;},{&quot;family&quot;:&quot;Hyland&quot;,&quot;given&quot;:&quot;Michael&quot;,&quot;parse-names&quot;:false,&quot;dropping-particle&quot;:&quot;&quot;,&quot;non-dropping-particle&quot;:&quot;&quot;},{&quot;family&quot;:&quot;Saphores&quot;,&quot;given&quot;:&quot;Jean Daniel&quot;,&quot;parse-names&quot;:false,&quot;dropping-particle&quot;:&quot;&quot;,&quot;non-dropping-particle&quot;:&quot;&quot;}],&quot;container-title&quot;:&quot;Transportation Research Part D: Transport and Environment&quot;,&quot;accessed&quot;:{&quot;date-parts&quot;:[[2026,6,23]]},&quot;DOI&quot;:&quot;10.1016/j.trd.2023.103847&quot;,&quot;ISSN&quot;:&quot;1361-9209&quot;,&quot;URL&quot;:&quot;https://www.sciencedirect.com/science/article/pii/S1361920923002444&quot;,&quot;issued&quot;:{&quot;date-parts&quot;:[[2023,8,1]]},&quot;page&quot;:&quot;103847&quot;,&quot;abstract&quot;:&quot;Shared micromobility (SμM)—shared e-scooters and (e-)bikes—offer moderate-speed, space-efficient, and carbon-light mobility, promoting environmental sustainability and healthy travel. SμM benefits and SμM data availability have fueled a growing literature that analyses SμM ridership. We present a meta-analysis of 29 studies that estimate statistical models of zone- or station-based SμM trip counts, including 22 that examine station-based bikeshare systems. The meta-analysis reveals positive elasticities between SμM usage and population density (median elasticity of 0.16), employment density (0.07), median household income (0.33), bus stops (0.12), metro stations (0.17), bike infrastructure (0.09), and nearby station capacity (0.32). In contrast, station elevation has a negative elasticity. These magnitudes can inform SμM providers and transportation planners seeking to plan/design SμM systems to promote environmentally sustainable travel. Additionally, we critique the existing literature's failure to (i) capture spatial dependencies, and (ii) discuss the practical implications of model parameters. Finally, we identify themes for future research.&quot;,&quot;publisher&quot;:&quot;Pergamon&quot;,&quot;volume&quot;:&quot;121&quot;,&quot;container-title-short&quot;:&quot;Transp. Res. D Transp. Environ.&quot;},&quot;isTemporary&quot;:false},{&quot;id&quot;:&quot;2914ba02-4f13-3be1-b2c4-5e9222cc3f16&quot;,&quot;itemData&quot;:{&quot;type&quot;:&quot;article-journal&quot;,&quot;id&quot;:&quot;2914ba02-4f13-3be1-b2c4-5e9222cc3f16&quot;,&quot;title&quot;:&quot;Spatial associations of dockless shared e-scooter usage&quot;,&quot;author&quot;:[{&quot;family&quot;:&quot;Caspi&quot;,&quot;given&quot;:&quot;Or&quot;,&quot;parse-names&quot;:false,&quot;dropping-particle&quot;:&quot;&quot;,&quot;non-dropping-particle&quot;:&quot;&quot;},{&quot;family&quot;:&quot;Smart&quot;,&quot;given&quot;:&quot;Michael J.&quot;,&quot;parse-names&quot;:false,&quot;dropping-particle&quot;:&quot;&quot;,&quot;non-dropping-particle&quot;:&quot;&quot;},{&quot;family&quot;:&quot;Noland&quot;,&quot;given&quot;:&quot;Robert B.&quot;,&quot;parse-names&quot;:false,&quot;dropping-particle&quot;:&quot;&quot;,&quot;non-dropping-particle&quot;:&quot;&quot;}],&quot;container-title&quot;:&quot;Transportation Research Part D: Transport and Environment&quot;,&quot;container-title-short&quot;:&quot;Transp. Res. D Transp. Environ.&quot;,&quot;DOI&quot;:&quot;10.1016/j.trd.2020.102396&quot;,&quot;ISSN&quot;:&quot;13619209&quot;,&quot;issued&quot;:{&quot;date-parts&quot;:[[2020,9,1]]},&quot;abstract&quot;:&quot;In this study, we explore the usage of e-scooter sharing services in Austin, Texas over about a six-month period. The study is based on trip records of all the shared e-scooter operators in Austin and includes trip start and end locations. We use both analysis of trip patterns and spatial regression techniques to examine how the built environment, land use, and demographics affect e-scooter trip generation. Our findings show that people use e-scooters almost exclusively in central Austin. Commuting does not seem to be the main trip purpose, and usage of e-scooters is associated with areas with high employment rates, and in areas with bicycle infrastructure. People use e-scooter sharing regardless of the affluence of the neighborhood, although less affluent areas with high usage rates have large student populations, suggesting that students use this mode of travel. Implications for planners suggest that better bicycle infrastructure will facilitate e-scooter usage, college towns are a ready market for e-scooter sharing services, and e-scooters may be a substitute for some short non-work trips, reducing car usage, and benefiting the environment.&quot;,&quot;publisher&quot;:&quot;Elsevier Ltd&quot;,&quot;volume&quot;:&quot;86&quot;},&quot;isTemporary&quot;:false},{&quot;id&quot;:&quot;4fc58381-00ce-3abf-9319-f7f9a17c5acc&quot;,&quot;itemData&quot;:{&quot;type&quot;:&quot;article-journal&quot;,&quot;id&quot;:&quot;4fc58381-00ce-3abf-9319-f7f9a17c5acc&quot;,&quot;title&quot;:&quot;Global health and climate benefits from walking and cycling infrastructure&quot;,&quot;author&quot;:[{&quot;family&quot;:&quot;Millard-Ball&quot;,&quot;given&quot;:&quot;Adam&quot;,&quot;parse-names&quot;:false,&quot;dropping-particle&quot;:&quot;&quot;,&quot;non-dropping-particle&quot;:&quot;&quot;},{&quot;family&quot;:&quot;Reginald&quot;,&quot;given&quot;:&quot;Monisha&quot;,&quot;parse-names&quot;:false,&quot;dropping-particle&quot;:&quot;&quot;,&quot;non-dropping-particle&quot;:&quot;&quot;},{&quot;family&quot;:&quot;Yusuf&quot;,&quot;given&quot;:&quot;Yasmina&quot;,&quot;parse-names&quot;:false,&quot;dropping-particle&quot;:&quot;&quot;,&quot;non-dropping-particle&quot;:&quot;&quot;},{&quot;family&quot;:&quot;Bian&quot;,&quot;given&quot;:&quot;Christopher&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422334122&quot;,&quot;ISSN&quot;:&quot;10916490&quot;,&quot;PMID&quot;:&quot;40489615&quot;,&quot;issued&quot;:{&quot;date-parts&quot;:[[2025,6,17]]},&quot;abstract&quot;:&quot;We use a globally consistent dataset—Google Environmental Insights Explorer—to quantify how urban form and transport infrastructure affect walking and cycling rates in 11,587 cities from 121 countries across six continents. At the city level, population density has the largest effect on walk mode share and has a positive impact on cycling too, as higher densities bring destinations within feasible walk and cycle distances. Density has the strongest effects in wealthier countries where travelers often have more travel choices, while in lower-income places, walking and cycling may be primarily driven by financial constraints. We also find positive effects of bicycle lanes (proxying for a wider array of street design practices) on both walking and cycling. In the median city, each new km of bicycle lanes is associated with ~13,400 additional km yr-1 of bicycle travel. If every city increased the extent of its bicycle network to the level of Copenhagen, Denmark, our simulations indicate reductions in private vehicle emissions of ~6% and health benefits of ~US$435 billion per year.&quot;,&quot;publisher&quot;:&quot;National Academy of Sciences&quot;,&quot;issue&quot;:&quot;24&quot;,&quot;volume&quot;:&quot;122&quot;},&quot;isTemporary&quot;:false}]},{&quot;citationID&quot;:&quot;MENDELEY_CITATION_00544c89-ada4-4788-8d52-2d9f0d74d45c&quot;,&quot;properties&quot;:{&quot;noteIndex&quot;:0},&quot;isEdited&quot;:false,&quot;manualOverride&quot;:{&quot;isManuallyOverridden&quot;:true,&quot;citeprocText&quot;:&quot;(Porter et al., 2020; Sanders et al., 2020; Soto et al., 2022; Zaganjor et al., 2025)&quot;,&quot;manualOverrideText&quot;:&quot;Porter et al., 2020; Sanders et al., 2020; Soto et al., 2022; Zaganjor et al., 2025)&quot;},&quot;citationTag&quot;:&quot;MENDELEY_CITATION_v3_eyJjaXRhdGlvbklEIjoiTUVOREVMRVlfQ0lUQVRJT05fMDA1NDRjODktYWRhNC00Nzg4LThkNTItMmQ5ZjBkNzRkNDVjIiwicHJvcGVydGllcyI6eyJub3RlSW5kZXgiOjB9LCJpc0VkaXRlZCI6ZmFsc2UsIm1hbnVhbE92ZXJyaWRlIjp7ImlzTWFudWFsbHlPdmVycmlkZGVuIjp0cnVlLCJjaXRlcHJvY1RleHQiOiIoUG9ydGVyIGV0IGFsLiwgMjAyMDsgU2FuZGVycyBldCBhbC4sIDIwMjA7IFNvdG8gZXQgYWwuLCAyMDIyOyBaYWdhbmpvciBldCBhbC4sIDIwMjUpIiwibWFudWFsT3ZlcnJpZGVUZXh0IjoiUG9ydGVyIGV0IGFsLiwgMjAyMDsgU2FuZGVycyBldCBhbC4sIDIwMjA7IFNvdG8gZXQgYWwuLCAyMDIyOyBaYWdhbmpvciBldCBhbC4sIDIwMjUpIn0sImNpdGF0aW9uSXRlbXMiOlt7ImlkIjoiZDViODg5M2EtODAxZC0zNWI2LWE2ODQtMDMzODk1NDZjNTg2IiwiaXRlbURhdGEiOnsidHlwZSI6ImFydGljbGUtam91cm5hbCIsImlkIjoiZDViODg5M2EtODAxZC0zNWI2LWE2ODQtMDMzODk1NDZjNTg2IiwidGl0bGUiOiJTZWxmLVJlcG9ydGVkIFJlYXNvbnMgUHJldmVudGluZyBVUyBBZHVsdHMgRnJvbSBXYWxraW5nIHRvIFBsYWNlcyBXaXRoaW4gMTAgTWludXRlcyBvZiBIb21lIiwiYXV0aG9yIjpbeyJmYW1pbHkiOiJaYWdhbmpvciIsImdpdmVuIjoiSGF0aWR6YSIsInBhcnNlLW5hbWVzIjpmYWxzZSwiZHJvcHBpbmctcGFydGljbGUiOiIiLCJub24tZHJvcHBpbmctcGFydGljbGUiOiIifSx7ImZhbWlseSI6IkNoZW4iLCJnaXZlbiI6IlRpZmZhbnkgSi4iLCJwYXJzZS1uYW1lcyI6ZmFsc2UsImRyb3BwaW5nLXBhcnRpY2xlIjoiIiwibm9uLWRyb3BwaW5nLXBhcnRpY2xlIjoiIn0seyJmYW1pbHkiOiJEeWtlIiwiZ2l2ZW4iOiJNaXJpYW0gRS4iLCJwYXJzZS1uYW1lcyI6ZmFsc2UsImRyb3BwaW5nLXBhcnRpY2xlIjoiIiwibm9uLWRyb3BwaW5nLXBhcnRpY2xlIjoiVmFuIn0s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NtaXRoIiwiZ2l2ZW4iOiJBa2ltaSIsInBhcnNlLW5hbWVzIjpmYWxzZSwiZHJvcHBpbmctcGFydGljbGUiOiIiLCJub24tZHJvcHBpbmctcGFydGljbGUiOiIifSx7ImZhbWlseSI6IkRldmxpbiIsImdpdmVuIjoiSGVhdGhlciBNLiIsInBhcnNlLW5hbWVzIjpmYWxzZSwiZHJvcHBpbmctcGFydGljbGUiOiIiLCJub24tZHJvcHBpbmctcGFydGljbGUiOiIifSx7ImZhbWlseSI6IklyYW5pIiwiZ2l2ZW4iOiJLYXRoZXJpbmUiLCJwYXJzZS1uYW1lcyI6ZmFsc2UsImRyb3BwaW5nLXBhcnRpY2xlIjoiIiwibm9uLWRyb3BwaW5nLXBhcnRpY2xlIjoiIn0seyJmYW1pbHkiOiJSb3NlIiwiZ2l2ZW4iOiJLZW4iLCJwYXJzZS1uYW1lcyI6ZmFsc2UsImRyb3BwaW5nLXBhcnRpY2xlIjoiIiwibm9uLWRyb3BwaW5nLXBhcnRpY2xlIjoiIn0seyJmYW1pbHkiOiJNYXRqYXNrbyIsImdpdmVuIjoiSmVubmlmZXIgTC4iLCJwYXJzZS1uYW1lcyI6ZmFsc2UsImRyb3BwaW5nLXBhcnRpY2xlIjoiIiwibm9uLWRyb3BwaW5nLXBhcnRpY2xlIjoiIn1dLCJjb250YWluZXItdGl0bGUiOiJQcmV2ZW50aW5nIENocm9uaWMgRGlzZWFzZSIsImNvbnRhaW5lci10aXRsZS1zaG9ydCI6IlByZXYuIENocm9uaWMgRGlzLiIsImFjY2Vzc2VkIjp7ImRhdGUtcGFydHMiOltbMjAyNiw0LDVdXX0sIkRPSSI6IjEwLjU4ODgvcGNkMjIuMjQwMzk0IiwiSVNTTiI6IjE1NDUtMTE1MSIsIlBNSUQiOiI0MDUzOTkwMiIsImlzc3VlZCI6eyJkYXRlLXBhcnRzIjpbWzIwMjUsNiwxXV19LCJhYnN0cmFjdCI6IkludHJvZHVjdGlvbiBJbmNyZWFzaW5nIHdhbGtpbmcgZm9yIHRyYW5zcG9ydGF0aW9uIGlzIGEgc3RyYXRlZ3kgdG8gaW50ZWdyYXRlIHBoeXNpY2FsIGFjdGl2aXR5IGludG8gZGFpbHkgbGlmZS4gV2UgZXhhbWluZWQgcmVwb3J0ZWQgZW52aXJvbm1lbnRhbCwgYWNjZXNzLCBhbmQgaW5kaXZpZHVhbCByZWFzb25zIGZvciBub3Qgd2Fsa2luZyB0byBwbGFjZXMgbmVhciBob21lIGFtb25nIFVTIGFkdWx0cywgYnkgc29jaW9kZW1vZ3JhcGhpYyBjaGFyYWN0ZXJpc3RpY3MgYW5kIGdlb2dyYXBoaWMgbG9jYXRpb24uIE1ldGhvZHMgV2UgdXNlZCBkYXRhIGZyb20gdGhlIDIwMjIgU3VtbWVyU3R5bGVzIHN1cnZleSBvbiAzLDk2NyBVUyBhZHVsdHMgYWdlZCAxOCB5ZWFycyBvciBvbGRlci4gV2UgY2FsY3VsYXRlZCBwcmV2YWxlbmNlIG9mIHJlcG9ydGluZyAxMSBzZWxlY3RlZCByZWFzb25zIGZvciBub3Qgd2Fsa2luZyB0byBwbGFjZXMgd2l0aGluIDEwIG1pbnV0ZXMgb2YgaG9tZSwgb3ZlcmFsbCBhbmQgYnkgc2V4LCByYWNlIG9yIGV0aG5pY2l0eSwgYWdlLCBlZHVjYXRpb24sIGluY29tZSwgVVMgY2Vuc3VzIHJlZ2lvbiwgYW5kIG1ldHJvcG9saXRhbiByZXNpZGVuY2UgKGFuIGFyZWEgd2l0aCBhdCBsZWFzdCAxIHVyYmFuIGFyZWEgb2Yg4omlNTAsMDAwIGluaGFiaXRhbnRzKSB2ZXJzdXMgbm9ubWV0cm9wb2xpdGFuIHJlc2lkZW5jZS4gV2UgdXNlZCBCb25mZXJyb25pLWNvcnJlY3RlZCBwYWlyd2lzZSBjb21wYXJpc29ucyBhbmQgb3J0aG9nb25hbCBwb2x5bm9taWFsIGNvbnRyYXN0cyAob3JkZXJlZCBncm91cHMpIHRvIGNvbXBhcmUgcHJldmFsZW5jZSBieSBzdWJncm91cC4gUmVzdWx0cyBPdmVyYWxsLCA3OS4wJSBvZiByZXNwb25kZW50cyBpZGVudGlmaWVkIGF0IGxlYXN0IDEgcmVhc29uIGZvciBub3Qgd2Fsa2luZyB0byBwbGFjZXMgbmVhciBob21lICh3aXRoaW4gMTAgbWludXRlcykuIENvbW1vbmx5IHJlcG9ydGVkIHJlYXNvbnMgd2VyZSBob3QgYW5kIGh1bWlkIGNvbmRpdGlvbnMgKDM2LjAlKSwgbm8gcGxhY2VzIHRvIHdhbGsgd2l0aGluIDEwIG1pbnV0ZXMgKDI0LjklKSwgYSBwcmVmZXJlbmNlIGZvciBkcml2aW5nICgyMi4xJSksIGFuZCBpbmNvbnZlbmllbmNlICgyMS41JSkuIFRoZSByZWFzb25zIHZhcmllZCBzaWduaWZpY2FudGx5IGFjcm9zcyBzb2Npb2RlbW9ncmFwaGljIGFuZCBnZW9ncmFwaGljIHN1Ymdyb3Vwcy4gVGhlIHByZXZhbGVuY2Ugb2YgcmVwb3J0aW5nIG5vbmUgb2YgdGhlIGxpc3RlZCByZWFzb25zIHdhcyBoaWdoZXIgYW1vbmcgbWFsZXMgdGhhbiBmZW1hbGVzLCBoaWdoZXIgYW1vbmcgbm9uLUhpc3BhbmljIEJsYWNrIGFuZCBub24tSGlzcGFuaWMgQXNpYW4gYWR1bHRzIHRoYW4gbm9uLUhpc3BhbmljIFdoaXRlIGFkdWx0cywgYW5kIGhpZ2hlciBhbW9uZyBhZHVsdHMgZnJvbSB0aGUgTm9ydGhlYXN0IHZlcnN1cyB0aGUgU291dGguIENvbmNsdXNpb24gRWlnaHQgb2YgMTAgVVMgYWR1bHRzIHJlcG9ydGVkIGF0IGxlYXN0IDEgZW52aXJvbm1lbnRhbCwgYWNjZXNzLCBvciBpbmRpdmlkdWFsIHJlYXNvbiBmb3Igbm90IHdhbGtpbmcgdG8gcGxhY2VzIG5lYXIgaG9tZS4gRGVzaWduaW5nIGNvbW11bml0aWVzIHRvIG1ha2Ugd2Fsa2luZyBmb3IgdHJhbnNwb3J0YXRpb24gbW9yZSBhY2Nlc3NpYmxlLCBjb252ZW5pZW50LCBhbmQgZGVzaXJhYmxlIG1heSBoZWxwIGFkZHJlc3MgdGhlIGxlYWRpbmcgcmVhc29ucyByZXBvcnRlZCwgd2hpY2ggbWF5IHN1cHBvcnQgYWR1bHRzIGluIGFkZGluZyBtb3JlIHBoeXNpY2FsIGFjdGl2aXR5IHRvIHRoZWlyIGRhaWx5IGxpdmVzLiIsInB1Ymxpc2hlciI6IkNlbnRlcnMgZm9yIERpc2Vhc2UgQ29udHJvbCBhbmQgUHJldmVudGlvbiAoQ0RDKSIsInZvbHVtZSI6IjIyIn0sImlzVGVtcG9yYXJ5IjpmYWxzZX0s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IyOWZlZDQ4OC03M2RmLTNkZGMtYjVkMi05YjkzYzMyM2ZjODIiLCJpdGVtRGF0YSI6eyJ0eXBlIjoiYXJ0aWNsZS1qb3VybmFsIiwiaWQiOiIyOWZlZDQ4OC03M2RmLTNkZGMtYjVkMi05YjkzYzMyM2ZjODIiLCJ0aXRsZSI6IlBlcmNlaXZlZCBiYXJyaWVycyB0byBjb21tdXRlciBhbmQgZXhlcmNpc2UgYmljeWNsaW5nIGluIFUuUy4gYWR1bHRzOiBUaGUgMjAxNyBOYXRpb25hbCBIb3VzZWhvbGQgVHJhdmVsIFN1cnZleSIsImF1dGhvciI6W3siZmFtaWx5IjoiUG9ydGVyIiwiZ2l2ZW4iOiJBbm5hIEsuIiwicGFyc2UtbmFtZXMiOmZhbHNlLCJkcm9wcGluZy1wYXJ0aWNsZSI6IiIsIm5vbi1kcm9wcGluZy1wYXJ0aWNsZSI6IiJ9LHsiZmFtaWx5IjoiS29udG91IiwiZ2l2ZW4iOiJFbGVmdGhlcmlhIiwicGFyc2UtbmFtZXMiOmZhbHNlLCJkcm9wcGluZy1wYXJ0aWNsZSI6IiIsIm5vbi1kcm9wcGluZy1wYXJ0aWNsZSI6IiJ9LHsiZmFtaWx5IjoiTWNEb25hbGQiLCJnaXZlbiI6Ik5vcmVlbiBDLiIsInBhcnNlLW5hbWVzIjpmYWxzZSwiZHJvcHBpbmctcGFydGljbGUiOiIiLCJub24tZHJvcHBpbmctcGFydGljbGUiOiIifSx7ImZhbWlseSI6IkV2ZW5zb24iLCJnaXZlbiI6IktlbGx5IFIuIiwicGFyc2UtbmFtZXMiOmZhbHNlLCJkcm9wcGluZy1wYXJ0aWNsZSI6IiIsIm5vbi1kcm9wcGluZy1wYXJ0aWNsZSI6IiJ9XSwiY29udGFpbmVyLXRpdGxlIjoiSm91cm5hbCBvZiBUcmFuc3BvcnQgJiBIZWFsdGgiLCJjb250YWluZXItdGl0bGUtc2hvcnQiOiJKLiBUcmFuc3AuIEhlYWx0aCIsImFjY2Vzc2VkIjp7ImRhdGUtcGFydHMiOltbMjAyNiw0LDIyXV19LCJET0kiOiIxMC4xMDE2L2ouanRoLjIwMjAuMTAwODIwIiwiSVNTTiI6IjIyMTQtMTQwNSIsIlVSTCI6Imh0dHBzOi8vd3d3LnNjaWVuY2VkaXJlY3QuY29tL3NjaWVuY2UvYXJ0aWNsZS9hYnMvcGlpL1MyMjE0MTQwNTE5MzA0MDYyP2Nhc2FfdG9rZW49SjlHMnAwWVJQU1FBQUFBQTpqRUI3QmQ3REtVNHgwS2ZudEZuSkViVjlqbE9NMi1pV2sxM2FmUUpQZHJZX1NuV3lrSjFUdjVIQnlyNHBXb2xLVnV4T2lweWtkdyIsImlzc3VlZCI6eyJkYXRlLXBhcnRzIjpbWzIwMjAsMywxXV19LCJwYWdlIjoiMTAwODIwIiwiYWJzdHJhY3QiOiJJbnRyb2R1Y3Rpb246IEJpY3ljbGluZyBpcyBhIHR5cGUgb2YgcGh5c2ljYWwgYWN0aXZpdHkgYXNzb2NpYXRlZCB3aXRoIHBvc2l0aXZlIGhlYWx0aCBvdXRjb21lcywgYnV0IG1hbnkgYmFycmllcnMgZXhpc3QgdG8gcmVndWxhciBiaWN5Y2xpbmcgZm9yIHJlY3JlYXRpb24gYW5kIHRyYW5zcG9ydGF0aW9uLiBUaGUgb2JqZWN0aXZlIG9mIHRoaXMgc3R1ZHkgd2FzIHRvIGRlc2NyaWJlIHNlbGYtcmVwb3J0ZWQgYmFycmllcnMgdG8gYmljeWNsaW5nIG92ZXJhbGwsIGFuZCBieSBiaWN5Y2xpbmcgZG9tYWluLCBhbW9uZyBhIG5hdGlvbmFsIHNhbXBsZSBvZiBwZXJzb25zIGFnZWQgMTYgYW5kIGFib3ZlIHRoYXQgcmVwb3J0ZWQgYmljeWNsaW5nIG91dHNpZGUgaW4gdGhlIHBhc3Qgd2Vlay4gTWV0aG9kczogVGhpcyBhbmFseXNpcywgY29uZHVjdGVkIGluIDIwMTksIHV0aWxpemVkIGRhdGEgZnJvbSB0aGUgVW5pdGVkIFN0YXRlcyAoVVMpIERlcGFydG1lbnQgb2YgVHJhbnNwb3J0YXRpb24ncyAyMDE3IE5hdGlvbmFsIEhvdXNlaG9sZCBUcmF2ZWwgU3VydmV5IChOSFRTKS4gV2VpZ2h0ZWQgcG9pbnQgZXN0aW1hdGVzIGFuZCA5NSUgY29uZmlkZW5jZSBpbnRlcnZhbHMgd2VyZSBjYWxjdWxhdGVkIGZvciByZXBvcnRlZCBiYXJyaWVycyB0byBiaWN5Y2xpbmcgYnkgY2F0ZWdvcnkgb2YgYmljeWNsaXN0OiBleGVyY2lzZS1leGNsdXNpdmUsIG11bHRpLXVzZSwgYW5kIGNvbW11dGVyLiBSZXN1bHRzOiBUaGUgZmluYWwgYW5hbHl0aWMgc2FtcGxlIHdhcyAxOCwxODksIHJlcHJlc2VudGluZyBhcHByb3hpbWF0ZWx5IDclIG9mIHRoZSBVUyBwb3B1bGF0aW9uIChOID0gMjAsOTExLDY4MCkuIEJhcnJpZXJzIHRoYXQgcHJldmVudGVkIGJpY3ljbGluZyBtb3JlIHdhcyByZXBvcnRlZCBieSAzNy45JSBvZiB0aGUgVVMgcG9wdWxhdGlvbiBvZiBhZHVsdCBiaWN5Y2xpc3RzICg5NSUgQ0kgMzcuMiwgMzguNikuIEJhcnJpZXJzIHJlbGF0ZWQgdG8gc2FmZXR5IHdlcmUgbW9yZSBjb21tb25seSByZXBvcnRlZCAoMzEuOSUgb2YgdG90YWwgYmljeWNsaXN0cyksIGNvbXBhcmVkIHRvIGJhcnJpZXJzIHJlbGF0ZWQgdG8gaW5mcmFzdHJ1Y3R1cmUgKDIyLjElIG9mIHRvdGFsIGJpY3ljbGlzdHMpLiBTYWZldHktcmVsYXRlZCBiYXJyaWVycyB3ZXJlIG1vcmUgY29tbW9ubHkgcmVwb3J0ZWQgYW1vbmcgbXVsdGktdXNlIGJpY3ljbGlzdCAoMzMuNyUgdnMuIDMwLjklIG9mIGV4ZXJjaXNlLWV4Y2x1c2l2ZSkuIENvbW11dGVyIGJpY3ljbGlzdHMgcmVwb3J0ZWQgaW5mcmFzdHJ1Y3R1cmUgYmFycmllcnMgdGhlIGxlYXN0ICgxMy45JSB2cy4gMjIuNyUgb2YgZXhlcmNpc2UtZXhjbHVzaXZlKS4gVGhlIG1vc3QgY29tbW9ubHkgcmVwb3J0ZWQgc2luZ2xlIGJhcnJpZXIgdG8gYmljeWNsaW5nIG1vcmUsIHJlZ2FyZGxlc3Mgb2YgYmljeWNsaW5nIGNhdGVnb3J5LCB3YXMgaGVhdnkgdHJhZmZpYyAoMTAuMyUgb2YgdG90YWwgYmljeWNsaXN0cyksIGZvbGxvd2VkIGJ5IG5vIG5lYXJieSBwYXRocyBvciB0cmFpbHMgKDcuNiUgb2YgdG90YWwgYmljeWNsaXN0cykuIE92ZXJhbGwsIGRpc3RyaWJ1dGlvbiBvZiBpbmRpdmlkdWFsIGJhcnJpZXJzIHdhcyBzaW1pbGFyIGFjcm9zcyBjYXRlZ29yaWVzIG9mIGJpY3ljbGlzdHM6IGV4ZXJjaXNlLWV4Y2x1c2l2ZSwgbXVsdGktdXNlLCBhbmQgY29tbXV0ZXIuIENvbmNsdXNpb25zOiBIZWF2eSB0cmFmZmljIGFuZCBsYWNrIG9mIHNlcGFyYXRlZCBwYXRocyBvciB0cmFpbHMgd2VyZSB0aGUgbW9zdCBmcmVxdWVudGx5IGlkZW50aWZpZWQgYmFycmllcnMgdG8gYmljeWNsaW5nIG1vcmUuIENvbW11bml0aWVzIHdpc2hpbmcgdG8gcHJvbW90ZSBiaWN5Y2xpbmcgZm9yIHRyYW5zcG9ydGF0aW9uLCByZWNyZWF0aW9uLCBvciBib3RoIHNob3VsZCBjb25zaWRlciBob3cgdHJhZmZpYyByZWR1Y3Rpb24gc3RyYXRlZ2llcyBhbmQgY2hhbmdlcyBpbiB0aGUgYnVpbHQgZW52aXJvbm1lbnQgY291bGQgbWFrZSBiaWN5Y2xpbmcgc2FmZXIgYW5kIG1vcmUgYWNjZXNzaWJsZS4iLCJwdWJsaXNoZXIiOiJFbHNldmllciIsInZvbHVtZSI6IjE2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quot;,&quot;citationItems&quot;:[{&quot;id&quot;:&quot;d5b8893a-801d-35b6-a684-03389546c586&quot;,&quot;itemData&quot;:{&quot;type&quot;:&quot;article-journal&quot;,&quot;id&quot;:&quot;d5b8893a-801d-35b6-a684-03389546c586&quot;,&quot;title&quot;:&quot;Self-Reported Reasons Preventing US Adults From Walking to Places Within 10 Minutes of Home&quot;,&quot;author&quot;:[{&quot;family&quot;:&quot;Zaganjor&quot;,&quot;given&quot;:&quot;Hatidza&quot;,&quot;parse-names&quot;:false,&quot;dropping-particle&quot;:&quot;&quot;,&quot;non-dropping-particle&quot;:&quot;&quot;},{&quot;family&quot;:&quot;Chen&quot;,&quot;given&quot;:&quot;Tiffany J.&quot;,&quot;parse-names&quot;:false,&quot;dropping-particle&quot;:&quot;&quot;,&quot;non-dropping-particle&quot;:&quot;&quot;},{&quot;family&quot;:&quot;Dyke&quot;,&quot;given&quot;:&quot;Miriam E.&quot;,&quot;parse-names&quot;:false,&quot;dropping-particle&quot;:&quot;&quot;,&quot;non-dropping-particle&quot;:&quot;Van&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Smith&quot;,&quot;given&quot;:&quot;Akimi&quot;,&quot;parse-names&quot;:false,&quot;dropping-particle&quot;:&quot;&quot;,&quot;non-dropping-particle&quot;:&quot;&quot;},{&quot;family&quot;:&quot;Devlin&quot;,&quot;given&quot;:&quot;Heather M.&quot;,&quot;parse-names&quot;:false,&quot;dropping-particle&quot;:&quot;&quot;,&quot;non-dropping-particle&quot;:&quot;&quot;},{&quot;family&quot;:&quot;Irani&quot;,&quot;given&quot;:&quot;Katherine&quot;,&quot;parse-names&quot;:false,&quot;dropping-particle&quot;:&quot;&quot;,&quot;non-dropping-particle&quot;:&quot;&quot;},{&quot;family&quot;:&quot;Rose&quot;,&quot;given&quot;:&quot;Ken&quot;,&quot;parse-names&quot;:false,&quot;dropping-particle&quot;:&quot;&quot;,&quot;non-dropping-particle&quot;:&quot;&quot;},{&quot;family&quot;:&quot;Matjasko&quot;,&quot;given&quot;:&quot;Jennifer L.&quot;,&quot;parse-names&quot;:false,&quot;dropping-particle&quot;:&quot;&quot;,&quot;non-dropping-particle&quot;:&quot;&quot;}],&quot;container-title&quot;:&quot;Preventing Chronic Disease&quot;,&quot;container-title-short&quot;:&quot;Prev. Chronic Dis.&quot;,&quot;accessed&quot;:{&quot;date-parts&quot;:[[2026,4,5]]},&quot;DOI&quot;:&quot;10.5888/pcd22.240394&quot;,&quot;ISSN&quot;:&quot;1545-1151&quot;,&quot;PMID&quot;:&quot;40539902&quot;,&quot;issued&quot;:{&quot;date-parts&quot;:[[2025,6,1]]},&quot;abstract&quot;:&quot;Introduction Increasing walking for transportation is a strategy to integrate physical activity into daily life. We examined reported environmental, access, and individual reasons for not walking to places near home among US adults, by sociodemographic characteristics and geographic location. Methods We used data from the 2022 SummerStyles survey on 3,967 US adults aged 18 years or older. We calculated prevalence of reporting 11 selected reasons for not walking to places within 10 minutes of home, overall and by sex, race or ethnicity, age, education, income, US census region, and metropolitan residence (an area with at least 1 urban area of ≥50,000 inhabitants) versus nonmetropolitan residence. We used Bonferroni-corrected pairwise comparisons and orthogonal polynomial contrasts (ordered groups) to compare prevalence by subgroup. Results Overall, 79.0% of respondents identified at least 1 reason for not walking to places near home (within 10 minutes). Commonly reported reasons were hot and humid conditions (36.0%), no places to walk within 10 minutes (24.9%), a preference for driving (22.1%), and inconvenience (21.5%). The reasons varied significantly across sociodemographic and geographic subgroups. The prevalence of reporting none of the listed reasons was higher among males than females, higher among non-Hispanic Black and non-Hispanic Asian adults than non-Hispanic White adults, and higher among adults from the Northeast versus the South. Conclusion Eight of 10 US adults reported at least 1 environmental, access, or individual reason for not walking to places near home. Designing communities to make walking for transportation more accessible, convenient, and desirable may help address the leading reasons reported, which may support adults in adding more physical activity to their daily lives.&quot;,&quot;publisher&quot;:&quot;Centers for Disease Control and Prevention (CDC)&quot;,&quot;volume&quot;:&quot;22&quot;},&quot;isTemporary&quot;:false},{&quot;id&quot;:&quot;5ca983f5-7599-3467-9733-8d06b53fd651&quot;,&quot;itemData&quot;:{&quot;type&quot;:&quot;article-journal&quot;,&quot;id&quot;:&quot;5ca983f5-7599-3467-9733-8d06b53fd651&quot;,&quot;title&quot;:&quot;Traffic as a barrier to walking safely in the United States: Perceived reasons and potential mitigation strategies&quot;,&quot;author&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Webber&quot;,&quot;given&quot;:&quot;Bryant J.&quot;,&quot;parse-names&quot;:false,&quot;dropping-particle&quot;:&quot;&quot;,&quot;non-dropping-particle&quot;:&quot;&quot;},{&quot;family&quot;:&quot;Omura&quot;,&quot;given&quot;:&quot;John D.&quot;,&quot;parse-names&quot;:false,&quot;dropping-particle&quot;:&quot;&quot;,&quot;non-dropping-particle&quot;:&quot;&quot;},{&quot;family&quot;:&quot;Chen&quot;,&quot;given&quot;:&quot;Tiffany J.&quot;,&quot;parse-names&quot;:false,&quot;dropping-particle&quot;:&quot;&quot;,&quot;non-dropping-particle&quot;:&quot;&quot;},{&quot;family&quot;:&quot;Zaganjor&quot;,&quot;given&quot;:&quot;Hatidza&quot;,&quot;parse-names&quot;:false,&quot;dropping-particle&quot;:&quot;&quot;,&quot;non-dropping-particle&quot;:&quot;&quot;},{&quot;family&quot;:&quot;Rose&quot;,&quot;given&quot;:&quot;Kenneth&quot;,&quot;parse-names&quot;:false,&quot;dropping-particle&quot;:&quot;&quot;,&quot;non-dropping-particle&quot;:&quot;&quot;}],&quot;container-title&quot;:&quot;Preventive Medicine Reports&quot;,&quot;container-title-short&quot;:&quot;Prev. Med. Rep.&quot;,&quot;DOI&quot;:&quot;10.1016/j.pmedr.2022.102003&quot;,&quot;ISSN&quot;:&quot;22113355&quot;,&quot;issued&quot;:{&quot;date-parts&quot;:[[2022,12,1]]},&quot;abstract&quot;:&quot;Motor vehicle traffic is commonly cited as a barrier to walking, but national level perceptions of traffic characteristics that negatively influence walking and potential traffic mitigation strategies remain unclear. The objectives of this study were to describe perceptions of (1) traffic characteristics that make walking unsafe in the United States and (2) potential mitigation strategies to address these concerns among those who report traffic as a barrier to walking. Data were from FallStyles, a nationwide internet panel survey conducted in October 2019 (n = 3,284 adults). Respondents reported if traffic makes walking unsafe where they live; those who answered yes were then asked about traffic characteristics that make walking unsafe (number of vehicles, speed of vehicles, distracted or impaired driving, types of vehicles, and other reasons) and potential mitigation strategies (new or improved sidewalks, crosswalks, pedestrian signals, street lighting, things that slow vehicles down, separating the sidewalk from the road, fewer vehicle lanes, and other). Prevalence of responses was assessed overall and by select sociodemographic and geographic characteristics, and by walking status. Nearly 25% of US adults reported that traffic is a barrier to walking where they live. Of these, 79% selected vehicle speed as a contributing traffic characteristic, and 57% indicated new or improved sidewalks as a potential mitigation strategy. These top responses were shared across all sociodemographic, geographic, and walking behavior subgroups. Speed reduction efforts and built environment enhancements such as sidewalks may alleviate pedestrian safety concerns. Promotion campaigns may be needed to bring awareness to such changes.&quot;,&quot;publisher&quot;:&quot;Elsevier Inc.&quot;,&quot;volume&quot;:&quot;30&quot;},&quot;isTemporary&quot;:false},{&quot;id&quot;:&quot;29fed488-73df-3ddc-b5d2-9b93c323fc82&quot;,&quot;itemData&quot;:{&quot;type&quot;:&quot;article-journal&quot;,&quot;id&quot;:&quot;29fed488-73df-3ddc-b5d2-9b93c323fc82&quot;,&quot;title&quot;:&quot;Perceived barriers to commuter and exercise bicycling in U.S. adults: The 2017 National Household Travel Survey&quot;,&quot;author&quot;:[{&quot;family&quot;:&quot;Porter&quot;,&quot;given&quot;:&quot;Anna K.&quot;,&quot;parse-names&quot;:false,&quot;dropping-particle&quot;:&quot;&quot;,&quot;non-dropping-particle&quot;:&quot;&quot;},{&quot;family&quot;:&quot;Kontou&quot;,&quot;given&quot;:&quot;Eleftheria&quot;,&quot;parse-names&quot;:false,&quot;dropping-particle&quot;:&quot;&quot;,&quot;non-dropping-particle&quot;:&quot;&quot;},{&quot;family&quot;:&quot;McDonald&quot;,&quot;given&quot;:&quot;Noreen C.&quot;,&quot;parse-names&quot;:false,&quot;dropping-particle&quot;:&quot;&quot;,&quot;non-dropping-particle&quot;:&quot;&quot;},{&quot;family&quot;:&quot;Evenson&quot;,&quot;given&quot;:&quot;Kelly R.&quot;,&quot;parse-names&quot;:false,&quot;dropping-particle&quot;:&quot;&quot;,&quot;non-dropping-particle&quot;:&quot;&quot;}],&quot;container-title&quot;:&quot;Journal of Transport &amp; Health&quot;,&quot;container-title-short&quot;:&quot;J. Transp. Health&quot;,&quot;accessed&quot;:{&quot;date-parts&quot;:[[2026,4,22]]},&quot;DOI&quot;:&quot;10.1016/j.jth.2020.100820&quot;,&quot;ISSN&quot;:&quot;2214-1405&quot;,&quot;URL&quot;:&quot;https://www.sciencedirect.com/science/article/abs/pii/S2214140519304062?casa_token=J9G2p0YRPSQAAAAA:jEB7Bd7DKU4x0KfntFnJEbV9jlOM2-iWk13afQJPdrY_SnWykJ1Tv5HByr4pWolKVuxOipykdw&quot;,&quot;issued&quot;:{&quot;date-parts&quot;:[[2020,3,1]]},&quot;page&quot;:&quot;100820&quot;,&quot;abstract&quot;:&quot;Introduction: Bicycling is a type of physical activity associated with positive health outcomes, but many barriers exist to regular bicycling for recreation and transportation. The objective of this study was to describe self-reported barriers to bicycling overall, and by bicycling domain, among a national sample of persons aged 16 and above that reported bicycling outside in the past week. Methods: This analysis, conducted in 2019, utilized data from the United States (US) Department of Transportation's 2017 National Household Travel Survey (NHTS). Weighted point estimates and 95% confidence intervals were calculated for reported barriers to bicycling by category of bicyclist: exercise-exclusive, multi-use, and commuter. Results: The final analytic sample was 18,189, representing approximately 7% of the US population (N = 20,911,680). Barriers that prevented bicycling more was reported by 37.9% of the US population of adult bicyclists (95% CI 37.2, 38.6). Barriers related to safety were more commonly reported (31.9% of total bicyclists), compared to barriers related to infrastructure (22.1% of total bicyclists). Safety-related barriers were more commonly reported among multi-use bicyclist (33.7% vs. 30.9% of exercise-exclusive). Commuter bicyclists reported infrastructure barriers the least (13.9% vs. 22.7% of exercise-exclusive). The most commonly reported single barrier to bicycling more, regardless of bicycling category, was heavy traffic (10.3% of total bicyclists), followed by no nearby paths or trails (7.6% of total bicyclists). Overall, distribution of individual barriers was similar across categories of bicyclists: exercise-exclusive, multi-use, and commuter. Conclusions: Heavy traffic and lack of separated paths or trails were the most frequently identified barriers to bicycling more. Communities wishing to promote bicycling for transportation, recreation, or both should consider how traffic reduction strategies and changes in the built environment could make bicycling safer and more accessible.&quot;,&quot;publisher&quot;:&quot;Elsevier&quot;,&quot;volume&quot;:&quot;16&quot;},&quot;isTemporary&quot;:false},{&quot;id&quot;:&quot;e77d3695-e5ed-324b-a44b-4e159b4edb01&quot;,&quot;itemData&quot;:{&quot;type&quot;:&quot;article-journal&quot;,&quot;id&quot;:&quot;e77d3695-e5ed-324b-a44b-4e159b4edb01&quot;,&quot;title&quot;:&quot;To scoot or not to scoot: Findings from a recent survey about the benefits and barriers of using E-scooters for riders and non-riders&quot;,&quot;author&quot;:[{&quot;family&quot;:&quot;Sanders&quot;,&quot;given&quot;:&quot;Rebecca L.&quot;,&quot;parse-names&quot;:false,&quot;dropping-particle&quot;:&quot;&quot;,&quot;non-dropping-particle&quot;:&quot;&quot;},{&quot;family&quot;:&quot;Branion-Calles&quot;,&quot;given&quot;:&quot;Michael&quot;,&quot;parse-names&quot;:false,&quot;dropping-particle&quot;:&quot;&quot;,&quot;non-dropping-particle&quot;:&quot;&quot;},{&quot;family&quot;:&quot;Nelson&quot;,&quot;given&quot;:&quot;Trisalyn A.&quot;,&quot;parse-names&quot;:false,&quot;dropping-particle&quot;:&quot;&quot;,&quot;non-dropping-particle&quot;:&quot;&quot;}],&quot;container-title&quot;:&quot;Transportation Research Part A: Policy and Practice&quot;,&quot;container-title-short&quot;:&quot;Transp. Res. Part A Policy Pract.&quot;,&quot;accessed&quot;:{&quot;date-parts&quot;:[[2026,4,22]]},&quot;DOI&quot;:&quot;10.1016/j.tra.2020.07.009&quot;,&quot;ISSN&quot;:&quot;0965-8564&quot;,&quot;URL&quot;:&quot;https://www.sciencedirect.com/science/article/pii/S0965856420306522&quot;,&quot;issued&quot;:{&quot;date-parts&quot;:[[2020,9,1]]},&quot;page&quot;:&quot;217-227&quot;,&quot;abstract&quot;:&quot;E-scooters are rapidly changing transportation in US cities and university campuses. Hailed as a convenient, inexpensive solution for “last mile” and other short trips, e-scooters are available in over 100 US cities and were used for nearly forty million trips in 2018. Yet relatively little is known about e-scooter use, including who uses them, for which types of trips, and the perceived benefits and barriers related to e-scooters. This information is particularly important in light of concerns about safety and the loss of physical activity (PA) due to replacing walking and biking with e-scooting. In this paper, we aim to characterize trends in the barriers and benefits related to e-scooter use within a professional population. We surveyed 1,256 university staff in Tempe, AZ, finding that 36% of respondents had ridden e-scooters and 40% indicated that they would do so outside of campus in the next year. Overwhelmingly, e-scooters are seen as a convenient way to travel, particularly in the heat and compared to walking. However, demographic differences were notable, particularly regarding barriers. African American and non-white Hispanic respondents were significantly more likely than non-Hispanic white respondents to intend to try e-scooters and to be unhappy with current transportation options. E-scooters are also associated with concerns about traffic safety – particularly for women – and barriers related to being able to find working equipment when needed. These findings suggest that e-scooters fill an important transportation niche and may contribute to transportation equity, and that efforts to address barriers could further enhance that contribution.&quot;,&quot;publisher&quot;:&quot;Pergamon&quot;,&quot;volume&quot;:&quot;139&quot;},&quot;isTemporary&quot;:false}]},{&quot;citationID&quot;:&quot;MENDELEY_CITATION_f0fc89a9-2bb7-48ce-99ed-4072ca158dfa&quot;,&quot;properties&quot;:{&quot;noteIndex&quot;:0},&quot;isEdited&quot;:false,&quot;manualOverride&quot;:{&quot;isManuallyOverridden&quot;:true,&quot;citeprocText&quot;:&quot;(Lee et al., 2023)&quot;,&quot;manualOverrideText&quot;:&quot;Lee et al., 2023&quot;},&quot;citationTag&quot;:&quot;MENDELEY_CITATION_v3_eyJjaXRhdGlvbklEIjoiTUVOREVMRVlfQ0lUQVRJT05fZjBmYzg5YTktMmJiNy00OGNlLTk5ZWQtNDA3MmNhMTU4ZGZhIiwicHJvcGVydGllcyI6eyJub3RlSW5kZXgiOjB9LCJpc0VkaXRlZCI6ZmFsc2UsIm1hbnVhbE92ZXJyaWRlIjp7ImlzTWFudWFsbHlPdmVycmlkZGVuIjp0cnVlLCJjaXRlcHJvY1RleHQiOiIoTGVlIGV0IGFsLiwgMjAyMykiLCJtYW51YWxPdmVycmlkZVRleHQiOiJMZWUgZXQgYWwuLCAyMDIzIn0sImNpdGF0aW9uSXRlbXMiOlt7ImlkIjoiZGMyMzVjZTktNjQ0MS0zYmU5LTk4MWQtZDE4NDBkNmNjZDJlIiwiaXRlbURhdGEiOnsidHlwZSI6ImFydGljbGUtam91cm5hbCIsImlkIjoiZGMyMzVjZTktNjQ0MS0zYmU5LTk4MWQtZDE4NDBkNmNjZDJlIiwidGl0bGUiOiJTdHJlZXQgZW52aXJvbm1lbnRzIGFuZCBjcmltZSBhcm91bmQgbG93LWluY29tZSBhbmQgbWlub3JpdHkgc2Nob29sczogQWRvcHRpbmcgYW4gZW52aXJvbm1lbnRhbCBhdWRpdCB0b29sIHRvIGFzc2VzcyBjcmltZSBwcmV2ZW50aW9uIHRocm91Z2ggZW52aXJvbm1lbnRhbCBkZXNpZ24gKENQVEVEKSIsImF1dGhvciI6W3siZmFtaWx5IjoiTGVlIiwiZ2l2ZW4iOiJTdW5nbWluIiwicGFyc2UtbmFtZXMiOmZhbHNlLCJkcm9wcGluZy1wYXJ0aWNsZSI6IiIsIm5vbi1kcm9wcGluZy1wYXJ0aWNsZSI6IiJ9LHsiZmFtaWx5IjoiTGVlIiwiZ2l2ZW4iOiJDaGFuYW0iLCJwYXJzZS1uYW1lcyI6ZmFsc2UsImRyb3BwaW5nLXBhcnRpY2xlIjoiIiwibm9uLWRyb3BwaW5nLXBhcnRpY2xlIjoiIn0seyJmYW1pbHkiOiJXb24gTmFtIiwiZ2l2ZW4iOiJKaSIsInBhcnNlLW5hbWVzIjpmYWxzZSwiZHJvcHBpbmctcGFydGljbGUiOiIiLCJub24tZHJvcHBpbmctcGFydGljbGUiOiIifSx7ImZhbWlseSI6IlZlcm5leiBNb3Vkb24iLCJnaXZlbiI6IkFubmUiLCJwYXJzZS1uYW1lcyI6ZmFsc2UsImRyb3BwaW5nLXBhcnRpY2xlIjoiIiwibm9uLWRyb3BwaW5nLXBhcnRpY2xlIjoiIn0seyJmYW1pbHkiOiJNZW5kb3phIiwiZ2l2ZW4iOiJKYXNvbiBBLiIsInBhcnNlLW5hbWVzIjpmYWxzZSwiZHJvcHBpbmctcGFydGljbGUiOiIiLCJub24tZHJvcHBpbmctcGFydGljbGUiOiIifV0sImNvbnRhaW5lci10aXRsZSI6IkxhbmRzY2FwZSBhbmQgVXJiYW4gUGxhbm5pbmciLCJjb250YWluZXItdGl0bGUtc2hvcnQiOiJMYW5kc2MuIFVyYmFuIFBsYW4uIiwiRE9JIjoiMTAuMTAxNi9qLmxhbmR1cmJwbGFuLjIwMjIuMTA0Njc2IiwiSVNTTiI6IjAxNjkyMDQ2IiwiaXNzdWVkIjp7ImRhdGUtcGFydHMiOltbMjAyMyw0LDFdXX0sImFic3RyYWN0IjoiQ3JpbWUgcHJldmVudGlvbiB0aHJvdWdoIGVudmlyb25tZW50YWwgZGVzaWduIChDUFRFRCkgc3VnZ2VzdHMgYW4gYXNzb2NpYXRpb24gYmV0d2VlbiBtaWNyby1zY2FsZSBlbnZpcm9ubWVudGFsIGNvbmRpdGlvbnMgYW5kIGNyaW1lLCBidXQgbGl0dGxlIGVtcGlyaWNhbCByZXNlYXJjaCBleGlzdHMgb24gdGhlIGRldGFpbGVkIHN0cmVldC1sZXZlbCBlbnZpcm9ubWVudGFsIGZlYXR1cmVzIGFzc29jaWF0ZWQgd2l0aCBjcmltZSBuZWFyIGxvdy1pbmNvbWUgYW5kIG1pbm9yaXR5IHNjaG9vbHMuIFRoaXMgc3R1ZHkgZm9jdXNlcyBvbiB0aGUgbmVpZ2hib3Job29kcyBhcm91bmQgMTQgZWxlbWVudGFyeSBzY2hvb2xzIHNlcnZpbmcgbG93ZXIgaW5jb21lIHBvcHVsYXRpb25zIGluIFNlYXR0bGUsIFdBIHRvIGFzc2VzcyBpZiB0aGUgZGlzdHJpYnV0aW9uIG9mIGNyaW1lIGluY2lkZW5jZXMgKDIwMTPigJMyMDE3KSBpcyBsaW5rZWQgd2l0aCB0aGUgc3RyZWV0LWxldmVsIGVudmlyb25tZW50YWwgZmVhdHVyZXMgdGhhdCByZWZsZWN0IENQVEVEIHByaW5jaXBsZXMuIFdlIHVzZWQgYSB0b3RhbCBvZiA0MCBhdWRpdCB2YXJpYWJsZXMgdGhhdCB3ZXJlIGluY2x1ZGVkIGluIHRoZSBmb3VyIGRvbWFpbnMgZGVyaXZlZCBmcm9tIHRoZSBicm9rZW4gd2luZG93cyB0aGVvcnkgYW5kIENQVEVEIHByaW5jaXBsZXM6IG5hdHVyYWwgc3VydmVpbGxhbmNlIChlLmcuLCBudW1iZXIgb2Ygd2luZG93cywgYmFsY29uaWVzLCBhbmQgYSBzZW5zZSBvZiBzdXJ2ZWlsbGFuY2UpLCB0ZXJyaXRvcmlhbGl0eSAoZS5nLiwgY3JpbWUgd2F0Y2ggc2lnbnMsIHRyZWVzKSwgaW1hZ2UvbWFpbnRlbmFuY2UgKGUuZy4sIGdyYWZmaXRpIGFuZCBhIHNlbnNlIG9mIG1haW50ZW5hbmNlL2NsZWFubmVzcyksIGFuZCBnZW9ncmFwaGljYWwganV4dGFwb3NpdGlvbiAoZS5nLiwgYnVzIHN0b3BzLCBwcmVzZW5jZSBvZiBhcnRlcmlhbCkuIFdlIGZvdW5kIHRoYXQgbXVsdGlwbGUgY3JpbWUgdHlwZXMgaGFkIHNpZ25pZmljYW50IGFzc29jaWF0aW9ucyB3aXRoIENQVEVEIGNvbXBvbmVudHMgYXQgdGhlIHN0cmVldCBsZXZlbC4gQW1vbmcgdGhlIENQVEVEIGRvbWFpbnMsIHR3byBpbWFnZS9tYWludGVuYW5jZSBmZWF0dXJlcyAoaS5lLiwgbWFpbnRlbmFuY2Ugb2Ygc3RyZWV0cyBhbmQgdmlzdWFsIHF1YWxpdHkgb2YgYnVpbGRpbmdzKSBhbmQgdHdvIGdlb2dyYXBoaWNhbCBqdXh0YXBvc2l0aW9uIGZlYXR1cmVzIChpLmUuLCBiZWluZyBhZGphY2VudCB0byBtdWx0aS1mYW1pbHkgaG91c2luZyBhbmQgYnVzIHN0b3BzKSB3ZXJlIGNvbnNpc3RlbnRseSBhc3NvY2lhdGVkIHdpdGggYm90aCB2aW9sZW50IGFuZCBwcm9wZXJ0eSBjcmltZS4gVGhlIGZpbmRpbmdzIHN1Z2dlc3QgdGhhdCBsb2NhbCBlZmZvcnRzIHRvIGltcHJvdmUgbWFpbnRlbmFuY2Ugb2Ygc3RyZWV0cyBhbmQgdmlzdWFsIHF1YWxpdHkgb2YgYnVpbGRpbmdzIGFuZCBicm9hZGVyIHBsYW5uaW5nIGVmZm9ydHMgdG8gY29udHJvbCBzcGVjaWZpYyBsYW5kIHVzZXMgbmVhciBzY2hvb2xzIGFyZSBpbXBvcnRhbnQgdG8gaW1wcm92ZSBzYWZldHkgaW4gbWFyZ2luYWxpemVkIG5laWdoYm9yaG9vZHMgbmVhciBzY2hvb2xzIHRoYXQgdGVuZCB0byBiZSBtb3JlIHZ1bG5lcmFibGUgdG8gY3JpbWUuIE91ciByZXNlYXJjaCBvbiBtaWNyby1zY2FsZSBlbnZpcm9ubWVudGFsIGRldGVybWluYW50cyBvZiBjcmltZSBjYW4gYWxzbyBzZXJ2ZSBhcyBwcm9taXNpbmcgdGFyZ2V0cyBmb3IgQ1BURUQgcmVzZWFyY2ggYW5kIGluaXRpYXRpdmVzLiIsInB1Ymxpc2hlciI6IkVsc2V2aWVyIEIuVi4iLCJ2b2x1bWUiOiIyMzIifSwiaXNUZW1wb3JhcnkiOmZhbHNlLCJzdXBwcmVzcy1hdXRob3IiOmZhbHNlLCJjb21wb3NpdGUiOmZhbHNlLCJhdXRob3Itb25seSI6ZmFsc2V9XX0=&quot;,&quot;citationItems&quot;:[{&quot;id&quot;:&quot;dc235ce9-6441-3be9-981d-d1840d6ccd2e&quot;,&quot;itemData&quot;:{&quot;type&quot;:&quot;article-journal&quot;,&quot;id&quot;:&quot;dc235ce9-6441-3be9-981d-d1840d6ccd2e&quot;,&quot;title&quot;:&quot;Street environments and crime around low-income and minority schools: Adopting an environmental audit tool to assess crime prevention through environmental design (CPTED)&quot;,&quot;author&quot;:[{&quot;family&quot;:&quot;Lee&quot;,&quot;given&quot;:&quot;Sungmin&quot;,&quot;parse-names&quot;:false,&quot;dropping-particle&quot;:&quot;&quot;,&quot;non-dropping-particle&quot;:&quot;&quot;},{&quot;family&quot;:&quot;Lee&quot;,&quot;given&quot;:&quot;Chanam&quot;,&quot;parse-names&quot;:false,&quot;dropping-particle&quot;:&quot;&quot;,&quot;non-dropping-particle&quot;:&quot;&quot;},{&quot;family&quot;:&quot;Won Nam&quot;,&quot;given&quot;:&quot;Ji&quot;,&quot;parse-names&quot;:false,&quot;dropping-particle&quot;:&quot;&quot;,&quot;non-dropping-particle&quot;:&quot;&quot;},{&quot;family&quot;:&quot;Vernez Moudon&quot;,&quot;given&quot;:&quot;Anne&quot;,&quot;parse-names&quot;:false,&quot;dropping-particle&quot;:&quot;&quot;,&quot;non-dropping-particle&quot;:&quot;&quot;},{&quot;family&quot;:&quot;Mendoza&quot;,&quot;given&quot;:&quot;Jason A.&quot;,&quot;parse-names&quot;:false,&quot;dropping-particle&quot;:&quot;&quot;,&quot;non-dropping-particle&quot;:&quot;&quot;}],&quot;container-title&quot;:&quot;Landscape and Urban Planning&quot;,&quot;container-title-short&quot;:&quot;Landsc. Urban Plan.&quot;,&quot;DOI&quot;:&quot;10.1016/j.landurbplan.2022.104676&quot;,&quot;ISSN&quot;:&quot;01692046&quot;,&quot;issued&quot;:{&quot;date-parts&quot;:[[2023,4,1]]},&quot;abstract&quot;:&quot;Crime prevention through environmental design (CPTED) suggests an association between micro-scale environmental conditions and crime, but little empirical research exists on the detailed street-level environmental features associated with crime near low-income and minority schools. This study focuses on the neighborhoods around 14 elementary schools serving lower income populations in Seattle, WA to assess if the distribution of crime incidences (2013–2017) is linked with the street-level environmental features that reflect CPTED principles. We used a total of 40 audit variables that were included in the four domains derived from the broken windows theory and CPTED principles: natural surveillance (e.g., number of windows, balconies, and a sense of surveillance), territoriality (e.g., crime watch signs, trees), image/maintenance (e.g., graffiti and a sense of maintenance/cleanness), and geographical juxtaposition (e.g., bus stops, presence of arterial). We found that multiple crime types had significant associations with CPTED components at the street level. Among the CPTED domains, two image/maintenance features (i.e., maintenance of streets and visual quality of buildings) and two geographical juxtaposition features (i.e., being adjacent to multi-family housing and bus stops) were consistently associated with both violent and property crime. The findings suggest that local efforts to improve maintenance of streets and visual quality of buildings and broader planning efforts to control specific land uses near schools are important to improve safety in marginalized neighborhoods near schools that tend to be more vulnerable to crime. Our research on micro-scale environmental determinants of crime can also serve as promising targets for CPTED research and initiatives.&quot;,&quot;publisher&quot;:&quot;Elsevier B.V.&quot;,&quot;volume&quot;:&quot;232&quot;},&quot;isTemporary&quot;:false,&quot;suppress-author&quot;:false,&quot;composite&quot;:false,&quot;author-only&quot;:false}]},{&quot;citationID&quot;:&quot;MENDELEY_CITATION_f98a3577-ac1e-4a9e-a080-3e34a2a7c500&quot;,&quot;properties&quot;:{&quot;noteIndex&quot;:0},&quot;isEdited&quot;:false,&quot;manualOverride&quot;:{&quot;isManuallyOverridden&quot;:true,&quot;citeprocText&quot;:&quot;(Robbennolt et al., 2025)&quot;,&quot;manualOverrideText&quot;:&quot;Robbennolt et al., 2025&quot;},&quot;citationTag&quot;:&quot;MENDELEY_CITATION_v3_eyJjaXRhdGlvbklEIjoiTUVOREVMRVlfQ0lUQVRJT05fZjk4YTM1NzctYWMxZS00YTllLWEwODAtM2UzNGEyYTdjNTAwIiwicHJvcGVydGllcyI6eyJub3RlSW5kZXgiOjB9LCJpc0VkaXRlZCI6ZmFsc2UsIm1hbnVhbE92ZXJyaWRlIjp7ImlzTWFudWFsbHlPdmVycmlkZGVuIjp0cnVlLCJjaXRlcHJvY1RleHQiOiIoUm9iYmVubm9sdCBldCBhbC4sIDIwMjUpIiwibWFudWFsT3ZlcnJpZGVUZXh0IjoiUm9iYmVubm9sdCBldCBhbC4sIDIwMjUifSwiY2l0YXRpb25JdGVtcyI6W3siaWQiOiIxZjI2M2I1Zi02OTk4LTM4ZDMtOTQ4Ny00NDVmMzMwYTRlOTkiLCJpdGVtRGF0YSI6eyJ0eXBlIjoicmVwb3J0IiwiaWQiOiIxZjI2M2I1Zi02OTk4LTM4ZDMtOTQ4Ny00NDVmMzMwYTRlOTkiLCJ0aXRsZSI6IlRyYW5zcG9ydGF0aW9uIEhlYXJ0YmVhdCBvZiBBbWVyaWNhIFN1cnZleSBXYXZlIDE6IEZpbmRpbmdzIGFuZCBSZWNvbW1lbmRhdGlvbnMiLCJhdXRob3IiOlt7ImZhbWlseSI6IlJvYmJlbm5vbHQiLCJnaXZlbiI6IkRhbGUiLCJwYXJzZS1uYW1lcyI6ZmFsc2UsImRyb3BwaW5nLXBhcnRpY2xlIjoiIiwibm9uLWRyb3BwaW5nLXBhcnRpY2xlIjoiIn0seyJmYW1pbHkiOiJCZWxpdmVhdSIsImdpdmVuIjoiQW5uYSIsInBhcnNlLW5hbWVzIjpmYWxzZSwiZHJvcHBpbmctcGFydGljbGUiOiIiLCJub24tZHJvcHBpbmctcGFydGljbGUiOiIifSx7ImZhbWlseSI6IkJhdHVyIiwiZ2l2ZW4iOiJJcmZhbiIsInBhcnNlLW5hbWVzIjpmYWxzZSwiZHJvcHBpbmctcGFydGljbGUiOiIiLCJub24tZHJvcHBpbmctcGFydGljbGUiOiIifSx7ImZhbWlseSI6IlBlbmR5YWxhIiwiZ2l2ZW4iOiJSYW0gTSIsInBhcnNlLW5hbWVzIjpmYWxzZSwiZHJvcHBpbmctcGFydGljbGUiOiIiLCJub24tZHJvcHBpbmctcGFydGljbGUiOiIifSx7ImZhbWlseSI6Ik1va2h0YXJpYW4iLCJnaXZlbiI6IlBhdHJpY2lhIEwiLCJwYXJzZS1uYW1lcyI6ZmFsc2UsImRyb3BwaW5nLXBhcnRpY2xlIjoiIiwibm9uLWRyb3BwaW5nLXBhcnRpY2xlIjoiIn0seyJmYW1pbHkiOiJTaGF3IiwiZ2l2ZW4iOiJBdGl5eWEgRiIsInBhcnNlLW5hbWVzIjpmYWxzZSwiZHJvcHBpbmctcGFydGljbGUiOiIiLCJub24tZHJvcHBpbmctcGFydGljbGUiOiIifSx7ImZhbWlseSI6IlBvbHppbiIsImdpdmVuIjoiU3RldmVuIEUiLCJwYXJzZS1uYW1lcyI6ZmFsc2UsImRyb3BwaW5nLXBhcnRpY2xlIjoiIiwibm9uLWRyb3BwaW5nLXBhcnRpY2xlIjoiIn0seyJmYW1pbHkiOiJDb253YXkiLCJnaXZlbiI6IkFsaXNvbiBKIiwicGFyc2UtbmFtZXMiOmZhbHNlLCJkcm9wcGluZy1wYXJ0aWNsZSI6IiIsIm5vbi1kcm9wcGluZy1wYXJ0aWNsZSI6IiJ9LHsiZmFtaWx5IjoiQ2hlbiIsImdpdmVuIjoiQ3ludGhpYSIsInBhcnNlLW5hbWVzIjpmYWxzZSwiZHJvcHBpbmctcGFydGljbGUiOiIiLCJub24tZHJvcHBpbmctcGFydGljbGUiOiIifSx7ImZhbWlseSI6IkJoYXQiLCJnaXZlbiI6IkNoYW5kcmEgUiIsInBhcnNlLW5hbWVzIjpmYWxzZSwiZHJvcHBpbmctcGFydGljbGUiOiIiLCJub24tZHJvcHBpbmctcGFydGljbGUiOiIifV0sImlzc3VlZCI6eyJkYXRlLXBhcnRzIjpbWzIwMjUsOF1dfSwiYWJzdHJhY3QiOiJJbiB0aGUgcmFwaWRseSBldm9sdmluZyB0cmF2ZWwgZW52aXJvbm1lbnQgaW4gdGhlIFVuaXRlZCBTdGF0ZXMsIGFuIGludmVzdGlnYXRpb24gaW50byBjaGFuZ2VzIGluIGF0dGl0dWRlcywgbGlmZXN0eWxlcywgYW5kIHRyYXZlbCBiZWhhdmlvcnMgaXMgY3JpdGljYWwgdG8gcHJlZGljdCBhbmQgcHJvYWN0aXZlbHkgc2hhcGUgZnV0dXJlIGJlaGF2aW9yYWwgcmVzcG9uc2VzLiBBY2NvcmRpbmdseSwgaW4gdGhpcyByZXNlYXJjaCwgd2UgdHJhY2sgYmVoYXZpb3JzLCBjaG9pY2VzLCBhbmQgdHJhdmVsIHRyZW5kcyBvZiBpbmRpdmlkdWFscyByZXNpZGluZyBpbiB0aGUgVW5pdGVkIFN0YXRlcywgdGhyb3VnaCBhIG1ham9yIG11bHRpLXVuaXZlcnNpdHksIG11bHRpLXllYXIgc3VydmV5IGRhdGEgY29sbGVjdGlvbiBlZmZvcnQgdGhhdCBpbnRlZ3JhdGVzIGEgcGFuZWwgc3VydmV5IGNvbXBvbmVudCB3aXRoIGEgY3Jvc3Mtc2VjdGlvbmFsIHN1cnZleSBjb21wb25lbnQuIFRoZSBmaXJzdCB3YXZlIG9mIHRoZSBzdXJ2ZXksIGNvbmR1Y3RlZCBmcm9tIE9jdG9iZXIgMjAyNCB0aHJvdWdoIEphbnVhcnkgMjAyNSBpbmNsdWRlcyBkZXRhaWxlZCBjb3ZlcmFnZSBvZiBhdHRpdHVkZXMgcmVnYXJkaW5nIHRyYW5zcG9ydGF0aW9uIGFuZCBtb2JpbGl0eSwgY3VycmVudCB0cmFuc3BvcnRhdGlvbiBiZWhhdmlvcnMgYXQgdGhlIHRpbWUgb2YgZWFjaCB3YXZlLCB2YWx1ZXMgYW5kIHByZWZlcmVuY2VzIHJlZ2FyZGluZyB0cmFuc3BvcnRhdGlvbiBkZXZlbG9wbWVudCBhbmQgZWNvbm9taWMgaW52ZXN0bWVudHMgaW4gdHJhbnNwb3J0YXRpb24gaW5mcmFzdHJ1Y3R1cmUsIGtub3dsZWRnZSBhbmQgaW50ZW50aW9ucyByZWdhcmRpbmcgcG90ZW50aWFsIGZ1dHVyZSB0cmFuc3BvcnRhdGlvbiB0ZWNobm9sb2dpZXMsIGFuZCBzcGVjaWZpYyBwcmVmZXJlbmNlcyBhbmQgYmVoYXZpb3JzIHJlZ2FyZGluZyBlbGVjdHJpYyB2ZWhpY2xlcyBhbmQgb25saW5lIGFjdGl2aXR5IHBhcnRpY2lwYXRpb24uIFJlc3VsdHMgZnJvbSB0aGUgZmlyc3Qgd2F2ZSBvZiBkYXRhIGNvbGxlY3Rpb24gcHJvdmlkZSBpbXBvcnRhbnQgaW5zaWdodHMgdG8gaGVscCBwbGFubmVycyBhbmQgcG9saWN5bWFrZXJzIG5hdmlnYXRlIHRoZSBjaGFuZ2luZyBsYW5kc2NhcGUgb2YgdHJhbnNwb3J0YXRpb24gaW4gdGhlIFVuaXRlZCBTdGF0ZXMuIDEgMS4gSU5UUk9EVUNUSU9OIDEuMSBCYWNrZ3JvdW5kIGFuZCBNb3RpdmF0aW9uIFRoZSBsYW5kc2NhcGUgb2YgdHJhbnNwb3J0YXRpb24gZGVtYW5kIGlzIHVuZGVyZ29pbmcgcmFwaWQgdHJhbnNmb3JtYXRpb24sIGRyaXZlbiBieSBmYWN0b3JzIHN1Y2ggYXMgdGhlIGdyb3d0aCBpbiBpbmZvcm1hdGlvbiBhbmQgY29tbXVuaWNhdGlvbiB0ZWNobm9sb2dpZXMsIHRoZSBpbmNyZWFzaW5nIHByZXZhbGVuY2Ugb2Ygb24tZGVtYW5kIHRyYW5zcG9ydGF0aW9uIHNlcnZpY2VzLCBncm93aW5nIGVudmlyb25tZW50YWwgY29uY2VybnMsIGFuZCBkaXNydXB0aW9ucyB0byByZWd1bGFyIHJvdXRpbmVzIGFuZCBsaWZlc3R5bGUgY2hhbmdlcyBicm91Z2h0IGFib3V0IGJ5IHRoZSBDT1ZJRC0xOSBwYW5kZW1pYy4gSW4gc3VjaCBhbiBldm9sdmluZyB0cmF2ZWwgZW52aXJvbm1lbnQsIGFuIGludmVzdGlnYXRpb24gaW50byBjaGFuZ2VzIGluIGF0dGl0dWRlcywgbGlmZXN0eWxlcywgYW5kLCB1bHRpbWF0ZWx5LCB0cmF2ZWwgYmVoYXZpb3JzIGlzIHZhbHVhYmxlIHRvIHByZWRpY3QgYW5kIHByb2FjdGl2ZWx5IHNoYXBlIGZ1dHVyZSBiZWhhdmlvcmFsIHJlc3BvbnNlcywgYXMgd2VsbCBhcyBmb3IgZWZmZWN0aXZlIHRyYW5zcG9ydGF0aW9uIHBsYW5uaW5nIGFuZCBwb2xpY3ktbWFraW5nIGF0IHRoZSBpbnRlcnNlY3Rpb24gb2YgZW52aXJvbm1lbnRhbCBnb2FscywgZXF1aXR5IGNvbmNlcm5zLCBhbmQgdGVjaG5vbG9naWNhbCBhZHZhbmNlbWVudC4gSW4gdGhpcyBjb250ZXh0LCB1bmRlcnN0YW5kaW5nIHRoZSBicm9hZCByYW5nZSBvZiBwZXJzcGVjdGl2ZXMgYW5kIGJlaGF2aW9ycyB0aGF0IGluZmx1ZW5jZSB0cmFuc3BvcnRhdGlvbiBvdXRjb21lcyBhY3Jvc3MgdGhlIGNvdW50cnksIGFzIHdlbGwgYXMgaG93IHRoZXNlIGJlaGF2aW9ycyBtYXkgY29udGludWUgdG8gZXZvbHZlIGluIHRoZSBjb21pbmcgeWVhcnMgaW4gcmVzcG9uc2UgdG8gdHJhbnNwb3J0YXRpb24gZW52aXJvbm1lbnQgY2hhbmdlcywgdGFrZXMgY2VudGVyIHN0YWdlLiBBY2NvcmRpbmdseSwgaW4gdGhpcyByZXNlYXJjaCwgd2UgdHJhY2sgYmVoYXZpb3JzLCBjaG9pY2VzLCBhbmQgdHJhdmVsIHRyZW5kcyBvdmVyIHRpbWUgb2YgaW5kaXZpZHVhbHMgcmVzaWRpbmcgaW4gdGhlIFVuaXRlZCBTdGF0ZXMgKFUuUy4pLCB0aHJvdWdoIGEgbWFqb3IgbXVsdGktdW5pdmVyc2l0eSwgbXVsdGkteWVhciBzdXJ2ZXkgZGF0YSBjb2xsZWN0aW9uIGVmZm9ydCB0aGF0IGludGVncmF0ZXMgYSBwYW5lbCBzdXJ2ZXkgY29tcG9uZW50IHdpdGggYSBjcm9zcy1zZWN0aW9uYWwgc3VydmV5IGNvbXBvbmVudC4gVGhlIGZpcnN0IHdhdmUgb2YgdGhpcyBzdXJ2ZXkgKHdoaWNoIHdlIGxhYmVsIGFzIHRoZSBUcmFuc3BvcnRhdGlvbiBIZWFydGJlYXQgb2YgQW1lcmljYSBcIlRIQVwiIHN1cnZleSkgd2FzIGNvbGxlY3RlZCBiZXR3ZWVuIE9jdG9iZXIgMjAyNCBhbmQgSmFudWFyeSAyMDI1LCBjYXB0dXJpbmcgZGV0YWlsZWQgaW5mb3JtYXRpb24gYWJvdXQgcmVzcG9uZGVudHMnIHRyYXZlbCBiZWhhdmlvcnMsIGF0dGl0dWRlcyB0b3dhcmQgbmV3IHRlY2hub2xvZ2llcywgZW52aXJvbm1lbnRhbCBwcmVmZXJlbmNlcywgYW5kIHNhdGlzZmFjdGlvbiB3aXRoIGN1cnJlbnQgdHJhbnNwb3J0YXRpb24gc3lzdGVtcywgYW1vbmcgYSB2YXJpZXR5IG9mIG90aGVyIHRvcGljcy4gVGhpcyBmaXJzdCB3YXZlIHByb3ZpZGVzIHRoZSBmb3VuZGF0aW9uIGZvciB0aGUgcGFuZWwgY29tcG9uZW50IGFzIHJlc3BvbmRlbnRzIHdpbGwgYmUgdHJhY2tlZCBvdmVyIHRoZSBuZXh0IGZvdXIgeWVhcnMuIEFkZGl0aW9uYWxseSwgYSB1bmlxdWUgYXNwZWN0IG9mIG91ciBzdXJ2ZXkgZWZmb3J0IGlzIHRoYXQgaXQgd2lsbCBhbHNvIGluY2x1ZGUgYSBjb21wb25lbnQgdGhhdCB0cmFja3MgdGhlIFwicHVsc2VcIiBvZiBVLlMuIGJ1c2luZXNzZXMgYW5kIGVtcGxveWVycyByZWdhcmRpbmcgZW1wbG95ZXItcHJvdmlkZWQgdHJhbnNwb3J0YXRpb24gYmVuZWZpdHMsIHdvcmstZnJvbS1ob21lIG9wdGlvbnMgb2ZmZXJlZCB0byBlbXBsb3llZXMsIGFuZCB0aGUgdXNlIG9mIGUtY29tbWVyY2UgYW5kIGRlbGl2ZXJ5IHBsYXRmb3JtcyB0byByZWFjaCBjdXN0b21lcnMuIFRoaXMgZW1wbG95ZXIgcGVyc3BlY3RpdmUtb3JpZW50ZWQgY29tcG9uZW50IGlzIGludGVuZGVkIHRvIHByb3ZpZGUgaW1wb3J0YW50IGluc2lnaHRzIGludG8gaG93IGJ1c2luZXNzZXMgYXJlIHJlc3BvbmRpbmcgdG8gdGhlc2Ugc2FtZSBjaGFuZ2VzIGluIHRoZSB0cmFuc3BvcnRhdGlvbiBhbmQgc29jaWFsIGVudmlyb25tZW50IGFzIHdlbGwgYXMgaW5zaWdodHMgaW50byBncm93aW5nIG1hcmtldCBzZWdtZW50cyBwcm92aWRpbmcgZS1jb21tZXJjZSBvcHRpb25zIGFuZCBzZXJ2aWNlIGRlbGl2ZXJpZXMuIEluIHNob3J0LCB0aGUgVEhBIHN1cnZleSB3aWxsIHByb3ZpZGUgZGVlcCBpbnNpZ2h0cyBvbiB0aGUgZnV0dXJlIG9mIHRyYW5zcG9ydGF0aW9uIGluIHRoZSBVLlMuIGFuZCBiZXlvbmQuIEluIHRoaXMgcGFwZXIsIHdlIGZvY3VzIG9uIHRoZSBzdXJ2ZXkgY29tcG9uZW50IHJlbGF0ZWQgdG8gaW5kaXZpZHVhbHMgYW5kIGhvdXNlaG9sZHMsIGZvY3VzaW5nIG9uIHRoZSByZXN1bHRzIG9mIHRoZSByZWNlbnRseSBjb25kdWN0ZWQgZmlyc3Qgd2F2ZSBvZiBkYXRhIGNvbGxlY3Rpb24uIiwiY29udGFpbmVyLXRpdGxlLXNob3J0IjoiIn0sImlzVGVtcG9yYXJ5IjpmYWxzZSwic3VwcHJlc3MtYXV0aG9yIjpmYWxzZSwiY29tcG9zaXRlIjpmYWxzZSwiYXV0aG9yLW9ubHkiOmZhbHNlfV19&quot;,&quot;citationItems&quot;:[{&quot;id&quot;:&quot;1f263b5f-6998-38d3-9487-445f330a4e99&quot;,&quot;itemData&quot;:{&quot;type&quot;:&quot;report&quot;,&quot;id&quot;:&quot;1f263b5f-6998-38d3-9487-445f330a4e99&quot;,&quot;title&quot;:&quot;Transportation Heartbeat of America Survey Wave 1: Findings and Recommendations&quot;,&quot;author&quot;:[{&quot;family&quot;:&quot;Robbennolt&quot;,&quot;given&quot;:&quot;Dale&quot;,&quot;parse-names&quot;:false,&quot;dropping-particle&quot;:&quot;&quot;,&quot;non-dropping-particle&quot;:&quot;&quot;},{&quot;family&quot;:&quot;Beliveau&quot;,&quot;given&quot;:&quot;Anna&quot;,&quot;parse-names&quot;:false,&quot;dropping-particle&quot;:&quot;&quot;,&quot;non-dropping-particle&quot;:&quot;&quot;},{&quot;family&quot;:&quot;Batur&quot;,&quot;given&quot;:&quot;Irfan&quot;,&quot;parse-names&quot;:false,&quot;dropping-particle&quot;:&quot;&quot;,&quot;non-dropping-particle&quot;:&quot;&quot;},{&quot;family&quot;:&quot;Pendyala&quot;,&quot;given&quot;:&quot;Ram M&quot;,&quot;parse-names&quot;:false,&quot;dropping-particle&quot;:&quot;&quot;,&quot;non-dropping-particle&quot;:&quot;&quot;},{&quot;family&quot;:&quot;Mokhtarian&quot;,&quot;given&quot;:&quot;Patricia L&quot;,&quot;parse-names&quot;:false,&quot;dropping-particle&quot;:&quot;&quot;,&quot;non-dropping-particle&quot;:&quot;&quot;},{&quot;family&quot;:&quot;Shaw&quot;,&quot;given&quot;:&quot;Atiyya F&quot;,&quot;parse-names&quot;:false,&quot;dropping-particle&quot;:&quot;&quot;,&quot;non-dropping-particle&quot;:&quot;&quot;},{&quot;family&quot;:&quot;Polzin&quot;,&quot;given&quot;:&quot;Steven E&quot;,&quot;parse-names&quot;:false,&quot;dropping-particle&quot;:&quot;&quot;,&quot;non-dropping-particle&quot;:&quot;&quot;},{&quot;family&quot;:&quot;Conway&quot;,&quot;given&quot;:&quot;Alison J&quot;,&quot;parse-names&quot;:false,&quot;dropping-particle&quot;:&quot;&quot;,&quot;non-dropping-particle&quot;:&quot;&quot;},{&quot;family&quot;:&quot;Chen&quot;,&quot;given&quot;:&quot;Cynthia&quot;,&quot;parse-names&quot;:false,&quot;dropping-particle&quot;:&quot;&quot;,&quot;non-dropping-particle&quot;:&quot;&quot;},{&quot;family&quot;:&quot;Bhat&quot;,&quot;given&quot;:&quot;Chandra R&quot;,&quot;parse-names&quot;:false,&quot;dropping-particle&quot;:&quot;&quot;,&quot;non-dropping-particle&quot;:&quot;&quot;}],&quot;issued&quot;:{&quot;date-parts&quot;:[[2025,8]]},&quot;abstract&quot;:&quot;In the rapidly evolving travel environment in the United States, an investigation into changes in attitudes, lifestyles, and travel behaviors is critical to predict and proactively shape future behavioral responses. Accordingly, in this research, we track behaviors, choices, and travel trends of individuals residing in the United States, through a major multi-university, multi-year survey data collection effort that integrates a panel survey component with a cross-sectional survey component. The first wave of the survey, conducted from October 2024 through January 2025 includes detailed coverage of attitudes regarding transportation and mobility, current transportation behaviors at the time of each wave, values and preferences regarding transportation development and economic investments in transportation infrastructure, knowledge and intentions regarding potential future transportation technologies, and specific preferences and behaviors regarding electric vehicles and online activity participation. Results from the first wave of data collection provide important insights to help planners and policymakers navigate the changing landscape of transportation in the United States. 1 1. INTRODUCTION 1.1 Background and Motivation The landscape of transportation demand is undergoing rapid transformation, driven by factors such as the growth in information and communication technologies, the increasing prevalence of on-demand transportation services, growing environmental concerns, and disruptions to regular routines and lifestyle changes brought about by the COVID-19 pandemic. In such an evolving travel environment, an investigation into changes in attitudes, lifestyles, and, ultimately, travel behaviors is valuable to predict and proactively shape future behavioral responses, as well as for effective transportation planning and policy-making at the intersection of environmental goals, equity concerns, and technological advancement. In this context, understanding the broad range of perspectives and behaviors that influence transportation outcomes across the country, as well as how these behaviors may continue to evolve in the coming years in response to transportation environment changes, takes center stage. Accordingly, in this research, we track behaviors, choices, and travel trends over time of individuals residing in the United States (U.S.), through a major multi-university, multi-year survey data collection effort that integrates a panel survey component with a cross-sectional survey component. The first wave of this survey (which we label as the Transportation Heartbeat of America \&quot;THA\&quot; survey) was collected between October 2024 and January 2025, capturing detailed information about respondents' travel behaviors, attitudes toward new technologies, environmental preferences, and satisfaction with current transportation systems, among a variety of other topics. This first wave provides the foundation for the panel component as respondents will be tracked over the next four years. Additionally, a unique aspect of our survey effort is that it will also include a component that tracks the \&quot;pulse\&quot; of U.S. businesses and employers regarding employer-provided transportation benefits, work-from-home options offered to employees, and the use of e-commerce and delivery platforms to reach customers. This employer perspective-oriented component is intended to provide important insights into how businesses are responding to these same changes in the transportation and social environment as well as insights into growing market segments providing e-commerce options and service deliveries. In short, the THA survey will provide deep insights on the future of transportation in the U.S. and beyond. In this paper, we focus on the survey component related to individuals and households, focusing on the results of the recently conducted first wave of data collection.&quot;,&quot;container-title-short&quot;:&quot;&quot;},&quot;isTemporary&quot;:false,&quot;suppress-author&quot;:false,&quot;composite&quot;:false,&quot;author-only&quot;:false}]},{&quot;citationID&quot;:&quot;MENDELEY_CITATION_771b8bd7-0648-4eae-bc2c-7c70119221de&quot;,&quot;properties&quot;:{&quot;noteIndex&quot;:0},&quot;isEdited&quot;:false,&quot;manualOverride&quot;:{&quot;isManuallyOverridden&quot;:false,&quot;citeprocText&quot;:&quot;(Chapman et al., 2021)&quot;,&quot;manualOverrideText&quot;:&quot;&quot;},&quot;citationTag&quot;:&quot;MENDELEY_CITATION_v3_eyJjaXRhdGlvbklEIjoiTUVOREVMRVlfQ0lUQVRJT05fNzcxYjhiZDctMDY0OC00ZWFlLWJjMmMtN2M3MDExOTIyMWRlIiwicHJvcGVydGllcyI6eyJub3RlSW5kZXgiOjB9LCJpc0VkaXRlZCI6ZmFsc2UsIm1hbnVhbE92ZXJyaWRlIjp7ImlzTWFudWFsbHlPdmVycmlkZGVuIjpmYWxzZSwiY2l0ZXByb2NUZXh0IjoiKENoYXBtYW4gZXQgYWwuLCA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nN1cHByZXNzLWF1dGhvciI6ZmFsc2UsImNvbXBvc2l0ZSI6ZmFsc2UsImF1dGhvci1vbmx5IjpmYWxzZX1dfQ==&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suppress-author&quot;:false,&quot;composite&quot;:false,&quot;author-only&quot;:false}]},{&quot;citationID&quot;:&quot;MENDELEY_CITATION_abf27b35-f6cf-4c66-8566-dc5422a9b6bb&quot;,&quot;properties&quot;:{&quot;noteIndex&quot;:0},&quot;isEdited&quot;:false,&quot;manualOverride&quot;:{&quot;isManuallyOverridden&quot;:true,&quot;citeprocText&quot;:&quot;(Aguilera-García et al., 2024; Baquero Larriva et al., 2024; Blazanin et al., 2022; Sanders et al., 2020)&quot;,&quot;manualOverrideText&quot;:&quot;Sanders et al., 2020; Blazanin et al., 2022; Baquero Larriva et al., 2024; Aguilera-García et al., 2024)&quot;},&quot;citationTag&quot;:&quot;MENDELEY_CITATION_v3_eyJjaXRhdGlvbklEIjoiTUVOREVMRVlfQ0lUQVRJT05fYWJmMjdiMzUtZjZjZi00YzY2LTg1NjYtZGM1NDIyYTliNmJiIiwicHJvcGVydGllcyI6eyJub3RlSW5kZXgiOjB9LCJpc0VkaXRlZCI6ZmFsc2UsIm1hbnVhbE92ZXJyaWRlIjp7ImlzTWFudWFsbHlPdmVycmlkZGVuIjp0cnVlLCJjaXRlcHJvY1RleHQiOiIoQWd1aWxlcmEtR2FyY8OtYSBldCBhbC4sIDIwMjQ7IEJhcXVlcm8gTGFycml2YSBldCBhbC4sIDIwMjQ7IEJsYXphbmluIGV0IGFsLiwgMjAyMjsgU2FuZGVycyBldCBhbC4sIDIwMjApIiwibWFudWFsT3ZlcnJpZGVUZXh0IjoiU2FuZGVycyBldCBhbC4sIDIwMjA7IEJsYXphbmluIGV0IGFsLiwgMjAyMjsgQmFxdWVybyBMYXJyaXZhIGV0IGFsLiwgMjAyNDsgQWd1aWxlcmEtR2FyY8OtYSBldCBhbC4sIDIwMjQpIn0sImNpdGF0aW9uSXRlbXMiOlt7ImlkIjoiMGVjMmRmNzAtM2NkOS0zODYzLTgwN2QtZWVlZGMxZGVhYzliIiwiaXRlbURhdGEiOnsidHlwZSI6ImFydGljbGUtam91cm5hbCIsImlkIjoiMGVjMmRmNzAtM2NkOS0zODYzLTgwN2QtZWVlZGMxZGVhYzliIiwidGl0bGUiOiJFLXNjb290ZXIgc2hhcmluZyBhbmQgYmlrZXNoYXJpbmcgc3lzdGVtczogQW4gaW5kaXZpZHVhbC1sZXZlbCBhbmFseXNpcyBvZiBmYWN0b3JzIGFmZmVjdGluZyBmaXJzdC11c2UgYW5kIHVzZSBmcmVxdWVuY3kiLCJhdXRob3IiOlt7ImZhbWlseSI6IkJsYXphbmluIiwiZ2l2ZW4iOiJHaW5hIiwicGFyc2UtbmFtZXMiOmZhbHNlLCJkcm9wcGluZy1wYXJ0aWNsZSI6IiIsIm5vbi1kcm9wcGluZy1wYXJ0aWNsZSI6IiJ9LHsiZmFtaWx5IjoiTW9uZGFsIiwiZ2l2ZW4iOiJBdXBhbCIsInBhcnNlLW5hbWVzIjpmYWxzZSwiZHJvcHBpbmctcGFydGljbGUiOiIiLCJub24tZHJvcHBpbmctcGFydGljbGUiOiIifSx7ImZhbWlseSI6IkFzbXVzc2VuIiwiZ2l2ZW4iOiJLYXRoZXJpbmUgRS4iLCJwYXJzZS1uYW1lcyI6ZmFsc2UsImRyb3BwaW5nLXBhcnRpY2xlIjoiIiwibm9uLWRyb3BwaW5nLXBhcnRpY2xlIjoiIn0seyJmYW1pbHkiOiJCaGF0IiwiZ2l2ZW4iOiJDaGFuZHJhIFIuIiwicGFyc2UtbmFtZXMiOmZhbHNlLCJkcm9wcGluZy1wYXJ0aWNsZSI6IiIsIm5vbi1kcm9wcGluZy1wYXJ0aWNsZSI6IiJ9XSwiY29udGFpbmVyLXRpdGxlIjoiVHJhbnNwb3J0YXRpb24gUmVzZWFyY2ggUGFydCBDOiBFbWVyZ2luZyBUZWNobm9sb2dpZXMiLCJjb250YWluZXItdGl0bGUtc2hvcnQiOiJUcmFuc3AuIFJlcy4gUGFydCBDIEVtZXJnLiBUZWNobm9sLiIsIkRPSSI6IjEwLjEwMTYvai50cmMuMjAyMS4xMDM1MTUiLCJJU1NOIjoiMDk2ODA5MFgiLCJpc3N1ZWQiOnsiZGF0ZS1wYXJ0cyI6W1syMDIyLDIsMV1dfSwiYWJzdHJhY3QiOiJTaGFyZWQgbWljcm9tb2JpbGl0eSBtb2RlcyBoYXZlIGluY3JlYXNpbmdseSBwZW5ldHJhdGVkIHRoZSBtb2JpbGl0eSBlbnZpcm9ubWVudCBvZiBjaXRpZXMgaW4gdGhlIFUuUy4gYW5kIHRoZSB3b3JsZCBvdmVyLiBBdCB0aGUgc2FtZSB0aW1lLCB0byBiZXN0IGludGVncmF0ZSB0aGVzZSBlbWVyZ2luZyBtb2RlcyB3aXRoaW4gdGhlIGZhYnJpYyBvZiB0aGUgZXhpc3RpbmcgKGFuZCBsYXJnZXIpIHRyYW5zcG9ydGF0aW9uIGVjb3N5c3RlbSwgaXQgaXMgY3JpdGljYWwgdG8gdW5kZXJzdGFuZCBob3cgaW5kaXZpZHVhbHMgbWF5IHJlc3BvbmQgYW5kIOKAnHdob+KAnSB0aGUgbGlrZWx5IHVzZXJzIG9mIHRoZXNlIHJlbGF0aXZlbHkgbmV3IG1vZGVzIG1heSBiZS4gSW4gdGhpcyBwYXBlciwgd2UgZGV2ZWxvcCBhIG1vZGVsIHRvIGFuYWx5emUgZmlyc3QtdXNlIGFuZCB1c2UgZnJlcXVlbmN5IG9mIHR3byBtaWNyb21vYmlsaXR5IG1vZGVzOiBFLXNjb290ZXIgc2hhcmluZyBzeXN0ZW1zIChFU1MpIGFuZCBCaWtlIHNoYXJpbmcgc3lzdGVtcyAoQlNTKS4gVGhlIG1vZGVsIGVtcGxveXMgcHN5Y2hvLXNvY2lhbCBjb25zdHJ1Y3RzLCBidWlsdCBlbnZpcm9ubWVudCBhdHRyaWJ1dGVzLCBhcyB3ZWxsIGFzIGluZGl2aWR1YWwtbGV2ZWwgZGVtb2dyYXBoaWNzIGFzIGRldGVybWluYW50cy4gSW4gZG9pbmcgc28sIHdlIGV4cGxpY2l0bHkgcmVjb2duaXplIHRoZSByb2xlIHBsYXllZCBieSBhd2FyZW5lc3MvZmlyc3QtdXNlIG9mIG5ldyB0ZWNobm9sb2dpZXMgYXMgYSBjb2duaXRpdmUgYW50ZWNlZGVudCB0byBzdWJzZXF1ZW50IGZyZXF1ZW5jeSBkZWNpc2lvbnMuIFRoZSBtYWluIGRhdGEgc291cmNlIGZvciB0aGlzIGFuYWx5c2lzIGlzIGRyYXduIGZyb20gYSAyMDE5IHN1cnZleSBvZiBBdXN0aW4sIFRleGFzIGFyZWEgcmVzaWRlbnRzLiBPdXIgcmVzdWx0cyBoaWdobGlnaHQgdGhlIGltcG9ydGFuY2Ugb2YgY29uc2lkZXJpbmcgcHN5Y2hvLXNvY2lhbCBhdHRpdHVkZXMgdG8gYm90aCBnYWluIGJldHRlciBpbnNpZ2h0cyBpbnRvIHRoZSBiZWhhdmlvcmFsIHByb2Nlc3MgbGVhZGluZyB1cCB0byBFU1MvQlNTIGFkb3B0aW9uL3VzZSBhcyB3ZWxsIGFzIGVuc3VyZSBhbiBhY2N1cmF0ZSBkYXRhIGZpdC4gSW4gcGFydGljdWxhciwgdGhlcmUgYXJlIGRpc3RpbmN0aXZlIHBhdGh3YXlzIG9mIGFkb3B0aW9uL3VzZSBmcmVxdWVuY3kgZm9yIGVhY2ggb2YgdGhlIEVTUyBhbmQgQlNTIG1vZGVzLCBidXQgYWxzbyBjb21wbGVtZW50YXJ5IHByb2Nlc3NlcyBhbmQgYmVoYXZpb3JhbCBzcGlsbG92ZXIgZWZmZWN0cyBhdCBwbGF5IHRoYXQgd2FycmFudCBhIGpvaW50IG1vZGVsaW5nIG9mIHRoZSBFU1MgYW5kIEJTUyBtb2Rlcy4gT3VyIHJlc3VsdHMgc3VnZ2VzdCB0aGF0IGFkZHJlc3Npbmcgc2FmZXR5IGNvbmNlcm5zIG9mIG1pY3JvbW9iaWxpdHkgbW9kZXMgc2hvdWxkIGJlIHRoZSB0b3AgcHJpb3JpdHkgb2YgcHJvdmlkZXJzIGFuZCBwdWJsaWMgYWdlbmNpZXMuIEVmZm9ydHMgc29sZWx5IGRpcmVjdGVkIHRvd2FyZCBleHRvbGluZyB0aGUg4oCcZ3JlZW7igJ0gdmlydHVlcyBvZiBtaWNyb21vYmlsaXR5IG1vZGVzIGlzIGxpa2VseSB0byBoYXZlIGxpbWl0ZWQgcmV0dXJucy4iLCJwdWJsaXNoZXIiOiJFbHNldmllciBMdGQiLCJ2b2x1bWUiOiIxMzUifSwiaXNUZW1wb3JhcnkiOmZhbHNlfSx7ImlkIjoiM2I1ZTIzZmQtMzhlNS0zZDVkLWFjZmYtMGI2OGNlOTQ4ODY3IiwiaXRlbURhdGEiOnsidHlwZSI6ImFydGljbGUtam91cm5hbCIsImlkIjoiM2I1ZTIzZmQtMzhlNS0zZDVkLWFjZmYtMGI2OGNlOTQ4ODY3IiwidGl0bGUiOiJXaGljaCBmYWN0b3JzIGluZmx1ZW5jZSB0aGUgdXNlIG9mIHNoYXJlZCBhbmQgcHJpdmF0ZWx5LW93bmVkIGUtc2Nvb3RlcnMgaW4gdGhlIGNpdHkgb2YgTWFkcmlkPyBJbXBsaWNhdGlvbnMgZm9yIHVyYmFuIG1vYmlsaXR5IiwiYXV0aG9yIjpbeyJmYW1pbHkiOiJBZ3VpbGVyYS1HYXJjw61hIiwiZ2l2ZW4iOiLDgWx2YXJvIiwicGFyc2UtbmFtZXMiOmZhbHNlLCJkcm9wcGluZy1wYXJ0aWNsZSI6IiIsIm5vbi1kcm9wcGluZy1wYXJ0aWNsZSI6IiJ9LHsiZmFtaWx5IjoiR29tZXoiLCJnaXZlbiI6Ikp1YW4iLCJwYXJzZS1uYW1lcyI6ZmFsc2UsImRyb3BwaW5nLXBhcnRpY2xlIjoiIiwibm9uLWRyb3BwaW5nLXBhcnRpY2xlIjoiIn0seyJmYW1pbHkiOiJSYW5nZWwiLCJnaXZlbiI6IlRoYWlzIiwicGFyc2UtbmFtZXMiOmZhbHNlLCJkcm9wcGluZy1wYXJ0aWNsZSI6IiIsIm5vbi1kcm9wcGluZy1wYXJ0aWNsZSI6IiJ9LHsiZmFtaWx5IjoiQmFlemEiLCJnaXZlbiI6Ik1hcsOtYSBkZSBsb3Mgw4FuZ2VsZXMiLCJwYXJzZS1uYW1lcyI6ZmFsc2UsImRyb3BwaW5nLXBhcnRpY2xlIjoiIiwibm9uLWRyb3BwaW5nLXBhcnRpY2xlIjoiIn0seyJmYW1pbHkiOiJWYXNzYWxsbyIsImdpdmVuIjoiSm9zw6kgTWFudWVsIiwicGFyc2UtbmFtZXMiOmZhbHNlLCJkcm9wcGluZy1wYXJ0aWNsZSI6IiIsIm5vbi1kcm9wcGluZy1wYXJ0aWNsZSI6IiJ9XSwiY29udGFpbmVyLXRpdGxlIjoiQ2l0aWVzIiwiRE9JIjoiMTAuMTAxNi9qLmNpdGllcy4yMDIzLjEwNDc4NSIsIklTU04iOiIwMjY0Mjc1MSIsImlzc3VlZCI6eyJkYXRlLXBhcnRzIjpbWzIwMjQsNCwxXV19LCJhYnN0cmFjdCI6Ik1pY3JvbW9iaWxpdHkgdXNpbmcgZnVsbHktZWxlY3RyaWMgdHdvLXdoZWVsZWQgdmVoaWNsZXMgaXMgaW5jcmVhc2luZyBpbiBjaXRpZXMgd29ybGR3aWRlLiBFLXNjb290ZXJzLCB3aGV0aGVyIHNoYXJlZCBvciBwcml2YXRlbHktb3duZWQsIHByb3ZpZGUgc2hvcnQgZG9vci10by1kb29yIHRyaXBzIGJ5IGZhY2lsaXRhdGluZyB0aGUgZmlyc3QvbGFzdCBtaWxlIHN0YWdlIG9mIHRoZSBqb3VybmV5LiBUaGV5IGFyZSBleHBlY3RlZCB0byBpbXByb3ZlIGxpdmFiaWxpdHkgaW4gY2l0aWVzIGJ5IHJlZHVjaW5nIGhhcm1mdWwgZW1pc3Npb25zIGFuZCBzcGFjZSBvY2N1cGF0aW9uLiBJbiB0aGlzIHJlc3BlY3QsIHVuZGVyc3RhbmRpbmcgdHJhdmVsIGJlaGF2aW9yIGFuZCB1c2FnZSBwYXR0ZXJucyBpcyBlc3NlbnRpYWwgdG8gcmVndWxhdGUgdGhlbSBhcHByb3ByaWF0ZWx5LiBUaGUgcHVycG9zZSBvZiB0aGlzIHN0dWR5IGlzIHRvIGRldGVybWluZSBpbmRpdmlkdWFscycgc29jaW9kZW1vZ3JhcGhpYyB2YXJpYWJsZXMsIG1vYmlsaXR5LXJlbGF0ZWQgYXR0cmlidXRlcywgYW5kIGxhdGVudCBjb25zdHJ1Y3RzIGluZmx1ZW5jaW5nIGUtc2Nvb3RlciB1c2FnZS4gVG8gdGhhdCBlbmQsIGFuIGluZGl2aWR1YWwtbGV2ZWwgbW9kZWwgaXMgZXN0aW1hdGVkIHRvIGV4cGxhaW4gdGhlIGFkb3B0aW9uIGFuZCBmcmVxdWVuY3kgb2YgdXNlIG9mIGJvdGggc2hhcmVkIGFuZCBwcml2YXRlIGUtc2Nvb3RlcnMgYmFzZWQgb24gc3VydmV5IGRhdGEuIFRoZSByZXNlYXJjaCB0YWtlcyB0aGUgY2l0eSBvZiBNYWRyaWQgYXMgYSBjYXNlIHN0dWR5LCBhbmQgY29udHJpYnV0ZXMgdG8gYSBkZWVwZXIgdW5kZXJzdGFuZGluZyBvZiB0aGUgZGlmZmVyZW5jZXMgaW4gdGhlIHVzZSBvZiBwcml2YXRlbHktb3duZWQgYW5kIHNoYXJlZCBlLXNjb290ZXJzLCB3aXRoIGEgcGFydGljdWxhciBmb2N1cyBvbiB0aGUgaW5mbHVlbmNlIG9mIG1vYmlsaXR5IGhhYml0cyBhbmQgYXR0aXR1ZGluYWwgdmFyaWFibGVzLiBUaGUgc3R1ZHkgaXMgY29tcGxlbWVudGVkIHdpdGggc29tZSBpbnNpZ2h0cyBvbiBzaGFyZWQgZS1zY29vdGVyIHVzYWdlIGF0IHRoZSB0cmlwLWxldmVsLCB3aGljaCBzaG93cyB0aGUgc3Vic3RpdHV0aW9uIGNhdXNlZCBvbiB3YWxraW5nIHRyaXBzLCBhbmQgdGhlaXIgbGltaXRlZCBhYmlsaXR5IHRvIHByb21vdGUgbW9kYWwgc2hpZnRzIGZyb20gdGhlIHByaXZhdGUgY2FyLiBGaW5hbGx5LCB0aGUgcmVzZWFyY2ggcHJvdmlkZXMgdmFsdWFibGUgaW1wbGljYXRpb25zIGZvciB1cmJhbiBkeW5hbWljcyBhbmQgZmVlZGJhY2sgZm9yIHBvbGljeW1ha2VycyBhbmQgdHJhbnNwb3J0IHBsYW5uZXJzLiIsInB1Ymxpc2hlciI6IkVsc2V2aWVyIEx0ZCIsInZvbHVtZSI6IjE0NyIsImNvbnRhaW5lci10aXRsZS1zaG9ydCI6IiJ9LCJpc1RlbXBvcmFyeSI6ZmFsc2V9LHsiaWQiOiIzOGY3ZDRlNi02ZWMxLTNjZGYtYmM1Ni01NDBiN2MyMzY5NDkiLCJpdGVtRGF0YSI6eyJ0eXBlIjoiYXJ0aWNsZSIsImlkIjoiMzhmN2Q0ZTYtNmVjMS0zY2RmLWJjNTYtNTQwYjdjMjM2OTQ5IiwidGl0bGUiOiJBY3RpdmUgYW5kIGhlYWx0aHkgYWdlaW5nOiBGYWN0b3JzIGFzc29jaWF0ZWQgd2l0aCBiaWN5Y2xlIHVzZSBhbmQgZnJlcXVlbmN5IGFtb25nIG9sZGVyIGFkdWx0cy0gQSBjYXNlIHN0dWR5IGluIE11bmljaCIsImF1dGhvciI6W3siZmFtaWx5IjoiQmFxdWVybyBMYXJyaXZhIiwiZ2l2ZW4iOiJNYXLDrWEgVGVyZXNhIiwicGFyc2UtbmFtZXMiOmZhbHNlLCJkcm9wcGluZy1wYXJ0aWNsZSI6IiIsIm5vbi1kcm9wcGluZy1wYXJ0aWNsZSI6IiJ9LHsiZmFtaWx5IjoiQsO8dHRuZXIiLCJnaXZlbiI6IkJlbmphbWluIiwicGFyc2UtbmFtZXMiOmZhbHNlLCJkcm9wcGluZy1wYXJ0aWNsZSI6IiIsIm5vbi1kcm9wcGluZy1wYXJ0aWNsZSI6IiJ9LHsiZmFtaWx5IjoiRHVyw6FuLVJvZGFzIiwiZ2l2ZW4iOiJEYXZpZCIsInBhcnNlLW5hbWVzIjpmYWxzZSwiZHJvcHBpbmctcGFydGljbGUiOiIiLCJub24tZHJvcHBpbmctcGFydGljbGUiOiIifV0sImNvbnRhaW5lci10aXRsZSI6IkpvdXJuYWwgb2YgVHJhbnNwb3J0IGFuZCBIZWFsdGgiLCJjb250YWluZXItdGl0bGUtc2hvcnQiOiJKLiBUcmFuc3AuIEhlYWx0aCIsIkRPSSI6IjEwLjEwMTYvai5qdGguMjAyNC4xMDE3NzIiLCJJU1NOIjoiMjIxNDE0MDUiLCJpc3N1ZWQiOnsiZGF0ZS1wYXJ0cyI6W1syMDI0LDMsMV1dfSwiYWJzdHJhY3QiOiJJbnRyb2R1Y3Rpb246IENpdGllcyBuZWVkIHRvIHRha2UgYWN0aW9uIHRvIGFkYXB0IHRvIHRoZSBuZWVkcyBvZiBvbGRlciBwZW9wbGUgYW5kIGZhY2lsaXRhdGUgdGhlaXIgaW5kZXBlbmRlbmNlLCBoZWFsdGgsIGFuZCB3ZWxsLWJlaW5nLiBBY3RpdmUgbW9iaWxpdHkgYnJpbmdzIGVjb25vbWljLCBzb2NpYWwsIGVudmlyb25tZW50YWwgYW5kIGhlYWx0aCBiZW5lZml0cy4gQ3ljbGluZyB0ZW5kcyB0byBkZWNsaW5lIHdpdGggYWdlLCBkZXNwaXRlIGl0cyBwb3RlbnRpYWwgdG8gbWluaW1pemUgZGVwZW5kZW5jeSwgc29jaWFsIGlzb2xhdGlvbiwgbW9iaWxpdHkgcHJvYmxlbXMsIGFuZCBzZWRlbnRhcnkgbGlmZXN0eWxlcy4gVGhlcmUgaXMgYSBsYWNrIG9mIGNvbXByZWhlbnNpdmUgdW5kZXJzdGFuZGluZyBvZiB0aGUgZmFjdG9ycyBhc3NvY2lhdGVkIHdpdGggY3ljbGluZyBhbW9uZyBvbGRlciBwZW9wbGUsIHdoaWNoIGxpbWl0cyBlZmZvcnRzIHRvIGRldmVsb3AgY3ljbGluZyBpbml0aWF0aXZlcyBmb3IgdGhpcyBwb3B1bGF0aW9uLiBUaGVyZWZvcmUsIHRoaXMgc3R1ZHkgYWltcyB0byBhc3Nlc3MgdGhlIHZhcmlhYmxlcyB0aGF0IGluZmx1ZW5jZSBjeWNsaW5nIGJlaGF2aW91ciBvZiBhZHVsdHMgYW5kIG9sZGVyIGFkdWx0cy4gTWV0aG9kczogVGFraW5nIE11bmljaCBhcyBhIGNhc2Ugc3R1ZHksIHdlIGV4cGxvcmVkIGZhY3RvcnMgYXNzb2NpYXRlZCB3aXRoIHRoZSB1c2UgYW5kIGZyZXF1ZW5jeSBvZiBjeWNsaW5nIHVzaW5nIHN0YXRpc3RpY2FsIHRlc3RzIGFuZCByZWdyZXNzaW9uLiBGYWN0b3JzIGluY2x1ZGVkIG5laWdoYm91cmhvb2QncyBidWlsdCBlbnZpcm9ubWVudCBjaGFyYWN0ZXJpc3RpY3MgKDVEJ3MpLCBwZXJzb25hbCBvciBpbmRpdmlkdWFsIGxldmVsIHNvY2lvZGVtb2dyYXBoaWMgY2hhcmFjdGVyaXN0aWNzLCBhbmQgYXZhaWxhYmlsaXR5IGFuZCB1c2FnZSBvZiBkaWZmZXJlbnQgdHJhbnNwb3J0IG1vZGVzIGZyb20gYSBuYXRpb25hbCBtb2JpbGl0eSBzdXJ2ZXkgKE1vYmlsaXTDpHQgaW4gRGV1dHNjaGxhbmQsIDIwMTcsIG4gPSAxMS40MzApLiBSZXN1bHRzOiBTdGF0aXN0aWNhbCBkaWZmZXJlbmNlcyB3ZXJlIGZvdW5kIGJldHdlZW4gb2xkZXIgYW5kIHlvdW5nZXIgYWR1bHRzIGluIHRoZSB1c2UgYW5kIGZyZXF1ZW5jeSBvZiBjeWNsaW5nLiBUaGUgbmVpZ2hib3VyaG9vZCdzIGJ1aWx0IGVudmlyb25tZW50IGhhZCBhIGdyZWF0ZXIgaW5mbHVlbmNlIG9uIHRoZSBjeWNsaW5nIGJlaGF2aW91ciBvZiBvbGRlciBhZHVsdHMgdGhhbiB5b3VuZ2VyIGFkdWx0cy4gVGhlIHJlc3VsdHMgcmV2ZWFsZWQgdGhhdCBvbGRlciBwZW9wbGUgbGl2aW5nIGluIHBlcmlwaGVyYWwgbmVpZ2hib3VyaG9vZHMgd2VyZSBtb3JlIGxpa2VseSB0byB1c2UgdGhlIGJpY3ljbGUgYXMgYSBtZWFucyBvZiB0cmFuc3BvcnQuIEN1cnJlbnRseSwgdGhlc2UgbmVpZ2hib3VyaG9vZHMgaGF2ZSBhIGhpZ2hlciBwZXJjZW50YWdlIG9mIGdyZWVuIGFyZWFzLCBsb3dlciBpbnRlcnNlY3Rpb24gZGVuc2l0eSBhbmQgbG93ZXIgbW90b3JpemVkIHRyYWZmaWMuIEluIGJvdGggYWdlIGdyb3VwcywgaGlnaGVyIGluY29tZSBhbmQgZWR1Y2F0aW9uIGxldmVscyBleGhpYml0ZWQgaGlnaGVyIG9kZHMgb2YgY3ljbGluZy4gQWRkaXRpb25hbGx5LCBvbGRlciBhZHVsdHMgd2hvIGFyZSBvY2Nhc2lvbmFsIGNhciBhbmQgcHVibGljIHRyYW5zcG9ydCB1c2VycyB3ZXJlIG1vcmUgbGlrZWx5IHRvIGN5Y2xlLiBDb25jbHVzaW9uczogQ2l0aWVzIHNob3VsZCBlbnN1cmUgY3ljbGluZyBvcHBvcnR1bml0aWVzIGZvciBpbmRpdmlkdWFscyBvZiBhbGwgYWdlcywgaXJyZXNwZWN0aXZlIG9mIHRoZWlyIGVkdWNhdGlvbiBsZXZlbCBvciBlY29ub21pYyBzdGF0dXMuIFRvIGVuY291cmFnZSBjeWNsaW5nIGluIG9sZGVyIHBlb3BsZSwgdXJiYW4gcGxhbm5pbmcgZWZmb3J0cyBzaG91bGQgcHJpb3JpdGl6ZSB0aGUgY3JlYXRpb24gb2Ygc2FmZSBjeWNsaW5nIGluZnJhc3RydWN0dXJlIGFuZCB0aGUgZGV2ZWxvcG1lbnQgb2YgZ3JlZW4gc3BhY2VzLiIsInB1Ymxpc2hlciI6IkVsc2V2aWVyIEx0ZCIsInZvbHVtZSI6IjM1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quot;,&quot;citationItems&quot;:[{&quot;id&quot;:&quot;0ec2df70-3cd9-3863-807d-eeedc1deac9b&quot;,&quot;itemData&quot;:{&quot;type&quot;:&quot;article-journal&quot;,&quot;id&quot;:&quot;0ec2df70-3cd9-3863-807d-eeedc1deac9b&quot;,&quot;title&quot;:&quot;E-scooter sharing and bikesharing systems: An individual-level analysis of factors affecting first-use and use frequency&quot;,&quot;author&quot;:[{&quot;family&quot;:&quot;Blazanin&quot;,&quot;given&quot;:&quot;Gina&quot;,&quot;parse-names&quot;:false,&quot;dropping-particle&quot;:&quot;&quot;,&quot;non-dropping-particle&quot;:&quot;&quot;},{&quot;family&quot;:&quot;Mondal&quot;,&quot;given&quot;:&quot;Aupal&quot;,&quot;parse-names&quot;:false,&quot;dropping-particle&quot;:&quot;&quot;,&quot;non-dropping-particle&quot;:&quot;&quot;},{&quot;family&quot;:&quot;Asmussen&quot;,&quot;given&quot;:&quot;Katherine E.&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Part C: Emerging Technologies&quot;,&quot;container-title-short&quot;:&quot;Transp. Res. Part C Emerg. Technol.&quot;,&quot;DOI&quot;:&quot;10.1016/j.trc.2021.103515&quot;,&quot;ISSN&quot;:&quot;0968090X&quot;,&quot;issued&quot;:{&quot;date-parts&quot;:[[2022,2,1]]},&quot;abstract&quot;:&quot;Shared micromobility modes have increasingly penetrated the mobility environment of cities in the U.S. and the world over. At the same time, to best integrate these emerging modes within the fabric of the existing (and larger) transportation ecosystem, it is critical to understand how individuals may respond and “who” the likely users of these relatively new modes may be. In this paper, we develop a model to analyze first-use and use frequency of two micromobility modes: E-scooter sharing systems (ESS) and Bike sharing systems (BSS). The model employs psycho-social constructs, built environment attributes, as well as individual-level demographics as determinants. In doing so, we explicitly recognize the role played by awareness/first-use of new technologies as a cognitive antecedent to subsequent frequency decisions. The main data source for this analysis is drawn from a 2019 survey of Austin, Texas area residents. Our results highlight the importance of considering psycho-social attitudes to both gain better insights into the behavioral process leading up to ESS/BSS adoption/use as well as ensure an accurate data fit. In particular, there are distinctive pathways of adoption/use frequency for each of the ESS and BSS modes, but also complementary processes and behavioral spillover effects at play that warrant a joint modeling of the ESS and BSS modes. Our results suggest that addressing safety concerns of micromobility modes should be the top priority of providers and public agencies. Efforts solely directed toward extoling the “green” virtues of micromobility modes is likely to have limited returns.&quot;,&quot;publisher&quot;:&quot;Elsevier Ltd&quot;,&quot;volume&quot;:&quot;135&quot;},&quot;isTemporary&quot;:false},{&quot;id&quot;:&quot;3b5e23fd-38e5-3d5d-acff-0b68ce948867&quot;,&quot;itemData&quot;:{&quot;type&quot;:&quot;article-journal&quot;,&quot;id&quot;:&quot;3b5e23fd-38e5-3d5d-acff-0b68ce948867&quot;,&quot;title&quot;:&quot;Which factors influence the use of shared and privately-owned e-scooters in the city of Madrid? Implications for urban mobility&quot;,&quot;author&quot;:[{&quot;family&quot;:&quot;Aguilera-García&quot;,&quot;given&quot;:&quot;Álvaro&quot;,&quot;parse-names&quot;:false,&quot;dropping-particle&quot;:&quot;&quot;,&quot;non-dropping-particle&quot;:&quot;&quot;},{&quot;family&quot;:&quot;Gomez&quot;,&quot;given&quot;:&quot;Juan&quot;,&quot;parse-names&quot;:false,&quot;dropping-particle&quot;:&quot;&quot;,&quot;non-dropping-particle&quot;:&quot;&quot;},{&quot;family&quot;:&quot;Rangel&quot;,&quot;given&quot;:&quot;Thais&quot;,&quot;parse-names&quot;:false,&quot;dropping-particle&quot;:&quot;&quot;,&quot;non-dropping-particle&quot;:&quot;&quot;},{&quot;family&quot;:&quot;Baeza&quot;,&quot;given&quot;:&quot;María de los Ángeles&quot;,&quot;parse-names&quot;:false,&quot;dropping-particle&quot;:&quot;&quot;,&quot;non-dropping-particle&quot;:&quot;&quot;},{&quot;family&quot;:&quot;Vassallo&quot;,&quot;given&quot;:&quot;José Manuel&quot;,&quot;parse-names&quot;:false,&quot;dropping-particle&quot;:&quot;&quot;,&quot;non-dropping-particle&quot;:&quot;&quot;}],&quot;container-title&quot;:&quot;Cities&quot;,&quot;DOI&quot;:&quot;10.1016/j.cities.2023.104785&quot;,&quot;ISSN&quot;:&quot;02642751&quot;,&quot;issued&quot;:{&quot;date-parts&quot;:[[2024,4,1]]},&quot;abstract&quot;:&quot;Micromobility using fully-electric two-wheeled vehicles is increasing in cities worldwide. E-scooters, whether shared or privately-owned, provide short door-to-door trips by facilitating the first/last mile stage of the journey. They are expected to improve livability in cities by reducing harmful emissions and space occupation. In this respect, understanding travel behavior and usage patterns is essential to regulate them appropriately. The purpose of this study is to determine individuals' sociodemographic variables, mobility-related attributes, and latent constructs influencing e-scooter usage. To that end, an individual-level model is estimated to explain the adoption and frequency of use of both shared and private e-scooters based on survey data. The research takes the city of Madrid as a case study, and contributes to a deeper understanding of the differences in the use of privately-owned and shared e-scooters, with a particular focus on the influence of mobility habits and attitudinal variables. The study is complemented with some insights on shared e-scooter usage at the trip-level, which shows the substitution caused on walking trips, and their limited ability to promote modal shifts from the private car. Finally, the research provides valuable implications for urban dynamics and feedback for policymakers and transport planners.&quot;,&quot;publisher&quot;:&quot;Elsevier Ltd&quot;,&quot;volume&quot;:&quot;147&quot;,&quot;container-title-short&quot;:&quot;&quot;},&quot;isTemporary&quot;:false},{&quot;id&quot;:&quot;38f7d4e6-6ec1-3cdf-bc56-540b7c236949&quot;,&quot;itemData&quot;:{&quot;type&quot;:&quot;article&quot;,&quot;id&quot;:&quot;38f7d4e6-6ec1-3cdf-bc56-540b7c236949&quot;,&quot;title&quot;:&quot;Active and healthy ageing: Factors associated with bicycle use and frequency among older adults- A case study in Munich&quot;,&quot;author&quot;:[{&quot;family&quot;:&quot;Baquero Larriva&quot;,&quot;given&quot;:&quot;María Teresa&quot;,&quot;parse-names&quot;:false,&quot;dropping-particle&quot;:&quot;&quot;,&quot;non-dropping-particle&quot;:&quot;&quot;},{&quot;family&quot;:&quot;Büttner&quot;,&quot;given&quot;:&quot;Benjamin&quot;,&quot;parse-names&quot;:false,&quot;dropping-particle&quot;:&quot;&quot;,&quot;non-dropping-particle&quot;:&quot;&quot;},{&quot;family&quot;:&quot;Durán-Rodas&quot;,&quot;given&quot;:&quot;David&quot;,&quot;parse-names&quot;:false,&quot;dropping-particle&quot;:&quot;&quot;,&quot;non-dropping-particle&quot;:&quot;&quot;}],&quot;container-title&quot;:&quot;Journal of Transport and Health&quot;,&quot;container-title-short&quot;:&quot;J. Transp. Health&quot;,&quot;DOI&quot;:&quot;10.1016/j.jth.2024.101772&quot;,&quot;ISSN&quot;:&quot;22141405&quot;,&quot;issued&quot;:{&quot;date-parts&quot;:[[2024,3,1]]},&quot;abstract&quot;:&quot;Introduction: Cities need to take action to adapt to the needs of older people and facilitate their independence, health, and well-being. Active mobility brings economic, social, environmental and health benefits. Cycling tends to decline with age, despite its potential to minimize dependency, social isolation, mobility problems, and sedentary lifestyles. There is a lack of comprehensive understanding of the factors associated with cycling among older people, which limits efforts to develop cycling initiatives for this population. Therefore, this study aims to assess the variables that influence cycling behaviour of adults and older adults. Methods: Taking Munich as a case study, we explored factors associated with the use and frequency of cycling using statistical tests and regression. Factors included neighbourhood's built environment characteristics (5D's), personal or individual level sociodemographic characteristics, and availability and usage of different transport modes from a national mobility survey (Mobilität in Deutschland, 2017, n = 11.430). Results: Statistical differences were found between older and younger adults in the use and frequency of cycling. The neighbourhood's built environment had a greater influence on the cycling behaviour of older adults than younger adults. The results revealed that older people living in peripheral neighbourhoods were more likely to use the bicycle as a means of transport. Currently, these neighbourhoods have a higher percentage of green areas, lower intersection density and lower motorized traffic. In both age groups, higher income and education levels exhibited higher odds of cycling. Additionally, older adults who are occasional car and public transport users were more likely to cycle. Conclusions: Cities should ensure cycling opportunities for individuals of all ages, irrespective of their education level or economic status. To encourage cycling in older people, urban planning efforts should prioritize the creation of safe cycling infrastructure and the development of green spaces.&quot;,&quot;publisher&quot;:&quot;Elsevier Ltd&quot;,&quot;volume&quot;:&quot;35&quot;},&quot;isTemporary&quot;:false},{&quot;id&quot;:&quot;e77d3695-e5ed-324b-a44b-4e159b4edb01&quot;,&quot;itemData&quot;:{&quot;type&quot;:&quot;article-journal&quot;,&quot;id&quot;:&quot;e77d3695-e5ed-324b-a44b-4e159b4edb01&quot;,&quot;title&quot;:&quot;To scoot or not to scoot: Findings from a recent survey about the benefits and barriers of using E-scooters for riders and non-riders&quot;,&quot;author&quot;:[{&quot;family&quot;:&quot;Sanders&quot;,&quot;given&quot;:&quot;Rebecca L.&quot;,&quot;parse-names&quot;:false,&quot;dropping-particle&quot;:&quot;&quot;,&quot;non-dropping-particle&quot;:&quot;&quot;},{&quot;family&quot;:&quot;Branion-Calles&quot;,&quot;given&quot;:&quot;Michael&quot;,&quot;parse-names&quot;:false,&quot;dropping-particle&quot;:&quot;&quot;,&quot;non-dropping-particle&quot;:&quot;&quot;},{&quot;family&quot;:&quot;Nelson&quot;,&quot;given&quot;:&quot;Trisalyn A.&quot;,&quot;parse-names&quot;:false,&quot;dropping-particle&quot;:&quot;&quot;,&quot;non-dropping-particle&quot;:&quot;&quot;}],&quot;container-title&quot;:&quot;Transportation Research Part A: Policy and Practice&quot;,&quot;container-title-short&quot;:&quot;Transp. Res. Part A Policy Pract.&quot;,&quot;accessed&quot;:{&quot;date-parts&quot;:[[2026,4,22]]},&quot;DOI&quot;:&quot;10.1016/j.tra.2020.07.009&quot;,&quot;ISSN&quot;:&quot;0965-8564&quot;,&quot;URL&quot;:&quot;https://www.sciencedirect.com/science/article/pii/S0965856420306522&quot;,&quot;issued&quot;:{&quot;date-parts&quot;:[[2020,9,1]]},&quot;page&quot;:&quot;217-227&quot;,&quot;abstract&quot;:&quot;E-scooters are rapidly changing transportation in US cities and university campuses. Hailed as a convenient, inexpensive solution for “last mile” and other short trips, e-scooters are available in over 100 US cities and were used for nearly forty million trips in 2018. Yet relatively little is known about e-scooter use, including who uses them, for which types of trips, and the perceived benefits and barriers related to e-scooters. This information is particularly important in light of concerns about safety and the loss of physical activity (PA) due to replacing walking and biking with e-scooting. In this paper, we aim to characterize trends in the barriers and benefits related to e-scooter use within a professional population. We surveyed 1,256 university staff in Tempe, AZ, finding that 36% of respondents had ridden e-scooters and 40% indicated that they would do so outside of campus in the next year. Overwhelmingly, e-scooters are seen as a convenient way to travel, particularly in the heat and compared to walking. However, demographic differences were notable, particularly regarding barriers. African American and non-white Hispanic respondents were significantly more likely than non-Hispanic white respondents to intend to try e-scooters and to be unhappy with current transportation options. E-scooters are also associated with concerns about traffic safety – particularly for women – and barriers related to being able to find working equipment when needed. These findings suggest that e-scooters fill an important transportation niche and may contribute to transportation equity, and that efforts to address barriers could further enhance that contribution.&quot;,&quot;publisher&quot;:&quot;Pergamon&quot;,&quot;volume&quot;:&quot;139&quot;},&quot;isTemporary&quot;:false}]},{&quot;citationID&quot;:&quot;MENDELEY_CITATION_527057dd-1004-4d16-9203-5434bc2cc540&quot;,&quot;properties&quot;:{&quot;noteIndex&quot;:0},&quot;isEdited&quot;:false,&quot;manualOverride&quot;:{&quot;isManuallyOverridden&quot;:false,&quot;citeprocText&quot;:&quot;(U.S. Census Bureau, 2026)&quot;,&quot;manualOverrideText&quot;:&quot;&quot;},&quot;citationTag&quot;:&quot;MENDELEY_CITATION_v3_eyJjaXRhdGlvbklEIjoiTUVOREVMRVlfQ0lUQVRJT05fNTI3MDU3ZGQtMTAwNC00ZDE2LTkyMDMtNTQzNGJjMmNjNTQwIiwicHJvcGVydGllcyI6eyJub3RlSW5kZXgiOjB9LCJpc0VkaXRlZCI6ZmFsc2UsIm1hbnVhbE92ZXJyaWRlIjp7ImlzTWFudWFsbHlPdmVycmlkZGVuIjpmYWxzZSwiY2l0ZXByb2NUZXh0IjoiKFUuUy4gQ2Vuc3VzIEJ1cmVhdSwgMjAyNikiLCJtYW51YWxPdmVycmlkZVRleHQiOiIifSwiY2l0YXRpb25JdGVtcyI6W3siaWQiOiI4NTBlMjUzZi02MzFmLTNiNWUtYmE2OS1kOTM3ZDMzYTgzYTMiLCJpdGVtRGF0YSI6eyJ0eXBlIjoid2VicGFnZSIsImlkIjoiODUwZTI1M2YtNjMxZi0zYjVlLWJhNjktZDkzN2QzM2E4M2EzIiwidGl0bGUiOiJBbWVyaWNhbiBDb21tdW5pdHkgU3VydmV5ICg1LVllYXIgZXN0aW1hdGVzKSIsImF1dGhvciI6W3siZmFtaWx5IjoiVS5TLiBDZW5zdXMgQnVyZWF1IiwiZ2l2ZW4iOiIiLCJwYXJzZS1uYW1lcyI6ZmFsc2UsImRyb3BwaW5nLXBhcnRpY2xlIjoiIiwibm9uLWRyb3BwaW5nLXBhcnRpY2xlIjoiIn1dLCJpc3N1ZWQiOnsiZGF0ZS1wYXJ0cyI6W1syMDI1XV19LCJjb250YWluZXItdGl0bGUtc2hvcnQiOiIifSwiaXNUZW1wb3JhcnkiOmZhbHNlLCJzdXBwcmVzcy1hdXRob3IiOmZhbHNlLCJjb21wb3NpdGUiOmZhbHNlLCJhdXRob3Itb25seSI6ZmFsc2V9XX0=&quot;,&quot;citationItems&quot;:[{&quot;id&quot;:&quot;850e253f-631f-3b5e-ba69-d937d33a83a3&quot;,&quot;itemData&quot;:{&quot;type&quot;:&quot;webpage&quot;,&quot;id&quot;:&quot;850e253f-631f-3b5e-ba69-d937d33a83a3&quot;,&quot;title&quot;:&quot;American Community Survey (5-Year estimates)&quot;,&quot;author&quot;:[{&quot;family&quot;:&quot;U.S. Census Bureau&quot;,&quot;given&quot;:&quot;&quot;,&quot;parse-names&quot;:false,&quot;dropping-particle&quot;:&quot;&quot;,&quot;non-dropping-particle&quot;:&quot;&quot;}],&quot;issued&quot;:{&quot;date-parts&quot;:[[2025]]},&quot;container-title-short&quot;:&quot;&quot;},&quot;isTemporary&quot;:false,&quot;suppress-author&quot;:false,&quot;composite&quot;:false,&quot;author-only&quot;:false}]},{&quot;citationID&quot;:&quot;MENDELEY_CITATION_4894dc2c-ca17-43b5-9a51-e430b4f115da&quot;,&quot;properties&quot;:{&quot;noteIndex&quot;:0},&quot;isEdited&quot;:false,&quot;manualOverride&quot;:{&quot;isManuallyOverridden&quot;:true,&quot;citeprocText&quot;:&quot;(X. Wang et al., 2023)&quot;,&quot;manualOverrideText&quot;:&quot;(Wang et al., 2023)&quot;},&quot;citationItems&quot;:[{&quot;id&quot;:&quot;315f6d74-253e-38ea-a0b0-07bc877e6613&quot;,&quot;itemData&quot;:{&quot;type&quot;:&quot;article-journal&quot;,&quot;id&quot;:&quot;315f6d74-253e-38ea-a0b0-07bc877e6613&quot;,&quot;title&quot;:&quot;Combining disparate surveys across time to study satisfaction with life: the effects of study context, sampling method, and transport attributes&quot;,&quot;author&quot;:[{&quot;family&quot;:&quot;Wang&quot;,&quot;given&quot;:&quot;Xinyi&quot;,&quot;parse-names&quot;:false,&quot;dropping-particle&quot;:&quot;&quot;,&quot;non-dropping-particle&quot;:&quot;&quot;},{&quot;family&quot;:&quot;Shaw&quot;,&quot;given&quot;:&quot;F. Atiyya&quot;,&quot;parse-names&quot;:false,&quot;dropping-particle&quot;:&quot;&quot;,&quot;non-dropping-particle&quot;:&quot;&quot;},{&quot;family&quot;:&quot;Mokhtarian&quot;,&quot;given&quot;:&quot;Patricia L.&quot;,&quot;parse-names&quot;:false,&quot;dropping-particle&quot;:&quot;&quot;,&quot;non-dropping-particle&quot;:&quot;&quot;},{&quot;family&quot;:&quot;Circella&quot;,&quot;given&quot;:&quot;Giovanni&quot;,&quot;parse-names&quot;:false,&quot;dropping-particle&quot;:&quot;&quot;,&quot;non-dropping-particle&quot;:&quot;&quot;},{&quot;family&quot;:&quot;Watkins&quot;,&quot;given&quot;:&quot;Kari E.&quot;,&quot;parse-names&quot;:false,&quot;dropping-particle&quot;:&quot;&quot;,&quot;non-dropping-particle&quot;:&quot;&quot;}],&quot;container-title&quot;:&quot;Transportation&quot;,&quot;container-title-short&quot;:&quot;Transportation (Amst).&quot;,&quot;DOI&quot;:&quot;10.1007/s11116-021-10252-x&quot;,&quot;ISSN&quot;:&quot;15729435&quot;,&quot;issued&quot;:{&quot;date-parts&quot;:[[2023,4,1]]},&quot;page&quot;:&quot;513-543&quot;,&quot;abstract&quot;:&quot;Satisfaction with life is a self-reported measure of the quality of life that has become a critical societal indicator extensively used for the evaluation and comparison of a wide range of trends and policies. This study fuses five cross-sectional travel surveys conducted from 1992 to 2018 across various geographical locations in California. Using the fused sample, we develop generalized ordered logit models to examine the effects of demographic characteristics, travel-related attributes, general and transport-related attitudinal variables, and context-control variables on individuals’ self-reported measures of life satisfaction. We find that longer commute times, mobility limitations, and a tendency to see travel as a waste of time are negatively associated with life satisfaction. To enable the use of disparate cross-sectional survey data, we incorporate context-control variables into the models. We find that life satisfaction appears to be increasing as GDP per capita increases. Among employed people, the macro-scale unemployment rate positively influences their life satisfaction. Interestingly, all else equal, we find that online opinion panel respondents have lower life satisfaction relative to respondents from other sampling methods (mainly address-based sampling), a finding that should be considered in future research using these sampling methods. Overall, this study provides a unique look at life satisfaction within a transport context, while providing an example of fusing small-scale survey datasets to study longitudinal, domain-specific, influences on variables like subjective well-being.&quot;,&quot;publisher&quot;:&quot;Springer&quot;,&quot;issue&quot;:&quot;2&quot;,&quot;volume&quot;:&quot;50&quot;},&quot;isTemporary&quot;:false,&quot;suppress-author&quot;:false,&quot;composite&quot;:false,&quot;author-only&quot;:false}],&quot;citationTag&quot;:&quot;MENDELEY_CITATION_v3_eyJjaXRhdGlvbklEIjoiTUVOREVMRVlfQ0lUQVRJT05fNDg5NGRjMmMtY2ExNy00M2I1LTlhNTEtZTQzMGI0ZjExNWRhIiwicHJvcGVydGllcyI6eyJub3RlSW5kZXgiOjB9LCJpc0VkaXRlZCI6ZmFsc2UsIm1hbnVhbE92ZXJyaWRlIjp7ImlzTWFudWFsbHlPdmVycmlkZGVuIjp0cnVlLCJjaXRlcHJvY1RleHQiOiIoWC4gV2FuZyBldCBhbC4sIDIwMjMpIiwibWFudWFsT3ZlcnJpZGVUZXh0IjoiKFdhbmcgZXQgYWwuLCAyMDIzKSJ9LCJjaXRhdGlvbkl0ZW1zIjpbeyJpZCI6IjMxNWY2ZDc0LTI1M2UtMzhlYS1hMGIwLTA3YmM4NzdlNjYxMyIsIml0ZW1EYXRhIjp7InR5cGUiOiJhcnRpY2xlLWpvdXJuYWwiLCJpZCI6IjMxNWY2ZDc0LTI1M2UtMzhlYS1hMGIwLTA3YmM4NzdlNjYxMyIsInRpdGxlIjoiQ29tYmluaW5nIGRpc3BhcmF0ZSBzdXJ2ZXlzIGFjcm9zcyB0aW1lIHRvIHN0dWR5IHNhdGlzZmFjdGlvbiB3aXRoIGxpZmU6IHRoZSBlZmZlY3RzIG9mIHN0dWR5IGNvbnRleHQsIHNhbXBsaW5nIG1ldGhvZCwgYW5kIHRyYW5zcG9ydCBhdHRyaWJ1dGVzIiwiYXV0aG9yIjpbeyJmYW1pbHkiOiJXYW5nIiwiZ2l2ZW4iOiJYaW55aSIsInBhcnNlLW5hbWVzIjpmYWxzZSwiZHJvcHBpbmctcGFydGljbGUiOiIiLCJub24tZHJvcHBpbmctcGFydGljbGUiOiIifSx7ImZhbWlseSI6IlNoYXciLCJnaXZlbiI6IkYuIEF0aXl5YSIsInBhcnNlLW5hbWVzIjpmYWxzZSwiZHJvcHBpbmctcGFydGljbGUiOiIiLCJub24tZHJvcHBpbmctcGFydGljbGUiOiIifSx7ImZhbWlseSI6Ik1va2h0YXJpYW4iLCJnaXZlbiI6IlBhdHJpY2lhIEwuIiwicGFyc2UtbmFtZXMiOmZhbHNlLCJkcm9wcGluZy1wYXJ0aWNsZSI6IiIsIm5vbi1kcm9wcGluZy1wYXJ0aWNsZSI6IiJ9LHsiZmFtaWx5IjoiQ2lyY2VsbGEiLCJnaXZlbiI6Ikdpb3Zhbm5pIiwicGFyc2UtbmFtZXMiOmZhbHNlLCJkcm9wcGluZy1wYXJ0aWNsZSI6IiIsIm5vbi1kcm9wcGluZy1wYXJ0aWNsZSI6IiJ9LHsiZmFtaWx5IjoiV2F0a2lucyIsImdpdmVuIjoiS2FyaSBFLiIsInBhcnNlLW5hbWVzIjpmYWxzZSwiZHJvcHBpbmctcGFydGljbGUiOiIiLCJub24tZHJvcHBpbmctcGFydGljbGUiOiIifV0sImNvbnRhaW5lci10aXRsZSI6IlRyYW5zcG9ydGF0aW9uIiwiY29udGFpbmVyLXRpdGxlLXNob3J0IjoiVHJhbnNwb3J0YXRpb24gKEFtc3QpLiIsIkRPSSI6IjEwLjEwMDcvczExMTE2LTAyMS0xMDI1Mi14IiwiSVNTTiI6IjE1NzI5NDM1IiwiaXNzdWVkIjp7ImRhdGUtcGFydHMiOltbMjAyMyw0LDFdXX0sInBhZ2UiOiI1MTMtNTQzIiwiYWJzdHJhY3QiOiJTYXRpc2ZhY3Rpb24gd2l0aCBsaWZlIGlzIGEgc2VsZi1yZXBvcnRlZCBtZWFzdXJlIG9mIHRoZSBxdWFsaXR5IG9mIGxpZmUgdGhhdCBoYXMgYmVjb21lIGEgY3JpdGljYWwgc29jaWV0YWwgaW5kaWNhdG9yIGV4dGVuc2l2ZWx5IHVzZWQgZm9yIHRoZSBldmFsdWF0aW9uIGFuZCBjb21wYXJpc29uIG9mIGEgd2lkZSByYW5nZSBvZiB0cmVuZHMgYW5kIHBvbGljaWVzLiBUaGlzIHN0dWR5IGZ1c2VzIGZpdmUgY3Jvc3Mtc2VjdGlvbmFsIHRyYXZlbCBzdXJ2ZXlzIGNvbmR1Y3RlZCBmcm9tIDE5OTIgdG8gMjAxOCBhY3Jvc3MgdmFyaW91cyBnZW9ncmFwaGljYWwgbG9jYXRpb25zIGluIENhbGlmb3JuaWEuIFVzaW5nIHRoZSBmdXNlZCBzYW1wbGUsIHdlIGRldmVsb3AgZ2VuZXJhbGl6ZWQgb3JkZXJlZCBsb2dpdCBtb2RlbHMgdG8gZXhhbWluZSB0aGUgZWZmZWN0cyBvZiBkZW1vZ3JhcGhpYyBjaGFyYWN0ZXJpc3RpY3MsIHRyYXZlbC1yZWxhdGVkIGF0dHJpYnV0ZXMsIGdlbmVyYWwgYW5kIHRyYW5zcG9ydC1yZWxhdGVkIGF0dGl0dWRpbmFsIHZhcmlhYmxlcywgYW5kIGNvbnRleHQtY29udHJvbCB2YXJpYWJsZXMgb24gaW5kaXZpZHVhbHPigJkgc2VsZi1yZXBvcnRlZCBtZWFzdXJlcyBvZiBsaWZlIHNhdGlzZmFjdGlvbi4gV2UgZmluZCB0aGF0IGxvbmdlciBjb21tdXRlIHRpbWVzLCBtb2JpbGl0eSBsaW1pdGF0aW9ucywgYW5kIGEgdGVuZGVuY3kgdG8gc2VlIHRyYXZlbCBhcyBhIHdhc3RlIG9mIHRpbWUgYXJlIG5lZ2F0aXZlbHkgYXNzb2NpYXRlZCB3aXRoIGxpZmUgc2F0aXNmYWN0aW9uLiBUbyBlbmFibGUgdGhlIHVzZSBvZiBkaXNwYXJhdGUgY3Jvc3Mtc2VjdGlvbmFsIHN1cnZleSBkYXRhLCB3ZSBpbmNvcnBvcmF0ZSBjb250ZXh0LWNvbnRyb2wgdmFyaWFibGVzIGludG8gdGhlIG1vZGVscy4gV2UgZmluZCB0aGF0IGxpZmUgc2F0aXNmYWN0aW9uIGFwcGVhcnMgdG8gYmUgaW5jcmVhc2luZyBhcyBHRFAgcGVyIGNhcGl0YSBpbmNyZWFzZXMuIEFtb25nIGVtcGxveWVkIHBlb3BsZSwgdGhlIG1hY3JvLXNjYWxlIHVuZW1wbG95bWVudCByYXRlIHBvc2l0aXZlbHkgaW5mbHVlbmNlcyB0aGVpciBsaWZlIHNhdGlzZmFjdGlvbi4gSW50ZXJlc3RpbmdseSwgYWxsIGVsc2UgZXF1YWwsIHdlIGZpbmQgdGhhdCBvbmxpbmUgb3BpbmlvbiBwYW5lbCByZXNwb25kZW50cyBoYXZlIGxvd2VyIGxpZmUgc2F0aXNmYWN0aW9uIHJlbGF0aXZlIHRvIHJlc3BvbmRlbnRzIGZyb20gb3RoZXIgc2FtcGxpbmcgbWV0aG9kcyAobWFpbmx5IGFkZHJlc3MtYmFzZWQgc2FtcGxpbmcpLCBhIGZpbmRpbmcgdGhhdCBzaG91bGQgYmUgY29uc2lkZXJlZCBpbiBmdXR1cmUgcmVzZWFyY2ggdXNpbmcgdGhlc2Ugc2FtcGxpbmcgbWV0aG9kcy4gT3ZlcmFsbCwgdGhpcyBzdHVkeSBwcm92aWRlcyBhIHVuaXF1ZSBsb29rIGF0IGxpZmUgc2F0aXNmYWN0aW9uIHdpdGhpbiBhIHRyYW5zcG9ydCBjb250ZXh0LCB3aGlsZSBwcm92aWRpbmcgYW4gZXhhbXBsZSBvZiBmdXNpbmcgc21hbGwtc2NhbGUgc3VydmV5IGRhdGFzZXRzIHRvIHN0dWR5IGxvbmdpdHVkaW5hbCwgZG9tYWluLXNwZWNpZmljLCBpbmZsdWVuY2VzIG9uIHZhcmlhYmxlcyBsaWtlIHN1YmplY3RpdmUgd2VsbC1iZWluZy4iLCJwdWJsaXNoZXIiOiJTcHJpbmdlciIsImlzc3VlIjoiMiIsInZvbHVtZSI6IjUwIn0sImlzVGVtcG9yYXJ5IjpmYWxzZSwic3VwcHJlc3MtYXV0aG9yIjpmYWxzZSwiY29tcG9zaXRlIjpmYWxzZSwiYXV0aG9yLW9ubHkiOmZhbHNlfV19&quot;},{&quot;citationID&quot;:&quot;MENDELEY_CITATION_addac9df-c936-407c-aef3-2d5a237fda3e&quot;,&quot;properties&quot;:{&quot;noteIndex&quot;:0},&quot;isEdited&quot;:false,&quot;manualOverride&quot;:{&quot;isManuallyOverridden&quot;:true,&quot;citeprocText&quot;:&quot;(Robbennolt et al., 2026; Solon et al., 2015)&quot;,&quot;manualOverrideText&quot;:&quot;(Solon et al., 2015; Robbennolt et al., 2026)&quot;},&quot;citationTag&quot;:&quot;MENDELEY_CITATION_v3_eyJjaXRhdGlvbklEIjoiTUVOREVMRVlfQ0lUQVRJT05fYWRkYWM5ZGYtYzkzNi00MDdjLWFlZjMtMmQ1YTIzN2ZkYTNlIiwicHJvcGVydGllcyI6eyJub3RlSW5kZXgiOjB9LCJpc0VkaXRlZCI6ZmFsc2UsIm1hbnVhbE92ZXJyaWRlIjp7ImlzTWFudWFsbHlPdmVycmlkZGVuIjp0cnVlLCJjaXRlcHJvY1RleHQiOiIoUm9iYmVubm9sdCBldCBhbC4sIDIwMjY7IFNvbG9uIGV0IGFsLiwgMjAxNSkiLCJtYW51YWxPdmVycmlkZVRleHQiOiIoU29sb24gZXQgYWwuLCAyMDE1OyBSb2JiZW5ub2x0IGV0IGFsLiwgMjAyNikifSwiY2l0YXRpb25JdGVtcyI6W3siaWQiOiIxYjZhMGMzMy1lN2QyLTM2MjctYjAzYy0zMDdmZmI3NGY5YTYiLCJpdGVtRGF0YSI6eyJ0eXBlIjoiYXJ0aWNsZS1qb3VybmFsIiwiaWQiOiIxYjZhMGMzMy1lN2QyLTM2MjctYjAzYy0zMDdmZmI3NGY5YTYiLCJ0aXRsZSI6IkRhdGEgY29sbGVjdGlvbiwgd2VpZ2h0aW5nLCBhbmQgbW9kZWxpbmcgdGVjaG5pcXVlcyB0byBlc3RpbWF0ZSBjb25zaXN0ZW50IHBvcHVsYXRpb24gcGFyYW1ldGVycyIsImF1dGhvciI6W3siZmFtaWx5IjoiUm9iYmVubm9sdCIsImdpdmVuIjoiRGFsZSIsInBhcnNlLW5hbWVzIjpmYWxzZSwiZHJvcHBpbmctcGFydGljbGUiOiIiLCJub24tZHJvcHBpbmctcGFydGljbGUiOiIifSx7ImZhbWlseSI6IlBlbmR5YWxhIiwiZ2l2ZW4iOiJSYW0gTS4iLCJwYXJzZS1uYW1lcyI6ZmFsc2UsImRyb3BwaW5nLXBhcnRpY2xlIjoiIiwibm9uLWRyb3BwaW5nLXBhcnRpY2xlIjoiIn0seyJmYW1pbHkiOiJCaGF0IiwiZ2l2ZW4iOiJDaGFuZHJhIFIuIiwicGFyc2UtbmFtZXMiOmZhbHNlLCJkcm9wcGluZy1wYXJ0aWNsZSI6IiIsIm5vbi1kcm9wcGluZy1wYXJ0aWNsZSI6IiJ9XSwiY29udGFpbmVyLXRpdGxlIjoiVHJhbnNwb3J0YXRpb24gUmVzZWFyY2ggUGFydCBCOiBNZXRob2RvbG9naWNhbCIsImFjY2Vzc2VkIjp7ImRhdGUtcGFydHMiOltbMjAyNiw0LDIzXV19LCJET0kiOiIxMC4xMDE2L2oudHJiLjIwMjUuMTAzMzQ5IiwiSVNTTiI6IjAxOTEtMjYxNSIsIlVSTCI6Imh0dHBzOi8vd3d3LnNjaWVuY2VkaXJlY3QuY29tL3NjaWVuY2UvYXJ0aWNsZS9waWkvUzAxOTEyNjE1MjUwMDE5ODU/dmlhJTNEaWh1YiIsImlzc3VlZCI6eyJkYXRlLXBhcnRzIjpbWzIwMjYsMSwxXV19LCJwYWdlIjoiMTAzMzQ5IiwiYWJzdHJhY3QiOiJFbXBpcmljYWwgcmVzZWFyY2ggc3R1ZGllcyByZWd1bGFybHkgZW5jb3VudGVyIHNhbXBsaW5nLXJlbGF0ZWQgY2hhbGxlbmdlcyB0aGF0IGNhbiBpbXBhY3QgdGhlIHZhbGlkaXR5IGFuZCByZWxpYWJpbGl0eSBvZiBtb2RlbCBlc3RpbWF0aW9uIHJlc3VsdHMuIFRoaXMgcGFwZXIgcHJlc2VudHMgYSBjb21wcmVoZW5zaXZlIGV4YW1pbmF0aW9uIG9mIHRoZSBpbXBsaWNhdGlvbnMgb2Ygbm9ucmFuZG9tIHNhbXBsaW5nIGZvciBlc3RpbWF0b3IgY29uc2lzdGVuY3kgYW5kIGFzeW1wdG90aWMgZWZmaWNpZW5jeS4gVGhyb3VnaCB0aGVvcmV0aWNhbCBhbmQgc2ltdWxhdGlvbi1iYWNrZWQgc3VwcG9ydCwgd2UgdW5kZXJzY29yZSB0aGUgaW1wb3J0YW5jZSBvZiBhZG9wdGluZyBhcHByb3ByaWF0ZSBzYW1wbGluZyBhbmQgZXN0aW1hdGlvbiBtZXRob2RzIGluIHR3byBicm9hZCBzY2VuYXJpb3MuIEZpcnN0LCB3ZSBkZW1vbnN0cmF0ZSB0aGF0IGFjaGlldmluZyByYW5nZSB2YXJpYXRpb24gaW4gZXhvZ2Vub3VzIHZhcmlhYmxlcywgcmF0aGVyIHRoYW4gc3RyaWN0IHBvcHVsYXRpb24gcmVwcmVzZW50YXRpdmVuZXNzLCBpcyBjcnVjaWFsIGZvciBlc3RpbWF0aW5nIGluZGl2aWR1YWwtbGV2ZWwgY2F1c2FsIHJlbGF0aW9uc2hpcHMgd2hlbiBzYW1wbGluZyBpcyBiYXNlZCBvbmx5IG9uIG9ic2VydmVkIGV4b2dlbm91cyB2YXJpYWJsZXMuIFNlY29uZCwgd2UgaW52ZXN0aWdhdGUgdGhlIGVmZmljYWN5IG9mIHdlaWdodGluZyBhcHByb2FjaGVzIHdoZW4gc2FtcGxpbmcgaXMgZW5kb2dlbm91cyBhbmQgdXNlIGEgam9pbnQgbW9kZWxpbmcgYXBwcm9hY2ggdG8gYWNjb21tb2RhdGUgdW5vYnNlcnZlZCBzZWxmLXNlbGVjdGlvbiBlZmZlY3RzIHdoZXJlIHRyYWRpdGlvbmFsIHdlaWdodGluZyBhcHByb2FjaGVzIHByb3ZlIGluYWRlcXVhdGUuIE91ciBwcm9wb3NlZCBhcHByb2FjaCBhY2NvbW1vZGF0ZXMgdW5vYnNlcnZlZCBjb3JyZWxhdGlvbnMgYW5kIHN1Y2Nlc3NmdWxseSByZWNvdmVycyB0cnVlIHBvcHVsYXRpb24gcGFyYW1ldGVycyB3aGVuIHRoZSBqb2ludCBkaXN0cmlidXRpb24gb2YgZXhvZ2Vub3VzIHZhcmlhYmxlcyBpbiB0aGUgcG9wdWxhdGlvbiBpcyBrbm93bi4gVGhlIG1ldGhvZG9sb2d5IGFsc28gc2hvd3MgaW1wcm92ZWQgcGVyZm9ybWFuY2UgY29tcGFyZWQgdG8gZXhpc3RpbmcgbWV0aG9kcyBldmVuIHdoZW4gb25seSB0aGUgcG9wdWxhdGlvbiBtYXJnaW5hbCBkaXN0cmlidXRpb24gb2YgZXhvZ2Vub3VzIHZhcmlhYmxlcyBpcyBhdmFpbGFibGUuIE5vdGFibHksIG91ciBzaW11bGF0aW9uIGV4cGVyaW1lbnRzIGV4dGVuZCBiZXlvbmQgdGhlIGNvbnZlbnRpb25hbCBsaW5lYXIgcmVncmVzc2lvbiBmcmFtZXdvcmsgdG8gaW5jbHVkZSBiaW5hcnkgb3V0Y29tZXMsIHByb3ZpZGluZyBjcnVjaWFsIGluc2lnaHRzIGZvciBub25saW5lYXIgY2hvaWNlIG1vZGVsaW5nIGFwcGxpY2F0aW9ucy4gVGhlIGZpbmRpbmdzIHVuZGVyc2NvcmUgdGhlIGltcG9ydGFuY2Ugb2YgY2FyZWZ1bGx5IGNvbnNpZGVyaW5nIHNhbXBsaW5nIG1lY2hhbmlzbXMgYW5kIHRoZWlyIGltcGxpY2F0aW9ucyBmb3IgbW9kZWwgZXN0aW1hdGlvbiwgd2hpbGUgb2ZmZXJpbmcgcHJhY3RpY2FsIGd1aWRhbmNlIGZvciByZXNlYXJjaGVycyBmYWNpbmcgdmFyaW91cyBzYW1wbGluZy1yZWxhdGVkIGNoYWxsZW5nZXMgaW4gZW1waXJpY2FsIHN0dWRpZXMuIiwicHVibGlzaGVyIjoiUGVyZ2Ftb24iLCJ2b2x1bWUiOiIyMDMiLCJjb250YWluZXItdGl0bGUtc2hvcnQiOiIifSwiaXNUZW1wb3JhcnkiOmZhbHNlfSx7ImlkIjoiMmIxM2FmYTctYTdiNy0zZGZhLTliZTEtNzZhYWE4NjU4MzQxIiwiaXRlbURhdGEiOnsidHlwZSI6ImFydGljbGUtam91cm5hbCIsImlkIjoiMmIxM2FmYTctYTdiNy0zZGZhLTliZTEtNzZhYWE4NjU4MzQxIiwidGl0bGUiOiJXaGF0IEFyZSBXZSBXZWlnaHRpbmcgRm9yPyIsImF1dGhvciI6W3siZmFtaWx5IjoiU29sb24iLCJnaXZlbiI6IkdhcnkiLCJwYXJzZS1uYW1lcyI6ZmFsc2UsImRyb3BwaW5nLXBhcnRpY2xlIjoiIiwibm9uLWRyb3BwaW5nLXBhcnRpY2xlIjoiIn0seyJmYW1pbHkiOiJIYWlkZXIiLCJnaXZlbiI6IlN0ZXZlbiBKLiIsInBhcnNlLW5hbWVzIjpmYWxzZSwiZHJvcHBpbmctcGFydGljbGUiOiIiLCJub24tZHJvcHBpbmctcGFydGljbGUiOiIifSx7ImZhbWlseSI6Ildvb2xkcmlkZ2UiLCJnaXZlbiI6IkplZmZyZXkgTS4iLCJwYXJzZS1uYW1lcyI6ZmFsc2UsImRyb3BwaW5nLXBhcnRpY2xlIjoiIiwibm9uLWRyb3BwaW5nLXBhcnRpY2xlIjoiIn1dLCJjb250YWluZXItdGl0bGUiOiJKb3VybmFsIG9mIEh1bWFuIFJlc291cmNlcyIsImFjY2Vzc2VkIjp7ImRhdGUtcGFydHMiOltbMjAyNiw0LDIzXV19LCJET0kiOiIxMC4zMzY4L2poci41MC4yLjMwMSIsIklTU04iOiIwMDIyLTE2NlgiLCJVUkwiOiJodHRwczovL2poci51d3ByZXNzLm9yZy9jb250ZW50LzUwLzIvMzAxIiwiaXNzdWVkIjp7ImRhdGUtcGFydHMiOltbMjAxNSwzLDMxXV19LCJwYWdlIjoiMzAxLTMxNiIsImFic3RyYWN0IjoiV2hlbiBlc3RpbWF0aW5nIHBvcHVsYXRpb24gZGVzY3JpcHRpdmUgc3RhdGlzdGljcywgd2VpZ2h0aW5nIGlzIGNhbGxlZCBmb3IgaWYgbmVlZGVkIHRvIG1ha2UgdGhlIGFuYWx5c2lzIHNhbXBsZSByZXByZXNlbnRhdGl2ZSBvZiB0aGUgdGFyZ2V0IHBvcHVsYXRpb24uIFdpdGggcmVnYXJkIHRvIHJlc2VhcmNoIGRpcmVjdGVkIGluc3RlYWQgYXQgZXN0aW1hdGluZyBjYXVzYWwgZWZmZWN0cywgd2UgZGlzY3VzcyB0aHJlZSBkaXN0aW5jdCB3ZWlnaHRpbmcgbW90aXZlczogKDEpIHRvIGFjaGlldmUgcHJlY2lzZSBlc3RpbWF0ZXMgYnkgY29ycmVjdGluZyBmb3IgaGV0ZXJvc2tlZGFzdGljaXR5OyAoMikgdG8gYWNoaWV2ZSBjb25zaXN0ZW50IGVzdGltYXRlcyBieSBjb3JyZWN0aW5nIGZvciBlbmRvZ2Vub3VzIHNhbXBsaW5nOyBhbmQgKDMpIHRvIGlkZW50aWZ5IGF2ZXJhZ2UgcGFydGlhbCBlZmZlY3RzIGluIHRoZSBwcmVzZW5jZSBvZiB1bm1vZGVsZWQgaGV0ZXJvZ2VuZWl0eSBvZiBlZmZlY3RzLiBJbiBlYWNoIGNhc2UsIHdlIGZpbmQgdGhhdCB0aGUgbW90aXZlIHNvbWV0aW1lcyBkb2VzIG5vdCBhcHBseSBpbiBzaXR1YXRpb25zIHdoZXJlIHByYWN0aXRpb25lcnMgb2Z0ZW4gYXNzdW1lIGl0IGRvZXMuIiwicHVibGlzaGVyIjoiVW5pdmVyc2l0eSBvZiBXaXNjb25zaW4gUHJlc3MiLCJpc3N1ZSI6IjIiLCJ2b2x1bWUiOiI1MCIsImNvbnRhaW5lci10aXRsZS1zaG9ydCI6IiJ9LCJpc1RlbXBvcmFyeSI6ZmFsc2V9XX0=&quot;,&quot;citationItems&quot;:[{&quot;id&quot;:&quot;1b6a0c33-e7d2-3627-b03c-307ffb74f9a6&quot;,&quot;itemData&quot;:{&quot;type&quot;:&quot;article-journal&quot;,&quot;id&quot;:&quot;1b6a0c33-e7d2-3627-b03c-307ffb74f9a6&quot;,&quot;title&quot;:&quot;Data collection, weighting, and modeling techniques to estimate consistent population parameters&quot;,&quot;author&quot;:[{&quot;family&quot;:&quot;Robbennolt&quot;,&quot;given&quot;:&quot;Dale&quot;,&quot;parse-names&quot;:false,&quot;dropping-particle&quot;:&quot;&quot;,&quot;non-dropping-particle&quot;:&quot;&quot;},{&quot;family&quot;:&quot;Pendyala&quot;,&quot;given&quot;:&quot;Ram M.&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Part B: Methodological&quot;,&quot;accessed&quot;:{&quot;date-parts&quot;:[[2026,4,23]]},&quot;DOI&quot;:&quot;10.1016/j.trb.2025.103349&quot;,&quot;ISSN&quot;:&quot;0191-2615&quot;,&quot;URL&quot;:&quot;https://www.sciencedirect.com/science/article/pii/S0191261525001985?via%3Dihub&quot;,&quot;issued&quot;:{&quot;date-parts&quot;:[[2026,1,1]]},&quot;page&quot;:&quot;103349&quot;,&quot;abstract&quot;:&quot;Empirical research studies regularly encounter sampling-related challenges that can impact the validity and reliability of model estimation results. This paper presents a comprehensive examination of the implications of nonrandom sampling for estimator consistency and asymptotic efficiency. Through theoretical and simulation-backed support, we underscore the importance of adopting appropriate sampling and estimation methods in two broad scenarios. First, we demonstrate that achieving range variation in exogenous variables, rather than strict population representativeness, is crucial for estimating individual-level causal relationships when sampling is based only on observed exogenous variables. Second, we investigate the efficacy of weighting approaches when sampling is endogenous and use a joint modeling approach to accommodate unobserved self-selection effects where traditional weighting approaches prove inadequate. Our proposed approach accommodates unobserved correlations and successfully recovers true population parameters when the joint distribution of exogenous variables in the population is known. The methodology also shows improved performance compared to existing methods even when only the population marginal distribution of exogenous variables is available. Notably, our simulation experiments extend beyond the conventional linear regression framework to include binary outcomes, providing crucial insights for nonlinear choice modeling applications. The findings underscore the importance of carefully considering sampling mechanisms and their implications for model estimation, while offering practical guidance for researchers facing various sampling-related challenges in empirical studies.&quot;,&quot;publisher&quot;:&quot;Pergamon&quot;,&quot;volume&quot;:&quot;203&quot;,&quot;container-title-short&quot;:&quot;&quot;},&quot;isTemporary&quot;:false},{&quot;id&quot;:&quot;2b13afa7-a7b7-3dfa-9be1-76aaa8658341&quot;,&quot;itemData&quot;:{&quot;type&quot;:&quot;article-journal&quot;,&quot;id&quot;:&quot;2b13afa7-a7b7-3dfa-9be1-76aaa8658341&quot;,&quot;title&quot;:&quot;What Are We Weighting For?&quot;,&quot;author&quot;:[{&quot;family&quot;:&quot;Solon&quot;,&quot;given&quot;:&quot;Gary&quot;,&quot;parse-names&quot;:false,&quot;dropping-particle&quot;:&quot;&quot;,&quot;non-dropping-particle&quot;:&quot;&quot;},{&quot;family&quot;:&quot;Haider&quot;,&quot;given&quot;:&quot;Steven J.&quot;,&quot;parse-names&quot;:false,&quot;dropping-particle&quot;:&quot;&quot;,&quot;non-dropping-particle&quot;:&quot;&quot;},{&quot;family&quot;:&quot;Wooldridge&quot;,&quot;given&quot;:&quot;Jeffrey M.&quot;,&quot;parse-names&quot;:false,&quot;dropping-particle&quot;:&quot;&quot;,&quot;non-dropping-particle&quot;:&quot;&quot;}],&quot;container-title&quot;:&quot;Journal of Human Resources&quot;,&quot;accessed&quot;:{&quot;date-parts&quot;:[[2026,4,23]]},&quot;DOI&quot;:&quot;10.3368/jhr.50.2.301&quot;,&quot;ISSN&quot;:&quot;0022-166X&quot;,&quot;URL&quot;:&quot;https://jhr.uwpress.org/content/50/2/301&quot;,&quot;issued&quot;:{&quot;date-parts&quot;:[[2015,3,31]]},&quot;page&quot;:&quot;301-316&quot;,&quot;abstract&quot;:&quot;When estimating population descriptive statistics, weighting is called for if needed to make the analysis sample representative of the target population. With regard to research directed instead at estimating causal effects, we discuss three distinct weighting motives: (1) to achieve precise estimates by correcting for heteroskedasticity; (2) to achieve consistent estimates by correcting for endogenous sampling; and (3) to identify average partial effects in the presence of unmodeled heterogeneity of effects. In each case, we find that the motive sometimes does not apply in situations where practitioners often assume it does.&quot;,&quot;publisher&quot;:&quot;University of Wisconsin Press&quot;,&quot;issue&quot;:&quot;2&quot;,&quot;volume&quot;:&quot;50&quot;,&quot;container-title-short&quot;:&quot;&quot;},&quot;isTemporary&quot;:false}]},{&quot;citationID&quot;:&quot;MENDELEY_CITATION_023fccbf-881b-4d22-80fa-4f07794215ef&quot;,&quot;properties&quot;:{&quot;noteIndex&quot;:0},&quot;isEdited&quot;:false,&quot;manualOverride&quot;:{&quot;isManuallyOverridden&quot;:false,&quot;citeprocText&quot;:&quot;(Chapman et al., 2021)&quot;,&quot;manualOverrideText&quot;:&quot;&quot;},&quot;citationTag&quot;:&quot;MENDELEY_CITATION_v3_eyJjaXRhdGlvbklEIjoiTUVOREVMRVlfQ0lUQVRJT05fMDIzZmNjYmYtODgxYi00ZDIyLTgwZmEtNGYwNzc5NDIxNWVmIiwicHJvcGVydGllcyI6eyJub3RlSW5kZXgiOjB9LCJpc0VkaXRlZCI6ZmFsc2UsIm1hbnVhbE92ZXJyaWRlIjp7ImlzTWFudWFsbHlPdmVycmlkZGVuIjpmYWxzZSwiY2l0ZXByb2NUZXh0IjoiKENoYXBtYW4gZXQgYWwuLCA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nN1cHByZXNzLWF1dGhvciI6ZmFsc2UsImNvbXBvc2l0ZSI6ZmFsc2UsImF1dGhvci1vbmx5IjpmYWxzZX1dfQ==&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suppress-author&quot;:false,&quot;composite&quot;:false,&quot;author-only&quot;:false}]},{&quot;citationID&quot;:&quot;MENDELEY_CITATION_e405663b-d216-42d5-9f50-bebe6103b18f&quot;,&quot;properties&quot;:{&quot;noteIndex&quot;:0},&quot;isEdited&quot;:false,&quot;manualOverride&quot;:{&quot;isManuallyOverridden&quot;:true,&quot;citeprocText&quot;:&quot;(Bhat, 2018)&quot;,&quot;manualOverrideText&quot;:&quot;Bhat (2018)&quot;},&quot;citationTag&quot;:&quot;MENDELEY_CITATION_v3_eyJjaXRhdGlvbklEIjoiTUVOREVMRVlfQ0lUQVRJT05fZTQwNTY2M2ItZDIxNi00MmQ1LTlmNTAtYmViZTYxMDNiMThmIiwicHJvcGVydGllcyI6eyJub3RlSW5kZXgiOjB9LCJpc0VkaXRlZCI6ZmFsc2UsIm1hbnVhbE92ZXJyaWRlIjp7ImlzTWFudWFsbHlPdmVycmlkZGVuIjp0cnVlLCJjaXRlcHJvY1RleHQiOiIoQmhhdCwgMjAxOCkiLCJtYW51YWxPdmVycmlkZVRleHQiOiJCaGF0ICgyMDE4KSJ9LCJjaXRhdGlvbkl0ZW1zIjpbeyJpZCI6ImZkNmFlZmVhLTQyZjYtMzY2NS1hMTIzLTY2YTIyNGU1ZmI1NCIsIml0ZW1EYXRhIjp7InR5cGUiOiJhcnRpY2xlLWpvdXJuYWwiLCJpZCI6ImZkNmFlZmVhLTQyZjYtMzY2NS1hMTIzLTY2YTIyNGU1ZmI1NCIsInRpdGxlIjoiTmV3IG1hdHJpeC1iYXNlZCBtZXRob2RzIGZvciB0aGUgYW5hbHl0aWMgZXZhbHVhdGlvbiBvZiB0aGUgbXVsdGl2YXJpYXRlIGN1bXVsYXRpdmUgbm9ybWFsIGRpc3RyaWJ1dGlvbiBmdW5jdGlvbiIsImF1dGhvciI6W3siZmFtaWx5IjoiQmhhdCIsImdpdmVuIjoiQ2hhbmRyYSBSLiIsInBhcnNlLW5hbWVzIjpmYWxzZSwiZHJvcHBpbmctcGFydGljbGUiOiIiLCJub24tZHJvcHBpbmctcGFydGljbGUiOiIifV0sImNvbnRhaW5lci10aXRsZSI6IlRyYW5zcG9ydGF0aW9uIFJlc2VhcmNoIFBhcnQgQjogTWV0aG9kb2xvZ2ljYWwiLCJhY2Nlc3NlZCI6eyJkYXRlLXBhcnRzIjpbWzIwMjYsNSw2XV19LCJET0kiOiIxMC4xMDE2L0ouVFJCLjIwMTguMDEuMDExIiwiSVNTTiI6IjAxOTEtMjYxNSIsIlVSTCI6Imh0dHBzOi8vd3d3LnNjaWVuY2VkaXJlY3QuY29tL3NjaWVuY2UvYXJ0aWNsZS9hYnMvcGlpL1MwMTkxMjYxNTE3MzA2ODQ3P2Nhc2FfdG9rZW49a1NKYUx5TEJQMHdBQUFBQTpFM1YxY0NTYU42OTNTb2FSZGNHbHRQTTgxVDY2MmZOcXEyZHJ1bzVmTVhqdVpoX0pkR0VnY25FZklzbDJUcnlRa1hqRU0zVmdmUSIsImlzc3VlZCI6eyJkYXRlLXBhcnRzIjpbWzIwMTgsMywxXV19LCJwYWdlIjoiMjM4LTI1NiIsImFic3RyYWN0IjoiSW4gdGhpcyBwYXBlciwgd2UgZGV2ZWxvcCBhIG5ldyBtYXRyaXgtYmFzZWQgaW1wbGVtZW50YXRpb24gb2YgdGhlIE1lbmRlbGwgYW5kIEVsc3RvbiAoTUUpIGFuYWx5dGljIGFwcHJveGltYXRpb24gdG8gZXZhbHVhdGUgdGhlIG11bHRpdmFyaWF0ZSBub3JtYWwgY3VtdWxhdGl2ZSBkaXN0cmlidXRpb24gKE1WTkNEKSBmdW5jdGlvbiwgdXNpbmcgYW4gTERMVCBkZWNvbXBvc2l0aW9uIG1ldGhvZCBmb2xsb3dlZCBieSBhIHJhbmsgMSB1cGRhdGUgb2YgdGhlIExETFQgZmFjdG9yaXphdGlvbi4gT3VyIGltcGxlbWVudGF0aW9uIGlzIGVhc3kgdG8gY29kZSBmb3IgaW5kaXZpZHVhbHMgZmFtaWxpYXIgd2l0aCBtYXRyaXgtYmFzZWQgY29kaW5nLiBGdXJ0aGVyLCBvdXIgbmV3IG1hdHJpeC1iYXNlZCBpbXBsZW1lbnRhdGlvbiBmb3IgdGhlIE1FIGFsZ29yaXRobSBhbGxvd3MgdXMgdG8gZWZmaWNpZW50bHkgd3JpdGUgdGhlIGFuYWx5dGljIG1hdHJpeC1iYXNlZCBncmFkaWVudHMgb2YgdGhlIGFwcHJveGltYXRlZCBNVk5DRCBmdW5jdGlvbiB3aXRoIHJlc3BlY3QgdG8gdGhlIGFic2Npc3NhZSBhbmQgY29ycmVsYXRpb24gcGFyYW1ldGVycywgYW4gaXNzdWUgdGhhdCBpcyBpbXBvcnRhbnQgaW4gZWNvbm9tZXRyaWMgbW9kZWwgZXN0aW1hdGlvbi4gSW4gYWRkaXRpb24sIHdlIHByb3Bvc2UgZm91ciBuZXcgYW5hbHl0aWMgbWV0aG9kcyBmb3IgYXBwcm94aW1hdGluZyB0aGUgTVZOQ0QgZnVuY3Rpb24uIFRoZSBwYXBlciB0aGVuIGV2YWx1YXRlcyB0aGUgYWJpbGl0eSBvZiB0aGUgbXVsdGlwbGUgYXBwcm94aW1hdGlvbnMgZm9yIGluZGl2aWR1YWwgTVZOQ0QgZXZhbHVhdGlvbnMgYXMgd2VsbCBhcyBtdWx0aW5vbWlhbCBwcm9iaXQgbW9kZWwgZXN0aW1hdGlvbi4gQXMgZXhwZWN0ZWQsIGluIG91ciB0ZXN0cyBmb3IgZXZhbHVhdGluZyBpbmRpdmlkdWFsIE1WTkNEIGZ1bmN0aW9ucywgd2UgZm91bmQgdGhhdCB0aGUgdHJhZGl0aW9uYWwgR0hLIGFwcHJvYWNoIGRlZ3JhZGVzIHJhcGlkbHkgYXMgdGhlIGRpbWVuc2lvbmFsaXR5IG9mIGludGVncmF0aW9uIGluY3JlYXNlcy4gQ29uY29taXRhbnQgd2l0aCB0aGlzIGRlZ3JhZGF0aW9uIGluIGFjY3VyYWN5IGlzIGEgcmFwaWQgaW5jcmVhc2UgaW4gY29tcHV0YXRpb25hbCB0aW1lLiBUaGUgYW5hbHl0aWMgYXBwcm94aW1hdGlvbiBtZXRob2RzIGFyZSBhbHNvIG11Y2ggbW9yZSBzdGFibGUgYWNyb3NzIGRpZmZlcmVudCBudW1iZXJzIG9mIGRpbWVuc2lvbnMgb2YgaW50ZWdyYXRpb24sIGFuZCBldmVuIHRoZSBzaW1wbGVzdCBvZiB0aGVzZSBtZXRob2RzIGlzIHN1cGVyaW9yIHRvIHRoZSBHSEstNTAwIGJleW9uZCBzZXZlbiBkaW1lbnNpb25zIG9mIGludGVncmF0aW9uLiBCYXNlZCBvbiBhbGwgdGhlIGV2YWx1YXRpb24gcmVzdWx0cyBpbiB0aGlzIHBhcGVyLCB3ZSByZWNvbW1lbmQgdGhlIG5ldyBUd28tVmFyaWF0ZSBCaXZhcmlhdGUgU2NyZWVuaW5nIChUVkJTKSBtZXRob2QgcHJvcG9zZWQgaW4gdGhpcyBwYXBlciBhcyB0aGUgZXZhbHVhdGlvbiBhcHByb2FjaCBmb3IgTVZOQ0QgZnVuY3Rpb24gZXZhbHVhdGlvbi4iLCJwdWJsaXNoZXIiOiJQZXJnYW1vbiIsInZvbHVtZSI6IjEwOSIsImNvbnRhaW5lci10aXRsZS1zaG9ydCI6IiJ9LCJpc1RlbXBvcmFyeSI6ZmFsc2UsInN1cHByZXNzLWF1dGhvciI6ZmFsc2UsImNvbXBvc2l0ZSI6ZmFsc2UsImF1dGhvci1vbmx5IjpmYWxzZX1dfQ==&quot;,&quot;citationItems&quot;:[{&quot;id&quot;:&quot;fd6aefea-42f6-3665-a123-66a224e5fb54&quot;,&quot;itemData&quot;:{&quot;type&quot;:&quot;article-journal&quot;,&quot;id&quot;:&quot;fd6aefea-42f6-3665-a123-66a224e5fb54&quot;,&quot;title&quot;:&quot;New matrix-based methods for the analytic evaluation of the multivariate cumulative normal distribution function&quot;,&quot;author&quot;:[{&quot;family&quot;:&quot;Bhat&quot;,&quot;given&quot;:&quot;Chandra R.&quot;,&quot;parse-names&quot;:false,&quot;dropping-particle&quot;:&quot;&quot;,&quot;non-dropping-particle&quot;:&quot;&quot;}],&quot;container-title&quot;:&quot;Transportation Research Part B: Methodological&quot;,&quot;accessed&quot;:{&quot;date-parts&quot;:[[2026,5,6]]},&quot;DOI&quot;:&quot;10.1016/J.TRB.2018.01.011&quot;,&quot;ISSN&quot;:&quot;0191-2615&quot;,&quot;URL&quot;:&quot;https://www.sciencedirect.com/science/article/abs/pii/S0191261517306847?casa_token=kSJaLyLBP0wAAAAA:E3V1cCSaN693SoaRdcGltPM81T662fNqq2druo5fMXjuZh_JdGEgcnEfIsl2TryQkXjEM3VgfQ&quot;,&quot;issued&quot;:{&quot;date-parts&quot;:[[2018,3,1]]},&quot;page&quot;:&quot;238-256&quot;,&quot;abstract&quot;:&quot;In this paper, we develop a new matrix-based implementation of the Mendell and Elston (ME) analytic approximation to evaluate the multivariate normal cumulative distribution (MVNCD) function, using an LDLT decomposition method followed by a rank 1 update of the LDLT factorization. Our implementation is easy to code for individuals familiar with matrix-based coding. Further, our new matrix-based implementation for the ME algorithm allows us to efficiently write the analytic matrix-based gradients of the approximated MVNCD function with respect to the abscissae and correlation parameters, an issue that is important in econometric model estimation. In addition, we propose four new analytic methods for approximating the MVNCD function. The paper then evaluates the ability of the multiple approximations for individual MVNCD evaluations as well as multinomial probit model estimation. As expected, in our tests for evaluating individual MVNCD functions, we found that the traditional GHK approach degrades rapidly as the dimensionality of integration increases. Concomitant with this degradation in accuracy is a rapid increase in computational time. The analytic approximation methods are also much more stable across different numbers of dimensions of integration, and even the simplest of these methods is superior to the GHK-500 beyond seven dimensions of integration. Based on all the evaluation results in this paper, we recommend the new Two-Variate Bivariate Screening (TVBS) method proposed in this paper as the evaluation approach for MVNCD function evaluation.&quot;,&quot;publisher&quot;:&quot;Pergamon&quot;,&quot;volume&quot;:&quot;109&quot;,&quot;container-title-short&quot;:&quot;&quot;},&quot;isTemporary&quot;:false,&quot;suppress-author&quot;:false,&quot;composite&quot;:false,&quot;author-only&quot;:false}]},{&quot;citationID&quot;:&quot;MENDELEY_CITATION_2cde3c2a-40e4-4d3d-850e-13315498212d&quot;,&quot;properties&quot;:{&quot;noteIndex&quot;:0},&quot;isEdited&quot;:false,&quot;manualOverride&quot;:{&quot;isManuallyOverridden&quot;:true,&quot;citeprocText&quot;:&quot;(D’Agostino et al., 2024; Ravensbergen, Buliung, &amp;#38; Laliberté, 2020; Ravensbergen, Buliung, &amp;#38; Sersli, 2020)&quot;,&quot;manualOverrideText&quot;:&quot;Ravensbergen et al., 2020a; Ravensbergen et al., 2020b; D’Agostino et al., 2024&quot;},&quot;citationTag&quot;:&quot;MENDELEY_CITATION_v3_eyJjaXRhdGlvbklEIjoiTUVOREVMRVlfQ0lUQVRJT05fMmNkZTNjMmEtNDBlNC00ZDNkLTg1MGUtMTMzMTU0OTgyMTJkIiwicHJvcGVydGllcyI6eyJub3RlSW5kZXgiOjB9LCJpc0VkaXRlZCI6ZmFsc2UsIm1hbnVhbE92ZXJyaWRlIjp7ImlzTWFudWFsbHlPdmVycmlkZGVuIjp0cnVlLCJjaXRlcHJvY1RleHQiOiIoROKAmUFnb3N0aW5vIGV0IGFsLiwgMjAyNDsgUmF2ZW5zYmVyZ2VuLCBCdWxpdW5nLCAmIzM4OyBMYWxpYmVydMOpLCAyMDIwOyBSYXZlbnNiZXJnZW4sIEJ1bGl1bmcsICYjMzg7IFNlcnNsaSwgMjAyMCkiLCJtYW51YWxPdmVycmlkZVRleHQiOiJSYXZlbnNiZXJnZW4gZXQgYWwuLCAyMDIwYTsgUmF2ZW5zYmVyZ2VuIGV0IGFsLiwgMjAyMGI7IETigJlBZ29zdGlubyBldCBhbC4sIDIwMjQifSwiY2l0YXRpb25JdGVtcyI6W3siaWQiOiI5ZjQxNjA2Ny0zNDFiLTMyYjgtOTBmNi1kYWMwZDNhOWNjMWIiLCJpdGVtRGF0YSI6eyJ0eXBlIjoiYXJ0aWNsZS1qb3VybmFsIiwiaWQiOiI5ZjQxNjA2Ny0zNDFiLTMyYjgtOTBmNi1kYWMwZDNhOWNjMWIiLCJ0aXRsZSI6IkZlYXIgb2YgY3ljbGluZzogU29jaWFsLCBzcGF0aWFsLCBhbmQgdGVtcG9yYWwgZGltZW5zaW9ucyIsImF1dGhvciI6W3siZmFtaWx5IjoiUmF2ZW5zYmVyZ2VuIiwiZ2l2ZW4iOiJMw6lhIiwicGFyc2UtbmFtZXMiOmZhbHNlLCJkcm9wcGluZy1wYXJ0aWNsZSI6IiIsIm5vbi1kcm9wcGluZy1wYXJ0aWNsZSI6IiJ9LHsiZmFtaWx5IjoiQnVsaXVuZyIsImdpdmVuIjoiUm9uIiwicGFyc2UtbmFtZXMiOmZhbHNlLCJkcm9wcGluZy1wYXJ0aWNsZSI6IiIsIm5vbi1kcm9wcGluZy1wYXJ0aWNsZSI6IiJ9LHsiZmFtaWx5IjoiTGFsaWJlcnTDqSIsImdpdmVuIjoiTmljb2xlIiwicGFyc2UtbmFtZXMiOmZhbHNlLCJkcm9wcGluZy1wYXJ0aWNsZSI6IiIsIm5vbi1kcm9wcGluZy1wYXJ0aWNsZSI6IiJ9XSwiY29udGFpbmVyLXRpdGxlIjoiSm91cm5hbCBvZiBUcmFuc3BvcnQgR2VvZ3JhcGh5IiwiY29udGFpbmVyLXRpdGxlLXNob3J0IjoiSi4gVHJhbnNwLiBHZW9nci4iLCJET0kiOiIxMC4xMDE2L2ouanRyYW5nZW8uMjAyMC4xMDI4MTMiLCJJU1NOIjoiMDk2NjY5MjMiLCJpc3N1ZWQiOnsiZGF0ZS1wYXJ0cyI6W1syMDIwLDcsMV1dfSwiYWJzdHJhY3QiOiJPYmplY3RpdmUgYW5kIHBlcmNlaXZlZCByaXNrLCBkYW5nZXIsIGFuZCBzYWZldHkgY29uY2VybnMgYXJlIG9mdGVuIGlkZW50aWZpZWQgYXMgYmFycmllcnMgdG8gdGFraW5nIHVwIGN5Y2xpbmcuIFdoaWxlIGEgdmFzdCBsaXRlcmF0dXJlIGV4YW1pbmVzIGN5Y2xpbmcgc2FmZXR5LCByaXNrLCBhbmQgZGFuZ2VyLCBsaXR0bGUgcmVzZWFyY2ggZXhhbWluZXMgcmVsYXRpb25zaGlwcyBiZXR3ZWVuIGZlYXIgYW5kIGN5Y2xpbmcsIGkuZS4gdGhlIGVtb3Rpb25hbCBleHBlcmllbmNlIG9mIHJpc2ssIGRhbmdlciwgYW5kIHNhZmV0eSBjb25jZXJucy4gVGhpcyBwYXBlciBhZGRyZXNzZXMgdGhpcyByZXNlYXJjaCBnYXAgYnkgZXhwbG9yaW5nIHRoZSBmZWFycyByZXBvcnRlZCBieSByZWNlbnQgaW1taWdyYW50cyB3aG8gYXJlIG5ldyBjeWNsaXN0cyBpbiBUb3JvbnRvLCBDYW5hZGEuIEN5Y2xpc3RzIGV4cHJlc3NlZCBtYW55IGRpZmZlcmVudCB0eXBlcyBvZiBmZWFyOyB0aGVpciBmZWFycyB3ZXJlIGR5bmFtaWMgYW5kIHBvc3Nlc3NlZCBzb2NpYWwsIHRlbXBvcmFsLCBhbmQgc3BhdGlhbCBxdWFsaXRpZXMuIFRoZSB0d28gbW9zdCBmcmVxdWVudCBmZWFycyBwYXJ0aWNpcGFudHMgZGVzY3JpYmVkIHdlcmUgZmVhciBvZiBpbmp1cnkgYW5kIGZlYXIgZm9yIHBlcnNvbmFsIHNhZmV0eS4gRmVhciBvZiBpbmp1cnkgdmFyaWVkIGFjcm9zcyB0aGUgY2l0eSBhbmQgYnkgdGltZSBvZiBkYXkuIEl0IHdhcyBhbHNvIHNoYXBlZCBieSBwYXN0IGN5Y2xpbmcgZXhwZXJpZW5jZXMsIHdoaWxlIGFwcGVhcmluZyB0byBhdHRlbnVhdGUgd2l0aCB0aGUgYWNjdW11bGF0aW9uIG9mIGN5Y2xpbmcgc2tpbGxzLiBGZWFyIG9mIGluanVyeSBjYW4gYWxzbyBiZSBzb2NpYWw7IGFuZCB0aGUgcHJpbWFyeSBmb2N1cyBoZXJlaW4gaXMgb24gaG93IGl0IGNhbiBiZSBnZW5kZXJlZC4gRm9yIGluc3RhbmNlLCBnZW5kZXJlZCBhY2Nlc3MgdG8gb3Bwb3J0dW5pdGllcyB0byBjeWNsZSB0aHJvdWdob3V0IHRoZSBsaWZlIGNvdXJzZSBjYW4gc2hhcGUgY3ljbGluZyBmZWFyKHMpLiBGZWFyIGZvciBwZXJzb25hbCBzYWZldHkgd2FzIHByaW1hcmlseSBleHByZXNzZWQgYnkgd29tZW4sIHdhcyBvZnRlbiBzaGFwZWQgYnkgcGFzdCBleHBlcmllbmNlcyBvZiBzdHJlZXQgaGFyYXNzbWVudCwgYW5kIGNoYW5nZWQgdGhyb3VnaG91dCB0aGUgZGF5LCBhY3Jvc3MgdGhlIGNpdHksIGFuZCB3YXMgdW5kZXJzdG9vZCBpbiByZWxhdGlvbiB0byBvdGhlciBwbGFjZXMuIFBhcnRpY2lwYW50cyBhbHNvIGRlc2NyaWJlZCBmZWFycyByZWxhdGVkIHRvIGJpY3ljbGUgdGhlZnQsIGdldHRpbmcgbG9zdCwgZW5jb3VudGVyaW5nIG1lY2hhbmljYWwgcHJvYmxlbXMsIGFuZCBnZXR0aW5nIGluIHRyb3VibGUgd2l0aCBsYXcgZW5mb3JjZW1lbnQuIiwicHVibGlzaGVyIjoiRWxzZXZpZXIgTHRkIiwidm9sdW1lIjoiODcifSwiaXNUZW1wb3JhcnkiOmZhbHNlfSx7ImlkIjoiYmUyNWZiMjktNzFlOS0zYTA5LWEyZGItMTU4YmQ4NDE3NDFiIiwiaXRlbURhdGEiOnsidHlwZSI6ImFydGljbGUtam91cm5hbCIsImlkIjoiYmUyNWZiMjktNzFlOS0zYTA5LWEyZGItMTU4YmQ4NDE3NDFiIiwidGl0bGUiOiJWw6lsb21vYmlsaXRpZXMgb2YgY2FyZSBpbiBhIGxvdy1jeWNsaW5nIGNpdHkiLCJhdXRob3IiOlt7ImZhbWlseSI6IlJhdmVuc2JlcmdlbiIsImdpdmVuIjoiTMOpYSIsInBhcnNlLW5hbWVzIjpmYWxzZSwiZHJvcHBpbmctcGFydGljbGUiOiIiLCJub24tZHJvcHBpbmctcGFydGljbGUiOiIifSx7ImZhbWlseSI6IkJ1bGl1bmciLCJnaXZlbiI6IlJvbiIsInBhcnNlLW5hbWVzIjpmYWxzZSwiZHJvcHBpbmctcGFydGljbGUiOiIiLCJub24tZHJvcHBpbmctcGFydGljbGUiOiIifSx7ImZhbWlseSI6IlNlcnNsaSIsImdpdmVuIjoiU3RlcGhhbmllIiwicGFyc2UtbmFtZXMiOmZhbHNlLCJkcm9wcGluZy1wYXJ0aWNsZSI6IiIsIm5vbi1kcm9wcGluZy1wYXJ0aWNsZSI6IiJ9XSwiY29udGFpbmVyLXRpdGxlIjoiVHJhbnNwb3J0YXRpb24gUmVzZWFyY2ggUGFydCBBOiBQb2xpY3kgYW5kIFByYWN0aWNlIiwiY29udGFpbmVyLXRpdGxlLXNob3J0IjoiVHJhbnNwLiBSZXMuIFBhcnQgQSBQb2xpY3kgUHJhY3QuIiwiRE9JIjoiMTAuMTAxNi9qLnRyYS4yMDIwLjAyLjAxNCIsIklTU04iOiIwOTY1ODU2NCIsImlzc3VlZCI6eyJkYXRlLXBhcnRzIjpbWzIwMjAsNCwxXV19LCJwYWdlIjoiMzM2LTM0NyIsImFic3RyYWN0IjoiTW9iaWxpdGllcyBvZiBjYXJlLCB0aGUgdHJhdmVsIHJlcXVpcmVkIHRvIG1lZXQgb25lIGFuZCBvdGhlcnPigJkgaG91c2Vob2xkIG5lZWRzIHN1Y2ggYXMgc2hvcHBpbmcsIHJ1bm5pbmcgZXJyYW5kcywgb3IgZXNjb3J0aW5nIGNoaWxkcmVuLCBhcmUgb2Z0ZW4gdW5kZXJzdG9vZCBhcyBkaWZmaWN1bHQgdG8gY29tcGxldGUgYnkgYmljeWNsZSBiZWNhdXNlIHRoZXkgdGVuZCB0byBpbnZvbHZlIHRyYW5zcG9ydGluZyBnb29kcyBvciBwZW9wbGUuIEJlY2F1c2Ugd29tZW4gdGVuZCB0byBjb21wbGV0ZSBtb3JlIHVucGFpZCBob3VzZWhvbGQgbGFib3VyIHRoYW4gbWVuLCB0aGUgYmljeWNsZSdzIGFzc3VtZWQgaW5jb21wYXRpYmlsaXR5IHdpdGggaG91c2Vob2xkLXNlcnZpbmcgdHJhdmVsIGhhcyBiZWVuIHN1Z2dlc3RlZCBhcyBhIHBvc3NpYmxlIGV4cGxhbmF0aW9uIGZvciB0aGUgZ2VuZGVyLWdhcCBpbiBjeWNsaW5nIHdpdGhpbiBsb3ctY3ljbGluZyBjaXRpZXMuIEhvd2V2ZXIsIHRoZSB3YXlzIGluIHdoaWNoIHBlb3BsZSB1c2UgdGhlIGJpY3ljbGUgdG8gY29tcGxldGUgdGhpcyBmb3JtIG9mIHRyYXZlbCBpbiBsb3ctY3ljbGluZyBjaXRpZXMgaGFzIHlldCB0byBiZSBzdHVkaWVkLiBEcmF3aW5nIG9uIHNlbWktc3RydWN0dXJlZCBpbnRlcnZpZXdzIHdpdGggcmVzaWRlbnRzIG9mIFRvcm9udG8sIENhbmFkYSwgd2hvIGFyZSBuZXcgdG8gY3ljbGluZywgdGhpcyBwYXBlciBhZGRyZXNzZXMgdGhpcyBrbm93bGVkZ2UgZ2FwIGJ5IHByb3ZpZGluZyBhIGRldGFpbGVkIGFjY291bnQgb2YgaG93IGN5Y2xpc3RzIHVzZSB0aGVpciBiaWN5Y2xlcyB0byBjb21wbGV0ZSBtb2JpbGl0aWVzIG9mIGNhcmUuIFJlc3VsdHMgaW5kaWNhdGUgdGhhdCB0cmF2ZWxpbmcgd2l0aCBjaGlsZHJlbiBhbmQgZ3JvY2VyeSBzaG9wcGluZyBpbiBidWxrIGlzIGdlbmVyYWxseSBjb25zaWRlcmVkIGRpZmZpY3VsdCBieSBiaWN5Y2xlLiBCdXlpbmcgc21hbGwgYW1vdW50cyBvZiBncm9jZXJpZXMgYW5kIHRyaXAtY2hhaW5pbmcsIGhvd2V2ZXIsIHdhcyB1c3VhbGx5IHBlcmNlaXZlZCBhcyBjb252ZW5pZW50LiBUaGlzIHBhcGVyIGFsc28gZnJhbWVzIHBhcnRpY2lwYW50c+KAmSBleHBlcmllbmNlcyBjb21wbGV0aW5nIHRoaXMgZ2VuZGVyZWQgdHJhdmVsIGJ5IGJpY3ljbGUgdXNpbmcgc29jaWFsIHByYWN0aWNlIHRoZW9yeSB0byBkZW1vbnN0cmF0ZSBob3cgZXZlbiBkaWZmaWN1bHQgaG91c2Vob2xkIHNlcnZpbmcgdHJpcHMgYXJlIHBvc3NpYmxlIGJ5IGJpY3ljbGUgd2hlbiBwZW9wbGUgYXJlIGVxdWlwcGVkIHdpdGggY2VydGFpbiBtZWFuaW5ncywgY29tcGV0ZW5jaWVzLCBhbmQgbWF0ZXJpYWxzLiBUaGlzIHBhcGVyIGNvbnRyaWJ1dGVzIHRvIHRoZSBjeWNsaW5nIGxpdGVyYXR1cmUgYnkgZGVtb25zdHJhdGluZyB0aGUgd2F5cyBpbiB3aGljaCBwZW9wbGUgdXNlIGJpY3ljbGVzIHRvIGNvbXBsZXRlIGdlbmRlcmVkIG1vYmlsaXRpZXMgb2YgY2FyZSBpbiBhIGxvdy1jeWNsaW5nIGNpdHkuIEJ5IGhpZ2hsaWdodGluZyB0aGUgY2hhbGxlbmdlcyBwZW9wbGUgZmFjZSwgYXMgd2VsbCBhcyB0aGV5IHdheXMgaW4gd2hpY2ggc29tZSBwZW9wbGUgb3ZlcmNvbWUgdGhlc2UgY2hhbGxlbmdlcywgaXQgYWxzbyBwb2ludHMgdG8gcG9zc2libGUgcG9saWN5IGludGVydmVudGlvbnMgdGhhdCBjb3VsZCBlbmNvdXJhZ2UgY2l0eSBjeWNsaW5nLiIsInB1Ymxpc2hlciI6IkVsc2V2aWVyIEx0ZCIsInZvbHVtZSI6IjEzNCJ9LCJpc1RlbXBvcmFyeSI6ZmFsc2V9LHsiaWQiOiJjNGQ2NWM2ZS03Y2Y0LTNkN2MtOWU1NS00ZTNkMWQ3MWJjYWUiLCJpdGVtRGF0YSI6eyJ0eXBlIjoiYXJ0aWNsZS1qb3VybmFsIiwiaWQiOiJjNGQ2NWM2ZS03Y2Y0LTNkN2MtOWU1NS00ZTNkMWQ3MWJjYWUiLCJ0aXRsZSI6IkEgc3lzdGVtYXRpYyBsaXRlcmF0dXJlIHJldmlldyBvbiB3b21lbuKAmXMgZGFpbHkgbW9iaWxpdHkgaW4gdGhlIEdsb2JhbCBOb3J0aCIsImF1dGhvciI6W3siZmFtaWx5IjoiROKAmUFnb3N0aW5vIiwiZ2l2ZW4iOiJDZWNpbGlhIiwicGFyc2UtbmFtZXMiOmZhbHNlLCJkcm9wcGluZy1wYXJ0aWNsZSI6IiIsIm5vbi1kcm9wcGluZy1wYXJ0aWNsZSI6IiJ9LHsiZmFtaWx5IjoiUGl2YSIsImdpdmVuIjoiRXZpbGEiLCJwYXJzZS1uYW1lcyI6ZmFsc2UsImRyb3BwaW5nLXBhcnRpY2xlIjoiIiwibm9uLWRyb3BwaW5nLXBhcnRpY2xlIjoiIn0seyJmYW1pbHkiOiJQdWNjaSIsImdpdmVuIjoiUGFvbGEiLCJwYXJzZS1uYW1lcyI6ZmFsc2UsImRyb3BwaW5nLXBhcnRpY2xlIjoiIiwibm9uLWRyb3BwaW5nLXBhcnRpY2xlIjoiIn0seyJmYW1pbHkiOiJSb3NzaSIsImdpdmVuIjoiQ3Jpc3RpbmEiLCJwYXJzZS1uYW1lcyI6ZmFsc2UsImRyb3BwaW5nLXBhcnRpY2xlIjoiIiwibm9uLWRyb3BwaW5nLXBhcnRpY2xlIjoiIn1dLCJjb250YWluZXItdGl0bGUiOiJUcmFuc3BvcnQgUmV2aWV3cyIsImNvbnRhaW5lci10aXRsZS1zaG9ydCI6IlRyYW5zcC4gUmV2LiIsIkRPSSI6IjEwLjEwODAvMDE0NDE2NDcuMjAyNC4yMzUwNjEzIiwiSVNTTiI6IjE0NjQ1MzI3IiwiaXNzdWVkIjp7ImRhdGUtcGFydHMiOltbMjAyNF1dfSwicGFnZSI6IjEwMTYtMTA0NCIsImFic3RyYWN0IjoiU2luY2UgdGhlIGVhcmx5IDE5ODBzLCB0aGUgZGlmZmVyZW5jZXMgYmV0d2VlbiB0aGUgZGFpbHkgbW9iaWxpdHkgcGF0dGVybnMgb2YgbWVuIGFuZCB3b21lbiBoYXZlIGF0dHJhY3RlZCBpbmNyZWFzaW5nIGludGVyZXN0IGZyb20gc2Nob2xhcnMgYW5kIHBvbGljeW1ha2Vycy4gQWNhZGVtaWMgbGl0ZXJhdHVyZSBoYXMgcmV2ZWFsZWQgdGhhdCB3b21lbiBpbiBhZHZhbmNlZCBjb3VudHJpZXMgdGVuZCB0byB0cmF2ZWwgc2hvcnRlciBkaXN0YW5jZXMsIG1ha2UgbW9yZSBkYWlseSB0cmlwcywgdXNlIGNhcnMgbGVzcyBmcmVxdWVudGx5LCBhbmQgYXJlIG1vcmUgd2lsbGluZyB0byBhZG9wdCBzdXN0YWluYWJsZSB0cmF2ZWwgYmVoYXZpb3VycyB0aGFuIG1lbi4gSG93ZXZlciwgd2l0aCBjaGFuZ2luZyBmYW1pbHkgYW5kIGxhYm91ciBtYXJrZXQgY29uZGl0aW9ucywgbmV3IHRyZW5kcyBhcmUgZW1lcmdpbmcsIHdoaWNoIG9wZW4gYXZlbnVlcyBmb3IgZnVydGhlciBpbnZlc3RpZ2F0aW9uLiBCYXNlZCBvbiB0aGVzZSBwcmVtaXNlcywgdGhpcyBzdHVkeSBzeXN0ZW1hdGljYWxseSByZXZpZXdzIHJlY2VudCBzdHVkaWVzIG9uIHdvbWVu4oCZcyBkYWlseSBtb2JpbGl0eSBhY3Jvc3MgdXJiYW4gYW5kIHBlcmktdXJiYW4gYXJlYXMgb2YgdGhlIEdsb2JhbCBOb3J0aC4gVGhlIHN0dWRpZXMgcHVibGlzaGVkIGluIHRoZSBsYXN0IHRlbiB5ZWFycyBhcmUgc3lzdGVtYXRpemVkIGJ5IGRldmVsb3BpbmcgYW4gYW5hbHl0aWNhbCBmcmFtZXdvcmsgdGhhdCBmYWNpbGl0YXRlcyBzeW50aGVzaXNpbmcgcmVzZWFyY2ggZmluZGluZ3MsIGlkZW50aWZ5aW5nIHJlc2VhcmNoIGdhcHMsIG91dGxpbmluZyBkaXJlY3Rpb25zIGZvciBmdXJ0aGVyIHN0dWRpZXMgaW4gdGhlIGZpZWxkLCBhbmQgcHJvdmlkaW5nIGluc2lnaHRzIHRvIHBvbGljeW1ha2VycyB0byBkZXNpZ24gaW5pdGlhdGl2ZXMgZm9yIGZhaXIgYW5kIGluY2x1c2l2ZSBtb2JpbGl0eS4iLCJwdWJsaXNoZXIiOiJSb3V0bGVkZ2UiLCJpc3N1ZSI6IjUiLCJ2b2x1bWUiOiI0NCJ9LCJpc1RlbXBvcmFyeSI6ZmFsc2V9XX0=&quot;,&quot;citationItems&quot;:[{&quot;id&quot;:&quot;9f416067-341b-32b8-90f6-dac0d3a9cc1b&quot;,&quot;itemData&quot;:{&quot;type&quot;:&quot;article-journal&quot;,&quot;id&quot;:&quot;9f416067-341b-32b8-90f6-dac0d3a9cc1b&quot;,&quot;title&quot;:&quot;Fear of cycling: Social, spatial, and temporal dimensions&quot;,&quot;author&quot;:[{&quot;family&quot;:&quot;Ravensbergen&quot;,&quot;given&quot;:&quot;Léa&quot;,&quot;parse-names&quot;:false,&quot;dropping-particle&quot;:&quot;&quot;,&quot;non-dropping-particle&quot;:&quot;&quot;},{&quot;family&quot;:&quot;Buliung&quot;,&quot;given&quot;:&quot;Ron&quot;,&quot;parse-names&quot;:false,&quot;dropping-particle&quot;:&quot;&quot;,&quot;non-dropping-particle&quot;:&quot;&quot;},{&quot;family&quot;:&quot;Laliberté&quot;,&quot;given&quot;:&quot;Nicole&quot;,&quot;parse-names&quot;:false,&quot;dropping-particle&quot;:&quot;&quot;,&quot;non-dropping-particle&quot;:&quot;&quot;}],&quot;container-title&quot;:&quot;Journal of Transport Geography&quot;,&quot;container-title-short&quot;:&quot;J. Transp. Geogr.&quot;,&quot;DOI&quot;:&quot;10.1016/j.jtrangeo.2020.102813&quot;,&quot;ISSN&quot;:&quot;09666923&quot;,&quot;issued&quot;:{&quot;date-parts&quot;:[[2020,7,1]]},&quot;abstract&quot;:&quot;Objective and perceived risk, danger, and safety concerns are often identified as barriers to taking up cycling. While a vast literature examines cycling safety, risk, and danger, little research examines relationships between fear and cycling, i.e. the emotional experience of risk, danger, and safety concerns. This paper addresses this research gap by exploring the fears reported by recent immigrants who are new cyclists in Toronto, Canada. Cyclists expressed many different types of fear; their fears were dynamic and possessed social, temporal, and spatial qualities. The two most frequent fears participants described were fear of injury and fear for personal safety. Fear of injury varied across the city and by time of day. It was also shaped by past cycling experiences, while appearing to attenuate with the accumulation of cycling skills. Fear of injury can also be social; and the primary focus herein is on how it can be gendered. For instance, gendered access to opportunities to cycle throughout the life course can shape cycling fear(s). Fear for personal safety was primarily expressed by women, was often shaped by past experiences of street harassment, and changed throughout the day, across the city, and was understood in relation to other places. Participants also described fears related to bicycle theft, getting lost, encountering mechanical problems, and getting in trouble with law enforcement.&quot;,&quot;publisher&quot;:&quot;Elsevier Ltd&quot;,&quot;volume&quot;:&quot;87&quot;},&quot;isTemporary&quot;:false},{&quot;id&quot;:&quot;be25fb29-71e9-3a09-a2db-158bd841741b&quot;,&quot;itemData&quot;:{&quot;type&quot;:&quot;article-journal&quot;,&quot;id&quot;:&quot;be25fb29-71e9-3a09-a2db-158bd841741b&quot;,&quot;title&quot;:&quot;Vélomobilities of care in a low-cycling city&quot;,&quot;author&quot;:[{&quot;family&quot;:&quot;Ravensbergen&quot;,&quot;given&quot;:&quot;Léa&quot;,&quot;parse-names&quot;:false,&quot;dropping-particle&quot;:&quot;&quot;,&quot;non-dropping-particle&quot;:&quot;&quot;},{&quot;family&quot;:&quot;Buliung&quot;,&quot;given&quot;:&quot;Ron&quot;,&quot;parse-names&quot;:false,&quot;dropping-particle&quot;:&quot;&quot;,&quot;non-dropping-particle&quot;:&quot;&quot;},{&quot;family&quot;:&quot;Sersli&quot;,&quot;given&quot;:&quot;Stephanie&quot;,&quot;parse-names&quot;:false,&quot;dropping-particle&quot;:&quot;&quot;,&quot;non-dropping-particle&quot;:&quot;&quot;}],&quot;container-title&quot;:&quot;Transportation Research Part A: Policy and Practice&quot;,&quot;container-title-short&quot;:&quot;Transp. Res. Part A Policy Pract.&quot;,&quot;DOI&quot;:&quot;10.1016/j.tra.2020.02.014&quot;,&quot;ISSN&quot;:&quot;09658564&quot;,&quot;issued&quot;:{&quot;date-parts&quot;:[[2020,4,1]]},&quot;page&quot;:&quot;336-347&quot;,&quot;abstract&quot;:&quot;Mobilities of care, the travel required to meet one and others’ household needs such as shopping, running errands, or escorting children, are often understood as difficult to complete by bicycle because they tend to involve transporting goods or people. Because women tend to complete more unpaid household labour than men, the bicycle's assumed incompatibility with household-serving travel has been suggested as a possible explanation for the gender-gap in cycling within low-cycling cities. However, the ways in which people use the bicycle to complete this form of travel in low-cycling cities has yet to be studied. Drawing on semi-structured interviews with residents of Toronto, Canada, who are new to cycling, this paper addresses this knowledge gap by providing a detailed account of how cyclists use their bicycles to complete mobilities of care. Results indicate that traveling with children and grocery shopping in bulk is generally considered difficult by bicycle. Buying small amounts of groceries and trip-chaining, however, was usually perceived as convenient. This paper also frames participants’ experiences completing this gendered travel by bicycle using social practice theory to demonstrate how even difficult household serving trips are possible by bicycle when people are equipped with certain meanings, competencies, and materials. This paper contributes to the cycling literature by demonstrating the ways in which people use bicycles to complete gendered mobilities of care in a low-cycling city. By highlighting the challenges people face, as well as they ways in which some people overcome these challenges, it also points to possible policy interventions that could encourage city cycling.&quot;,&quot;publisher&quot;:&quot;Elsevier Ltd&quot;,&quot;volume&quot;:&quot;134&quot;},&quot;isTemporary&quot;:false},{&quot;id&quot;:&quot;c4d65c6e-7cf4-3d7c-9e55-4e3d1d71bcae&quot;,&quot;itemData&quot;:{&quot;type&quot;:&quot;article-journal&quot;,&quot;id&quot;:&quot;c4d65c6e-7cf4-3d7c-9e55-4e3d1d71bcae&quot;,&quot;title&quot;:&quot;A systematic literature review on women’s daily mobility in the Global North&quot;,&quot;author&quot;:[{&quot;family&quot;:&quot;D’Agostino&quot;,&quot;given&quot;:&quot;Cecilia&quot;,&quot;parse-names&quot;:false,&quot;dropping-particle&quot;:&quot;&quot;,&quot;non-dropping-particle&quot;:&quot;&quot;},{&quot;family&quot;:&quot;Piva&quot;,&quot;given&quot;:&quot;Evila&quot;,&quot;parse-names&quot;:false,&quot;dropping-particle&quot;:&quot;&quot;,&quot;non-dropping-particle&quot;:&quot;&quot;},{&quot;family&quot;:&quot;Pucci&quot;,&quot;given&quot;:&quot;Paola&quot;,&quot;parse-names&quot;:false,&quot;dropping-particle&quot;:&quot;&quot;,&quot;non-dropping-particle&quot;:&quot;&quot;},{&quot;family&quot;:&quot;Rossi&quot;,&quot;given&quot;:&quot;Cristina&quot;,&quot;parse-names&quot;:false,&quot;dropping-particle&quot;:&quot;&quot;,&quot;non-dropping-particle&quot;:&quot;&quot;}],&quot;container-title&quot;:&quot;Transport Reviews&quot;,&quot;container-title-short&quot;:&quot;Transp. Rev.&quot;,&quot;DOI&quot;:&quot;10.1080/01441647.2024.2350613&quot;,&quot;ISSN&quot;:&quot;14645327&quot;,&quot;issued&quot;:{&quot;date-parts&quot;:[[2024]]},&quot;page&quot;:&quot;1016-1044&quot;,&quot;abstract&quot;:&quot;Since the early 1980s, the differences between the daily mobility patterns of men and women have attracted increasing interest from scholars and policymakers. Academic literature has revealed that women in advanced countries tend to travel shorter distances, make more daily trips, use cars less frequently, and are more willing to adopt sustainable travel behaviours than men. However, with changing family and labour market conditions, new trends are emerging, which open avenues for further investigation. Based on these premises, this study systematically reviews recent studies on women’s daily mobility across urban and peri-urban areas of the Global North. The studies published in the last ten years are systematized by developing an analytical framework that facilitates synthesising research findings, identifying research gaps, outlining directions for further studies in the field, and providing insights to policymakers to design initiatives for fair and inclusive mobility.&quot;,&quot;publisher&quot;:&quot;Routledge&quot;,&quot;issue&quot;:&quot;5&quot;,&quot;volume&quot;:&quot;44&quot;},&quot;isTemporary&quot;:false}]},{&quot;citationID&quot;:&quot;MENDELEY_CITATION_d6049671-4a80-4147-aa85-1e277da25628&quot;,&quot;properties&quot;:{&quot;noteIndex&quot;:0},&quot;isEdited&quot;:false,&quot;manualOverride&quot;:{&quot;isManuallyOverridden&quot;:false,&quot;citeprocText&quot;:&quot;(Buehler et al., 2024)&quot;,&quot;manualOverrideText&quot;:&quot;&quot;},&quot;citationTag&quot;:&quot;MENDELEY_CITATION_v3_eyJjaXRhdGlvbklEIjoiTUVOREVMRVlfQ0lUQVRJT05fZDYwNDk2NzEtNGE4MC00MTQ3LWFhODUtMWUyNzdkYTI1NjI4IiwicHJvcGVydGllcyI6eyJub3RlSW5kZXgiOjB9LCJpc0VkaXRlZCI6ZmFsc2UsIm1hbnVhbE92ZXJyaWRlIjp7ImlzTWFudWFsbHlPdmVycmlkZGVuIjpmYWxzZSwiY2l0ZXByb2NUZXh0IjoiKEJ1ZWhsZXIgZXQgYWwuLCAyMDI0KSIsIm1hbnVhbE92ZXJyaWRlVGV4dCI6IiJ9LCJjaXRhdGlvbkl0ZW1zIjpbeyJpZCI6ImE3N2RjNzI3LWNlY2YtM2YwYi1iYjM2LTg3OTJjNzI4NDgwOCIsIml0ZW1EYXRhIjp7InR5cGUiOiJhcnRpY2xlLWpvdXJuYWwiLCJpZCI6ImE3N2RjNzI3LWNlY2YtM2YwYi1iYjM2LTg3OTJjNzI4NDgwOCIsInRpdGxlIjoiVHJlbmRzIGFuZCBkZXRlcm1pbmFudHMgb2YgdGhlIG1vYmlsaXR5IG9mIG9sZGVyIGFkdWx0cyBpbiB0aGUgVVNBIGFuZCBHZXJtYW55LCAyMDAx4oCTMjAxNyIsImF1dGhvciI6W3siZmFtaWx5IjoiQnVlaGxlciIsImdpdmVuIjoiUmFscGgiLCJwYXJzZS1uYW1lcyI6ZmFsc2UsImRyb3BwaW5nLXBhcnRpY2xlIjoiIiwibm9uLWRyb3BwaW5nLXBhcnRpY2xlIjoiIn0seyJmYW1pbHkiOiJQdWNoZXIiLCJnaXZlbiI6IkpvaG4iLCJwYXJzZS1uYW1lcyI6ZmFsc2UsImRyb3BwaW5nLXBhcnRpY2xlIjoiIiwibm9uLWRyb3BwaW5nLXBhcnRpY2xlIjoiIn0seyJmYW1pbHkiOiJXaXR0d2VyIiwiZ2l2ZW4iOiJSaWNvIiwicGFyc2UtbmFtZXMiOmZhbHNlLCJkcm9wcGluZy1wYXJ0aWNsZSI6IiIsIm5vbi1kcm9wcGluZy1wYXJ0aWNsZSI6IiJ9LHsiZmFtaWx5IjoiR2VyaWtlIiwiZ2l2ZW4iOiJSZWdpbmU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jQuMTA0MDY1IiwiSVNTTiI6IjA5NjU4NTY0IiwiaXNzdWVkIjp7ImRhdGUtcGFydHMiOltbMjAyNCw1LDFdXX0sImFic3RyYWN0IjoiVXNpbmcgdGhlIDIwMDEgYW5kIDIwMTcgTmF0aW9uYWwgSG91c2Vob2xkIFRyYXZlbCBTdXJ2ZXlzIChOSFRTKSBmb3IgdGhlIFVTQSBhbmQgdGhlIDIwMDIgYW5kIDIwMTcgTW9iaWxpdHkgaW4gR2VybWFueSBTdXJ2ZXlzIChNaUQpIGZvciBHZXJtYW55LCB0aGlzIHBhcGVyIGV4YW1pbmVzIGRpZmZlcmVuY2VzIGJldHdlZW4gdGhlIHR3byBjb3VudHJpZXMgaW4gdGhlIHRyYXZlbCBiZWhhdmlvciBvZiBvbGRlciBhZHVsdHMgYW5kIHRvIHdoYXQgZXh0ZW50IGl0IGhhcyBjaGFuZ2VkIGJldHdlZW4gMjAwMS8yMDAyIGFuZCAyMDE3LiBXZSB1c2UgZml2ZSBtb2JpbGl0eSBpbmRpY2F0b3JzIHRvIHBvcnRyYXkgdGhlIHRyYXZlbCBiZWhhdmlvciBvZiBvbGRlciBhZHVsdHM6IHdoZXRoZXIgb3Igbm90IGEgdHJpcCBpcyBtYWRlIGF0IGFsbCBvbiB0aGUgc3VydmV5IGRheSAoaS5lLiwgbW9iaWxlIG9yIG5vdCk7IG51bWJlciBvZiB0cmlwcyBwZXIgZGF5IGZvciBtb2JpbGUgaW5kaXZpZHVhbHM7IGttIG9mIHRyYXZlbCBwZXIgZGF5IGZvciBtb2JpbGUgaW5kaXZpZHVhbHM7IG1vZGFsIGRpc3RyaWJ1dGlvbiBvZiB0cmlwczsgYW5kIHRyaXAgcHVycG9zZS4gSW4gYW5hbHl6aW5nIHRoZSB0cmF2ZWwgYmVoYXZpb3Igb2Ygb2xkZXIgYWR1bHRzLCB3ZSBncm91cGVkIHRoZW0gaW50byA1LXllYXIgYWdlIGNhdGVnb3JpZXM6IGZyb20gNjDigJM2NCwgNjXigJM2OSwgNzDigJM3NCwgNzXigJM3OSwgYW5kIHRoZW4gODArIHllYXJzLiBJbiBhZGRpdGlvbiB0byBhIGRlc2NyaXB0aXZlLCBncmFwaGljYWwgYW5hbHlzaXMsIHdlIGVtcGxveSBtdWx0aS1sZXZlbCBtdWx0aXBsZSByZWdyZXNzaW9uIGFuYWx5c2lzIHRvIGV4YW1pbmUgZmFjdG9ycyB0aGF0IG1heSBhZmZlY3QgdGhlIG1vYmlsaXR5IG9mIG9sZGVyIGFkdWx0cy4gTW9iaWxpdHkgbGV2ZWxzIGdlbmVyYWxseSBkZWNsaW5lZCB3aXRoIGluY3JlYXNpbmcgYWdlIGluIGJvdGggY291bnRyaWVzIGluIGJvdGggeWVhcnMsIGJ1dCB0aGUgZGVjbGluZXMgd2VyZSBncmFkdWFsLCBleGNlcHQgZm9yIGEgc3RlZXAgZHJvcCBmb3IgdGhlIDgwKyBhZ2UgZ3JvdXAuIE1vYmlsaXR5IGxldmVscyBpbiAyMDAxIHdlcmUgZ2VuZXJhbGx5IGhpZ2hlciBmb3IgYWxsIGFnZSBncm91cHMgaW4gdGhlIFVTQSB0aGFuIGluIEdlcm1hbnksIGVzcGVjaWFsbHkgZm9yIG9sZGVyIGFkdWx0cy4gQnkgMjAxNywgaG93ZXZlciwgdGhlIGdhcCBiZXR3ZWVuIHRoZSB0d28gY291bnRyaWVzIGRpbWluaXNoZWQgYmVjYXVzZSBtb2JpbGl0eSBpbmNyZWFzZWQgbW9yZSBmb3IgYWxsIGFnZSBncm91cHMgaW4gR2VybWFueSB0aGFuIGluIHRoZSBVU0EgZnJvbSAyMDAxLzIwMDIgdG8gMjAxNy4gSW5kZWVkLCBHZXJtYW5zIG9mIGFsbCBhZ2UgZ3JvdXBzIGluIDIwMTcgd2VyZSBtb3JlIGxpa2VseSB0aGFuIEFtZXJpY2FucyB0byBtYWtlIGF0IGxlYXN0IG9uZSB0cmlwIGR1cmluZyB0aGVpciB0cmF2ZWwgZGF5LiBUaGUgbGFyZ2VzdCBpbmNyZWFzZXMgaW4gbW9iaWxpdHkgaW4gYm90aCBjb3VudHJpZXMgd2VyZSBmb3IgdGhlIG9sZGVzdCBhZ2UgY2F0ZWdvcmllcyAoNzXigJM3OSBhbmQgODArKS4gRnJvbSAyMDAyIHRvIDIwMTcsIHRoZSBzaGFyZSBvZiBjYXIgdHJpcHMgYW1vbmcgb2xkZXIgYWR1bHRzIGluIEdlcm1hbnkgcm9zZSBjb25zaWRlcmFibHksIHdoaWxlIGl0IGZlbGwgc2xpZ2h0bHkgaW4gdGhlIFVTQSBmcm9tIDIwMDEgdG8gMjAxNy4gTmV2ZXJ0aGVsZXNzLCBjYXIgZGVwZW5kZW5jZSBhbW9uZyB0aGUgb2xkZXN0IGFkdWx0cyBpbiAyMDE3IHdhcyBzdGlsbCB0d2ljZSBhcyBoaWdoIGluIHRoZSBVU0EgYXMgaW4gR2VybWFueS4gT25lIHJlYXNvbiBmb3IgR2VybWFueSdzIGxvd2VyIG1vZGFsIHNoYXJlIG9mIGRyaXZpbmcgaXMgdGhhdCB0aGUgdHJhbnNwb3J0IHN5c3RlbSBpbiBHZXJtYW55IG9mZmVycyBmYXIgbW9yZSBhdHRyYWN0aXZlIGFsdGVybmF0aXZlcyB0byBjYXIgdXNlIHRoYW4gaW4gdGhlIFVTQSwgd2hpbGUgcG9saWNpZXMgYXQgZXZlcnkgZ292ZXJubWVudCBsZXZlbCBtYWtlIGNhciBvd25lcnNoaXAsIHBhcmtpbmcgYW5kIHVzZSBtb3JlIGV4cGVuc2l2ZSBhbmQgbW9yZSBkaWZmaWN1bHQgdGhhbiBpbiB0aGUgVVNBLiIsInB1Ymxpc2hlciI6IkVsc2V2aWVyIEx0ZCIsInZvbHVtZSI6IjE4MyJ9LCJpc1RlbXBvcmFyeSI6ZmFsc2UsInN1cHByZXNzLWF1dGhvciI6ZmFsc2UsImNvbXBvc2l0ZSI6ZmFsc2UsImF1dGhvci1vbmx5IjpmYWxzZX1dfQ==&quot;,&quot;citationItems&quot;:[{&quot;id&quot;:&quot;a77dc727-cecf-3f0b-bb36-8792c7284808&quot;,&quot;itemData&quot;:{&quot;type&quot;:&quot;article-journal&quot;,&quot;id&quot;:&quot;a77dc727-cecf-3f0b-bb36-8792c7284808&quot;,&quot;title&quot;:&quot;Trends and determinants of the mobility of older adults in the USA and Germany, 2001–2017&quot;,&quot;author&quot;:[{&quot;family&quot;:&quot;Buehler&quot;,&quot;given&quot;:&quot;Ralph&quot;,&quot;parse-names&quot;:false,&quot;dropping-particle&quot;:&quot;&quot;,&quot;non-dropping-particle&quot;:&quot;&quot;},{&quot;family&quot;:&quot;Pucher&quot;,&quot;given&quot;:&quot;John&quot;,&quot;parse-names&quot;:false,&quot;dropping-particle&quot;:&quot;&quot;,&quot;non-dropping-particle&quot;:&quot;&quot;},{&quot;family&quot;:&quot;Wittwer&quot;,&quot;given&quot;:&quot;Rico&quot;,&quot;parse-names&quot;:false,&quot;dropping-particle&quot;:&quot;&quot;,&quot;non-dropping-particle&quot;:&quot;&quot;},{&quot;family&quot;:&quot;Gerike&quot;,&quot;given&quot;:&quot;Regine&quot;,&quot;parse-names&quot;:false,&quot;dropping-particle&quot;:&quot;&quot;,&quot;non-dropping-particle&quot;:&quot;&quot;}],&quot;container-title&quot;:&quot;Transportation Research Part A: Policy and Practice&quot;,&quot;container-title-short&quot;:&quot;Transp. Res. Part A Policy Pract.&quot;,&quot;DOI&quot;:&quot;10.1016/j.tra.2024.104065&quot;,&quot;ISSN&quot;:&quot;09658564&quot;,&quot;issued&quot;:{&quot;date-parts&quot;:[[2024,5,1]]},&quot;abstract&quot;:&quot;Using the 2001 and 2017 National Household Travel Surveys (NHTS) for the USA and the 2002 and 2017 Mobility in Germany Surveys (MiD) for Germany, this paper examines differences between the two countries in the travel behavior of older adults and to what extent it has changed between 2001/2002 and 2017. We use five mobility indicators to portray the travel behavior of older adults: whether or not a trip is made at all on the survey day (i.e., mobile or not); number of trips per day for mobile individuals; km of travel per day for mobile individuals; modal distribution of trips; and trip purpose. In analyzing the travel behavior of older adults, we grouped them into 5-year age categories: from 60–64, 65–69, 70–74, 75–79, and then 80+ years. In addition to a descriptive, graphical analysis, we employ multi-level multiple regression analysis to examine factors that may affect the mobility of older adults. Mobility levels generally declined with increasing age in both countries in both years, but the declines were gradual, except for a steep drop for the 80+ age group. Mobility levels in 2001 were generally higher for all age groups in the USA than in Germany, especially for older adults. By 2017, however, the gap between the two countries diminished because mobility increased more for all age groups in Germany than in the USA from 2001/2002 to 2017. Indeed, Germans of all age groups in 2017 were more likely than Americans to make at least one trip during their travel day. The largest increases in mobility in both countries were for the oldest age categories (75–79 and 80+). From 2002 to 2017, the share of car trips among older adults in Germany rose considerably, while it fell slightly in the USA from 2001 to 2017. Nevertheless, car dependence among the oldest adults in 2017 was still twice as high in the USA as in Germany. One reason for Germany's lower modal share of driving is that the transport system in Germany offers far more attractive alternatives to car use than in the USA, while policies at every government level make car ownership, parking and use more expensive and more difficult than in the USA.&quot;,&quot;publisher&quot;:&quot;Elsevier Ltd&quot;,&quot;volume&quot;:&quot;183&quot;},&quot;isTemporary&quot;:false,&quot;suppress-author&quot;:false,&quot;composite&quot;:false,&quot;author-only&quot;:false}]},{&quot;citationID&quot;:&quot;MENDELEY_CITATION_37b64251-9e3f-45db-b201-b3ec8d0c69df&quot;,&quot;properties&quot;:{&quot;noteIndex&quot;:0},&quot;isEdited&quot;:false,&quot;manualOverride&quot;:{&quot;isManuallyOverridden&quot;:false,&quot;citeprocText&quot;:&quot;(Sahlqvist et al., 2012)&quot;,&quot;manualOverrideText&quot;:&quot;&quot;},&quot;citationTag&quot;:&quot;MENDELEY_CITATION_v3_eyJjaXRhdGlvbklEIjoiTUVOREVMRVlfQ0lUQVRJT05fMzdiNjQyNTEtOWUzZi00NWRiLWIyMDEtYjNlYzhkMGM2OWRmIiwicHJvcGVydGllcyI6eyJub3RlSW5kZXgiOjB9LCJpc0VkaXRlZCI6ZmFsc2UsIm1hbnVhbE92ZXJyaWRlIjp7ImlzTWFudWFsbHlPdmVycmlkZGVuIjpmYWxzZSwiY2l0ZXByb2NUZXh0IjoiKFNhaGxxdmlzdCBldCBhbC4sIDIwMTIpIiwibWFudWFsT3ZlcnJpZGVUZXh0IjoiIn0sImNpdGF0aW9uSXRlbXMiOlt7ImlkIjoiM2M2NDllNjgtZTBkYi0zNTE3LThiMTgtYjM1NDdlYjIxYjk0IiwiaXRlbURhdGEiOnsidHlwZSI6ImFydGljbGUtam91cm5hbCIsImlkIjoiM2M2NDllNjgtZTBkYi0zNTE3LThiMTgtYjM1NDdlYjIxYjk0IiwidGl0bGUiOiJJcyBhY3RpdmUgdHJhdmVsIGFzc29jaWF0ZWQgd2l0aCBncmVhdGVyIHBoeXNpY2FsIGFjdGl2aXR5PyBUaGUgY29udHJpYnV0aW9uIG9mIGNvbW11dGluZyBhbmQgbm9uLWNvbW11dGluZyBhY3RpdmUgdHJhdmVsIHRvIHRvdGFsIHBoeXNpY2FsIGFjdGl2aXR5IGluIGFkdWx0cyIsImF1dGhvciI6W3siZmFtaWx5IjoiU2FobHF2aXN0IiwiZ2l2ZW4iOiJTaGFubm9uIiwicGFyc2UtbmFtZXMiOmZhbHNlLCJkcm9wcGluZy1wYXJ0aWNsZSI6IiIsIm5vbi1kcm9wcGluZy1wYXJ0aWNsZSI6IiJ9LHsiZmFtaWx5IjoiU29uZyIsImdpdmVuIjoiWWVuYSIsInBhcnNlLW5hbWVzIjpmYWxzZSwiZHJvcHBpbmctcGFydGljbGUiOiIiLCJub24tZHJvcHBpbmctcGFydGljbGUiOiIifSx7ImZhbWlseSI6Ik9naWx2aWUiLCJnaXZlbiI6IkRhdmlkIiwicGFyc2UtbmFtZXMiOmZhbHNlLCJkcm9wcGluZy1wYXJ0aWNsZSI6IiIsIm5vbi1kcm9wcGluZy1wYXJ0aWNsZSI6IiJ9XSwiY29udGFpbmVyLXRpdGxlIjoiUHJldmVudGl2ZSBNZWRpY2luZSIsImNvbnRhaW5lci10aXRsZS1zaG9ydCI6IlByZXYuIE1lZC4gKEJhbHRpbSkuIiwiRE9JIjoiMTAuMTAxNi9qLnlwbWVkLjIwMTIuMDYuMDI4IiwiSVNTTiI6IjAwOTE3NDM1IiwiUE1JRCI6IjIyNzk2NjI5IiwiaXNzdWVkIjp7ImRhdGUtcGFydHMiOltbMjAxMiw5XV19LCJwYWdlIjoiMjA2LTIxMSIsImFic3RyYWN0IjoiQmFja2dyb3VuZDogVG8gY29tcGxlbWVudCBmaW5kaW5ncyB0aGF0IGFjdGl2ZSB0cmF2ZWwgcmVkdWNlcyB0aGUgcmlzayBvZiBtb3JiaWRpdHkgYW5kIG1vcnRhbGl0eSBmcm9tIGNocm9uaWMgZGlzZWFzZXMsIGFuIHVuZGVyc3RhbmRpbmcgb2YgdGhlIG1lY2hhbmlzbXMgdGhyb3VnaCB3aGljaCBhY3RpdmUgdHJhdmVsIG1heSBsZWFkIHRvIGltcHJvdmVkIGhlYWx0aCBpcyByZXF1aXJlZC4gUHVycG9zZTogVGhlIGFpbSBvZiB0aGlzIHN0dWR5IGlzIHRvIGV4YW1pbmUgdGhlIGRlc2NyaXB0aXZlIGVwaWRlbWlvbG9neSBvZiBhbGwgYWN0aXZlIHRyYXZlbCBhbmQgaXRzIGFzc29jaWF0aW9ucyB3aXRoIHJlY3JlYXRpb25hbCBhbmQgdG90YWwgcGh5c2ljYWwgYWN0aXZpdHkgaW4gYSBzYW1wbGUgb2YgYWR1bHRzIGluIHRoZSBVSy4gTWV0aG9kczogSW4gQXByaWwgMjAxMCwgZGF0YSB3ZXJlIGNvbGxlY3RlZCBmcm9tIDM1MTYgYWR1bHRzIGFzIHBhcnQgb2YgdGhlIGJhc2VsaW5lIHN1cnZleSBmb3IgdGhlIGlDb25uZWN0IHN0dWR5IGluIHRoZSBVSy4gVHJhdmVsIGFuZCByZWNyZWF0aW9uYWwgcGh5c2ljYWwgYWN0aXZpdHkgd2VyZSBhc3Nlc3NlZCB1c2luZyBkZXRhaWxlZCBzZXZlbi1kYXkgcmVjYWxsIGluc3RydW1lbnRzLiBMaW5lYXIgcmVncmVzc2lvbiBhbmFseXNlcywgY29udHJvbGxpbmcgZm9yIGRlbW9ncmFwaGljIGNoYXJhY3RlcmlzdGljcywgZXhhbWluZWQgYXNzb2NpYXRpb25zIGJldHdlZW4gYWN0aXZlIHRyYXZlbCwgZGVmaW5lZCBhcyBhbnkgd2Fsa2luZyBhbmQgY3ljbGluZyBmb3IgdHJhbnNwb3J0LCBhbmQgcmVjcmVhdGlvbmFsIGFuZCB0b3RhbCBwaHlzaWNhbCBhY3Rpdml0eS4gUmVzdWx0czogNjUlIG9mIHJlc3BvbmRlbnRzIChtZWFuIGFnZSA1MC41LiB5ZWFycykgcmVwb3J0ZWQgc29tZSBmb3JtIG9mIGFjdGl2ZSB0cmF2ZWwsIGFjY3VtdWxhdGluZyBhbiBhdmVyYWdlIG9mIDE5NS4gbWluL3dlZWsgKHN0YW5kYXJkIGRldmlhdGlvbiA9IDE4OC42KS4gVGhlcmUgd2VyZSBubyBkaWZmZXJlbmNlcyBpbiB0aGUgcmVjcmVhdGlvbmFsIHBoeXNpY2FsIGFjdGl2aXR5IGxldmVscyBvZiByZXNwb25kZW50cyBieSB0cmF2ZWwgbW9kZSBjYXRlZ29yeS4gQWR1bHRzIHdobyB1c2VkIGFjdGl2ZSB0cmF2ZWwgZGlkIGhvd2V2ZXIgcmVwb3J0IHNpZ25pZmljYW50bHkgaGlnaGVyIHRvdGFsIHBoeXNpY2FsIGFjdGl2aXR5IHRoYW4gdGhvc2Ugd2hvIGRpZCBub3QuIENvbmNsdXNpb25zOiBTdWJzdGFudGlhbCBwaHlzaWNhbCBhY3Rpdml0eSBjYW4gYmUgYWNjdW11bGF0ZWQgdGhyb3VnaCBhY3RpdmUgdHJhdmVsIHdoaWNoIGFsc28gY29udHJpYnV0ZXMgdG8gZ3JlYXRlciB0b3RhbCBwaHlzaWNhbCBhY3Rpdml0eS4gwqkgMjAxMiBFbHNldmllciBJbmMuIiwiaXNzdWUiOiIzIiwidm9sdW1lIjoiNTUifSwiaXNUZW1wb3JhcnkiOmZhbHNlLCJzdXBwcmVzcy1hdXRob3IiOmZhbHNlLCJjb21wb3NpdGUiOmZhbHNlLCJhdXRob3Itb25seSI6ZmFsc2V9XX0=&quot;,&quot;citationItems&quot;:[{&quot;id&quot;:&quot;3c649e68-e0db-3517-8b18-b3547eb21b94&quot;,&quot;itemData&quot;:{&quot;type&quot;:&quot;article-journal&quot;,&quot;id&quot;:&quot;3c649e68-e0db-3517-8b18-b3547eb21b94&quot;,&quot;title&quot;:&quot;Is active travel associated with greater physical activity? The contribution of commuting and non-commuting active travel to total physical activity in adults&quot;,&quot;author&quot;:[{&quot;family&quot;:&quot;Sahlqvist&quot;,&quot;given&quot;:&quot;Shannon&quot;,&quot;parse-names&quot;:false,&quot;dropping-particle&quot;:&quot;&quot;,&quot;non-dropping-particle&quot;:&quot;&quot;},{&quot;family&quot;:&quot;Song&quot;,&quot;given&quot;:&quot;Yena&quot;,&quot;parse-names&quot;:false,&quot;dropping-particle&quot;:&quot;&quot;,&quot;non-dropping-particle&quot;:&quot;&quot;},{&quot;family&quot;:&quot;Ogilvie&quot;,&quot;given&quot;:&quot;David&quot;,&quot;parse-names&quot;:false,&quot;dropping-particle&quot;:&quot;&quot;,&quot;non-dropping-particle&quot;:&quot;&quot;}],&quot;container-title&quot;:&quot;Preventive Medicine&quot;,&quot;container-title-short&quot;:&quot;Prev. Med. (Baltim).&quot;,&quot;DOI&quot;:&quot;10.1016/j.ypmed.2012.06.028&quot;,&quot;ISSN&quot;:&quot;00917435&quot;,&quot;PMID&quot;:&quot;22796629&quot;,&quot;issued&quot;:{&quot;date-parts&quot;:[[2012,9]]},&quot;page&quot;:&quot;206-211&quot;,&quot;abstract&quot;:&quot;Background: To complement findings that active travel reduces the risk of morbidity and mortality from chronic diseases, an understanding of the mechanisms through which active travel may lead to improved health is required. Purpose: The aim of this study is to examine the descriptive epidemiology of all active travel and its associations with recreational and total physical activity in a sample of adults in the UK. Methods: In April 2010, data were collected from 3516 adults as part of the baseline survey for the iConnect study in the UK. Travel and recreational physical activity were assessed using detailed seven-day recall instruments. Linear regression analyses, controlling for demographic characteristics, examined associations between active travel, defined as any walking and cycling for transport, and recreational and total physical activity. Results: 65% of respondents (mean age 50.5. years) reported some form of active travel, accumulating an average of 195. min/week (standard deviation = 188.6). There were no differences in the recreational physical activity levels of respondents by travel mode category. Adults who used active travel did however report significantly higher total physical activity than those who did not. Conclusions: Substantial physical activity can be accumulated through active travel which also contributes to greater total physical activity. © 2012 Elsevier Inc.&quot;,&quot;issue&quot;:&quot;3&quot;,&quot;volume&quot;:&quot;55&quot;},&quot;isTemporary&quot;:false,&quot;suppress-author&quot;:false,&quot;composite&quot;:false,&quot;author-only&quot;:false}]},{&quot;citationID&quot;:&quot;MENDELEY_CITATION_efc9c122-3243-4f7a-94ca-40c3f348f045&quot;,&quot;properties&quot;:{&quot;noteIndex&quot;:0},&quot;isEdited&quot;:false,&quot;manualOverride&quot;:{&quot;isManuallyOverridden&quot;:false,&quot;citeprocText&quot;:&quot;(Jones et al., 2018)&quot;,&quot;manualOverrideText&quot;:&quot;&quot;},&quot;citationTag&quot;:&quot;MENDELEY_CITATION_v3_eyJjaXRhdGlvbklEIjoiTUVOREVMRVlfQ0lUQVRJT05fZWZjOWMxMjItMzI0My00ZjdhLTk0Y2EtNDBjM2YzNDhmMDQ1IiwicHJvcGVydGllcyI6eyJub3RlSW5kZXgiOjB9LCJpc0VkaXRlZCI6ZmFsc2UsIm1hbnVhbE92ZXJyaWRlIjp7ImlzTWFudWFsbHlPdmVycmlkZGVuIjpmYWxzZSwiY2l0ZXByb2NUZXh0IjoiKEpvbmVzIGV0IGFsLiwgMjAxOCkiLCJtYW51YWxPdmVycmlkZVRleHQiOiIifSwiY2l0YXRpb25JdGVtcyI6W3siaWQiOiJjOTJmNjliZS04MTNlLTNmNjgtYWE3Zi05MjU4YTkxY2I5OGUiLCJpdGVtRGF0YSI6eyJ0eXBlIjoiYXJ0aWNsZS1qb3VybmFsIiwiaWQiOiJjOTJmNjliZS04MTNlLTNmNjgtYWE3Zi05MjU4YTkxY2I5OGUiLCJ0aXRsZSI6IkNvcnJlbGF0ZXMgb2YgY2hhbmdlcyBpbiB3YWxraW5nIGR1cmluZyB0aGUgcmV0aXJlbWVudCB0cmFuc2l0aW9uOiBUaGUgTXVsdGktRXRobmljIFN0dWR5IG9mIEF0aGVyb3NjbGVyb3NpcyIsImF1dGhvciI6W3siZmFtaWx5IjoiSm9uZXMiLCJnaXZlbiI6IlN5ZG5leSBBLiIsInBhcnNlLW5hbWVzIjpmYWxzZSwiZHJvcHBpbmctcGFydGljbGUiOiIiLCJub24tZHJvcHBpbmctcGFydGljbGUiOiIifSx7ImZhbWlseSI6IkxpIiwiZ2l2ZW4iOiJRdWVmZW5nIiwicGFyc2UtbmFtZXMiOmZhbHNlLCJkcm9wcGluZy1wYXJ0aWNsZSI6IiIsIm5vbi1kcm9wcGluZy1wYXJ0aWNsZSI6IiJ9LHsiZmFtaWx5IjoiQWllbGxvIiwiZ2l2ZW4iOiJBbGxpc29uIEUuIiwicGFyc2UtbmFtZXMiOmZhbHNlLCJkcm9wcGluZy1wYXJ0aWNsZSI6IiIsIm5vbi1kcm9wcGluZy1wYXJ0aWNsZSI6IiJ9LHsiZmFtaWx5IjoiTydSYW5kIiwiZ2l2ZW4iOiJBbmdlbGEgTS4iLCJwYXJzZS1uYW1lcyI6ZmFsc2UsImRyb3BwaW5nLXBhcnRpY2xlIjoiIiwibm9uLWRyb3BwaW5nLXBhcnRpY2xlIjoiIn0seyJmYW1pbHkiOiJFdmVuc29uIiwiZ2l2ZW4iOiJLZWxseSBSLiIsInBhcnNlLW5hbWVzIjpmYWxzZSwiZHJvcHBpbmctcGFydGljbGUiOiIiLCJub24tZHJvcHBpbmctcGFydGljbGUiOiIifV0sImNvbnRhaW5lci10aXRsZSI6IlByZXZlbnRpdmUgTWVkaWNpbmUgUmVwb3J0cyIsImNvbnRhaW5lci10aXRsZS1zaG9ydCI6IlByZXYuIE1lZC4gUmVwLiIsIkRPSSI6IjEwLjEwMTYvai5wbWVkci4yMDE4LjA3LjAwMiIsIklTU04iOiIyMjExMzM1NSIsImlzc3VlZCI6eyJkYXRlLXBhcnRzIjpbWzIwMTgsOSwxXV19LCJwYWdlIjoiMjIxLTIzMCIsImFic3RyYWN0IjoiUmV0aXJlbWVudCBmcm9tIGVtcGxveW1lbnQgaW52b2x2ZXMgZGlzcnVwdGlvbiBpbiBkYWlseSByb3V0aW5lcyBhbmQgaGFzIGJlZW4gYXNzb2NpYXRlZCB3aXRoIHBvc2l0aXZlIGFuZCBuZWdhdGl2ZSBjaGFuZ2VzIGluIHBoeXNpY2FsIGFjdGl2aXR5LiBXYWxraW5nIGlzIHRoZSBtb3N0IGNvbW1vbiBwaHlzaWNhbCBhY3Rpdml0eSBhbW9uZyBvbGRlciBBbWVyaWNhbnMuIFRoZSBmYWN0b3JzIHRoYXQgaW5mbHVlbmNlIGNoYW5nZXMgaW4gd2Fsa2luZyBhZnRlciByZXRpcmVtZW50IGFyZSB1bmtub3duLiBUaGUgc3R1ZHkgb2JqZWN0aXZlIHdhcyB0byBpZGVudGlmeSBjb3JyZWxhdGVzIG9mIHdpdGhpbi1wZXJzb24gY2hhbmdlIGluIHJlY3JlYXRpb25hbCB3YWxraW5nIChmb3IgbGVpc3VyZSkgYW5kIHRyYW5zcG9ydCB3YWxraW5nICh0byBnZXQgcGxhY2VzKSBkdXJpbmcgdGhlIHJldGlyZW1lbnQgdHJhbnNpdGlvbiBhbW9uZyBhIG11bHRpLWV0aG5pYyBjb2hvcnQgb2YgYWR1bHRzIChOID0gOTI4KSBmcm9tIHNpeCBVUyBjb21tdW5pdGllcy4gQ29ycmVsYXRlcyB3ZXJlIG1lYXN1cmVkIGF0IHRoZSBpbmRpdmlkdWFsIChlLmcuLCBnZW5kZXIpLCBpbnRlcnBlcnNvbmFsIChlLmcuLCBzb2NpYWwgc3VwcG9ydCksIGFuZCBjb21tdW5pdHkgKGUuZy4sIGRlbnNpdHkgb2Ygd2Fsa2luZyBkZXN0aW5hdGlvbnMpIGxldmVscyBhdCBzdHVkeSBleGFtcyBiZXR3ZWVuIDIwMDAgYW5kIDIwMTIuIENvbXBhcmluZyBwcmUtIGFuZCBwb3N0LXJldGlyZW1lbnQgbWVhc3VyZXMgKGF2ZXJhZ2UgNC41IHllYXJzIGFwYXJ0KSwgNTAlIG9mIHBhcnRpY2lwYW50cyBpbmNyZWFzZWQgcmVjcmVhdGlvbmFsIHdhbGtpbmcgYnkgNjAgbWluIG9yIG1vcmUgcGVyIHdlZWssIDMxJSBkZWNyZWFzZWQgYnkgNjAgbWluIG9yIG1vcmUgcGVyIHdlZWssIGFuZCAxOSUgbWFpbnRhaW5lZCB0aGVpciByZWNyZWF0aW9uYWwgd2Fsa2luZy4gRm9ydHktb25lIHBlcmNlbnQgb2YgcGFydGljaXBhbnRzIGluY3JlYXNlZCB0cmFuc3BvcnQgd2Fsa2luZyBieSA2MCBtaW4gb3IgbW9yZSBwZXIgd2VlaywgNDAlIGRlY3JlYXNlZCBieSA2MCBtaW4gb3IgbW9yZSBwZXIgd2VlaywgYW5kIDE5JSBtYWludGFpbmVkIHRoZWlyIHRyYW5zcG9ydCB3YWxraW5nIGFmdGVyIHJldGlyZW1lbnQuIENvcnJlbGF0ZXMgZGlmZmVyZWQgZm9yIHJlY3JlYXRpb25hbCBhbmQgdHJhbnNwb3J0IHdhbGtpbmcgYW5kIGZvciBpbmNyZWFzZXMgY29tcGFyZWQgdG8gZGVjcmVhc2VzIGluIHdhbGtpbmcuIFNlbGYtcmF0ZWQgaGVhbHRoLCBjaHJvbmljIGNvbmRpdGlvbnMsIGFuZCBwZXJjZXB0aW9ucyBvZiB0aGUgbmVpZ2hib3Job29kIHdhbGtpbmcgZW52aXJvbm1lbnQgd2VyZSBhc3NvY2lhdGVkIHdpdGggY2hhbmdlcyBpbiBib3RoIHR5cGVzIG9mIHdhbGtpbmcgYWZ0ZXIgcmV0aXJlbWVudC4gRnVydGhlciwgc29tZSBjb3JyZWxhdGVzIGRpZmZlcmVkIGJ5IGdlbmRlciBhbmQgcmV0aXJlbWVudCBhZ2UuIEZpbmRpbmdzIGNhbiBpbmZvcm0gdGhlIHRhcmdldGluZyBvZiBpbnRlcnZlbnRpb25zIHRvIHByb21vdGUgd2Fsa2luZyBkdXJpbmcgdGhlIHJldGlyZW1lbnQgdHJhbnNpdGlvbi4iLCJwdWJsaXNoZXIiOiJFbHNldmllciBJbmMuIiwidm9sdW1lIjoiMTEifSwiaXNUZW1wb3JhcnkiOmZhbHNlLCJzdXBwcmVzcy1hdXRob3IiOmZhbHNlLCJjb21wb3NpdGUiOmZhbHNlLCJhdXRob3Itb25seSI6ZmFsc2V9XX0=&quot;,&quot;citationItems&quot;:[{&quot;id&quot;:&quot;c92f69be-813e-3f68-aa7f-9258a91cb98e&quot;,&quot;itemData&quot;:{&quot;type&quot;:&quot;article-journal&quot;,&quot;id&quot;:&quot;c92f69be-813e-3f68-aa7f-9258a91cb98e&quot;,&quot;title&quot;:&quot;Correlates of changes in walking during the retirement transition: The Multi-Ethnic Study of Atherosclerosis&quot;,&quot;author&quot;:[{&quot;family&quot;:&quot;Jones&quot;,&quot;given&quot;:&quot;Sydney A.&quot;,&quot;parse-names&quot;:false,&quot;dropping-particle&quot;:&quot;&quot;,&quot;non-dropping-particle&quot;:&quot;&quot;},{&quot;family&quot;:&quot;Li&quot;,&quot;given&quot;:&quot;Quefeng&quot;,&quot;parse-names&quot;:false,&quot;dropping-particle&quot;:&quot;&quot;,&quot;non-dropping-particle&quot;:&quot;&quot;},{&quot;family&quot;:&quot;Aiello&quot;,&quot;given&quot;:&quot;Allison E.&quot;,&quot;parse-names&quot;:false,&quot;dropping-particle&quot;:&quot;&quot;,&quot;non-dropping-particle&quot;:&quot;&quot;},{&quot;family&quot;:&quot;O'Rand&quot;,&quot;given&quot;:&quot;Angela M.&quot;,&quot;parse-names&quot;:false,&quot;dropping-particle&quot;:&quot;&quot;,&quot;non-dropping-particle&quot;:&quot;&quot;},{&quot;family&quot;:&quot;Evenson&quot;,&quot;given&quot;:&quot;Kelly R.&quot;,&quot;parse-names&quot;:false,&quot;dropping-particle&quot;:&quot;&quot;,&quot;non-dropping-particle&quot;:&quot;&quot;}],&quot;container-title&quot;:&quot;Preventive Medicine Reports&quot;,&quot;container-title-short&quot;:&quot;Prev. Med. Rep.&quot;,&quot;DOI&quot;:&quot;10.1016/j.pmedr.2018.07.002&quot;,&quot;ISSN&quot;:&quot;22113355&quot;,&quot;issued&quot;:{&quot;date-parts&quot;:[[2018,9,1]]},&quot;page&quot;:&quot;221-230&quot;,&quot;abstract&quot;:&quot;Retirement from employment involves disruption in daily routines and has been associated with positive and negative changes in physical activity. Walking is the most common physical activity among older Americans. The factors that influence changes in walking after retirement are unknown. The study objective was to identify correlates of within-person change in recreational walking (for leisure) and transport walking (to get places) during the retirement transition among a multi-ethnic cohort of adults (N = 928) from six US communities. Correlates were measured at the individual (e.g., gender), interpersonal (e.g., social support), and community (e.g., density of walking destinations) levels at study exams between 2000 and 2012. Comparing pre- and post-retirement measures (average 4.5 years apart), 50% of participants increased recreational walking by 60 min or more per week, 31% decreased by 60 min or more per week, and 19% maintained their recreational walking. Forty-one percent of participants increased transport walking by 60 min or more per week, 40% decreased by 60 min or more per week, and 19% maintained their transport walking after retirement. Correlates differed for recreational and transport walking and for increases compared to decreases in walking. Self-rated health, chronic conditions, and perceptions of the neighborhood walking environment were associated with changes in both types of walking after retirement. Further, some correlates differed by gender and retirement age. Findings can inform the targeting of interventions to promote walking during the retirement transition.&quot;,&quot;publisher&quot;:&quot;Elsevier Inc.&quot;,&quot;volume&quot;:&quot;11&quot;},&quot;isTemporary&quot;:false,&quot;suppress-author&quot;:false,&quot;composite&quot;:false,&quot;author-only&quot;:false}]},{&quot;citationID&quot;:&quot;MENDELEY_CITATION_00eb6039-f8ed-4ae1-8eed-21205562ffa0&quot;,&quot;properties&quot;:{&quot;noteIndex&quot;:0},&quot;isEdited&quot;:false,&quot;manualOverride&quot;:{&quot;isManuallyOverridden&quot;:false,&quot;citeprocText&quot;:&quot;(Cerin et al., 2009; Hudde, 2024)&quot;,&quot;manualOverrideText&quot;:&quot;&quot;},&quot;citationTag&quot;:&quot;MENDELEY_CITATION_v3_eyJjaXRhdGlvbklEIjoiTUVOREVMRVlfQ0lUQVRJT05fMDBlYjYwMzktZjhlZC00YWUxLThlZWQtMjEyMDU1NjJmZmEwIiwicHJvcGVydGllcyI6eyJub3RlSW5kZXgiOjB9LCJpc0VkaXRlZCI6ZmFsc2UsIm1hbnVhbE92ZXJyaWRlIjp7ImlzTWFudWFsbHlPdmVycmlkZGVuIjpmYWxzZSwiY2l0ZXByb2NUZXh0IjoiKENlcmluIGV0IGFsLiwgMjAwOTsgSHVkZGUsIDIwMjQpIiwibWFudWFsT3ZlcnJpZGVUZXh0IjoiIn0sImNpdGF0aW9uSXRlbXMiOlt7ImlkIjoiZTc4NGRkOWMtY2RlZi0zNWZmLWE1YTItMDZmODdmZTA5NzRmIiwiaXRlbURhdGEiOnsidHlwZSI6ImFydGljbGUtam91cm5hbCIsImlkIjoiZTc4NGRkOWMtY2RlZi0zNWZmLWE1YTItMDZmODdmZTA5NzRmIiwidGl0bGUiOiJFeHBsYWluaW5nIHNvY2lvLWVjb25vbWljIHN0YXR1cyBkaWZmZXJlbmNlcyBpbiB3YWxraW5nIGZvciB0cmFuc3BvcnQ6IEFuIGVjb2xvZ2ljYWwgYW5hbHlzaXMgb2YgaW5kaXZpZHVhbCwgc29jaWFsIGFuZCBlbnZpcm9ubWVudGFsIGZhY3RvcnMiLCJhdXRob3IiOlt7ImZhbWlseSI6IkNlcmluIiwiZ2l2ZW4iOiJFc3RlciIsInBhcnNlLW5hbWVzIjpmYWxzZSwiZHJvcHBpbmctcGFydGljbGUiOiIiLCJub24tZHJvcHBpbmctcGFydGljbGUiOiIifSx7ImZhbWlseSI6Ikxlc2xpZSIsImdpdmVuIjoiRXZhIiwicGFyc2UtbmFtZXMiOmZhbHNlLCJkcm9wcGluZy1wYXJ0aWNsZSI6IiIsIm5vbi1kcm9wcGluZy1wYXJ0aWNsZSI6IiJ9LHsiZmFtaWx5IjoiT3dlbiIsImdpdmVuIjoiTmV2aWxsZSIsInBhcnNlLW5hbWVzIjpmYWxzZSwiZHJvcHBpbmctcGFydGljbGUiOiIiLCJub24tZHJvcHBpbmctcGFydGljbGUiOiIifV0sImNvbnRhaW5lci10aXRsZSI6IlNvY2lhbCBTY2llbmNlIGFuZCBNZWRpY2luZSIsImNvbnRhaW5lci10aXRsZS1zaG9ydCI6IlNvYy4gU2NpLiBNZWQuIiwiRE9JIjoiMTAuMTAxNi9qLnNvY3NjaW1lZC4yMDA5LjAxLjAwOCIsIklTU04iOiIwMjc3OTUzNiIsIlBNSUQiOiIxOTE5MzQ4MCIsImlzc3VlZCI6eyJkYXRlLXBhcnRzIjpbWzIwMDksM11dfSwicGFnZSI6IjEwMTMtMTAyMCIsImFic3RyYWN0IjoiVGhlIGlkZW50aWZpY2F0aW9uIG9mIHBvdGVudGlhbCBtZWNoYW5pc21zIG9mIGluZmx1ZW5jZSAobWVkaWF0b3JzKSBvZiBzb2Npby1lY29ub21pYyBzdGF0dXMgKFNFUykgb24gd2Fsa2luZyBmb3IgdHJhbnNwb3J0IGlzIGltcG9ydGFudCwgYmVjYXVzZSB0aGUgbGlrZWx5IG9wcG9zaW5nIGZvcmNlcyBvZiBpbmZsdWVuY2UgbWF5IG9ic2N1cmUgcGF0aHdheXMgZm9yIGludGVydmVudGlvbiBhY3Jvc3MgZGlmZmVyZW50IFNFUyBncm91cHMuIFRoaXMgc3R1ZHkgZXhhbWluZWQgaW5kaXZpZHVhbCwgYW5kIHBlcmNlaXZlZCBzb2NpYWwgYW5kIHBoeXNpY2FsIGVudmlyb25tZW50YWwgbWVkaWF0b3JzIG9mIHRoZSByZWxhdGlvbnMgb2YgaW5kaXZpZHVhbC0gYW5kIGFyZWEtbGV2ZWwgU0VTIHdpdGggd2Fsa2luZyBmb3IgdHJhbnNwb3J0LiBUd28gbWFpbGVkIHN1cnZleXMsIHNpeCBtb250aHMgYXBhcnQsIGNvbGxlY3RlZCBkYXRhIG9uIHRyYW5zcG9ydC1yZWxhdGVkIHdhbGtpbmcgYW5kIGl0cyBoeXBvdGhlc2l6ZWQgaW5kaXZpZHVhbCwgc29jaWFsIGFuZCBlbnZpcm9ubWVudGFsIGNvcnJlbGF0ZXMuIFRoZSBzYW1wbGUgY29uc2lzdGVkIG9mIDIxOTQgRW5nbGlzaC1zcGVha2luZyBhZHVsdHMgKGFnZWQgMjAtNjUpIGxpdmluZyBpbiAxNTQgQ2Vuc3VzIENvbGxlY3Rpb24gRGlzdHJpY3RzIChDQ0RzKSBvZiBBZGVsYWlkZSwgQXVzdHJhbGlhLiBJbmRpdmlkdWFsLWxldmVsIFNFUyB3YXMgYXNzZXNzZWQgdXNpbmcgZGF0YSBvbiBzZWxmLXJlcG9ydGVkIGVkdWNhdGlvbmFsIGF0dGFpbm1lbnQsIGhvdXNlaG9sZCBpbmNvbWUsIGFuZCBob3VzZWhvbGQgc2l6ZS4gQXJlYS1sZXZlbCBTRVMgd2FzIGFzc2Vzc2VkIHVzaW5nIGNlbnN1cyBkYXRhIG9uIG1lZGlhbiBob3VzZWhvbGQgaW5jb21lIGFuZCBob3VzZWhvbGQgc2l6ZSBmb3IgZWFjaCBzZWxlY3RlZCBDQ0QuIEJvb3RzdHJhcCBnZW5lcmFsaXplZCBsaW5lYXIgbW9kZWxzIGV4YW1pbmVkIGFzc29jaWF0aW9ucyBiZXR3ZWVuIFNFUywgcG90ZW50aWFsIG1lZGlhdG9ycywgYW5kIHRvdGFsIHdlZWtseSBtaW51dGVzIGFuZCBmcmVxdWVuY3kgb2Ygd2Fsa2luZyBmb3IgdHJhbnNwb3J0LiBUaGUgcHJvZHVjdC1vZi1jb2VmZmljaWVudCB0ZXN0IHdhcyB1c2VkIHRvIGFzc2VzcyBtZWRpYXRpbmcgZWZmZWN0cy4gSW5kaXZpZHVhbCwgc29jaWFsLWVudmlyb25tZW50YWwsIGFuZCBwaHlzaWNhbCBlbnZpcm9ubWVudGFsIGZhY3RvcnMgc2lnbmlmaWNhbnRseSBjb250cmlidXRlZCB0byB0aGUgZXhwbGFuYXRpb24gb2YgdGhlIHJlbGF0aW9ucyBiZXR3ZWVuIFNFUyBhbmQgdHJhbnNwb3J0LXJlbGF0ZWQgd2Fsa2luZyBmcmVxdWVuY3kuIEVkdWNhdGlvbmFsIGF0dGFpbm1lbnQgYW5kIGFyZWEtIGFuZCBpbmRpdmlkdWFsLWxldmVsIGluY29tZSBwbGF5ZWQgaW5kZXBlbmRlbnQgcm9sZXMgaW4gZXhwbGFpbmluZyBmcmVxdWVuY3kgb2Ygd2Fsa2luZyBmb3IgdHJhbnNwb3J0LCB0aHJvdWdoIG9wcG9zaW5nIGNvbW1vbiBhbmQgZGlzdGluY3QgcGF0aHdheXMuIFdoaWxlIGVuZ2FnZW1lbnQgaW4gbGVpc3VyZS10aW1lIHBoeXNpY2FsIGFjdGl2aXR5IHdhcyB0aGUgbW9zdCBpbmZsdWVudGlhbCBtZWRpYXRvciBvZiB0aGUgYXNzb2NpYXRpb24gYmV0d2VlbiBlZHVjYXRpb25hbCBhdHRhaW5tZW50IGFuZCBmcmVxdWVuY3kgb2Ygd2Fsa2luZyBmb3IgdHJhbnNwb3J0LCB0aGUgbnVtYmVyIG9mIG1vdG9yaXplZCB2ZWhpY2xlcyBhbmQgcGVyY2VpdmVkIGxldmVscyBvZiBlbnZpcm9ubWVudGFsIGFlc3RoZXRpY3MgYW5kIGdyZWVuZXJ5IHdlcmUgdGhlIHN0cm9uZ2VzdCBtZWRpYXRvcnMgb2YgdGhlIHJlbGF0aW9ucyBvZiBmcmVxdWVuY3kgb2YgdHJhbnNwb3J0LXJlbGF0ZWQgd2Fsa2luZyB3aXRoIGluZGl2aWR1YWwtIGFuZCBhcmVhLWxldmVsIGluY29tZSwgcmVzcGVjdGl2ZWx5LiBFbnZpcm9ubWVudGFsIGludGVydmVudGlvbnMgYWltZWQgYXQgaW5jcmVhc2luZyByZXNpZGVudGlhbCBkZW5zaXR5LCByZWR1Y2luZyBwaHlzaWNhbCBiYXJyaWVycyB0byB3YWxraW5nIGFuZCB0cmFmZmljIGxvYWQsIGRldmVsb3Bpbmcgc29jaWFsLXN1cHBvcnQgbmV0d29ya3MsIGFuZCBjcmVhdGluZyBncmVlbmVyIGFuZCBtb3JlIGFlc3RoZXRpY2FsbHkgcGxlYXNpbmcgZW52aXJvbm1lbnRzIGluIG1vcmUtZGlzYWR2YW50YWdlZCBhcmVhcyBtYXkgaGVscCB0byByZWR1Y2UgU0VTIGluZXF1YWxpdGllcyBpbiBwYXJ0aWNpcGF0aW9uIGluIHBoeXNpY2FsIGFjdGl2aXR5LCBieSBmYWNpbGl0YXRpbmcgd2Fsa2luZyBmb3IgdHJhbnNwb3J0LiDCqSAyMDA5IEVsc2V2aWVyIEx0ZC4gQWxsIHJpZ2h0cyByZXNlcnZlZC4iLCJpc3N1ZSI6IjYiLCJ2b2x1bWUiOiI2OCJ9LCJpc1RlbXBvcmFyeSI6ZmFsc2V9LHsiaWQiOiI3NzVmOThjOS03MThkLTM2MWEtOTk5Yy0wMjIzNmY3ODRlN2QiLCJpdGVtRGF0YSI6eyJ0eXBlIjoiYXJ0aWNsZS1qb3VybmFsIiwiaWQiOiI3NzVmOThjOS03MThkLTM2MWEtOTk5Yy0wMjIzNmY3ODRlN2QiLCJ0aXRsZSI6IkhhdmUgY3ljbGluZy1mcmllbmRseSBjaXRpZXMgYWNoaWV2ZWQgY3ljbGluZyBlcXVpdHk/IEFuYWx5c2VzIG9mIHRoZSBlZHVjYXRpb25hbCBncmFkaWVudCBpbiBjeWNsaW5nIGluIER1dGNoIGFuZCBHZXJtYW4gY2l0aWVzIiwiYXV0aG9yIjpbeyJmYW1pbHkiOiJIdWRkZSIsImdpdmVuIjoiQW5zZ2FyIiwicGFyc2UtbmFtZXMiOmZhbHNlLCJkcm9wcGluZy1wYXJ0aWNsZSI6IiIsIm5vbi1kcm9wcGluZy1wYXJ0aWNsZSI6IiJ9XSwiY29udGFpbmVyLXRpdGxlIjoiVXJiYW4gU3R1ZGllcyIsIkRPSSI6IjEwLjExNzcvMDA0MjA5ODAyMzExNzIzMTMiLCJJU1NOIjoiMTM2MDA2M1giLCJpc3N1ZWQiOnsiZGF0ZS1wYXJ0cyI6W1syMDI0LDEsMV1dfSwicGFnZSI6Ijc4LTk0IiwiYWJzdHJhY3QiOiJJbiBHZXJtYW4gY2l0aWVzLCBoaWdoZXIgbGV2ZWxzIG9mIGVkdWNhdGlvbiBpbmNyZWFzZSBwZW9wbGXigJlzIHByb3BlbnNpdHkgdG8gY3ljbGUuIEhvd2V2ZXIsIGl0IHJlbWFpbnMgdW5rbm93biB3aGV0aGVyIHRoaXMgZWZmZWN0IGlzIHJlc3RyaWN0ZWQgdG8gY2VydGFpbiBjb250ZXh0cywgc3VjaCBhcyBjaXRpZXMgd2l0aCBsb3cgb3IgbWVkaXVtIGN5Y2xpbmcgcmF0ZXMsIG9yIHdoZXRoZXIgaXQgaXMgYSBtb3JlIHVuaXZlcnNhbCBvY2N1cnJlbmNlLiBUaGlzIHBhcGVyIGRldmVsb3BzIGFuZCB0ZXN0cyBjb21wZXRpbmcgaHlwb3RoZXNlcyBvbiBob3cgdGhlIGVmZmVjdCBvZiBlZHVjYXRpb24gb24gY3ljbGluZyBtaWdodCBkZXBlbmQgb24gdGhlIG92ZXJhbGwgY3ljbGluZyBsZXZlbDogKGEpIGVkdWNhdGlvbmFsIGluZXF1YWxpdGllcyBpbiBjeWNsaW5nIGNvdWxkIGluY3JlYXNlIHByb3BvcnRpb25hbGx5IHdpdGggdGhlIG92ZXJhbGwgY3ljbGluZyBsZXZlbCBvciAoYikgc3VjaCBpbmVxdWFsaXRpZXMgbWlnaHQgZGltaW5pc2ggaW4gaGlnaC1jeWNsaW5nIGNpdGllcyBiZWNhdXNlIHRoZWlyIGFkdmFuY2VkIHByby1jeWNsaW5nIG1vYmlsaXR5IGN1bHR1cmVzIGVuY291cmFnZSBjeWNsaW5nIGFtb25nIGFsbCBzb2NpYWwgZ3JvdXBzLiBJIGFuYWx5c2UgYWJvdXQgMTUwLDAwMCB0cmlwcyBtYWRlIGJ5IGFib3V0IDUwLDAwMCByZXNpZGVudHMgZnJvbSAxNDMgY2l0aWVzIGluIHRoZSBOZXRoZXJsYW5kcyBhbmQgR2VybWFueSB1c2luZyBtdWx0aWxldmVsIHJlZ3Jlc3Npb24gbW9kZWxzLiBSZXN1bHRzIGZhbGwgaW4gYmV0d2VlbiB0aGUgY29tcGV0aW5nIGh5cG90aGVzZXMsIG1lYW5pbmcgdGhhdCB0aGUgZWZmZWN0IG9mIGVkdWNhdGlvbiBpcyBzaW1pbGFybHkgbGFyZ2UgaW4gY2l0aWVzIHdpdGggbG93LCBtZWRpdW0sIG9yIGhpZ2ggb3ZlcmFsbCBsZXZlbHMgb2YgY3ljbGluZy4gSGVuY2UsIHRoZXJlIGlzIG5vIGF1dG9tYXRpc20gaW4gdGhlIHNlbnNlIHRoYXQgaGlnaGVyIGN5Y2xpbmcgc2hhcmVzIGluIGdlbmVyYWwgd2lsbCBhbHNvIGltcGx5IGdyZWF0ZXIgY3ljbGluZyBlcXVpdHkuIiwicHVibGlzaGVyIjoiU0FHRSBQdWJsaWNhdGlvbnMgTHRkIiwiaXNzdWUiOiIxIiwidm9sdW1lIjoiNjEiLCJjb250YWluZXItdGl0bGUtc2hvcnQiOiIifSwiaXNUZW1wb3JhcnkiOmZhbHNlfV19&quot;,&quot;citationItems&quot;:[{&quot;id&quot;:&quot;e784dd9c-cdef-35ff-a5a2-06f87fe0974f&quot;,&quot;itemData&quot;:{&quot;type&quot;:&quot;article-journal&quot;,&quot;id&quot;:&quot;e784dd9c-cdef-35ff-a5a2-06f87fe0974f&quot;,&quot;title&quot;:&quot;Explaining socio-economic status differences in walking for transport: An ecological analysis of individual, social and environmental factors&quot;,&quot;author&quot;:[{&quot;family&quot;:&quot;Cerin&quot;,&quot;given&quot;:&quot;Ester&quot;,&quot;parse-names&quot;:false,&quot;dropping-particle&quot;:&quot;&quot;,&quot;non-dropping-particle&quot;:&quot;&quot;},{&quot;family&quot;:&quot;Leslie&quot;,&quot;given&quot;:&quot;Eva&quot;,&quot;parse-names&quot;:false,&quot;dropping-particle&quot;:&quot;&quot;,&quot;non-dropping-particle&quot;:&quot;&quot;},{&quot;family&quot;:&quot;Owen&quot;,&quot;given&quot;:&quot;Neville&quot;,&quot;parse-names&quot;:false,&quot;dropping-particle&quot;:&quot;&quot;,&quot;non-dropping-particle&quot;:&quot;&quot;}],&quot;container-title&quot;:&quot;Social Science and Medicine&quot;,&quot;container-title-short&quot;:&quot;Soc. Sci. Med.&quot;,&quot;DOI&quot;:&quot;10.1016/j.socscimed.2009.01.008&quot;,&quot;ISSN&quot;:&quot;02779536&quot;,&quot;PMID&quot;:&quot;19193480&quot;,&quot;issued&quot;:{&quot;date-parts&quot;:[[2009,3]]},&quot;page&quot;:&quot;1013-1020&quot;,&quot;abstract&quot;:&quot;The identification of potential mechanisms of influence (mediators) of socio-economic status (SES) on walking for transport is important, because the likely opposing forces of influence may obscure pathways for intervention across different SES groups. This study examined individual, and perceived social and physical environmental mediators of the relations of individual- and area-level SES with walking for transport. Two mailed surveys, six months apart, collected data on transport-related walking and its hypothesized individual, social and environmental correlates. The sample consisted of 2194 English-speaking adults (aged 20-65) living in 154 Census Collection Districts (CCDs) of Adelaide, Australia. Individual-level SES was assessed using data on self-reported educational attainment, household income, and household size. Area-level SES was assessed using census data on median household income and household size for each selected CCD. Bootstrap generalized linear models examined associations between SES, potential mediators, and total weekly minutes and frequency of walking for transport. The product-of-coefficient test was used to assess mediating effects. Individual, social-environmental, and physical environmental factors significantly contributed to the explanation of the relations between SES and transport-related walking frequency. Educational attainment and area- and individual-level income played independent roles in explaining frequency of walking for transport, through opposing common and distinct pathways. While engagement in leisure-time physical activity was the most influential mediator of the association between educational attainment and frequency of walking for transport, the number of motorized vehicles and perceived levels of environmental aesthetics and greenery were the strongest mediators of the relations of frequency of transport-related walking with individual- and area-level income, respectively. Environmental interventions aimed at increasing residential density, reducing physical barriers to walking and traffic load, developing social-support networks, and creating greener and more aesthetically pleasing environments in more-disadvantaged areas may help to reduce SES inequalities in participation in physical activity, by facilitating walking for transport. © 2009 Elsevier Ltd. All rights reserved.&quot;,&quot;issue&quot;:&quot;6&quot;,&quot;volume&quot;:&quot;68&quot;},&quot;isTemporary&quot;:false},{&quot;id&quot;:&quot;775f98c9-718d-361a-999c-02236f784e7d&quot;,&quot;itemData&quot;:{&quot;type&quot;:&quot;article-journal&quot;,&quot;id&quot;:&quot;775f98c9-718d-361a-999c-02236f784e7d&quot;,&quot;title&quot;:&quot;Have cycling-friendly cities achieved cycling equity? Analyses of the educational gradient in cycling in Dutch and German cities&quot;,&quot;author&quot;:[{&quot;family&quot;:&quot;Hudde&quot;,&quot;given&quot;:&quot;Ansgar&quot;,&quot;parse-names&quot;:false,&quot;dropping-particle&quot;:&quot;&quot;,&quot;non-dropping-particle&quot;:&quot;&quot;}],&quot;container-title&quot;:&quot;Urban Studies&quot;,&quot;DOI&quot;:&quot;10.1177/00420980231172313&quot;,&quot;ISSN&quot;:&quot;1360063X&quot;,&quot;issued&quot;:{&quot;date-parts&quot;:[[2024,1,1]]},&quot;page&quot;:&quot;78-94&quot;,&quot;abstract&quot;:&quot;In German cities, higher levels of education increase people’s propensity to cycle. However, it remains unknown whether this effect is restricted to certain contexts, such as cities with low or medium cycling rates, or whether it is a more universal occurrence. This paper develops and tests competing hypotheses on how the effect of education on cycling might depend on the overall cycling level: (a) educational inequalities in cycling could increase proportionally with the overall cycling level or (b) such inequalities might diminish in high-cycling cities because their advanced pro-cycling mobility cultures encourage cycling among all social groups. I analyse about 150,000 trips made by about 50,000 residents from 143 cities in the Netherlands and Germany using multilevel regression models. Results fall in between the competing hypotheses, meaning that the effect of education is similarly large in cities with low, medium, or high overall levels of cycling. Hence, there is no automatism in the sense that higher cycling shares in general will also imply greater cycling equity.&quot;,&quot;publisher&quot;:&quot;SAGE Publications Ltd&quot;,&quot;issue&quot;:&quot;1&quot;,&quot;volume&quot;:&quot;61&quot;,&quot;container-title-short&quot;:&quot;&quot;},&quot;isTemporary&quot;:false}]},{&quot;citationID&quot;:&quot;MENDELEY_CITATION_85bc6652-fd80-42b1-8dba-70edce23ffed&quot;,&quot;properties&quot;:{&quot;noteIndex&quot;:0},&quot;isEdited&quot;:false,&quot;manualOverride&quot;:{&quot;isManuallyOverridden&quot;:true,&quot;citeprocText&quot;:&quot;(Adjaye-Gbewonyo &amp;#38; Briones, 2024; Grengs, 2025)&quot;,&quot;manualOverrideText&quot;:&quot;(Adjaye-Gbewonyo and Briones, 2024; Grengs, 2025)&quot;},&quot;citationTag&quot;:&quot;MENDELEY_CITATION_v3_eyJjaXRhdGlvbklEIjoiTUVOREVMRVlfQ0lUQVRJT05fODViYzY2NTItZmQ4MC00MmIxLThkYmEtNzBlZGNlMjNmZmVkIiwicHJvcGVydGllcyI6eyJub3RlSW5kZXgiOjB9LCJpc0VkaXRlZCI6ZmFsc2UsIm1hbnVhbE92ZXJyaWRlIjp7ImlzTWFudWFsbHlPdmVycmlkZGVuIjp0cnVlLCJjaXRlcHJvY1RleHQiOiIoQWRqYXllLUdiZXdvbnlvICYjMzg7IEJyaW9uZXMsIDIwMjQ7IEdyZW5ncywgMjAyNSkiLCJtYW51YWxPdmVycmlkZVRleHQiOiIoQWRqYXllLUdiZXdvbnlvIGFuZCBCcmlvbmVzLCAyMDI0OyBHcmVuZ3MsIDIwMjUpIn0sImNpdGF0aW9uSXRlbXMiOlt7ImlkIjoiODkwYzAyZmEtNDMwNC0zYzRmLWE0MTItNTVlNjJmZjQyZDlhIiwiaXRlbURhdGEiOnsidHlwZSI6ImFydGljbGUtam91cm5hbCIsImlkIjoiODkwYzAyZmEtNDMwNC0zYzRmLWE0MTItNTVlNjJmZjQyZDlhIiwidGl0bGUiOiJXaG8gd2Fsa3MgbW9zdD8gVW5jb3ZlcmluZyByYWNpYWwgZGlzcGFyaXRpZXMgaW4gd2Fsa2luZyBpbiB0aGUgVW5pdGVkIFN0YXRlcyIsImF1dGhvciI6W3siZmFtaWx5IjoiR3JlbmdzIiwiZ2l2ZW4iOiJKb2UiLCJwYXJzZS1uYW1lcyI6ZmFsc2UsImRyb3BwaW5nLXBhcnRpY2xlIjoiIiwibm9uLWRyb3BwaW5nLXBhcnRpY2xlIjoiIn1dLCJjb250YWluZXItdGl0bGUiOiJDaXRpZXMgJiBIZWFsdGgiLCJjb250YWluZXItdGl0bGUtc2hvcnQiOiJDaXRpZXMgSGVhbHRoIiwiYWNjZXNzZWQiOnsiZGF0ZS1wYXJ0cyI6W1syMDI2LDcsMV1dfSwiRE9JIjoiMTAuMTA4MC8yMzc0ODgzNC4yMDI1LjI1MTM3NzkiLCJJU1NOIjoiMjM3NDg4MzQiLCJVUkwiOiJodHRwczovL3d3dy50YW5kZm9ubGluZS5jb20vZG9pL3BkZi8xMC4xMDgwLzIzNzQ4ODM0LjIwMjUuMjUxMzc3OSIsImlzc3VlZCI6eyJkYXRlLXBhcnRzIjpbWzIwMjUsNiwxNF1dfSwiYWJzdHJhY3QiOiJDb25jZXB0dWFsIGV4cGxhbmF0aW9ucyBmb3Igd2h5IHdhbGtpbmcgYmVoYXZpb3IgbWlnaHQgZGlmZmVyIGJ5IHJhY2Ugc3VnZ2VzdCB0d28gc2V0cyBvZiBjb3VudGVyYWN0aW5nIGluZmx1ZW5jZXMuIE9uIHRoZSBvbmUgaGFuZCwgdG8gdGhlIGV4dGVudCB0aGF0IHJhY2lhbCBhbmQgZXRobmljIG1pbm9yaXRpZXMgdGVuZCB0byBsaXZlIGluIC4uLiIsInB1Ymxpc2hlciI6IlJvdXRsZWRnZSJ9LCJpc1RlbXBvcmFyeSI6ZmFsc2V9LHsiaWQiOiIwODRiZDQ4Ny1kMTA4LTM4MGYtOGIzZC0xOTc3ZTY0NzM4N2YiLCJpdGVtRGF0YSI6eyJ0eXBlIjoiYXJ0aWNsZS1qb3VybmFsIiwiaWQiOiIwODRiZDQ4Ny1kMTA4LTM4MGYtOGIzZC0xOTc3ZTY0NzM4N2YiLCJ0aXRsZSI6IldhbGtpbmcgZm9yIExlaXN1cmUgYW5kIFRyYW5zcG9ydGF0aW9uIEFtb25nIEFkdWx0czogVW5pdGVkIFN0YXRlcywgMjAyMiIsImF1dGhvciI6W3siZmFtaWx5IjoiQWRqYXllLUdiZXdvbnlvIiwiZ2l2ZW4iOiJEemlmYSIsInBhcnNlLW5hbWVzIjpmYWxzZSwiZHJvcHBpbmctcGFydGljbGUiOiIiLCJub24tZHJvcHBpbmctcGFydGljbGUiOiIifSx7ImZhbWlseSI6IkJyaW9uZXMiLCJnaXZlbiI6IkVsaXphYmV0aCBNLiIsInBhcnNlLW5hbWVzIjpmYWxzZSwiZHJvcHBpbmctcGFydGljbGUiOiIiLCJub24tZHJvcHBpbmctcGFydGljbGUiOiIifV0sImNvbnRhaW5lci10aXRsZSI6Ik5DSFMgZGF0YSBicmllZiIsImFjY2Vzc2VkIjp7ImRhdGUtcGFydHMiOltbMjAyNiw3LDFdXX0sIkRPSSI6IjEwLjE1NjIwL2NkYy8xNTg3ODMiLCJJU1NOIjoiMTk0MTQ5MzUiLCJQTUlEIjoiNDAwNDg0ODciLCJpc3N1ZWQiOnsiZGF0ZS1wYXJ0cyI6W1syMDI0LDcsMV1dfSwiYWJzdHJhY3QiOiJJbnRyb2R1Y3Rpb246IFRoaXMgcmVwb3J0IHVzZXMgZGF0YSBmcm9tIHRoZSAyMDIyIE5hdGlvbmFsIEhlYWx0aCBJbnRlcnZpZXcgU3VydmV5IHRvIGRlc2NyaWJlIHRoZSBwZXJjZW50YWdlIG9mIGFkdWx0cyB3aG8gd2Fsa2VkIGZvciBsZWlzdXJlIGFuZCB0cmFuc3BvcnRhdGlvbiBpbiB0aGUgcGFzdCA3IGRheXMgYnkgc2VsZWN0ZWQgc29jaW9kZW1vZ3JhcGhpYyBjaGFyYWN0ZXJpc3RpY3MuIE1ldGhvZHM6IFBvaW50IGVzdGltYXRlcyBhbmQgY29ycmVzcG9uZGluZyBjb25maWRlbmNlIGludGVydmFscyBmb3IgdGhpcyBhbmFseXNpcyB3ZXJlIGNhbGN1bGF0ZWQgdXNpbmcgU0FTLWNhbGxhYmxlIFNVREFBTiBzb2Z0d2FyZSB0byBhY2NvdW50IGZvciB0aGUgY29tcGxleCBzYW1wbGUgZGVzaWduIG9mIHRoZSBOYXRpb25hbCBIZWFsdGggSW50ZXJ2aWV3IFN1cnZleS4gRGlmZmVyZW5jZXMgYmV0d2VlbiBwZXJjZW50YWdlcyB3ZXJlIGV2YWx1YXRlZCB1c2luZyB0d28tc2lkZWQgc2lnbmlmaWNhbmNlIHRlc3RzIGF0IHRoZSAwLjA1IGxldmVsLiBMaW5lYXIgYW5kIHF1YWRyYXRpYyB0cmVuZHMgYnkgYWdlIGdyb3VwLCBmYW1pbHkgaW5jb21lLCBhbmQgZWR1Y2F0aW9uIHdlcmUgZXZhbHVhdGVkIHVzaW5nIG9ydGhvZ29uYWwgcG9seW5vbWlhbHMuIEtleSBmaW5kaW5nczogSW4gMjAyMiwgNTguNyUgb2YgYWR1bHRzIHdhbGtlZCBmb3IgbGVpc3VyZSBpbiB0aGUgcGFzdCA3IGRheXMsIHdpdGggYSBoaWdoZXIgcHJldmFsZW5jZSBhbW9uZyBBc2lhbiBub24tSGlzcGFuaWMgYWR1bHRzIHRoYW4gQmxhY2sgbm9uLUhpc3BhbmljLCBvdGhlciBhbmQgbXVsdGlwbGUtcmFjZSBub24tSGlzcGFuaWMsIGFuZCBIaXNwYW5pYyBhZHVsdHMuIFdhbGtpbmcgZm9yIGxlaXN1cmUgaW5jcmVhc2VkIHdpdGggaW5jcmVhc2luZyBmYW1pbHkgaW5jb21lIGFuZCBlZHVjYXRpb24gbGV2ZWwuIEluIDIwMjIsIDE2LjIlIG9mIGFkdWx0cyB3YWxrZWQgZm9yIHRyYW5zcG9ydGF0aW9uOyBtZW4gKDE3LjMlKSB3ZXJlIG1vcmUgbGlrZWx5IHRoYW4gd29tZW4gKDE1LjAlKSB0byB3YWxrIGZvciB0cmFuc3BvcnRhdGlvbi4iLCJpc3N1ZSI6IjUwNCIsImNvbnRhaW5lci10aXRsZS1zaG9ydCI6Ik5DSFMgRGF0YSBCcmllZiJ9LCJpc1RlbXBvcmFyeSI6ZmFsc2V9XX0=&quot;,&quot;citationItems&quot;:[{&quot;id&quot;:&quot;890c02fa-4304-3c4f-a412-55e62ff42d9a&quot;,&quot;itemData&quot;:{&quot;type&quot;:&quot;article-journal&quot;,&quot;id&quot;:&quot;890c02fa-4304-3c4f-a412-55e62ff42d9a&quot;,&quot;title&quot;:&quot;Who walks most? Uncovering racial disparities in walking in the United States&quot;,&quot;author&quot;:[{&quot;family&quot;:&quot;Grengs&quot;,&quot;given&quot;:&quot;Joe&quot;,&quot;parse-names&quot;:false,&quot;dropping-particle&quot;:&quot;&quot;,&quot;non-dropping-particle&quot;:&quot;&quot;}],&quot;container-title&quot;:&quot;Cities &amp; Health&quot;,&quot;container-title-short&quot;:&quot;Cities Health&quot;,&quot;accessed&quot;:{&quot;date-parts&quot;:[[2026,7,1]]},&quot;DOI&quot;:&quot;10.1080/23748834.2025.2513779&quot;,&quot;ISSN&quot;:&quot;23748834&quot;,&quot;URL&quot;:&quot;https://www.tandfonline.com/doi/pdf/10.1080/23748834.2025.2513779&quot;,&quot;issued&quot;:{&quot;date-parts&quot;:[[2025,6,14]]},&quot;abstract&quot;:&quot;Conceptual explanations for why walking behavior might differ by race suggest two sets of counteracting influences. On the one hand, to the extent that racial and ethnic minorities tend to live in ...&quot;,&quot;publisher&quot;:&quot;Routledge&quot;},&quot;isTemporary&quot;:false},{&quot;id&quot;:&quot;084bd487-d108-380f-8b3d-1977e647387f&quot;,&quot;itemData&quot;:{&quot;type&quot;:&quot;article-journal&quot;,&quot;id&quot;:&quot;084bd487-d108-380f-8b3d-1977e647387f&quot;,&quot;title&quot;:&quot;Walking for Leisure and Transportation Among Adults: United States, 2022&quot;,&quot;author&quot;:[{&quot;family&quot;:&quot;Adjaye-Gbewonyo&quot;,&quot;given&quot;:&quot;Dzifa&quot;,&quot;parse-names&quot;:false,&quot;dropping-particle&quot;:&quot;&quot;,&quot;non-dropping-particle&quot;:&quot;&quot;},{&quot;family&quot;:&quot;Briones&quot;,&quot;given&quot;:&quot;Elizabeth M.&quot;,&quot;parse-names&quot;:false,&quot;dropping-particle&quot;:&quot;&quot;,&quot;non-dropping-particle&quot;:&quot;&quot;}],&quot;container-title&quot;:&quot;NCHS data brief&quot;,&quot;accessed&quot;:{&quot;date-parts&quot;:[[2026,7,1]]},&quot;DOI&quot;:&quot;10.15620/cdc/158783&quot;,&quot;ISSN&quot;:&quot;19414935&quot;,&quot;PMID&quot;:&quot;40048487&quot;,&quot;issued&quot;:{&quot;date-parts&quot;:[[2024,7,1]]},&quot;abstract&quot;:&quot;Introduction: This report uses data from the 2022 National Health Interview Survey to describe the percentage of adults who walked for leisure and transportation in the past 7 days by selected sociodemographic characteristics. Methods: Point estimates and corresponding confidence intervals for this analysis were calculated using SAS-callable SUDAAN software to account for the complex sample design of the National Health Interview Survey. Differences between percentages were evaluated using two-sided significance tests at the 0.05 level. Linear and quadratic trends by age group, family income, and education were evaluated using orthogonal polynomials. Key findings: In 2022, 58.7% of adults walked for leisure in the past 7 days, with a higher prevalence among Asian non-Hispanic adults than Black non-Hispanic, other and multiple-race non-Hispanic, and Hispanic adults. Walking for leisure increased with increasing family income and education level. In 2022, 16.2% of adults walked for transportation; men (17.3%) were more likely than women (15.0%) to walk for transportation.&quot;,&quot;issue&quot;:&quot;504&quot;,&quot;container-title-short&quot;:&quot;NCHS Data Brief&quot;},&quot;isTemporary&quot;:false}]},{&quot;citationID&quot;:&quot;MENDELEY_CITATION_4fe64bac-3f0a-40e6-a338-18a01170414f&quot;,&quot;properties&quot;:{&quot;noteIndex&quot;:0},&quot;isEdited&quot;:false,&quot;manualOverride&quot;:{&quot;isManuallyOverridden&quot;:true,&quot;citeprocText&quot;:&quot;(Beliveau et al., 2026; Goddard et al., 2015; Ingram et al., 2017)&quot;,&quot;manualOverrideText&quot;:&quot;(Goddard et al., 2015; Ingram et al., 2017; Beliveau et al., 2026)&quot;},&quot;citationTag&quot;:&quot;MENDELEY_CITATION_v3_eyJjaXRhdGlvbklEIjoiTUVOREVMRVlfQ0lUQVRJT05fNGZlNjRiYWMtM2YwYS00MGU2LWEzMzgtMThhMDExNzA0MTRmIiwicHJvcGVydGllcyI6eyJub3RlSW5kZXgiOjB9LCJpc0VkaXRlZCI6ZmFsc2UsIm1hbnVhbE92ZXJyaWRlIjp7ImlzTWFudWFsbHlPdmVycmlkZGVuIjp0cnVlLCJjaXRlcHJvY1RleHQiOiIoQmVsaXZlYXUgZXQgYWwuLCAyMDI2OyBHb2RkYXJkIGV0IGFsLiwgMjAxNTsgSW5ncmFtIGV0IGFsLiwgMjAxNykiLCJtYW51YWxPdmVycmlkZVRleHQiOiIoR29kZGFyZCBldCBhbC4sIDIwMTU7IEluZ3JhbSBldCBhbC4sIDIwMTc7IEJlbGl2ZWF1IGV0IGFsLiwgMjAyNikifSwiY2l0YXRpb25JdGVtcyI6W3siaWQiOiI3ZGJlNzI3OC03M2I1LTM0ZTMtYmY1NS01YTBkYzBjOGVmMDkiLCJpdGVtRGF0YSI6eyJ0eXBlIjoiYXJ0aWNsZS1qb3VybmFsIiwiaWQiOiI3ZGJlNzI3OC03M2I1LTM0ZTMtYmY1NS01YTBkYzBjOGVmMDkiLCJ0aXRsZSI6IlJhY2lhbCBiaWFzIGluIGRyaXZlciB5aWVsZGluZyBiZWhhdmlvciBhdCBjcm9zc3dhbGtzIiwiYXV0aG9yIjpbeyJmYW1pbHkiOiJHb2RkYXJkIiwiZ2l2ZW4iOiJUYXJhIiwicGFyc2UtbmFtZXMiOmZhbHNlLCJkcm9wcGluZy1wYXJ0aWNsZSI6IiIsIm5vbi1kcm9wcGluZy1wYXJ0aWNsZSI6IiJ9LHsiZmFtaWx5IjoiS2FobiIsImdpdmVuIjoiS2ltYmVybHkgQmFyc2FtaWFuIiwicGFyc2UtbmFtZXMiOmZhbHNlLCJkcm9wcGluZy1wYXJ0aWNsZSI6IiIsIm5vbi1kcm9wcGluZy1wYXJ0aWNsZSI6IiJ9LHsiZmFtaWx5IjoiQWRraW5zIiwiZ2l2ZW4iOiJBcmxpZS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1LjA2LjAwMiIsIklTU04iOiIxMzY5ODQ3OCIsImlzc3VlZCI6eyJkYXRlLXBhcnRzIjpbWzIwMTUsNiwyOV1dfSwicGFnZSI6IjEtNiIsImFic3RyYWN0IjoiUHN5Y2hvbG9naWNhbCBhbmQgc29jaWFsIGlkZW50aXR5LXJlbGF0ZWQgZmFjdG9ycyBoYXZlIGJlZW4gc2hvd24gdG8gaW5mbHVlbmNlIGRyaXZlcnMnIGJlaGF2aW9ycyB0b3dhcmQgcGVkZXN0cmlhbnMsIGJ1dCBubyBwcmV2aW91cyBzdHVkaWVzIGhhdmUgZXhhbWluZWQgdGhlIHBvdGVudGlhbCBmb3IgZHJpdmVycycgcmFjaWFsIGJpYXMgdG8gaW1wYWN0IHlpZWxkaW5nIGJlaGF2aW9yIHdpdGggcGVkZXN0cmlhbnMuIElmIGRyaXZlcnMnIHlpZWxkaW5nIGJlaGF2aW9yIHJlc3VsdHMgaW4gZGlmZmVyZW50aWFsIGJlaGF2aW9yIHRvd2FyZCBCbGFjayBhbmQgV2hpdGUgcGVkZXN0cmlhbnMsIHRoaXMgbWF5IGxlYWQgdG8gZGlzcGFyYXRlIHBlZGVzdHJpYW4gY3Jvc3NpbmcgZXhwZXJpZW5jZXMgYmFzZWQgb24gcmFjZSBhbmQgcG90ZW50aWFsbHkgY29udHJpYnV0ZSB0byBkaXNwcm9wb3J0aW9uYXRlIHNhZmV0eSBvdXRjb21lcyBmb3IgbWlub3JpdGllcy4gV2UgdGVzdGVkIHRoZSBoeXBvdGhlc2lzIHRoYXQgZHJpdmVycycgeWllbGRpbmcgYmVoYXZpb3IgaXMgaW5mbHVlbmNlZCBieSBwZWRlc3RyaWFucycgcmFjZSBpbiBhIGNvbnRyb2xsZWQgZmllbGQgZXhwZXJpbWVudCBhdCBhbiB1bnNpZ25hbGl6ZWQgbWlkYmxvY2sgbWFya2VkIGNyb3Nzd2FsayBpbiBkb3dudG93biBQb3J0bGFuZCwgT3JlZ29uLiBTaXggdHJhaW5lZCBtYWxlIHJlc2VhcmNoIHRlYW0gcGFydGljaXBhbnRzICgzIFdoaXRlLCAzIEJsYWNrKSBzaW11bGF0ZWQgYW4gaW5kaXZpZHVhbCBwZWRlc3RyaWFuIGNyb3NzaW5nLCB3aGlsZSB0cmFpbmVkIG9ic2VydmVycyBjYXRhbG9nZWQgdGhlIG51bWJlciBvZiBjYXJzIHRoYXQgcGFzc2VkIGFuZCB0aGUgdGltZSB1bnRpbCBhIGRyaXZlciB5aWVsZGVkLiBSZXN1bHRzICg4OCBwZWRlc3RyaWFuIHRyaWFscywgMTczIGRyaXZlci1zdWJqZWN0cykgcmV2ZWFsZWQgdGhhdCBCbGFjayBwZWRlc3RyaWFucyB3ZXJlIHBhc3NlZCBieSB0d2ljZSBhcyBtYW55IGNhcnMgYW5kIGV4cGVyaWVuY2VkIHdhaXQgdGltZXMgdGhhdCB3ZXJlIDMyJSBsb25nZXIgdGhhbiBXaGl0ZSBwZWRlc3RyaWFucy4gUmVzdWx0cyBzdXBwb3J0IHRoZSBoeXBvdGhlc2lzIHRoYXQgbWlub3JpdHkgcGVkZXN0cmlhbnMgZXhwZXJpZW5jZSBkaXNjcmltaW5hdG9yeSB0cmVhdG1lbnQgYnkgZHJpdmVycyBhdCBjcm9zc3dhbGtzLiIsInB1Ymxpc2hlciI6IkVsc2V2aWVyIEx0ZCIsInZvbHVtZSI6IjMzIn0sImlzVGVtcG9yYXJ5IjpmYWxzZX0seyJpZCI6IjU5NzE5OGU2LTljMGUtMzRlYS05NDFhLTUzNjMzZDYwM2VjYSIsIml0ZW1EYXRhIjp7InR5cGUiOiJhcnRpY2xlLWpvdXJuYWwiLCJpZCI6IjU5NzE5OGU2LTljMGUtMzRlYS05NDFhLTUzNjMzZDYwM2VjYSIsInRpdGxlIjoiU29jaW9jdWx0dXJhbCBwZXJjZXB0aW9ucyBvZiB3YWxrYWJpbGl0eSBpbiBNZXhpY2FuIEFtZXJpY2FuIG5laWdoYm9yaG9vZHM6IEltcGxpY2F0aW9ucyBmb3IgcG9saWN5IGFuZCBwcmFjdGljZSIsImF1dGhvciI6W3siZmFtaWx5IjoiSW5ncmFtIiwiZ2l2ZW4iOiJNYWlhIiwicGFyc2UtbmFtZXMiOmZhbHNlLCJkcm9wcGluZy1wYXJ0aWNsZSI6IiIsIm5vbi1kcm9wcGluZy1wYXJ0aWNsZSI6IiJ9LHsiZmFtaWx5IjoiQWRraW5zIiwiZ2l2ZW4iOiJBcmxpZSIsInBhcnNlLW5hbWVzIjpmYWxzZSwiZHJvcHBpbmctcGFydGljbGUiOiIiLCJub24tZHJvcHBpbmctcGFydGljbGUiOiIifSx7ImZhbWlseSI6IkhhbnNlbiIsImdpdmVuIjoiS3Jpc3RhIiwicGFyc2UtbmFtZXMiOmZhbHNlLCJkcm9wcGluZy1wYXJ0aWNsZSI6IiIsIm5vbi1kcm9wcGluZy1wYXJ0aWNsZSI6IiJ9LHsiZmFtaWx5IjoiQ2FzY2lvIiwiZ2l2ZW4iOiJWYW5lc3NhIiwicGFyc2UtbmFtZXMiOmZhbHNlLCJkcm9wcGluZy1wYXJ0aWNsZSI6IiIsIm5vbi1kcm9wcGluZy1wYXJ0aWNsZSI6IiJ9LHsiZmFtaWx5IjoiU29tbmV6IiwiZ2l2ZW4iOiJFdnJlbiIsInBhcnNlLW5hbWVzIjpmYWxzZSwiZHJvcHBpbmctcGFydGljbGUiOiIiLCJub24tZHJvcHBpbmctcGFydGljbGUiOiIifV0sImNvbnRhaW5lci10aXRsZSI6IkpvdXJuYWwgb2YgVHJhbnNwb3J0IGFuZCBIZWFsdGgiLCJjb250YWluZXItdGl0bGUtc2hvcnQiOiJKLiBUcmFuc3AuIEhlYWx0aCIsIkRPSSI6IjEwLjEwMTYvai5qdGguMjAxNy4xMC4wMDEiLCJJU1NOIjoiMjIxNDE0MDUiLCJpc3N1ZWQiOnsiZGF0ZS1wYXJ0cyI6W1syMDE3LDEyLDFdXX0sInBhZ2UiOiIxNzItMTgwIiwicHVibGlzaGVyIjoiRWxzZXZpZXIgTHRkIiwidm9sdW1lIjoiNyJ9LCJpc1RlbXBvcmFyeSI6ZmFsc2V9LHsiaWQiOiJmODI2Mzg2Yi1lMTczLTNlZDgtODE5NS1mZmUyZWJjZjFmZmEiLCJpdGVtRGF0YSI6eyJ0eXBlIjoiYXJ0aWNsZS1qb3VybmFsIiwiaWQiOiJmODI2Mzg2Yi1lMTczLTNlZDgtODE5NS1mZmUyZWJjZjFmZmEiLCJ0aXRsZSI6IkRpc3Bhcml0aWVzIGluIHBlZGVzdHJpYW4gY3Jvc3NpbmcgYW5kIGRyaXZlciB5aWVsZGluZyBiZWhhdmlvcnM6IGV2aWRlbmNlIGZyb20gYSBsYXJnZS1zY2FsZSBvYnNlcnZhdGlvbmFsIHN0dWR5IGF0IHVyYmFuIGludGVyc2VjdGlvbnMiLCJhdXRob3IiOlt7ImZhbWlseSI6IkJlbGl2ZWF1IiwiZ2l2ZW4iOiJBbm5hIEUuIiwicGFyc2UtbmFtZXMiOmZhbHNlLCJkcm9wcGluZy1wYXJ0aWNsZSI6IiIsIm5vbi1kcm9wcGluZy1wYXJ0aWNsZSI6IiJ9LHsiZmFtaWx5IjoiSGFkZGFkIiwiZ2l2ZW4iOiJBbmdlbGEgSi4iLCJwYXJzZS1uYW1lcyI6ZmFsc2UsImRyb3BwaW5nLXBhcnRpY2xlIjoiIiwibm9uLWRyb3BwaW5nLXBhcnRpY2xlIjoiIn0seyJmYW1pbHkiOiJQb2RuYXIiLCJnaXZlbiI6IkVtaWx5IEEuIiwicGFyc2UtbmFtZXMiOmZhbHNlLCJkcm9wcGluZy1wYXJ0aWNsZSI6IiIsIm5vbi1kcm9wcGluZy1wYXJ0aWNsZSI6IiJ9LHsiZmFtaWx5IjoiU2hhcm1hIiwiZ2l2ZW4iOiJEZXZpbmEiLCJwYXJzZS1uYW1lcyI6ZmFsc2UsImRyb3BwaW5nLXBhcnRpY2xlIjoiIiwibm9uLWRyb3BwaW5nLXBhcnRpY2xlIjoiIn0seyJmYW1pbHkiOiJCaGF0IiwiZ2l2ZW4iOiJDaGFuZHJhIFIuIiwicGFyc2UtbmFtZXMiOmZhbHNlLCJkcm9wcGluZy1wYXJ0aWNsZSI6IiIsIm5vbi1kcm9wcGluZy1wYXJ0aWNsZSI6IiJ9XSwiY29udGFpbmVyLXRpdGxlIjoiQWNjaWRlbnQgQW5hbHlzaXMgYW5kIFByZXZlbnRpb24iLCJjb250YWluZXItdGl0bGUtc2hvcnQiOiJBY2NpZC4gQW5hbC4gUHJldi4iLCJET0kiOiIxMC4xMDE2L2ouYWFwLjIwMjYuMTA4NDY1IiwiSVNTTiI6IjE4NzkyMDU3IiwiUE1JRCI6IjQxNzIyMjAzIiwiaXNzdWVkIjp7ImRhdGUtcGFydHMiOltbMjAyNiw2LDFdXX0sInBhZ2UiOiIxMDg0NjUiLCJhYnN0cmFjdCI6IlBlZGVzdHJpYW4gc2FmZXR5IHJlbWFpbnMgYSBjcml0aWNhbCBjaGFsbGVuZ2UgaW4gdXJiYW4gZW52aXJvbm1lbnRzLCBtYXJrZWQgYnkgcmlzaW5nIGZhdGFsaXRpZXMgYW5kIHBlcnNpc3RlbnQgZGlzcGFyaXRpZXMgYWNyb3NzIHNvY2lvZGVtb2dyYXBoaWMgZ3JvdXBzLiBVbmNvdmVyaW5nIHRoZSBkcml2ZXJzIG9mIHRoZXNlIGRpc3Bhcml0aWVzIHJlcXVpcmVzIGEgZGVlcGVyIHVuZGVyc3RhbmRpbmcgb2YgYm90aCBwZWRlc3RyaWFuIGFuZCBkcml2ZXIgYmVoYXZpb3JzLiBUaGlzIHN0dWR5IGV4YW1pbmVzIGhvdyBpbmRpdmlkdWFsIGF0dHJpYnV0ZXMsIHNvY2lhbCBjb250ZXh0LCBhbmQgdGltZS1vZi1kYXkvd2VhdGhlciBjb25kaXRpb25zIHNoYXBlIHBlZGVzdHJpYW4gY3Jvc3NpbmcgYW5kIGRyaXZlciB5aWVsZGluZyBkZWNpc2lvbnMuIFdlIGFuYWx5emVkIG92ZXIgMSwwMDDCoGhvdXJzIG9mIHZpZGVvIGZvb3RhZ2UgZnJvbSB0d28gaW50ZXJzZWN0aW9ucyBpbiBBdXN0aW4sIFRleGFzLCBkb2N1bWVudGluZyBvdmVyIDIwLDk5NSBwZWRlc3RyaWFuIGNyb3NzaW5ncyBhbmQgMywxMjQgcGVkZXN0cmlhbi12ZWhpY2xlIGludGVyYWN0aW9ucy4gTWFudWFsIGFubm90YXRpb24gb2YgdGhpcyBmb290YWdlIGVuYWJsZWQgdGhlIGVzdGltYXRpb24gb2YgdHdvIGJpbmFyeSBsb2dpdCBtb2RlbHM6IG9uZSBwcmVkaWN0aW5nIG5vbi1jb21wbGlhbnQgcGVkZXN0cmlhbiBjcm9zc2luZ3MgKE5DUEMpIGFuZCB0aGUgb3RoZXIgcHJlZGljdGluZyBkcml2ZXIgdW55aWVsZGluZyAoRFVZKSAodGhhdCBpcywgZHJpdmVyIGZhaWx1cmUgdG8geWllbGQgdG8gcGVkZXN0cmlhbnMpLiBUaGUgcmVzdWx0cyBpbmRpY2F0ZSB0aGF0IG1hbGUgcGVkZXN0cmlhbnMsIEJsYWNrIHBlZGVzdHJpYW5zLCB0aG9zZSBkaXNwbGF5aW5nIHZpc2libGUgc2lnbnMgb2YgaG91c2luZyBpbnNlY3VyaXR5IChWSEkpLCBhbmQgaW5kaXZpZHVhbHMgY3Jvc3Npbmcgc29sbyBhcmUgc2lnbmlmaWNhbnRseSBtb3JlIGxpa2VseSB0byBjcm9zcyBub27igJFjb21wbGlhbnRseSBhbmQgdG8gZW5jb3VudGVyIGxvd2VyIGRyaXZlcuKAkXlpZWxkaW5nIHJhdGVzLiBSdW5uZXJzIGFsc28gZXhoaWJpdCBoaWdoZXIgTkNQQyByYXRlcyB0aGFuIHdhbGtlcnMsIHdpdGggcGVhayBub27igJFjb21wbGlhbmNlIG9jY3VycmluZyBkdXJpbmcgbGF0ZSBuaWdodCBhbmQgZGF3biBwZXJpb2RzLiBPbiB0aGUgZHJpdmVyIHNpZGUsIHBlZGVzdHJpYW4gTkNQQyBiZWhhdmlvciBpcyB0aGUgc3Ryb25nZXN0IHByZWRpY3RvciBvZiBmYWlsdXJlIHRvIHlpZWxkLiBEVVkgYmVoYXZpb3IgaXMgYWxzbyBtb3JlIGxpa2VseSBkdXJpbmcgbW9ybmluZyBwZXJpb2RzIGFuZCBhbW9uZyBkcml2ZXJzIG9mIHBlcnNvbmFsIChub24tY29tbWVyY2lhbCkgdmVoaWNsZXMsIGFuZCB3aGVuIHRoZSBwZWRlc3RyaWFuIGluIHF1ZXN0aW9uIGlzIG9sZGVyLCBCbGFjayBvciBCcm93biwgYW5kIGV4aGliaXRzIFZISS4gVGhlc2UgZmluZGluZ3MgaGlnaGxpZ2h0IHRoZSBpbXBvcnRhbmNlIG9mIGFkZHJlc3Npbmcgc29jaWFsIGFuZCBiZWhhdmlvcmFsIGZhY3RvcnMgaW4gcGVkZXN0cmlhbiBzYWZldHkgaW50ZXJ2ZW50aW9ucy4gQnkgcmV2ZWFsaW5nIGhvdyBtYXJnaW5hbGl6YXRpb24gYW5kIGNvbnRleHQgaW50ZXJhY3QgdG8gc2hhcGUgcmlzaywgdGhpcyByZXNlYXJjaCBjb250cmlidXRlcyB0byB0aGUgdHJhbnNwb3J0YXRpb24gZXF1aXR5IGxpdGVyYXR1cmUgYW5kIHN1cHBvcnRzIGludGVydmVudGlvbnMgdGhhdCBnbyBiZXlvbmQgaW5mcmFzdHJ1Y3R1cmUsIHN1Y2ggYXMgZWR1Y2F0aW9uIGNhbXBhaWducywgYmlhcyByZWR1Y3Rpb24sIGFuZCBjb21tdW5pdHktbGVkIHNhZmV0eSBpbml0aWF0aXZlcy4iLCJ2b2x1bWUiOiIyMzAifSwiaXNUZW1wb3JhcnkiOmZhbHNlfV19&quot;,&quot;citationItems&quot;:[{&quot;id&quot;:&quot;7dbe7278-73b5-34e3-bf55-5a0dc0c8ef09&quot;,&quot;itemData&quot;:{&quot;type&quot;:&quot;article-journal&quot;,&quot;id&quot;:&quot;7dbe7278-73b5-34e3-bf55-5a0dc0c8ef09&quot;,&quot;title&quot;:&quot;Racial bias in driver yielding behavior at crosswalks&quot;,&quot;author&quot;:[{&quot;family&quot;:&quot;Goddard&quot;,&quot;given&quot;:&quot;Tara&quot;,&quot;parse-names&quot;:false,&quot;dropping-particle&quot;:&quot;&quot;,&quot;non-dropping-particle&quot;:&quot;&quot;},{&quot;family&quot;:&quot;Kahn&quot;,&quot;given&quot;:&quot;Kimberly Barsamian&quot;,&quot;parse-names&quot;:false,&quot;dropping-particle&quot;:&quot;&quot;,&quot;non-dropping-particle&quot;:&quot;&quot;},{&quot;family&quot;:&quot;Adkins&quot;,&quot;given&quot;:&quot;Arlie&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5.06.002&quot;,&quot;ISSN&quot;:&quot;13698478&quot;,&quot;issued&quot;:{&quot;date-parts&quot;:[[2015,6,29]]},&quot;page&quot;:&quot;1-6&quot;,&quot;abstract&quot;:&quot;Psychological and social identity-related factors have been shown to influence drivers' behaviors toward pedestrians, but no previous studies have examined the potential for drivers' racial bias to impact yielding behavior with pedestrians. If drivers' yielding behavior results in differential behavior toward Black and White pedestrians, this may lead to disparate pedestrian crossing experiences based on race and potentially contribute to disproportionate safety outcomes for minorities. We tested the hypothesis that drivers' yielding behavior is influenced by pedestrians' race in a controlled field experiment at an unsignalized midblock marked crosswalk in downtown Portland, Oregon. Six trained male research team participants (3 White, 3 Black) simulated an individual pedestrian crossing, while trained observers cataloged the number of cars that passed and the time until a driver yielded. Results (88 pedestrian trials, 173 driver-subjects) revealed that Black pedestrians were passed by twice as many cars and experienced wait times that were 32% longer than White pedestrians. Results support the hypothesis that minority pedestrians experience discriminatory treatment by drivers at crosswalks.&quot;,&quot;publisher&quot;:&quot;Elsevier Ltd&quot;,&quot;volume&quot;:&quot;33&quot;},&quot;isTemporary&quot;:false},{&quot;id&quot;:&quot;597198e6-9c0e-34ea-941a-53633d603eca&quot;,&quot;itemData&quot;:{&quot;type&quot;:&quot;article-journal&quot;,&quot;id&quot;:&quot;597198e6-9c0e-34ea-941a-53633d603eca&quot;,&quot;title&quot;:&quot;Sociocultural perceptions of walkability in Mexican American neighborhoods: Implications for policy and practice&quot;,&quot;author&quot;:[{&quot;family&quot;:&quot;Ingram&quot;,&quot;given&quot;:&quot;Maia&quot;,&quot;parse-names&quot;:false,&quot;dropping-particle&quot;:&quot;&quot;,&quot;non-dropping-particle&quot;:&quot;&quot;},{&quot;family&quot;:&quot;Adkins&quot;,&quot;given&quot;:&quot;Arlie&quot;,&quot;parse-names&quot;:false,&quot;dropping-particle&quot;:&quot;&quot;,&quot;non-dropping-particle&quot;:&quot;&quot;},{&quot;family&quot;:&quot;Hansen&quot;,&quot;given&quot;:&quot;Krista&quot;,&quot;parse-names&quot;:false,&quot;dropping-particle&quot;:&quot;&quot;,&quot;non-dropping-particle&quot;:&quot;&quot;},{&quot;family&quot;:&quot;Cascio&quot;,&quot;given&quot;:&quot;Vanessa&quot;,&quot;parse-names&quot;:false,&quot;dropping-particle&quot;:&quot;&quot;,&quot;non-dropping-particle&quot;:&quot;&quot;},{&quot;family&quot;:&quot;Somnez&quot;,&quot;given&quot;:&quot;Evren&quot;,&quot;parse-names&quot;:false,&quot;dropping-particle&quot;:&quot;&quot;,&quot;non-dropping-particle&quot;:&quot;&quot;}],&quot;container-title&quot;:&quot;Journal of Transport and Health&quot;,&quot;container-title-short&quot;:&quot;J. Transp. Health&quot;,&quot;DOI&quot;:&quot;10.1016/j.jth.2017.10.001&quot;,&quot;ISSN&quot;:&quot;22141405&quot;,&quot;issued&quot;:{&quot;date-parts&quot;:[[2017,12,1]]},&quot;page&quot;:&quot;172-180&quot;,&quot;publisher&quot;:&quot;Elsevier Ltd&quot;,&quot;volume&quot;:&quot;7&quot;},&quot;isTemporary&quot;:false},{&quot;id&quot;:&quot;f826386b-e173-3ed8-8195-ffe2ebcf1ffa&quot;,&quot;itemData&quot;:{&quot;type&quot;:&quot;article-journal&quot;,&quot;id&quot;:&quot;f826386b-e173-3ed8-8195-ffe2ebcf1ffa&quot;,&quot;title&quot;:&quot;Disparities in pedestrian crossing and driver yielding behaviors: evidence from a large-scale observational study at urban intersections&quot;,&quot;author&quot;:[{&quot;family&quot;:&quot;Beliveau&quot;,&quot;given&quot;:&quot;Anna E.&quot;,&quot;parse-names&quot;:false,&quot;dropping-particle&quot;:&quot;&quot;,&quot;non-dropping-particle&quot;:&quot;&quot;},{&quot;family&quot;:&quot;Haddad&quot;,&quot;given&quot;:&quot;Angela J.&quot;,&quot;parse-names&quot;:false,&quot;dropping-particle&quot;:&quot;&quot;,&quot;non-dropping-particle&quot;:&quot;&quot;},{&quot;family&quot;:&quot;Podnar&quot;,&quot;given&quot;:&quot;Emily A.&quot;,&quot;parse-names&quot;:false,&quot;dropping-particle&quot;:&quot;&quot;,&quot;non-dropping-particle&quot;:&quot;&quot;},{&quot;family&quot;:&quot;Sharma&quot;,&quot;given&quot;:&quot;Devina&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nd Prevention&quot;,&quot;container-title-short&quot;:&quot;Accid. Anal. Prev.&quot;,&quot;DOI&quot;:&quot;10.1016/j.aap.2026.108465&quot;,&quot;ISSN&quot;:&quot;18792057&quot;,&quot;PMID&quot;:&quot;41722203&quot;,&quot;issued&quot;:{&quot;date-parts&quot;:[[2026,6,1]]},&quot;page&quot;:&quot;108465&quot;,&quot;abstract&quot;:&quot;Pedestrian safety remains a critical challenge in urban environments, marked by rising fatalities and persistent disparities across sociodemographic groups. Uncovering the drivers of these disparities requires a deeper understanding of both pedestrian and driver behaviors. This study examines how individual attributes, social context, and time-of-day/weather conditions shape pedestrian crossing and driver yielding decisions. We analyzed over 1,000 hours of video footage from two intersections in Austin, Texas, documenting over 20,995 pedestrian crossings and 3,124 pedestrian-vehicle interactions. Manual annotation of this footage enabled the estimation of two binary logit models: one predicting non-compliant pedestrian crossings (NCPC) and the other predicting driver unyielding (DUY) (that is, driver failure to yield to pedestrians). The results indicate that male pedestrians, Black pedestrians, those displaying visible signs of housing insecurity (VHI), and individuals crossing solo are significantly more likely to cross non‑compliantly and to encounter lower driver‑yielding rates. Runners also exhibit higher NCPC rates than walkers, with peak non‑compliance occurring during late night and dawn periods. On the driver side, pedestrian NCPC behavior is the strongest predictor of failure to yield. DUY behavior is also more likely during morning periods and among drivers of personal (non-commercial) vehicles, and when the pedestrian in question is older, Black or Brown, and exhibits VHI. These findings highlight the importance of addressing social and behavioral factors in pedestrian safety interventions. By revealing how marginalization and context interact to shape risk, this research contributes to the transportation equity literature and supports interventions that go beyond infrastructure, such as education campaigns, bias reduction, and community-led safety initiatives.&quot;,&quot;volume&quot;:&quot;230&quot;},&quot;isTemporary&quot;:false}]},{&quot;citationID&quot;:&quot;MENDELEY_CITATION_9ae7d032-5d8a-488d-a8b6-4a919ce2693e&quot;,&quot;properties&quot;:{&quot;noteIndex&quot;:0},&quot;isEdited&quot;:false,&quot;manualOverride&quot;:{&quot;isManuallyOverridden&quot;:true,&quot;citeprocText&quot;:&quot;(Kritz et al., 2020; Ory et al., 2016)&quot;,&quot;manualOverrideText&quot;:&quot;(Ory et al., 2016; Kritz et al., 2020)&quot;},&quot;citationTag&quot;:&quot;MENDELEY_CITATION_v3_eyJjaXRhdGlvbklEIjoiTUVOREVMRVlfQ0lUQVRJT05fOWFlN2QwMzItNWQ4YS00ODhkLWE4YjYtNGE5MTljZTI2OTNlIiwicHJvcGVydGllcyI6eyJub3RlSW5kZXgiOjB9LCJpc0VkaXRlZCI6ZmFsc2UsIm1hbnVhbE92ZXJyaWRlIjp7ImlzTWFudWFsbHlPdmVycmlkZGVuIjp0cnVlLCJjaXRlcHJvY1RleHQiOiIoS3JpdHogZXQgYWwuLCAyMDIwOyBPcnkgZXQgYWwuLCAyMDE2KSIsIm1hbnVhbE92ZXJyaWRlVGV4dCI6IihPcnkgZXQgYWwuLCAyMDE2OyBLcml0eiBldCBhbC4sIDIwMjApIn0sImNpdGF0aW9uSXRlbXMiOlt7ImlkIjoiNzZiYWNlNDMtZmRiOC0zZDlkLTg2MGItNDc2MTE5M2M0YmY2IiwiaXRlbURhdGEiOnsidHlwZSI6ImFydGljbGUtam91cm5hbCIsImlkIjoiNzZiYWNlNDMtZmRiOC0zZDlkLTg2MGItNDc2MTE5M2M0YmY2IiwidGl0bGUiOiLigJxJdOKAmXMgQmV0dGVyIFRvZ2V0aGVy4oCdOiBBIE5lc3RlZCBMb25naXR1ZGluYWwgU3R1ZHkgRXhhbWluaW5nIHRoZSBCZW5lZml0cyBvZiBXYWxraW5nIFJlZ3VsYXJseSBXaXRoIFBlZXJzIFZlcnN1cyBQcmltYXJpbHkgQWxvbmUgaW4gT2xkZXIgQWR1bHRzIiwiYXV0aG9yIjpbeyJmYW1pbHkiOiJLcml0eiIsImdpdmVuIjoiTWFybGVuZSIsInBhcnNlLW5hbWVzIjpmYWxzZSwiZHJvcHBpbmctcGFydGljbGUiOiIiLCJub24tZHJvcHBpbmctcGFydGljbGUiOiIifSx7ImZhbWlseSI6IlRow7hnZXJzZW4tTnRvdW1hbmkiLCJnaXZlbiI6IkNlY2lsaWUiLCJwYXJzZS1uYW1lcyI6ZmFsc2UsImRyb3BwaW5nLXBhcnRpY2xlIjoiIiwibm9uLWRyb3BwaW5nLXBhcnRpY2xlIjoiIn0seyJmYW1pbHkiOiJNdWxsYW4iLCJnaXZlbiI6IkJhcmJhcmEiLCJwYXJzZS1uYW1lcyI6ZmFsc2UsImRyb3BwaW5nLXBhcnRpY2xlIjoiIiwibm9uLWRyb3BwaW5nLXBhcnRpY2xlIjoiIn0seyJmYW1pbHkiOiJTdGF0aGkiLCJnaXZlbiI6IkFmcm9kaXRpIiwicGFyc2UtbmFtZXMiOmZhbHNlLCJkcm9wcGluZy1wYXJ0aWNsZSI6IiIsIm5vbi1kcm9wcGluZy1wYXJ0aWNsZSI6IiJ9LHsiZmFtaWx5IjoiTnRvdW1hbmlzIiwiZ2l2ZW4iOiJOaWtvcyIsInBhcnNlLW5hbWVzIjpmYWxzZSwiZHJvcHBpbmctcGFydGljbGUiOiIiLCJub24tZHJvcHBpbmctcGFydGljbGUiOiIifV0sImNvbnRhaW5lci10aXRsZSI6IkpvdXJuYWwgb2YgQWdpbmcgYW5kIFBoeXNpY2FsIEFjdGl2aXR5IiwiYWNjZXNzZWQiOnsiZGF0ZS1wYXJ0cyI6W1syMDI2LDcsMV1dfSwiRE9JIjoiMTAuMTEyMy9qYXBhLjIwMjAtMDA5MSIsIklTU04iOiIxMDYzLTg2NTIiLCJQTUlEIjoiMzMyNzYzMjYiLCJVUkwiOiJodHRwczovL2pvdXJuYWxzLmh1bWFua2luZXRpY3MuY29tL3ZpZXcvam91cm5hbHMvamFwYS8yOS8zL2FydGljbGUtcDQ1NS54bWwiLCJpc3N1ZWQiOnsiZGF0ZS1wYXJ0cyI6W1syMDIwLDEyLDRdXX0sInBhZ2UiOiI0NTUtNDY1IiwiYWJzdHJhY3QiOiJUaGUgYXV0aG9ycyBleGFtaW5lZCB3aGV0aGVyIHB1cnBvc2VmdWwgd2Fsa2luZyB3aXRoIHBlZXJzIGF0IGxlYXN0IG9uY2UgYSB3ZWVrIGNvbnRyaWJ1dGVzIHRvIGJldHRlciBiZWhhdmlvcmFsIGFuZCBoZWFsdGggb3V0Y29tZXMgaW4gb2xkZXIgYWR1bHRzIHRoYW4gcHJpbWFyaWx5IHdhbGtpbmcgYWxvbmUuIFRoZSBhdXRob3JzIHVzZWQgYSBsb25naXR1ZGluYWwgY29ob3J0IGRlc2lnbiBhbmQgcmVjcnVpdGVkIHBhcnRpY2lwYW50cyBhZ2VkIDYwIHllYXJzIGFuZCBvbGRlciAoTiA9IDEzNikgYXQgdGhlIHN0YXJ0IG9mIGEgMTYtd2VlayB3YWxraW5nIGludGVydmVudGlvbi4gUGFydGljaXBhbnRzIHdobyB3YWxrZWQgb24gYXZlcmFnZSBhdCBsZWFzdCBvbmNlIGEgd2VlayBpbiB0aGUgZmluYWwgOCB3ZWVrcyBvZiB0aGUgaW50ZXJ2ZW50aW9uIHdlcmUgaW5jbHVkZWQgaW4gdGhlIGFuYWx5c2lzIChOID0gNzk7IDY2IGZlbWFsZXMsIE1hZ2UgW1NEXSA9IDc3LjczIFs2LjkxXSkuIFRoZSBhdXRob3JzIGZvdW5kIHRoYXQgYXV0b25vbW91cyBtb3RpdmF0aW9uLCB3YWxraW5nIHNlbGYtZWZmaWNhY3ksIGZ1bmN0aW9uYWwgY2FwYWNpdHksIGJvZHkgZmF0LCBhbmQgcGh5c2ljYWwgYWN0aXZpdHkgaW1wcm92ZWQgbW9yZSBpbiB0aGUgd2Fsa2luZyB3aXRoIHBlZXJzIGdyb3VwIGNvbXBhcmVkIHdpdGggdGhlIHdhbGtpbmcgYWxvbmUgZ3JvdXAsIGFmdGVyIGNvbnRyb2xsaW5nIGZvciB3aGV0aGVyIHBhcnRpY2lwYW50cyBsaXZlZCBhbG9uZS93aXRoIG90aGVycyBhbmQgdGhlaXIgaGVhbHRoIHN0YXR1cy4gVGhlIHJlc3VsdHMgZXh0ZW5kIGN1cnJlbnQgbGl0ZXJhdHVyZSBieSBwcm92aWRpbmcgbG9uZ2l0dWRpbmFsIGV2aWRlbmNlIGZvciB0aGUgYWRkZWQgYmVuZWZpdHMgb2YgcmVndWxhciBwZWVyLWFjY29tcGFuaWVkIHdhbGtpbmcgaW4gb2xkZXIgYWR1bHRzIGFuZCBoaWdobGlnaHQgdGhlIGltcG9ydGFuY2Ugb2YgaW52ZXN0aW5nIGluIHBlZXItc3VwcG9ydGVkIGludGVydmVudGlvbnMuIiwicHVibGlzaGVyIjoiSHVtYW4gS2luZXRpY3MiLCJpc3N1ZSI6IjMiLCJ2b2x1bWUiOiIyOSIsImNvbnRhaW5lci10aXRsZS1zaG9ydCI6IkouIEFnaW5nIFBoeXMuIEFjdC4ifSwiaXNUZW1wb3JhcnkiOmZhbHNlfSx7ImlkIjoiZDQ3YjRiZDItMjJmMS0zNzFiLWFmZmQtZTlmNDkwOGRhNmE2IiwiaXRlbURhdGEiOnsidHlwZSI6ImFydGljbGUtam91cm5hbCIsImlkIjoiZDQ3YjRiZDItMjJmMS0zNzFiLWFmZmQtZTlmNDkwOGRhNmE2IiwidGl0bGUiOiJTb2NpYWwgYW5kIGVudmlyb25tZW50YWwgcHJlZGljdG9ycyBvZiB3YWxraW5nIGFtb25nIG9sZGVyIGFkdWx0cyIsImF1dGhvciI6W3siZmFtaWx5IjoiT3J5IiwiZ2l2ZW4iOiJNYXJjaWEgRy4iLCJwYXJzZS1uYW1lcyI6ZmFsc2UsImRyb3BwaW5nLXBhcnRpY2xlIjoiIiwibm9uLWRyb3BwaW5nLXBhcnRpY2xlIjoiIn0seyJmYW1pbHkiOiJUb3duZSIsImdpdmVuIjoiU2FtdWVsIEQuIiwicGFyc2UtbmFtZXMiOmZhbHNlLCJkcm9wcGluZy1wYXJ0aWNsZSI6IiIsIm5vbi1kcm9wcGluZy1wYXJ0aWNsZSI6IiJ9LHsiZmFtaWx5IjoiV29uIiwiZ2l2ZW4iOiJKYWV3b29uZyIsInBhcnNlLW5hbWVzIjpmYWxzZSwiZHJvcHBpbmctcGFydGljbGUiOiIiLCJub24tZHJvcHBpbmctcGFydGljbGUiOiIifSx7ImZhbWlseSI6IkZvcmp1b2giLCJnaXZlbiI6IlNhbXVlbCBOLiIsInBhcnNlLW5hbWVzIjpmYWxzZSwiZHJvcHBpbmctcGFydGljbGUiOiIiLCJub24tZHJvcHBpbmctcGFydGljbGUiOiIifSx7ImZhbWlseSI6IkxlZSIsImdpdmVuIjoiQ2hhbmFtIiwicGFyc2UtbmFtZXMiOmZhbHNlLCJkcm9wcGluZy1wYXJ0aWNsZSI6IiIsIm5vbi1kcm9wcGluZy1wYXJ0aWNsZSI6IiJ9XSwiY29udGFpbmVyLXRpdGxlIjoiQk1DIEdlcmlhdHJpY3MgMjAxNiAxNjoxIiwiYWNjZXNzZWQiOnsiZGF0ZS1wYXJ0cyI6W1syMDI2LDcsMV1dfSwiRE9JIjoiMTAuMTE4Ni9zMTI4NzctMDE2LTAzMjcteCIsIklTU04iOiIxNDcxLTIzMTgiLCJQTUlEIjoiMjc1NTM2NjgiLCJVUkwiOiJodHRwczovL2xpbmsuc3ByaW5nZXIuY29tL2FydGljbGUvMTAuMTE4Ni9zMTI4NzctMDE2LTAzMjcteCIsImlzc3VlZCI6eyJkYXRlLXBhcnRzIjpbWzIwMTYsOCwyM11dfSwicGFnZSI6IjE1NS0iLCJhYnN0cmFjdCI6IlJlZ3VsYXIgcGh5c2ljYWwgYWN0aXZpdHkgKFBBKSBpcyBhIG1ham9yIGZhY3RvciBpbiBtYWludGFpbmluZyBoZWFsdGggaW4gYWdpbmcgcG9wdWxhdGlvbnMuIFRoaXMgc3R1ZHkgZXhhbWluZXMgdGhlIGluZmx1ZW5jZXMgb2Ygc29jaW9kZW1vZ3JhcGhpYywgaGVhbHRoLCBhbmQgZW52aXJvbm1lbnRhbCBjaGFyYWN0ZXJpc3RpY3Mgb24gb2xkZXIgYWR1bHRz4oCZIHdhbGtpbmcgYmVoYXZpb3JzLCBhbmQgdGhlIHJvbGUgcGh5c2ljaWFucyBjYW4gcGxheSBpbiBwcm9tb3RpbmcgcGh5c2ljYWwgYWN0aXZpdHkuIE9ubGluZSBhbmQgcGFwZXIgc3VydmV5cyAobuKAiT3igIkyNzIpIHdlcmUgZGlzdHJpYnV0ZWQgdG8gY29tbXVuaXR5LWR3ZWxsaW5nIG9sZGVyIChhZ2XigIniiaXigIk2MCkgYWR1bHRzIGZyb20gYSBsYXJnZSBpbnRlZ3JhdGVkIGhlYWx0aGNhcmUgc3lzdGVtIGluIHR3byBjb3VudGllcyBpbiBDZW50cmFsIFRleGFzLiBEZXNjcmlwdGl2ZSBzdGF0aXN0aWNzIHdlcmUgdXRpbGl6ZWQgdG8gY2hhcmFjdGVyaXplIHBhcnRpY2lwYW504oCZcyB3YWxraW5nIGJlaGF2aW9ycyBhbmQgcGxhY2VzLiBNdWx0aXZhcmlhdGUgbG9naXN0aWMgcmVncmVzc2lvbiB3YXMgZW1wbG95ZWQgdG8gcHJlZGljdCBiZWluZzogMSkgYSBmcmVxdWVudCB3YWxrZXIgKGkuZS4sIHdhbGtpbmcgYXQgbGVhc3QgdGhyZWUgdGltZXMgYSB3ZWVrKTsgYW5kIDIpIG1lZXRpbmcgdGhlIENlbnRlcnMgZm9yIERpc2Vhc2UgQ29udHJvbCBhbmQgUHJldmVudGlvbiAoQ0RDKSBQQSByZWNvbW1lbmRhdGlvbiB0aHJvdWdoIHdhbGtpbmcgKGkuZS4sIHdhbGtpbmcg4omlMTUwJm5ic3A7bWluIHBlciB3ZWVrKSwgd2hpbGUgY29uc2lkZXJpbmcgc29jaW9kZW1vZ3JhcGhpYywgaGVhbHRoLCBhbmQgZW52aXJvbm1lbnRhbCBmYWN0b3JzLiBJbmRpdmlkdWFscyBoYWQgYSBtZWRpYW4gYWdlIG9mIDY5Jm5ic3A7eWVhcnMsIHdlcmUgb2YgYm90aCBnZW5kZXJzICg1MC4zNyZuYnNwOyUgZmVtYWxlKSwgYW5kIHdlcmUgcHJpbWFyaWx5IG5vbi1IaXNwYW5pYyBXaGl0ZSAoODQuODcmbmJzcDslKS4gV2hpbGUgdGhlIG1ham9yaXR5ICg1OS41NSZuYnNwOyUpIHdhbGtlZCBhdCBsZWFzdCB0aHJlZSB0aW1lcyBhIHdlZWssIG9ubHkgMjcuODYmbmJzcDslIHdhbGtlZCDiiaUxNTAmbmJzcDttaW4gYSB3ZWVrLiBGYWN0b3JzIGFzc29jaWF0ZWQgd2l0aCBhIGxvd2VyIGxpa2VsaWhvb2Qgb2YgYmVpbmcgZnJlcXVlbnQgd2Fsa2VycyBpbmNsdWRlZCBleHBlcmllbmNpbmcgcG9vciBtZW50YWwgaGVhbHRoIGluIHRoZSBwYXN0IG1vbnRoIChPUuKAiT3igIkwLjM0NSwgOTUmbmJzcDslIENJ4oCJPeKAiTAuMTg14oCTMC42NDUpIGFuZCByZXNpZGluZyBpbiBhcmVhcyB3aXRoIGxvdyBvciBtb2RlcmF0ZSAodmVyc3VzIGhpZ2gpIHBlcmNlaXZlZCBuZWlnaGJvcmhvb2QgY29oZXNpb24gKE9S4oCJPeKAiTAuNDcxLCA5NSZuYnNwOyUgQ0nigIk94oCJMC4yMjjigJMwLjk3NCksIHdoaWxlIHRob3NlIGluIENlbnN1cyBUcmFjdHMgcmVmbGVjdGluZyBwb3B1bGF0aW9ucyB3aXRoIGEgbG93ZXIgbWVkaWFuIGFnZSB3ZXJlIG1vcmUgbGlrZWx5IHRvIHJlcG9ydCBmcmVxdWVudCB3YWxraW5nIGJlaGF2aW9yIChPUuKAiT3igIkxLjc5OSwgOTUmbmJzcDslIENJ4oCJPeKAiTEuMDM04oCTMy4xMzEpLiBGYWN0b3JzIGFzc29jaWF0ZWQgd2l0aCBhIGxvd2VyIGxpa2VsaWhvb2Qgb2YgbWVldGluZyB0aGUgQ0RDIFBBIHJlY29tbWVuZGF0aW9uIGluY2x1ZGVkIGJlaW5nIDYw4oCTNjkmbmJzcDt5ZWFycyAodmVyc3VzIDcwJm5ic3A7eWVhcnMgb3Igb2xkZXIpIChPUuKAiT3igIkwLjUzOCwgOTUmbmJzcDslIENJ4oCJPeKAiTAuMjkw4oCTMC45OTcpLCBleHBlcmllbmNpbmcgcG9vciBtZW50YWwgaGVhbHRoIGluIHRoZSBwYXN0IG1vbnRoIChPUuKAiT3igIkwLjQzMiwgOTUmbmJzcDslIENJ4oCJPeKAiTAuMTk44oCTMC45NDQpLCBhbmQgbGFja2luZyBzb2NpYWwgc3VwcG9ydCBmb3Igd2Fsa2luZyAoT1LigIk94oCJMC4zODMsIDk1Jm5ic3A7JSBDSeKAiT3igIkwLjE1NOKAkzAuOTU3KS4gR2l2ZW4gdGhlIGhlYWx0aCBiZW5lZml0cywgUEEgcHJvbW90aW9uIG11c3QgYmUgc2VlbiBhcyBhIG5hdGlvbmFsIHJlc3BvbnNpYmlsaXR5LiBJbiBwYXJ0aWN1bGFyLCBwaHlzaWNpYW5zIGhhdmUgYSBtYWpvciByb2xlIHRvIHBsYXkgaW4gY29tbXVuaWNhdGluZyB0aGUgaW1wb3J0YW5jZSBvZiBQQSB0byB0aGVpciBvbGRlciBwYXRpZW50cyBhbmQgbWFraW5nIGRpc2N1c3Npb25zIGFib3V0IHN0cmF0ZWdpZXMgZm9yIG92ZXJjb21pbmcgYmFycmllcnMgdG8gd2Fsa2luZyBhbiBpbnRlZ3JhbCBwYXJ0IG9mIHRoZWlyIGNsaW5pY2FsIGVuY291bnRlciB3aXRoIHRoZXNlIHBhdGllbnRzLiIsInB1Ymxpc2hlciI6IkJpb01lZCBDZW50cmFsIiwiaXNzdWUiOiIxIiwidm9sdW1lIjoiMTYiLCJjb250YWluZXItdGl0bGUtc2hvcnQiOiIifSwiaXNUZW1wb3JhcnkiOmZhbHNlfV19&quot;,&quot;citationItems&quot;:[{&quot;id&quot;:&quot;76bace43-fdb8-3d9d-860b-4761193c4bf6&quot;,&quot;itemData&quot;:{&quot;type&quot;:&quot;article-journal&quot;,&quot;id&quot;:&quot;76bace43-fdb8-3d9d-860b-4761193c4bf6&quot;,&quot;title&quot;:&quot;“It’s Better Together”: A Nested Longitudinal Study Examining the Benefits of Walking Regularly With Peers Versus Primarily Alone in Older Adults&quot;,&quot;author&quot;:[{&quot;family&quot;:&quot;Kritz&quot;,&quot;given&quot;:&quot;Marlene&quot;,&quot;parse-names&quot;:false,&quot;dropping-particle&quot;:&quot;&quot;,&quot;non-dropping-particle&quot;:&quot;&quot;},{&quot;family&quot;:&quot;Thøgersen-Ntoumani&quot;,&quot;given&quot;:&quot;Cecilie&quot;,&quot;parse-names&quot;:false,&quot;dropping-particle&quot;:&quot;&quot;,&quot;non-dropping-particle&quot;:&quot;&quot;},{&quot;family&quot;:&quot;Mullan&quot;,&quot;given&quot;:&quot;Barbara&quot;,&quot;parse-names&quot;:false,&quot;dropping-particle&quot;:&quot;&quot;,&quot;non-dropping-particle&quot;:&quot;&quot;},{&quot;family&quot;:&quot;Stathi&quot;,&quot;given&quot;:&quot;Afroditi&quot;,&quot;parse-names&quot;:false,&quot;dropping-particle&quot;:&quot;&quot;,&quot;non-dropping-particle&quot;:&quot;&quot;},{&quot;family&quot;:&quot;Ntoumanis&quot;,&quot;given&quot;:&quot;Nikos&quot;,&quot;parse-names&quot;:false,&quot;dropping-particle&quot;:&quot;&quot;,&quot;non-dropping-particle&quot;:&quot;&quot;}],&quot;container-title&quot;:&quot;Journal of Aging and Physical Activity&quot;,&quot;accessed&quot;:{&quot;date-parts&quot;:[[2026,7,1]]},&quot;DOI&quot;:&quot;10.1123/japa.2020-0091&quot;,&quot;ISSN&quot;:&quot;1063-8652&quot;,&quot;PMID&quot;:&quot;33276326&quot;,&quot;URL&quot;:&quot;https://journals.humankinetics.com/view/journals/japa/29/3/article-p455.xml&quot;,&quot;issued&quot;:{&quot;date-parts&quot;:[[2020,12,4]]},&quot;page&quot;:&quot;455-465&quot;,&quot;abstract&quot;:&quot;The authors examined whether purposeful walking with peers at least once a week contributes to better behavioral and health outcomes in older adults than primarily walking alone. The authors used a longitudinal cohort design and recruited participants aged 60 years and older (N = 136) at the start of a 16-week walking intervention. Participants who walked on average at least once a week in the final 8 weeks of the intervention were included in the analysis (N = 79; 66 females, Mage [SD] = 77.73 [6.91]). The authors found that autonomous motivation, walking self-efficacy, functional capacity, body fat, and physical activity improved more in the walking with peers group compared with the walking alone group, after controlling for whether participants lived alone/with others and their health status. The results extend current literature by providing longitudinal evidence for the added benefits of regular peer-accompanied walking in older adults and highlight the importance of investing in peer-supported interventions.&quot;,&quot;publisher&quot;:&quot;Human Kinetics&quot;,&quot;issue&quot;:&quot;3&quot;,&quot;volume&quot;:&quot;29&quot;,&quot;container-title-short&quot;:&quot;J. Aging Phys. Act.&quot;},&quot;isTemporary&quot;:false},{&quot;id&quot;:&quot;d47b4bd2-22f1-371b-affd-e9f4908da6a6&quot;,&quot;itemData&quot;:{&quot;type&quot;:&quot;article-journal&quot;,&quot;id&quot;:&quot;d47b4bd2-22f1-371b-affd-e9f4908da6a6&quot;,&quot;title&quot;:&quot;Social and environmental predictors of walking among older adults&quot;,&quot;author&quot;:[{&quot;family&quot;:&quot;Ory&quot;,&quot;given&quot;:&quot;Marcia G.&quot;,&quot;parse-names&quot;:false,&quot;dropping-particle&quot;:&quot;&quot;,&quot;non-dropping-particle&quot;:&quot;&quot;},{&quot;family&quot;:&quot;Towne&quot;,&quot;given&quot;:&quot;Samuel D.&quot;,&quot;parse-names&quot;:false,&quot;dropping-particle&quot;:&quot;&quot;,&quot;non-dropping-particle&quot;:&quot;&quot;},{&quot;family&quot;:&quot;Won&quot;,&quot;given&quot;:&quot;Jaewoong&quot;,&quot;parse-names&quot;:false,&quot;dropping-particle&quot;:&quot;&quot;,&quot;non-dropping-particle&quot;:&quot;&quot;},{&quot;family&quot;:&quot;Forjuoh&quot;,&quot;given&quot;:&quot;Samuel N.&quot;,&quot;parse-names&quot;:false,&quot;dropping-particle&quot;:&quot;&quot;,&quot;non-dropping-particle&quot;:&quot;&quot;},{&quot;family&quot;:&quot;Lee&quot;,&quot;given&quot;:&quot;Chanam&quot;,&quot;parse-names&quot;:false,&quot;dropping-particle&quot;:&quot;&quot;,&quot;non-dropping-particle&quot;:&quot;&quot;}],&quot;container-title&quot;:&quot;BMC Geriatrics 2016 16:1&quot;,&quot;accessed&quot;:{&quot;date-parts&quot;:[[2026,7,1]]},&quot;DOI&quot;:&quot;10.1186/s12877-016-0327-x&quot;,&quot;ISSN&quot;:&quot;1471-2318&quot;,&quot;PMID&quot;:&quot;27553668&quot;,&quot;URL&quot;:&quot;https://link.springer.com/article/10.1186/s12877-016-0327-x&quot;,&quot;issued&quot;:{&quot;date-parts&quot;:[[2016,8,23]]},&quot;page&quot;:&quot;155-&quot;,&quot;abstract&quot;:&quot;Regular physical activity (PA) is a major factor in maintaining health in aging populations. This study examines the influences of sociodemographic, health, and environmental characteristics on older adults’ walking behaviors, and the role physicians can play in promoting physical activity. Online and paper surveys (n = 272) were distributed to community-dwelling older (age ≥ 60) adults from a large integrated healthcare system in two counties in Central Texas. Descriptive statistics were utilized to characterize participant’s walking behaviors and places. Multivariate logistic regression was employed to predict being: 1) a frequent walker (i.e., walking at least three times a week); and 2) meeting the Centers for Disease Control and Prevention (CDC) PA recommendation through walking (i.e., walking ≥150&amp;nbsp;min per week), while considering sociodemographic, health, and environmental factors. Individuals had a median age of 69&amp;nbsp;years, were of both genders (50.37&amp;nbsp;% female), and were primarily non-Hispanic White (84.87&amp;nbsp;%). While the majority (59.55&amp;nbsp;%) walked at least three times a week, only 27.86&amp;nbsp;% walked ≥150&amp;nbsp;min a week. Factors associated with a lower likelihood of being frequent walkers included experiencing poor mental health in the past month (OR = 0.345, 95&amp;nbsp;% CI = 0.185–0.645) and residing in areas with low or moderate (versus high) perceived neighborhood cohesion (OR = 0.471, 95&amp;nbsp;% CI = 0.228–0.974), while those in Census Tracts reflecting populations with a lower median age were more likely to report frequent walking behavior (OR = 1.799, 95&amp;nbsp;% CI = 1.034–3.131). Factors associated with a lower likelihood of meeting the CDC PA recommendation included being 60–69&amp;nbsp;years (versus 70&amp;nbsp;years or older) (OR = 0.538, 95&amp;nbsp;% CI = 0.290–0.997), experiencing poor mental health in the past month (OR = 0.432, 95&amp;nbsp;% CI = 0.198–0.944), and lacking social support for walking (OR = 0.383, 95&amp;nbsp;% CI = 0.154–0.957). Given the health benefits, PA promotion must be seen as a national responsibility. In particular, physicians have a major role to play in communicating the importance of PA to their older patients and making discussions about strategies for overcoming barriers to walking an integral part of their clinical encounter with these patients.&quot;,&quot;publisher&quot;:&quot;BioMed Central&quot;,&quot;issue&quot;:&quot;1&quot;,&quot;volume&quot;:&quot;16&quot;,&quot;container-title-short&quot;:&quot;&quot;},&quot;isTemporary&quot;:false}]},{&quot;citationID&quot;:&quot;MENDELEY_CITATION_b5aa9653-bd07-43c2-b6b8-06c97bb7910d&quot;,&quot;properties&quot;:{&quot;noteIndex&quot;:0},&quot;isEdited&quot;:false,&quot;manualOverride&quot;:{&quot;isManuallyOverridden&quot;:false,&quot;citeprocText&quot;:&quot;(Hegde et al., 2025)&quot;,&quot;manualOverrideText&quot;:&quot;&quot;},&quot;citationTag&quot;:&quot;MENDELEY_CITATION_v3_eyJjaXRhdGlvbklEIjoiTUVOREVMRVlfQ0lUQVRJT05fYjVhYTk2NTMtYmQwNy00M2MyLWI2YjgtMDZjOTdiYjc5MTBkIiwicHJvcGVydGllcyI6eyJub3RlSW5kZXgiOjB9LCJpc0VkaXRlZCI6ZmFsc2UsIm1hbnVhbE92ZXJyaWRlIjp7ImlzTWFudWFsbHlPdmVycmlkZGVuIjpmYWxzZSwiY2l0ZXByb2NUZXh0IjoiKEhlZ2RlIGV0IGFsLiwgMjAyNSkiLCJtYW51YWxPdmVycmlkZVRleHQiOiIifSwiY2l0YXRpb25JdGVtcyI6W3siaWQiOiJkZmE5ODUyMS01MTIxLTNiZjEtOGZkNS01MzU4M2JjNDI3NWUiLCJpdGVtRGF0YSI6eyJ0eXBlIjoiYXJ0aWNsZSIsImlkIjoiZGZhOTg1MjEtNTEyMS0zYmYxLThmZDUtNTM1ODNiYzQyNzVlIiwidGl0bGUiOiJNdWx0aS1GYW1pbHkgSG91c2luZyBFbnZpcm9ubWVudCBhbmQgUGh5c2ljYWwgQWN0aXZpdHk6IEEgU3lzdGVtYXRpYyBSZXZpZXcgb2YgdGhlIExpdGVyYXR1cmUiLCJhdXRob3IiOlt7ImZhbWlseSI6IkhlZ2RlIiwiZ2l2ZW4iOiJNYW5hc2EgVmlnbmVzaHdhciIsInBhcnNlLW5hbWVzIjpmYWxzZSwiZHJvcHBpbmctcGFydGljbGUiOiIiLCJub24tZHJvcHBpbmctcGFydGljbGUiOiIifSx7ImZhbWlseSI6IlBhcmsiLCJnaXZlbiI6IlNlb2t5dW5nIiwicGFyc2UtbmFtZXMiOmZhbHNlLCJkcm9wcGluZy1wYXJ0aWNsZSI6IiIsIm5vbi1kcm9wcGluZy1wYXJ0aWNsZSI6IiJ9LHsiZmFtaWx5IjoiWmh1IiwiZ2l2ZW4iOiJYdWVtZWkiLCJwYXJzZS1uYW1lcyI6ZmFsc2UsImRyb3BwaW5nLXBhcnRpY2xlIjoiIiwibm9uLWRyb3BwaW5nLXBhcnRpY2xlIjoiIn0seyJmYW1pbHkiOiJMZWUiLCJnaXZlbiI6IkNoYW5hbSIsInBhcnNlLW5hbWVzIjpmYWxzZSwiZHJvcHBpbmctcGFydGljbGUiOiIiLCJub24tZHJvcHBpbmctcGFydGljbGUiOiIifV0sImNvbnRhaW5lci10aXRsZSI6IkFtZXJpY2FuIEpvdXJuYWwgb2YgSGVhbHRoIFByb21vdGlvbiIsIkRPSSI6IjEwLjExNzcvMDg5MDExNzEyNDEyNTQ5NDAiLCJJU1NOIjoiMjE2ODY2MDIiLCJQTUlEIjoiMzg3ODUxMTEiLCJpc3N1ZWQiOnsiZGF0ZS1wYXJ0cyI6W1syMDI1LDEsMV1dfSwicGFnZSI6IjEyNy0xNDAiLCJhYnN0cmFjdCI6Ik9iamVjdGl2ZTogVG8gaWRlbnRpZnkgZW52aXJvbm1lbnRhbCBmZWF0dXJlcyBvZiBtdWx0aS1mYW1pbHkgaG91c2luZyAoTUZIKSBhbmQgdGhlaXIgc3Vycm91bmRpbmcgbmVpZ2hib3Job29kcyB0aGF0IGluZmx1ZW5jZSByZXNpZGVudHPigJkgcGh5c2ljYWwgYWN0aXZpdHkgKFBBKS4gRGF0YSBTb3VyY2U6IEFydGljbGVzIHB1Ymxpc2hlZCBiZXR3ZWVuIEphbnVhcnkgMjAwMCBhbmQgU2VwdGVtYmVyIDIwMjMgd2VyZSBpZGVudGlmaWVkIGZyb20gbWFqb3Igc29jaWFsIHNjaWVuY2UsIG1lZGljYWwsIGhlYWx0aCwgYmVoYXZpb3JhbCBzY2llbmNlLCBhbmQgdXJiYW4gc3R1ZGllcyBkYXRhYmFzZXMuIFN0dWR5IEluY2x1c2lvbiBhbmQgRXhjbHVzaW9uIENyaXRlcmlhOiBTdHVkaWVzIHdlcmUgaW5jbHVkZWQgaWYgdGhleSAoYSkgd2VyZSBlbXBpcmljYWwgc3R1ZGllcyBwdWJsaXNoZWQgaW4gcGVlci1yZXZpZXdlZCBqb3VybmFscyBhbmQgd3JpdHRlbiBpbiBFbmdsaXNoOyAoYikgZm9jdXNlZCBvbiB0aGUgTUZIIGVudmlyb25tZW50IG9yIHRoZSBzdXJyb3VuZGluZyBuZWlnaGJvcmhvb2Q7IGFuZCAoYykgaGFkIGF0IGxlYXN0IG9uZSBQQSBvdXRjb21lLiBEYXRhIEV4dHJhY3Rpb246IERhdGEgd2FzIGV4dHJhY3RlZCByZWdhcmRpbmcgdGhlIHN0dWR5IG9iamVjdGl2ZSwgbG9jYXRpb24sIHN0dWR5IHNhbXBsZSwgcmVzZWFyY2ggZGVzaWduLCByZXN1bHRzIHJlbGF0ZWQgdG8gTUZIIGFuZCBuZWlnaGJvcmhvb2QgZW52aXJvbm1lbnQsIGFuZCBsaW1pdGF0aW9ucy4gRGF0YSBTeW50aGVzaXM6IERlc2NyaXB0aXZlIHN1bW1hcnkgb2Ygc3R1ZHkgY2hhcmFjdGVyaXN0aWNzIGFuZCBhbmFseXNpcyB0byBpZGVudGlmeSBlbWVyZ2luZyB0aGVtZXMgYXQgdGhyZWUgc3BhdGlhbCBzY2FsZXMgKGkuZS4sIGJ1aWxkaW5nLCBzaXRlLCBhbmQgbmVpZ2hib3Job29kKS4gUmVzdWx0czogRmluZGluZ3MgZnJvbSAzNSBpZGVudGlmaWVkIGFydGljbGVzIHJldmVhbGVkIGZhY3RvcnMgaW5mbHVlbmNpbmcgTUZIIHJlc2lkZW50c+KAmSBQQS4gT24gdGhlIGJ1aWxkaW5nIGxldmVsLCB0eXBvbG9neSAoYXBhcnRtZW50LCB0b3duaG91c2UpIGFuZCB0ZW51cmUgKHB1YmxpYywgbWFya2V0IHJlbnQpIHNob3dlZCBjb250cmFzdGluZyBjb3JyZWxhdGlvbnMgd2l0aCBQQSBpbiBkaWZmZXJlbnQgYWdlIGdyb3Vwcy4gT24gdGhlIHNpdGUgbGV2ZWwsIHRoZSBwcmVzZW5jZSBvZiBQQSBmYWNpbGl0aWVzIGFuZCBzYWZlLCB3YWxraW5nLWZyaWVuZGx5IGVudmlyb25tZW50cyBwcm9tb3RlZCBQQS4gT24gdGhlIG5laWdoYm9yaG9vZCBsZXZlbCwgc2FmZXR5LCBxdWFsaXR5IG9mIFBBIGFuZCBwZWRlc3RyaWFuIGluZnJhc3RydWN0dXJlLCB1cGtlZXAsIGFpciBxdWFsaXR5LCBhZXN0aGV0aWNzLCBuZWlnaGJvcmhvb2Qgc2F0aXNmYWN0aW9uLCBzdHJlZXQgY29ubmVjdGl2aXR5LCB3YWxrYWJpbGl0eSwgbGFuZCB1c2UgbWl4LCBkZW5zaXR5LCBhbmQgcHVibGljIHRyYW5zcG9ydCBwcm9tb3RlZCBQQS4gQ29uY2x1c2lvbjogU3R1ZHkgZmluZGluZ3MgaGlnaGxpZ2h0IHRoZSBpbXBvcnRhbmNlIG9mIHRoZSBNRkggZW52aXJvbm1lbnRzIGluIHByb21vdGluZyBQQSwgZXNwZWNpYWxseSBpbiBvbGRlciBhZHVsdHMgYW5kIHlvdW5nIGNoaWxkcmVuLiBXaXRoIGluY3JlYXNpbmcgaG91c2luZyBkZW1hbmQsIHVuZGVyc3RhbmRpbmcgZGl2ZXJzZSBNRkggdHlwb2xvZ2llcyBhbmQgdGhlIGltcGFjdCBvZiBpbnRlcnZlbnRpb25zIG9uIG11bHRpLXNwYXRpYWwgc2NhbGVzIGNhbiBoZWxwIHByb21vdGUgaGVhbHRoeSBhbmQgYWN0aXZpdHktZnJpZW5kbHkgY29tbXVuaXRpZXMuIiwicHVibGlzaGVyIjoiU0FHRSBQdWJsaWNhdGlvbnMgSW5jLiIsImlzc3VlIjoiMSIsInZvbHVtZSI6IjM5IiwiY29udGFpbmVyLXRpdGxlLXNob3J0IjoiIn0sImlzVGVtcG9yYXJ5IjpmYWxzZSwic3VwcHJlc3MtYXV0aG9yIjpmYWxzZSwiY29tcG9zaXRlIjpmYWxzZSwiYXV0aG9yLW9ubHkiOmZhbHNlfV19&quot;,&quot;citationItems&quot;:[{&quot;id&quot;:&quot;dfa98521-5121-3bf1-8fd5-53583bc4275e&quot;,&quot;itemData&quot;:{&quot;type&quot;:&quot;article&quot;,&quot;id&quot;:&quot;dfa98521-5121-3bf1-8fd5-53583bc4275e&quot;,&quot;title&quot;:&quot;Multi-Family Housing Environment and Physical Activity: A Systematic Review of the Literature&quot;,&quot;author&quot;:[{&quot;family&quot;:&quot;Hegde&quot;,&quot;given&quot;:&quot;Manasa Vigneshwar&quot;,&quot;parse-names&quot;:false,&quot;dropping-particle&quot;:&quot;&quot;,&quot;non-dropping-particle&quot;:&quot;&quot;},{&quot;family&quot;:&quot;Park&quot;,&quot;given&quot;:&quot;Seokyung&quot;,&quot;parse-names&quot;:false,&quot;dropping-particle&quot;:&quot;&quot;,&quot;non-dropping-particle&quot;:&quot;&quot;},{&quot;family&quot;:&quot;Zhu&quot;,&quot;given&quot;:&quot;Xuemei&quot;,&quot;parse-names&quot;:false,&quot;dropping-particle&quot;:&quot;&quot;,&quot;non-dropping-particle&quot;:&quot;&quot;},{&quot;family&quot;:&quot;Lee&quot;,&quot;given&quot;:&quot;Chanam&quot;,&quot;parse-names&quot;:false,&quot;dropping-particle&quot;:&quot;&quot;,&quot;non-dropping-particle&quot;:&quot;&quot;}],&quot;container-title&quot;:&quot;American Journal of Health Promotion&quot;,&quot;DOI&quot;:&quot;10.1177/08901171241254940&quot;,&quot;ISSN&quot;:&quot;21686602&quot;,&quot;PMID&quot;:&quot;38785111&quot;,&quot;issued&quot;:{&quot;date-parts&quot;:[[2025,1,1]]},&quot;page&quot;:&quot;127-140&quot;,&quot;abstract&quot;:&quot;Objective: To identify environmental features of multi-family housing (MFH) and their surrounding neighborhoods that influence residents’ physical activity (PA). Data Source: Articles published between January 2000 and September 2023 were identified from major social science, medical, health, behavioral science, and urban studies databases. Study Inclusion and Exclusion Criteria: Studies were included if they (a) were empirical studies published in peer-reviewed journals and written in English; (b) focused on the MFH environment or the surrounding neighborhood; and (c) had at least one PA outcome. Data Extraction: Data was extracted regarding the study objective, location, study sample, research design, results related to MFH and neighborhood environment, and limitations. Data Synthesis: Descriptive summary of study characteristics and analysis to identify emerging themes at three spatial scales (i.e., building, site, and neighborhood). Results: Findings from 35 identified articles revealed factors influencing MFH residents’ PA. On the building level, typology (apartment, townhouse) and tenure (public, market rent) showed contrasting correlations with PA in different age groups. On the site level, the presence of PA facilities and safe, walking-friendly environments promoted PA. On the neighborhood level, safety, quality of PA and pedestrian infrastructure, upkeep, air quality, aesthetics, neighborhood satisfaction, street connectivity, walkability, land use mix, density, and public transport promoted PA. Conclusion: Study findings highlight the importance of the MFH environments in promoting PA, especially in older adults and young children. With increasing housing demand, understanding diverse MFH typologies and the impact of interventions on multi-spatial scales can help promote healthy and activity-friendly communities.&quot;,&quot;publisher&quot;:&quot;SAGE Publications Inc.&quot;,&quot;issue&quot;:&quot;1&quot;,&quot;volume&quot;:&quot;39&quot;,&quot;container-title-short&quot;:&quot;&quot;},&quot;isTemporary&quot;:false,&quot;suppress-author&quot;:false,&quot;composite&quot;:false,&quot;author-only&quot;:false}]},{&quot;citationID&quot;:&quot;MENDELEY_CITATION_cdea13a7-7a93-403d-b171-9d4327e56aa7&quot;,&quot;properties&quot;:{&quot;noteIndex&quot;:0},&quot;isEdited&quot;:false,&quot;manualOverride&quot;:{&quot;isManuallyOverridden&quot;:true,&quot;citeprocText&quot;:&quot;(Ghimire &amp;#38; Bardaka, 2023)&quot;,&quot;manualOverrideText&quot;:&quot;(Ghimire and Bardaka, 2023)&quot;},&quot;citationTag&quot;:&quot;MENDELEY_CITATION_v3_eyJjaXRhdGlvbklEIjoiTUVOREVMRVlfQ0lUQVRJT05fY2RlYTEzYTctN2E5My00MDNkLWIxNzEtOWQ0MzI3ZTU2YWE3IiwicHJvcGVydGllcyI6eyJub3RlSW5kZXgiOjB9LCJpc0VkaXRlZCI6ZmFsc2UsIm1hbnVhbE92ZXJyaWRlIjp7ImlzTWFudWFsbHlPdmVycmlkZGVuIjp0cnVlLCJjaXRlcHJvY1RleHQiOiIoR2hpbWlyZSAmIzM4OyBCYXJkYWthLCAyMDIzKSIsIm1hbnVhbE92ZXJyaWRlVGV4dCI6IihHaGltaXJlIGFuZCBCYXJkYWthLCAyMDIzKSJ9LCJjaXRhdGlvbkl0ZW1zIjpbeyJpZCI6IjZjYjIxYmU1LWJhYzktMzcxMC04NmEyLTg0M2JiNjhhZjc4NCIsIml0ZW1EYXRhIjp7InR5cGUiOiJhcnRpY2xlLWpvdXJuYWwiLCJpZCI6IjZjYjIxYmU1LWJhYzktMzcxMC04NmEyLTg0M2JiNjhhZjc4NCIsInRpdGxlIjoiQWN0aXZlIHRyYXZlbCBhbW9uZyBjYXJsZXNzIGFuZCBjYXItb3duaW5nIGxvdy1pbmNvbWUgcG9wdWxhdGlvbnMgaW4gdGhlIFVuaXRlZCBTdGF0ZXMiLCJhdXRob3IiOlt7ImZhbWlseSI6IkdoaW1pcmUiLCJnaXZlbiI6IlN1YmlkIiwicGFyc2UtbmFtZXMiOmZhbHNlLCJkcm9wcGluZy1wYXJ0aWNsZSI6IiIsIm5vbi1kcm9wcGluZy1wYXJ0aWNsZSI6IiJ9LHsiZmFtaWx5IjoiQmFyZGFrYSIsImdpdmVuIjoiRWxlbmkiLCJwYXJzZS1uYW1lcyI6ZmFsc2UsImRyb3BwaW5nLXBhcnRpY2xlIjoiIiwibm9uLWRyb3BwaW5nLXBhcnRpY2xlIjoiIn1dLCJjb250YWluZXItdGl0bGUiOiJUcmFuc3BvcnRhdGlvbiBSZXNlYXJjaCBQYXJ0IEQ6IFRyYW5zcG9ydCBhbmQgRW52aXJvbm1lbnQiLCJjb250YWluZXItdGl0bGUtc2hvcnQiOiJUcmFuc3AuIFJlcy4gRCBUcmFuc3AuIEVudmlyb24uIiwiRE9JIjoiMTAuMTAxNi9qLnRyZC4yMDIzLjEwMzYyNyIsIklTU04iOiIxMzYxOTIwOSIsImlzc3VlZCI6eyJkYXRlLXBhcnRzIjpbWzIwMjMsNCwxXV19LCJhYnN0cmFjdCI6Ikxvdy1pbmNvbWUgaG91c2Vob2xkcyBtYXkgcmVzb3J0IHRvIGN5Y2xpbmcgYW5kIHdhbGtpbmcgdG8gYWxsZXZpYXRlIHRyYXZlbCBjb3N0cy4gVXNpbmcgZGF0YSBmcm9tIHRoZSAyMDAxLCAyMDA5LCBhbmQgMjAxNyBOYXRpb25hbCBIb3VzZWhvbGQgVHJhdmVsIFN1cnZleXMsIHRoaXMgc3R1ZHkgZXhhbWluZXMgdGhlIHNwYXRpb3RlbXBvcmFsIGRpZmZlcmVuY2VzIGluIHRoZSB1c2Ugb2YgYWN0aXZlIHRyYXZlbCBhbW9uZyB0aHJlZSBzb2Npb2Vjb25vbWljIGdyb3VwcyBjbGFzc2lmaWVkIGJhc2VkIG9uIGhvdXNlaG9sZCBpbmNvbWUgYW5kIHZlaGljbGUgb3duZXJzaGlwLiBBZnRlciBjb250cm9sbGluZyBmb3IgYSBudW1iZXIgb2Ygb2JzZXJ2ZWQgYW5kIHVub2JzZXJ2ZWQgZmFjdG9ycywgd2UgZmluZCB0aGF0IGluZGl2aWR1YWxzIGluIGxvdy1pbmNvbWUsIGNhci1vd25pbmcgaG91c2Vob2xkcyBhcmUgYXNzb2NpYXRlZCB3aXRoIHVwIHRvIDE0JSBtb3JlIHdhbGtpbmcgdHJpcHMgYW5kIDMzJSBtb3JlIGN5Y2xpbmcgdHJpcHMgaW4gYSB3ZWVrIGNvbXBhcmVkIHRvIGhpZ2hlci1pbmNvbWUgaG91c2Vob2xkcywgb24gYXZlcmFnZS4gSG93ZXZlciwgaW4gdXJiYW4gYXJlYXMsIGhpZ2hlci1pbmNvbWUgaG91c2Vob2xkcyB1c2UgYWN0aXZlIHRyYXZlbCBzaWduaWZpY2FudGx5IG1vcmUgdGhhbiBsb3ctaW5jb21lLCBjYXItb3duaW5nIGhvdXNlaG9sZHMsIHdoaWxlIHRoZSBvcHBvc2l0ZSBob2xkcyBmb3Igc3VidXJiYW4gYW5kIHJ1cmFsIGFyZWFzLiBJbmRpdmlkdWFscyBsaXZpbmcgaW4gbG93LWluY29tZSwgY2FybGVzcyBob3VzZWhvbGRzIGFyZSBhc3NvY2lhdGVkIHdpdGggZXZlbiBoaWdoZXIgdXNlIG9mIGFjdGl2ZSB0cmF2ZWwuIFRoZXNlIHJlc3VsdHMgc3VnZ2VzdCB0aGF0IGFjdGl2ZSB0cmF2ZWwgaXMgdXNlZCwgdG8gc29tZSBleHRlbnQsIG91dCBvZiBuZWNlc3NpdHkgYW5kIGxhY2sgb2Ygb3RoZXIgdmlhYmxlIG9wdGlvbnMuIiwicHVibGlzaGVyIjoiRWxzZXZpZXIgTHRkIiwidm9sdW1lIjoiMTE3In0sImlzVGVtcG9yYXJ5IjpmYWxzZSwic3VwcHJlc3MtYXV0aG9yIjpmYWxzZSwiY29tcG9zaXRlIjpmYWxzZSwiYXV0aG9yLW9ubHkiOmZhbHNlfV19&quot;,&quot;citationItems&quot;:[{&quot;id&quot;:&quot;6cb21be5-bac9-3710-86a2-843bb68af784&quot;,&quot;itemData&quot;:{&quot;type&quot;:&quot;article-journal&quot;,&quot;id&quot;:&quot;6cb21be5-bac9-3710-86a2-843bb68af784&quot;,&quot;title&quot;:&quot;Active travel among carless and car-owning low-income populations in the United States&quot;,&quot;author&quot;:[{&quot;family&quot;:&quot;Ghimire&quot;,&quot;given&quot;:&quot;Subid&quot;,&quot;parse-names&quot;:false,&quot;dropping-particle&quot;:&quot;&quot;,&quot;non-dropping-particle&quot;:&quot;&quot;},{&quot;family&quot;:&quot;Bardaka&quot;,&quot;given&quot;:&quot;Eleni&quot;,&quot;parse-names&quot;:false,&quot;dropping-particle&quot;:&quot;&quot;,&quot;non-dropping-particle&quot;:&quot;&quot;}],&quot;container-title&quot;:&quot;Transportation Research Part D: Transport and Environment&quot;,&quot;container-title-short&quot;:&quot;Transp. Res. D Transp. Environ.&quot;,&quot;DOI&quot;:&quot;10.1016/j.trd.2023.103627&quot;,&quot;ISSN&quot;:&quot;13619209&quot;,&quot;issued&quot;:{&quot;date-parts&quot;:[[2023,4,1]]},&quot;abstract&quot;:&quot;Low-income households may resort to cycling and walking to alleviate travel costs. Using data from the 2001, 2009, and 2017 National Household Travel Surveys, this study examines the spatiotemporal differences in the use of active travel among three socioeconomic groups classified based on household income and vehicle ownership. After controlling for a number of observed and unobserved factors, we find that individuals in low-income, car-owning households are associated with up to 14% more walking trips and 33% more cycling trips in a week compared to higher-income households, on average. However, in urban areas, higher-income households use active travel significantly more than low-income, car-owning households, while the opposite holds for suburban and rural areas. Individuals living in low-income, carless households are associated with even higher use of active travel. These results suggest that active travel is used, to some extent, out of necessity and lack of other viable options.&quot;,&quot;publisher&quot;:&quot;Elsevier Ltd&quot;,&quot;volume&quot;:&quot;117&quot;},&quot;isTemporary&quot;:false,&quot;suppress-author&quot;:false,&quot;composite&quot;:false,&quot;author-only&quot;:false}]},{&quot;citationID&quot;:&quot;MENDELEY_CITATION_ba7db798-0093-44d7-a523-e098715ff886&quot;,&quot;properties&quot;:{&quot;noteIndex&quot;:0},&quot;isEdited&quot;:false,&quot;manualOverride&quot;:{&quot;isManuallyOverridden&quot;:false,&quot;citeprocText&quot;:&quot;(Carlson et al., 2021)&quot;,&quot;manualOverrideText&quot;:&quot;&quot;},&quot;citationTag&quot;:&quot;MENDELEY_CITATION_v3_eyJjaXRhdGlvbklEIjoiTUVOREVMRVlfQ0lUQVRJT05fYmE3ZGI3OTgtMDA5My00NGQ3LWE1MjMtZTA5ODcxNWZmODg2IiwicHJvcGVydGllcyI6eyJub3RlSW5kZXgiOjB9LCJpc0VkaXRlZCI6ZmFsc2UsIm1hbnVhbE92ZXJyaWRlIjp7ImlzTWFudWFsbHlPdmVycmlkZGVuIjpmYWxzZSwiY2l0ZXByb2NUZXh0IjoiKENhcmxzb24gZXQgYWwuLCAyMDIxKSIsIm1hbnVhbE92ZXJyaWRlVGV4dCI6IiJ9LCJjaXRhdGlvbkl0ZW1zIjpbeyJpZCI6IjVhMDI3MmJkLTBhNzEtMzI0OC1hZDNmLWJkNjI0NmZjZWY1NyIsIml0ZW1EYXRhIjp7InR5cGUiOiJhcnRpY2xlLWpvdXJuYWwiLCJpZCI6IjVhMDI3MmJkLTBhNzEtMzI0OC1hZDNmLWJkNjI0NmZjZWY1NyIsInRpdGxlIjoiQXNzb2NpYXRpb25zIGJldHdlZW4gcGVyY2VwdGlvbnMgYW5kIG1lYXN1cmVzIG9mIHdlYXRoZXIgYW5kIHdhbGtpbmcsIFVuaXRlZCBTdGF0ZXPigJQyMDE1IiwiYXV0aG9yIjpbeyJmYW1pbHkiOiJDYXJsc29uIiwiZ2l2ZW4iOiJTdXNhbiBBLiIsInBhcnNlLW5hbWVzIjpmYWxzZSwiZHJvcHBpbmctcGFydGljbGUiOiIiLCJub24tZHJvcHBpbmctcGFydGljbGUiOiIifSx7ImZhbWlseSI6IldoaXRmaWVsZCIsImdpdmVuIjoiR2VvZmZyZXkgUC4iLCJwYXJzZS1uYW1lcyI6ZmFsc2UsImRyb3BwaW5nLXBhcnRpY2xlIjoiIiwibm9uLWRyb3BwaW5nLXBhcnRpY2xlIjoiIn0seyJmYW1pbHkiOiJEYXZpcyIsImdpdmVuIjoiUnlhbiBULiIsInBhcnNlLW5hbWVzIjpmYWxzZSwiZHJvcHBpbmctcGFydGljbGUiOiIiLCJub24tZHJvcHBpbmctcGFydGljbGUiOiIifSx7ImZhbWlseSI6IlBldGVyc29uIiwiZ2l2ZW4iOiJFcmluIEwuIiwicGFyc2UtbmFtZXMiOmZhbHNlLCJkcm9wcGluZy1wYXJ0aWNsZSI6IiIsIm5vbi1kcm9wcGluZy1wYXJ0aWNsZSI6IiJ9LHsiZmFtaWx5IjoiRnVsdG9uIiwiZ2l2ZW4iOiJKYW5ldCBFLiIsInBhcnNlLW5hbWVzIjpmYWxzZSwiZHJvcHBpbmctcGFydGljbGUiOiIiLCJub24tZHJvcHBpbmctcGFydGljbGUiOiIifSx7ImZhbWlseSI6IkJlcnJpZ2FuIiwiZ2l2ZW4iOiJEYXZpZC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4MTY4Mzk4IiwiSVNTTiI6IjE2NjA0NjAxIiwiUE1JRCI6IjM0NDQ0MTQ4IiwiaXNzdWVkIjp7ImRhdGUtcGFydHMiOltbMjAyMSw4LDJdXX0sImFic3RyYWN0IjoiSW50cm9kdWN0aW9uOiBXZWF0aGVyIGNhbiBiZSBhIGJhcnJpZXIgdG8gd2Fsa2luZy4gVW5kZXJzdGFuZGluZyBob3cgcGVyY2VwdGlvbnMgb2Ygd2VhdGhlciBhcyBhIGJhcnJpZXIgYW5kIG1lYXN1cmVkIHRlbXBlcmF0dXJlIGFyZSBhc3NvY2lhdGVkIHdpdGggd2Fsa2luZyBjYW4gaW5mb3JtIG1vbml0b3ItaW5nIGFuZCBwcm9tb3Rpb24gc3RyYXRlZ2llcy4gVGhlIG9iamVjdGl2ZSBvZiB0aGlzIHN0dWR5IGlzIHRvIGV4YW1pbmUgdGhlIGFzc29jaWF0aW9uIGJldHdlZW4gcGVyY2VwdGlvbnMgb2Ygd2VhdGhlciBhcyBhIGJhcnJpZXIgdG8gd2Fsa2luZyBhbmQgbWVhc3VyZWQgd2VhdGhlciB3aXRoIHRoZSB2b2x1bWUgb2YgbGVpc3VyZSBhbmQgdHJhbnNwb3J0YXRpb24gd2Fsa2luZy4gTWV0aG9kczogVGhlIDIwMTUgTmF0aW9uYWwgSGVhbHRoIEludGVydmlldyBTdXJ2ZXkgKE5ISVMpIGFzc2Vzc2VkIHBhcnRpY2lwYXRpb24gaW4gYW5kIHZvbHVtZSBvZiB3YWxraW5nICh0cmFuc3BvcnRhdGlvbiwgbGVpc3VyZSkgaW4gdGhlIHBhc3Qgd2VlayBhbmQgZnJlcXVlbmN5IG9mIHJlcG9ydGluZyB3ZWF0aGVyIGFzIGEgYmFycmllciB0byB3YWxraW5nLiBEYXRhIHdlcmUgY29sbGVjdGVkIG92ZXIgdGhlIGVudGlyZSB5ZWFyLiBJbiAyMDE5LCB3ZSBtZXJnZWQgbW9udGgtc3BlY2lmaWMgdGVtcGVyYXR1cmUgZGF0YSBmcm9tIHRoZSBQUklTTSBjbGltYXRlIGdyb3VwIHdpdGggaW5kaXZpZHVhbCBOSElTIHJlY29yZHMuIFdlIGV4YW1pbmVkIGFzc29jaWF0aW9ucyB1c2luZyBsb2dpc3RpYyAocGFydGljaXBhdGlvbikgYW5kIGxpbmVhciByZWdyZXNzaW9uIG1vZGVscyAodm9sdW1lKS4gUmUtc3VsdHM6IFBhcnRpY2lwYXRpb24gaW4gd2Fsa2luZyBpbmNyZWFzZWQgYXMgZnJlcXVlbmN5IG9mIHJlcG9ydGluZyB3ZWF0aGVyIGFzIGEgYmFycmllciB0byB3YWxraW5nIGRlY3JlYXNlZCwgZnJvbSDigJhhbG1vc3QgYWx3YXlz4oCZICh0cmFuc3BvcnRhdGlvbjogMjMlLCBsZWlzdXJlOiA0MiUpIHRvIOKAmGEgbGl0dGxlIG9mIHRoZSB0aW1l4oCZICh0cmFuc3BvcnRhLXRpb246IDQwJSwgbGVpc3VyZTogNjclKS4gQW1vbmcgYWR1bHRzIHJlcG9ydGluZyB3YWxraW5nLCB3YWxraW5nIHZvbHVtZSBpbmNyZWFzZWQgYXMgZnJlcXVlbmN5IG9mIHJlcG9ydGluZyB3ZWF0aGVyIGFzIGEgYmFycmllciBkZWNyZWFzZWQgZnJvbSDigJhhbG1vc3QgYWx3YXlz4oCZICh0cmFuc3BvcnRhdGlvbjogNTEgbWluL3dlZWssIGxlaXN1cmU6IDY0IG1pbi93ZWVrKSB0byDigJhuZXZlcuKAmSAodHJhbnNwb3J0YXRpb246IDY5IG1pbi93ZWVrLCBsZWlzdXJlOiA5OCBtaW4vd2VlaykuIE1vbnRoLXNwZWNpZmljIHRlbXBlcmF0dXJlIHdhcyBzaWduaWZpY2FudGx5IGFzc29jaWF0ZWQgd2l0aCBsZWlzdXJlIHdhbGtpbmcgd2l0aCBsb3dlciBwYXJ0aWNpcGF0aW9uIGF0IHRoZSBsb3dlc3QgYW5kIGhpZ2hlc3QgdGVtcGVyYXR1cmUgcXVpbnRpbGVzLCBhbHRob3VnaCB0aGUgc3RyZW5ndGggb2YgdGhlIGFzc29jaWF0aW9uIGRpZmZlcmVkIGJ5IGZyZXF1ZW5jeSBvZiByZXBvcnRpbmcgd2VhdGhlciBhcyBhIGJhcnJpZXIuIENvbmNsdXNpb25zOiBJbiBnZW5lcmFsLCBwcmV2YWxlbmNlIGFuZCB2b2x1bWUgb2YgbGVpc3VyZSBhbmQgdHJhbnNwb3J0YXRpb24gd2Fsa2luZyBkZWNyZWFzZWQgYXMgdGhlIHBlcmNlcHRpb24gb2Ygd2VhdGhlciBhcyBhIGJhcnJpZXIgaW5jcmVhc2VkLiBMb3cgYW5kIGhpZ2ggdGVtcGVyYXR1cmUgY29uZGl0aW9ucyB3ZXJlIGFsc28gYXNzb2NpYXRlZCB3aXRoIGxlaXN1cmUgd2Fsa2luZyBwYXJ0aWNpcGF0aW9uLCBwYXJ0aWN1bGFybHkgYW1vbmcgYWR1bHRzIHdpdGggaW5jcmVhc2VkIHBlcmNlcHRpb25zIG9mIHdlYXRoZXIgYXMgYSBiYXJyaWVyLiBPdXIgZmluZGluZ3MgaGlnaGxpZ2h0IHRoZSBpbXBvcnRhbmNlIG9mIGluY2x1ZGluZyBzdHJhdGVnaWVzIHRvIGhlbHAgYWR1bHRzIG92ZXJjb21lIHBlcmNlaXZlZCBhbmQgYWN0dWFsIHdlYXRoZXItcmVsYXRlZCBiYXJyaWVycyBpbiB3YWxraW5nIHByb21vdGlvbiBlZmZvcnRzLiIsInB1Ymxpc2hlciI6Ik1EUEkiLCJpc3N1ZSI6IjE2Iiwidm9sdW1lIjoiMTgifSwiaXNUZW1wb3JhcnkiOmZhbHNlLCJzdXBwcmVzcy1hdXRob3IiOmZhbHNlLCJjb21wb3NpdGUiOmZhbHNlLCJhdXRob3Itb25seSI6ZmFsc2V9XX0=&quot;,&quot;citationItems&quot;:[{&quot;id&quot;:&quot;5a0272bd-0a71-3248-ad3f-bd6246fcef57&quot;,&quot;itemData&quot;:{&quot;type&quot;:&quot;article-journal&quot;,&quot;id&quot;:&quot;5a0272bd-0a71-3248-ad3f-bd6246fcef57&quot;,&quot;title&quot;:&quot;Associations between perceptions and measures of weather and walking, United States—2015&quot;,&quot;author&quot;:[{&quot;family&quot;:&quot;Carlson&quot;,&quot;given&quot;:&quot;Susan A.&quot;,&quot;parse-names&quot;:false,&quot;dropping-particle&quot;:&quot;&quot;,&quot;non-dropping-particle&quot;:&quot;&quot;},{&quot;family&quot;:&quot;Whitfield&quot;,&quot;given&quot;:&quot;Geoffrey P.&quot;,&quot;parse-names&quot;:false,&quot;dropping-particle&quot;:&quot;&quot;,&quot;non-dropping-particle&quot;:&quot;&quot;},{&quot;family&quot;:&quot;Davis&quot;,&quot;given&quot;:&quot;Ryan T.&quot;,&quot;parse-names&quot;:false,&quot;dropping-particle&quot;:&quot;&quot;,&quot;non-dropping-particle&quot;:&quot;&quot;},{&quot;family&quot;:&quot;Peterson&quot;,&quot;given&quot;:&quot;Erin L.&quot;,&quot;parse-names&quot;:false,&quot;dropping-particle&quot;:&quot;&quot;,&quot;non-dropping-particle&quot;:&quot;&quot;},{&quot;family&quot;:&quot;Fulton&quot;,&quot;given&quot;:&quot;Janet E.&quot;,&quot;parse-names&quot;:false,&quot;dropping-particle&quot;:&quot;&quot;,&quot;non-dropping-particle&quot;:&quot;&quot;},{&quot;family&quot;:&quot;Berrigan&quot;,&quot;given&quot;:&quot;David&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8168398&quot;,&quot;ISSN&quot;:&quot;16604601&quot;,&quot;PMID&quot;:&quot;34444148&quot;,&quot;issued&quot;:{&quot;date-parts&quot;:[[2021,8,2]]},&quot;abstract&quot;:&quot;Introduction: Weather can be a barrier to walking. Understanding how perceptions of weather as a barrier and measured temperature are associated with walking can inform monitor-ing and promotion strategies. The objective of this study is to examine the association between perceptions of weather as a barrier to walking and measured weather with the volume of leisure and transportation walking. Methods: The 2015 National Health Interview Survey (NHIS) assessed participation in and volume of walking (transportation, leisure) in the past week and frequency of reporting weather as a barrier to walking. Data were collected over the entire year. In 2019, we merged month-specific temperature data from the PRISM climate group with individual NHIS records. We examined associations using logistic (participation) and linear regression models (volume). Re-sults: Participation in walking increased as frequency of reporting weather as a barrier to walking decreased, from ‘almost always’ (transportation: 23%, leisure: 42%) to ‘a little of the time’ (transporta-tion: 40%, leisure: 67%). Among adults reporting walking, walking volume increased as frequency of reporting weather as a barrier decreased from ‘almost always’ (transportation: 51 min/week, leisure: 64 min/week) to ‘never’ (transportation: 69 min/week, leisure: 98 min/week). Month-specific temperature was significantly associated with leisure walking with lower participation at the lowest and highest temperature quintiles, although the strength of the association differed by frequency of reporting weather as a barrier. Conclusions: In general, prevalence and volume of leisure and transportation walking decreased as the perception of weather as a barrier increased. Low and high temperature conditions were also associated with leisure walking participation, particularly among adults with increased perceptions of weather as a barrier. Our findings highlight the importance of including strategies to help adults overcome perceived and actual weather-related barriers in walking promotion efforts.&quot;,&quot;publisher&quot;:&quot;MDPI&quot;,&quot;issue&quot;:&quot;16&quot;,&quot;volume&quot;:&quot;18&quot;},&quot;isTemporary&quot;:false,&quot;suppress-author&quot;:false,&quot;composite&quot;:false,&quot;author-only&quot;:false}]},{&quot;citationID&quot;:&quot;MENDELEY_CITATION_5b351216-daa5-477d-baa3-6ff6230f2225&quot;,&quot;properties&quot;:{&quot;noteIndex&quot;:0},&quot;isEdited&quot;:false,&quot;manualOverride&quot;:{&quot;isManuallyOverridden&quot;:true,&quot;citeprocText&quot;:&quot;(Mitra &amp;#38; Saphores, 2017)&quot;,&quot;manualOverrideText&quot;:&quot;(Mitra and Saphores, 2017)&quot;},&quot;citationTag&quot;:&quot;MENDELEY_CITATION_v3_eyJjaXRhdGlvbklEIjoiTUVOREVMRVlfQ0lUQVRJT05fNWIzNTEyMTYtZGFhNS00NzdkLWJhYTMtNmZmNjIzMGYyMjI1IiwicHJvcGVydGllcyI6eyJub3RlSW5kZXgiOjB9LCJpc0VkaXRlZCI6ZmFsc2UsIm1hbnVhbE92ZXJyaWRlIjp7ImlzTWFudWFsbHlPdmVycmlkZGVuIjp0cnVlLCJjaXRlcHJvY1RleHQiOiIoTWl0cmEgJiMzODsgU2FwaG9yZXMsIDIwMTcpIiwibWFudWFsT3ZlcnJpZGVUZXh0IjoiKE1pdHJhIGFuZCBTYXBob3JlcywgMjAxNykifSwiY2l0YXRpb25JdGVtcyI6W3siaWQiOiJmODJiYjlmZi04MTNhLTNiMjAtYmQzNS0xZTY1NzZhYzA2NjIiLCJpdGVtRGF0YSI6eyJ0eXBlIjoiYXJ0aWNsZS1qb3VybmFsIiwiaWQiOiJmODJiYjlmZi04MTNhLTNiMjAtYmQzNS0xZTY1NzZhYzA2NjIiLCJ0aXRsZSI6IkNhcmxlc3MgaW4gQ2FsaWZvcm5pYTogR3JlZW4gY2hvaWNlIG9yIG1pc2VyeT8iLCJhdXRob3IiOlt7ImZhbWlseSI6Ik1pdHJhIiwiZ2l2ZW4iOiJTdW1hbiBLLiIsInBhcnNlLW5hbWVzIjpmYWxzZSwiZHJvcHBpbmctcGFydGljbGUiOiIiLCJub24tZHJvcHBpbmctcGFydGljbGUiOiIifSx7ImZhbWlseSI6IlNhcGhvcmVzIiwiZ2l2ZW4iOiJKZWFuIERhbmllbCBNLiIsInBhcnNlLW5hbWVzIjpmYWxzZSwiZHJvcHBpbmctcGFydGljbGUiOiIiLCJub24tZHJvcHBpbmctcGFydGljbGUiOiIifV0sImNvbnRhaW5lci10aXRsZSI6IkpvdXJuYWwgb2YgVHJhbnNwb3J0IEdlb2dyYXBoeSIsImNvbnRhaW5lci10aXRsZS1zaG9ydCI6IkouIFRyYW5zcC4gR2VvZ3IuIiwiRE9JIjoiMTAuMTAxNi9qLmp0cmFuZ2VvLjIwMTcuMDkuMDE2IiwiSVNTTiI6IjA5NjY2OTIzIiwiaXNzdWVkIjp7ImRhdGUtcGFydHMiOltbMjAxNywxMiwxXV19LCJwYWdlIjoiMS0xMiIsImFic3RyYWN0IjoiQXBwcm94aW1hdGVseSAxIG1pbGxpb24gQ2FsaWZvcm5pYW4gaG91c2Vob2xkcyBkbyBub3Qgb3duIGEgbW90b3IgdmVoaWNsZSAoaGVyZWFmdGVyIGEg4oCcY2Fy4oCdKS4gVGhlc2UgaG91c2Vob2xkcywgd2hvIGFyZSBvZnRlbiBmb3Jnb3R0ZW4gaW4gdHJhbnNwb3J0YXRpb24gcG9saWN5IGRpc2N1c3Npb25zLCBjYW4gYmUgb3JnYW5pemVkIGludG8gdHdvIGdyb3VwcyBiYXNlZCBvbiB3aGV0aGVyIHRoZXkgYXJlIHZvbHVudGFyaWx5IGNhcmxlc3Mgb3Igbm90LiBVbmRlcnN0YW5kaW5nIHdoeSBzb21lIGhvdXNlaG9sZHMgZGVjaWRlIHRvIHZvbHVudGFyaWx5IGZvcmdvIGNhcnMgY291bGQgaW5mb3JtIHBvbGljaWVzIGFpbWluZyBhdCByZWR1Y2luZyBvdXIgZGVwZW5kZW5jeSBvbiBjYXJzLiBVbmRlcnN0YW5kaW5nIHRoZSBwbGlnaHQgb2YgaG91c2Vob2xkcyB3aG8gYXJlIG5vdCBhYmxlIHRvIG93biBhIGNhciBpcyBubyBsZXNzIGltcG9ydGFudCBhcyB0aGVzZSBob3VzZWhvbGRzIGFyZSBhdCBncmVhdGVyIHJpc2sgb2Ygc29jaWFsIGV4Y2x1c2lvbi4gVW5mb3J0dW5hdGVseSwgb3VyIGtub3dsZWRnZSBvZiBjYXJsZXNzIGhvdXNlaG9sZHMgaXMgc3RpbGwgc2tldGNoeSBzbyB0aGUgcHVycG9zZSBvZiB0aGlzIHBhcGVyIGlzIHRvIHN0YXJ0IGZpbGxpbmcgdGhpcyBnYXAuIFdlIGFuYWx5emUgZGF0YSBmcm9tIHRoZSAyMDEyIENhbGlmb3JuaWEgSG91c2Vob2xkIFRyYXZlbCBTdXJ2ZXkgdXNpbmcgdW5pdmFyaWF0ZSB0ZXN0cyBhbmQgR2VuZXJhbGl6ZWQgU3RydWN0dXJhbCBFcXVhdGlvbiBNb2RlbHMgKEdTRU0pIHRoYXQgYWNjb3VudCBmb3IgcmVzaWRlbnRpYWwgc2VsZi1zZWxlY3Rpb24gdG8gYXNzZXNzIHRoZSBpbXBhY3RzIG9mIHZhcmlvdXMgc29jaW8tZWNvbm9taWMgYW5kIGJ1aWx0IGVudmlyb25tZW50IHZhcmlhYmxlcyBvbiB0aGUgbGlrZWxpaG9vZCB0byBiZSBjYXJsZXNzLCB2b2x1bnRhcmlseSBvciBub3QuIE91ciByZXN1bHRzIChHU0VNIE1vZGVsIDEpIGluZGljYXRlIHRoYXQgY2FybGVzcyBob3VzZWhvbGRzIGFyZSBtb3JlIGxpa2VseSB0byBoYXZlIGxlc3MgZWR1Y2F0aW9uLCBhIGxvd2VyIGluY29tZSwgYW5kIGEgc21hbGxlciBudW1iZXIgb2YgbWVtYmVycyB0aGFuIG1vdG9yaXplZCBmYW1pbGllcy4gVGhleSBhbHNvIHRlbmQgdG8gbGl2ZSBpbiBkZW5zZXIsIG1vcmUgbGFuZC11c2UgZGl2ZXJzZSwgYW5kIG1vcmUgd2Fsa2FibGUgYXJlYXMgd2l0aCBiZXR0ZXIgdHJhbnNpdCBjb3ZlcmFnZS4gQ29udHJhc3Rpbmcgdm9sdW50YXJpbHkgYW5kIGludm9sdW50YXJpbHkgY2FybGVzcyBob3VzZWhvbGRzIChHU0VNIE1vZGVsIDMpLCB3ZSBmaW5kIHRoYXQgaW52b2x1bnRhcmlseSBjYXJsZXNzIGhvdXNlaG9sZHMgYXJlIGxlc3MgYWZmbHVlbnQgb24gYXZlcmFnZSBhbmQgdGhleSB0ZW5kIHRvIGxpdmUgaW4gYXJlYXMgdGhhdCBhcmUgbGVzcyBsYW5kLXVzZSBkaXZlcnNlLCBsZXNzIHdhbGthYmxlLCBhbmQgd2l0aCB3b3JzZSB0cmFuc2l0IGNvdmVyYWdlLiBGaW5hbGx5LCBhbHRob3VnaCByZXNpZGVudGlhbCBzZWxmLXNlbGVjdGlvbiBpcyBwcmVzZW50LCBpdHMgaW1wYWN0cyBhcmUgbWlub3IuIiwicHVibGlzaGVyIjoiRWxzZXZpZXIgTHRkIiwidm9sdW1lIjoiNjUifSwiaXNUZW1wb3JhcnkiOmZhbHNlLCJzdXBwcmVzcy1hdXRob3IiOmZhbHNlLCJjb21wb3NpdGUiOmZhbHNlLCJhdXRob3Itb25seSI6ZmFsc2V9XX0=&quot;,&quot;citationItems&quot;:[{&quot;id&quot;:&quot;f82bb9ff-813a-3b20-bd35-1e6576ac0662&quot;,&quot;itemData&quot;:{&quot;type&quot;:&quot;article-journal&quot;,&quot;id&quot;:&quot;f82bb9ff-813a-3b20-bd35-1e6576ac0662&quot;,&quot;title&quot;:&quot;Carless in California: Green choice or misery?&quot;,&quot;author&quot;:[{&quot;family&quot;:&quot;Mitra&quot;,&quot;given&quot;:&quot;Suman K.&quot;,&quot;parse-names&quot;:false,&quot;dropping-particle&quot;:&quot;&quot;,&quot;non-dropping-particle&quot;:&quot;&quot;},{&quot;family&quot;:&quot;Saphores&quot;,&quot;given&quot;:&quot;Jean Daniel M.&quot;,&quot;parse-names&quot;:false,&quot;dropping-particle&quot;:&quot;&quot;,&quot;non-dropping-particle&quot;:&quot;&quot;}],&quot;container-title&quot;:&quot;Journal of Transport Geography&quot;,&quot;container-title-short&quot;:&quot;J. Transp. Geogr.&quot;,&quot;DOI&quot;:&quot;10.1016/j.jtrangeo.2017.09.016&quot;,&quot;ISSN&quot;:&quot;09666923&quot;,&quot;issued&quot;:{&quot;date-parts&quot;:[[2017,12,1]]},&quot;page&quot;:&quot;1-12&quot;,&quot;abstract&quot;:&quot;Approximately 1 million Californian households do not own a motor vehicle (hereafter a “car”). These households, who are often forgotten in transportation policy discussions, can be organized into two groups based on whether they are voluntarily carless or not. Understanding why some households decide to voluntarily forgo cars could inform policies aiming at reducing our dependency on cars. Understanding the plight of households who are not able to own a car is no less important as these households are at greater risk of social exclusion. Unfortunately, our knowledge of carless households is still sketchy so the purpose of this paper is to start filling this gap. We analyze data from the 2012 California Household Travel Survey using univariate tests and Generalized Structural Equation Models (GSEM) that account for residential self-selection to assess the impacts of various socio-economic and built environment variables on the likelihood to be carless, voluntarily or not. Our results (GSEM Model 1) indicate that carless households are more likely to have less education, a lower income, and a smaller number of members than motorized families. They also tend to live in denser, more land-use diverse, and more walkable areas with better transit coverage. Contrasting voluntarily and involuntarily carless households (GSEM Model 3), we find that involuntarily carless households are less affluent on average and they tend to live in areas that are less land-use diverse, less walkable, and with worse transit coverage. Finally, although residential self-selection is present, its impacts are minor.&quot;,&quot;publisher&quot;:&quot;Elsevier Ltd&quot;,&quot;volume&quot;:&quot;65&quot;},&quot;isTemporary&quot;:false,&quot;suppress-author&quot;:false,&quot;composite&quot;:false,&quot;author-only&quot;:false}]},{&quot;citationID&quot;:&quot;MENDELEY_CITATION_988b267e-4eb1-4a0a-877b-4a4994c9cf1a&quot;,&quot;properties&quot;:{&quot;noteIndex&quot;:0},&quot;isEdited&quot;:false,&quot;manualOverride&quot;:{&quot;isManuallyOverridden&quot;:true,&quot;citeprocText&quot;:&quot;(Blumenberg &amp;#38; King, 2024; Saelens &amp;#38; Handy, 2008)&quot;,&quot;manualOverrideText&quot;:&quot;(Saelens and Handy, 2008; Blumenberg and King, 2024)&quot;},&quot;citationTag&quot;:&quot;MENDELEY_CITATION_v3_eyJjaXRhdGlvbklEIjoiTUVOREVMRVlfQ0lUQVRJT05fOTg4YjI2N2UtNGViMS00YTBhLTg3N2ItNGE0OTk0YzljZjFhIiwicHJvcGVydGllcyI6eyJub3RlSW5kZXgiOjB9LCJpc0VkaXRlZCI6ZmFsc2UsIm1hbnVhbE92ZXJyaWRlIjp7ImlzTWFudWFsbHlPdmVycmlkZGVuIjp0cnVlLCJjaXRlcHJvY1RleHQiOiIoQmx1bWVuYmVyZyAmIzM4OyBLaW5nLCAyMDI0OyBTYWVsZW5zICYjMzg7IEhhbmR5LCAyMDA4KSIsIm1hbnVhbE92ZXJyaWRlVGV4dCI6IihTYWVsZW5zIGFuZCBIYW5keSwgMjAwODsgQmx1bWVuYmVyZyBhbmQgS2luZywgMjAyNCkifSwiY2l0YXRpb25JdGVtcyI6W3siaWQiOiI2ZDQ4MjdjMi00OWI5LTM1YzEtOTM2Ny03Y2UxNjFkNTVlZDYiLCJpdGVtRGF0YSI6eyJ0eXBlIjoiYXJ0aWNsZS1qb3VybmFsIiwiaWQiOiI2ZDQ4MjdjMi00OWI5LTM1YzEtOTM2Ny03Y2UxNjFkNTVlZDYiLCJ0aXRsZSI6IllvdW5nIHdvcmtlcnMsIGpvYnMtaG91c2luZyBiYWxhbmNlLCBhbmQgY29tbXV0ZSBkaXN0YW5jZTogRmluZGluZ3MgZnJvbSB0d28gaGlnaC1ob3VzaW5nLWNvc3QgVS5TLiByZWdpb25zIiwiYXV0aG9yIjpbeyJmYW1pbHkiOiJCbHVtZW5iZXJnIiwiZ2l2ZW4iOiJFdmVseW4iLCJwYXJzZS1uYW1lcyI6ZmFsc2UsImRyb3BwaW5nLXBhcnRpY2xlIjoiIiwibm9uLWRyb3BwaW5nLXBhcnRpY2xlIjoiIn0seyJmYW1pbHkiOiJLaW5nIiwiZ2l2ZW4iOiJIYW5uYWgiLCJwYXJzZS1uYW1lcyI6ZmFsc2UsImRyb3BwaW5nLXBhcnRpY2xlIjoiIiwibm9uLWRyb3BwaW5nLXBhcnRpY2xlIjoiIn1dLCJjb250YWluZXItdGl0bGUiOiJDaXRpZXMiLCJhY2Nlc3NlZCI6eyJkYXRlLXBhcnRzIjpbWzIwMjYsNywxXV19LCJET0kiOiIxMC4xMDE2L2ouY2l0aWVzLjIwMjQuMTA0ODQyIiwiSVNTTiI6IjAyNjQtMjc1MSIsIlVSTCI6Imh0dHBzOi8vd3d3LnNjaWVuY2VkaXJlY3QuY29tL3NjaWVuY2UvYXJ0aWNsZS9waWkvUzAyNjQyNzUxMjQwMDA1NjgiLCJpc3N1ZWQiOnsiZGF0ZS1wYXJ0cyI6W1syMDI0LDQsMV1dfSwicGFnZSI6IjEwNDg0MiIsImFic3RyYWN0IjoiQW5lY2RvdGFsIGV2aWRlbmNlIHN1Z2dlc3RzIHRoYXQgdGhlIGFmZm9yZGFibGUgaG91c2luZyBjcmlzaXMgaXMgZm9yY2luZyBob3VzZWhvbGRzIGluIGxhcmdlLCBwcmltYXJpbHkgY29hc3RhbCBVLlMuIG1ldHJvcG9saXRhbiBhcmVhcyB0byBzZWVrIGxvd2VyIGNvc3QgaG91c2luZyBpbiBwZXJpcGhlcmFsIG5laWdoYm9yaG9vZHMgZGlzdGFudCBmcm9tIGRvd250b3duLCBoZWxwaW5nIHRvIGV4cGxhaW4gcmVjZW50IGluY3JlYXNlcyBpbiBjb21tdXRlIGRpc3RhbmNlLiBJbiB0aGlzIHN0dWR5IHdlIGV4YW1pbmUgd2hldGhlciB0aGUgcmVsYXRpdmUgYXZhaWxhYmlsaXR5IG9mIGhvdXNpbmcgaW4gY2xvc2UgcHJveGltaXR5IHRvIGpvYnMgKGpvYnMtaG91c2luZyBiYWxhbmNlKSBpcyBhc3NvY2lhdGVkIHdpdGggdGhlIGNvbW11dGUgZGlzdGFuY2Ugb2YgeW91bmcgd29ya2VycyAod29ya2VycyB1bmRlciAzMCksIG1hbnkgb2Ygd2hvbSBhcmUgcmVsYXRpdmVseSBuZXcgdG8gdGhlIGxhYm9yIG1hcmtldC4gV2UgZHJhdyBvbiBkYXRhIGZyb20gdHdvIGhpZ2gtY29zdCBtZXRyb3BvbGl0YW4gYXJlYXMgaW4gQ2FsaWZvcm5pYSwgTG9zIEFuZ2VsZXMgYW5kIHRoZSBTYW4gRnJhbmNpc2NvIEJheSBBcmVhLiBXZSBmaW5kIHRoYXQgY29tbXV0ZSBkaXN0YW5jZXMgYXJlIGxvbmdlciBmb3IgYm90aCB5b3VuZ2VyIGFuZCBvbGRlciBhZHVsdHMgaW4gbmVpZ2hib3Job29kcyB3aGVyZSB0aGVyZSBhcmUgbW9yZSBqb2JzIHJlbGF0aXZlIHRvIGhvdXNpbmcuIERlc3BpdGUgdGhlIGdyb3dpbmcgYWZmb3JkYWJsZSBob3VzaW5nIGNyaXNpcyBpbiB0aGUgc3RhdGUsIHRoZSBzdHJlbmd0aCBvZiB0aGlzIHJlbGF0aW9uc2hpcCBkaWQgbm90IGNoYW5nZSBvdmVyIHRpbWUgaW4gZWl0aGVyIHJlZ2lvbi4gSG93ZXZlciwgYXMgd2UgbWlnaHQgZXhwZWN0LCBqb2JzLWhvdXNpbmcgYmFsYW5jZSBpcyBtb3JlIHN0cm9uZ2x5IGFzc29jaWF0ZWQgd2l0aCBjb21tdXRlIGRpc3RhbmNlIGluIHRoZSBTYW4gRnJhbmNpc2NvIEJheSBBcmVh4oCUd2hlcmUgaG91c2luZyBpcyBtb3JlIGNvbnN0cmFpbmVkIGFuZCBleHBlbnNpdmXigJR0aGFuIGluIExvcyBBbmdlbGVzLiBUaGUgZmluZGluZ3Mgc3VnZ2VzdCB0aGUgaW1wb3J0YW5jZSBvZiBwb2xpY2llcyB0byBncmVhdGx5IGVuaGFuY2UgaG91c2luZyBhdmFpbGFiaWxpdHkgaW4gaGlnaC1jb3N0IG1ldHJvcG9saXRhbiBhcmVhcy4gVGhleSBhbHNvIHVuZGVyc2NvcmUgdGhlIG5lZWQgdG8gZ28gYmV5b25kIGhvdXNpbmcgcG9saWN5IGluIGVmZm9ydHMgdG8gc2lnbmlmaWNhbnRseSBpbmNyZWFzZSBhY2Nlc3MgdG8gZW1wbG95bWVudCBhbmQgcmVkdWNlIHRyYXZlbC4iLCJwdWJsaXNoZXIiOiJQZXJnYW1vbiIsInZvbHVtZSI6IjE0NyIsImNvbnRhaW5lci10aXRsZS1zaG9ydCI6IiJ9LCJpc1RlbXBvcmFyeSI6ZmFsc2V9LHsiaWQiOiI3ZjE1MjRmZS04NTNiLTNhMjMtYThjMS1kNzY2NGI1YmI2ZDUiLCJpdGVtRGF0YSI6eyJ0eXBlIjoiYXJ0aWNsZS1qb3VybmFsIiwiaWQiOiI3ZjE1MjRmZS04NTNiLTNhMjMtYThjMS1kNzY2NGI1YmI2ZDUiLCJ0aXRsZSI6IkJ1aWx0IGVudmlyb25tZW50IGNvcnJlbGF0ZXMgb2Ygd2Fsa2luZzogYSByZXZpZXciLCJhdXRob3IiOlt7ImZhbWlseSI6IlNhZWxlbnMiLCJnaXZlbiI6IkJyaWFuIEUuIiwicGFyc2UtbmFtZXMiOmZhbHNlLCJkcm9wcGluZy1wYXJ0aWNsZSI6IiIsIm5vbi1kcm9wcGluZy1wYXJ0aWNsZSI6IiJ9LHsiZmFtaWx5IjoiSGFuZHkiLCJnaXZlbiI6IlN1c2FuIEwuIiwicGFyc2UtbmFtZXMiOmZhbHNlLCJkcm9wcGluZy1wYXJ0aWNsZSI6IiIsIm5vbi1kcm9wcGluZy1wYXJ0aWNsZSI6IiJ9XSwiY29udGFpbmVyLXRpdGxlIjoiTWVkaWNpbmUgYW5kIHNjaWVuY2UgaW4gc3BvcnRzIGFuZCBleGVyY2lzZSIsImFjY2Vzc2VkIjp7ImRhdGUtcGFydHMiOltbMjAyNiw0LDFdXX0sIkRPSSI6IjEwLjEyNDkvTVNTLjBiMDEzZTMxODE3YzY3YTQiLCJJU1NOIjoiMDE5NS05MTMxIiwiUE1JRCI6IjE4NTYyOTczIiwiVVJMIjoiaHR0cHM6Ly9wdWJtZWQubmNiaS5ubG0ubmloLmdvdi8xODU2Mjk3My8iLCJpc3N1ZWQiOnsiZGF0ZS1wYXJ0cyI6W1syMDA4XV19LCJhYnN0cmFjdCI6IkludHJvZHVjdGlvbjogVGhlIHBhc3QgZGVjYWRlIGhhcyBzZWVuIGEgZHJhbWF0aWMgaW5jcmVhc2UgaW4gZW1waXJpY2FsIGludmVzdGlnYXRpb24gaW50byB0aGUgcmVsYXRpb25zIGJldHdlZW4gYnVpbHQgZW52aXJvbm1lbnQgYW5kIHBoeXNpY2FsIGFjdGl2aXR5LiBUbyBjcmVhdGUgcGxhY2VzIHRoYXQgZmFjaWxpdGF0ZSBhbmQgZW5jb3VyYWdlIHdhbGtpbmcsIHByYWN0aXRpb25lcnMgbmVlZCBhbiB1bmRlcnN0YW5kaW5nIG9mIHRoZSBzcGVjaWZpYyBjaGFyYWN0ZXJpc3RpY3Mgb2YgdGhlIGJ1aWx0IGVudmlyb25tZW50IHRoYXQgY29ycmVsYXRlIG1vc3Qgc3Ryb25nbHkgd2l0aCB3YWxraW5nLiBUaGlzIGFydGljbGUgcmV2aWV3cyBldmlkZW5jZSBvbiB0aGUgYnVpbHQgZW52aXJvbm1lbnQgY29ycmVsYXRlcyB3aXRoIHdhbGtpbmcuIE1ldGhvZDogSW5jbHVkZWQgaW4gdGhpcyByZXZpZXcgd2VyZSAxMyByZXZpZXdzIHB1Ymxpc2hlZCBiZXR3ZWVuIDIwMDIgYW5kIDIwMDYgYW5kIDI5IG9yaWdpbmFsIHN0dWRpZXMgcHVibGlzaGVkIGluIDIwMDUgYW5kIHVwIHRocm91Z2ggTWF5IDIwMDYuIFJlc3VsdHMgd2VyZSBzdW1tYXJpemVkIGJhc2VkIG9uIHNwZWNpZmljIGNoYXJhY3RlcmlzdGljcyBvZiB0aGUgYnVpbHQgZW52aXJvbm1lbnQgYW5kIHRyYW5zcG9ydGF0aW9uIHdhbGtpbmcgdmVyc3VzIHJlY3JlYXRpb25hbCB3YWxraW5nLiBSZXN1bHRzOiBQcmV2aW91cyByZXZpZXdzIGFuZCBuZXdlciBzdHVkaWVzIGRvY3VtZW50IGNvbnNpc3RlbnQgcG9zaXRpdmUgcmVsYXRpb25zIGJldHdlZW4gd2Fsa2luZyBmb3IgdHJhbnNwb3J0YXRpb24gYW5kIGRlbnNpdHksIGRpc3RhbmNlIHRvIG5vbnJlc2lkZW50aWFsIGRlc3RpbmF0aW9ucywgYW5kIGxhbmQgdXNlIG1peDsgZmluZGluZ3MgZm9yIHJvdXRlL25ldHdvcmsgY29ubmVjdGl2aXR5LCBwYXJrcyBhbmQgb3BlbiBzcGFjZSwgYW5kIHBlcnNvbmFsIHNhZmV0eSBhcmUgbW9yZSBlcXVpdm9jYWwuIFJlc3VsdHMgcmVnYXJkaW5nIHJlY3JlYXRpb25hbCB3YWxraW5nIHdlcmUgbGVzcyBjbGVhci4gQ29uY2x1c2lvbnM6IE1vcmUgcmVjZW50IGV2aWRlbmNlIHN1cHBvcnRzIHRoZSBjb25jbHVzaW9ucyBvZiBwcmlvciByZXZpZXdzLCBhbmQgbmV3IHN0dWRpZXMgYWRkcmVzcyBzb21lIG9mIHRoZSBsaW1pdGF0aW9ucyBvZiBlYXJsaWVyIHN0dWRpZXMuIEFsdGhvdWdoIHByb3NwZWN0aXZlIHN0dWRpZXMgYXJlIG5lZWRlZCwgZXZpZGVuY2Ugb24gY29ycmVsYXRlcyBhcHBlYXJzIHN1ZmZpY2llbnQgdG8gc3VwcG9ydCBwb2xpY3kgY2hhbmdlcy4gQ29weXJpZ2h0IMKpIDIwMDggYnkgdGhlIEFtZXJpY2FuIENvbGxlZ2Ugb2YgU3BvcnRzIE1lZGljaW5lLiIsInB1Ymxpc2hlciI6Ik1lZCBTY2kgU3BvcnRzIEV4ZXJjIiwiaXNzdWUiOiI3IFN1cHBsIiwidm9sdW1lIjoiNDAiLCJjb250YWluZXItdGl0bGUtc2hvcnQiOiJNZWQuIFNjaS4gU3BvcnRzIEV4ZXJjLiJ9LCJpc1RlbXBvcmFyeSI6ZmFsc2V9XX0=&quot;,&quot;citationItems&quot;:[{&quot;id&quot;:&quot;6d4827c2-49b9-35c1-9367-7ce161d55ed6&quot;,&quot;itemData&quot;:{&quot;type&quot;:&quot;article-journal&quot;,&quot;id&quot;:&quot;6d4827c2-49b9-35c1-9367-7ce161d55ed6&quot;,&quot;title&quot;:&quot;Young workers, jobs-housing balance, and commute distance: Findings from two high-housing-cost U.S. regions&quot;,&quot;author&quot;:[{&quot;family&quot;:&quot;Blumenberg&quot;,&quot;given&quot;:&quot;Evelyn&quot;,&quot;parse-names&quot;:false,&quot;dropping-particle&quot;:&quot;&quot;,&quot;non-dropping-particle&quot;:&quot;&quot;},{&quot;family&quot;:&quot;King&quot;,&quot;given&quot;:&quot;Hannah&quot;,&quot;parse-names&quot;:false,&quot;dropping-particle&quot;:&quot;&quot;,&quot;non-dropping-particle&quot;:&quot;&quot;}],&quot;container-title&quot;:&quot;Cities&quot;,&quot;accessed&quot;:{&quot;date-parts&quot;:[[2026,7,1]]},&quot;DOI&quot;:&quot;10.1016/j.cities.2024.104842&quot;,&quot;ISSN&quot;:&quot;0264-2751&quot;,&quot;URL&quot;:&quot;https://www.sciencedirect.com/science/article/pii/S0264275124000568&quot;,&quot;issued&quot;:{&quot;date-parts&quot;:[[2024,4,1]]},&quot;page&quot;:&quot;104842&quot;,&quot;abstract&quot;:&quot;Anecdotal evidence suggests that the affordable housing crisis is forcing households in large, primarily coastal U.S. metropolitan areas to seek lower cost housing in peripheral neighborhoods distant from downtown, helping to explain recent increases in commute distance. In this study we examine whether the relative availability of housing in close proximity to jobs (jobs-housing balance) is associated with the commute distance of young workers (workers under 30), many of whom are relatively new to the labor market. We draw on data from two high-cost metropolitan areas in California, Los Angeles and the San Francisco Bay Area. We find that commute distances are longer for both younger and older adults in neighborhoods where there are more jobs relative to housing. Despite the growing affordable housing crisis in the state, the strength of this relationship did not change over time in either region. However, as we might expect, jobs-housing balance is more strongly associated with commute distance in the San Francisco Bay Area—where housing is more constrained and expensive—than in Los Angeles. The findings suggest the importance of policies to greatly enhance housing availability in high-cost metropolitan areas. They also underscore the need to go beyond housing policy in efforts to significantly increase access to employment and reduce travel.&quot;,&quot;publisher&quot;:&quot;Pergamon&quot;,&quot;volume&quot;:&quot;147&quot;,&quot;container-title-short&quot;:&quot;&quot;},&quot;isTemporary&quot;:false},{&quot;id&quot;:&quot;7f1524fe-853b-3a23-a8c1-d7664b5bb6d5&quot;,&quot;itemData&quot;:{&quot;type&quot;:&quot;article-journal&quot;,&quot;id&quot;:&quot;7f1524fe-853b-3a23-a8c1-d7664b5bb6d5&quot;,&quot;title&quot;:&quot;Built environment correlates of walking: a review&quot;,&quot;author&quot;:[{&quot;family&quot;:&quot;Saelens&quot;,&quot;given&quot;:&quot;Brian E.&quot;,&quot;parse-names&quot;:false,&quot;dropping-particle&quot;:&quot;&quot;,&quot;non-dropping-particle&quot;:&quot;&quot;},{&quot;family&quot;:&quot;Handy&quot;,&quot;given&quot;:&quot;Susan L.&quot;,&quot;parse-names&quot;:false,&quot;dropping-particle&quot;:&quot;&quot;,&quot;non-dropping-particle&quot;:&quot;&quot;}],&quot;container-title&quot;:&quot;Medicine and science in sports and exercise&quot;,&quot;accessed&quot;:{&quot;date-parts&quot;:[[2026,4,1]]},&quot;DOI&quot;:&quot;10.1249/MSS.0b013e31817c67a4&quot;,&quot;ISSN&quot;:&quot;0195-9131&quot;,&quot;PMID&quot;:&quot;18562973&quot;,&quot;URL&quot;:&quot;https://pubmed.ncbi.nlm.nih.gov/18562973/&quot;,&quot;issued&quot;:{&quot;date-parts&quot;:[[2008]]},&quot;abstract&quot;:&quot;Introduction: The past decade has seen a dramatic increase in empirical investigation into the relations between built environment and physical activity. To create places that facilitate and encourage walking, practitioners need an understanding of the specific characteristics of the built environment that correlate most strongly with walking. This article reviews evidence on the built environment correlates with walking. Method: Included in this review were 13 reviews published between 2002 and 2006 and 29 original studies published in 2005 and up through May 2006. Results were summarized based on specific characteristics of the built environment and transportation walking versus recreational walking. Results: Previous reviews and newer studies document consistent positive relations between walking for transportation and density, distance to nonresidential destinations, and land use mix; findings for route/network connectivity, parks and open space, and personal safety are more equivocal. Results regarding recreational walking were less clear. Conclusions: More recent evidence supports the conclusions of prior reviews, and new studies address some of the limitations of earlier studies. Although prospective studies are needed, evidence on correlates appears sufficient to support policy changes. Copyright © 2008 by the American College of Sports Medicine.&quot;,&quot;publisher&quot;:&quot;Med Sci Sports Exerc&quot;,&quot;issue&quot;:&quot;7 Suppl&quot;,&quot;volume&quot;:&quot;40&quot;,&quot;container-title-short&quot;:&quot;Med. Sci. Sports Exerc.&quot;},&quot;isTemporary&quot;:false}]},{&quot;citationID&quot;:&quot;MENDELEY_CITATION_c0893af0-d6bc-46ea-9bf4-afc6b269dc71&quot;,&quot;properties&quot;:{&quot;noteIndex&quot;:0},&quot;isEdited&quot;:false,&quot;manualOverride&quot;:{&quot;isManuallyOverridden&quot;:false,&quot;citeprocText&quot;:&quot;(Morency et al., 2012)&quot;,&quot;manualOverrideText&quot;:&quot;&quot;},&quot;citationTag&quot;:&quot;MENDELEY_CITATION_v3_eyJjaXRhdGlvbklEIjoiTUVOREVMRVlfQ0lUQVRJT05fYzA4OTNhZjAtZDZiYy00NmVhLTliZjQtYWZjNmIyNjlkYzcxIiwicHJvcGVydGllcyI6eyJub3RlSW5kZXgiOjB9LCJpc0VkaXRlZCI6ZmFsc2UsIm1hbnVhbE92ZXJyaWRlIjp7ImlzTWFudWFsbHlPdmVycmlkZGVuIjpmYWxzZSwiY2l0ZXByb2NUZXh0IjoiKE1vcmVuY3kgZXQgYWwuLCAyMDEyKSIsIm1hbnVhbE92ZXJyaWRlVGV4dCI6IiJ9LCJjaXRhdGlvbkl0ZW1zIjpbeyJpZCI6ImYwY2MwMmU1LTU2NTQtMzFlNC1hNTI3LTVlYmU2ODA5NGI4NyIsIml0ZW1EYXRhIjp7InR5cGUiOiJhcnRpY2xlLWpvdXJuYWwiLCJpZCI6ImYwY2MwMmU1LTU2NTQtMzFlNC1hNTI3LTVlYmU2ODA5NGI4NyIsInRpdGxlIjoiTmVpZ2hib3Job29kIHNvY2lhbCBpbmVxdWFsaXRpZXMgaW4gcm9hZCB0cmFmZmljIGluanVyaWVzOiBUaGUgaW5mbHVlbmNlIG9mIHRyYWZmaWMgdm9sdW1lIGFuZCByb2FkIGRlc2lnbiIsImF1dGhvciI6W3siZmFtaWx5IjoiTW9yZW5jeSIsImdpdmVuIjoiUGF0cmljayIsInBhcnNlLW5hbWVzIjpmYWxzZSwiZHJvcHBpbmctcGFydGljbGUiOiIiLCJub24tZHJvcHBpbmctcGFydGljbGUiOiIifSx7ImZhbWlseSI6IkdhdXZpbiIsImdpdmVuIjoiTGlzZSIsInBhcnNlLW5hbWVzIjpmYWxzZSwiZHJvcHBpbmctcGFydGljbGUiOiIiLCJub24tZHJvcHBpbmctcGFydGljbGUiOiIifSx7ImZhbWlseSI6IlBsYW50ZSIsImdpdmVuIjoiQ8OpbGluZSIsInBhcnNlLW5hbWVzIjpmYWxzZSwiZHJvcHBpbmctcGFydGljbGUiOiIiLCJub24tZHJvcHBpbmctcGFydGljbGUiOiIifSx7ImZhbWlseSI6IkZvdXJuaWVyIiwiZ2l2ZW4iOiJNaWNoZWwiLCJwYXJzZS1uYW1lcyI6ZmFsc2UsImRyb3BwaW5nLXBhcnRpY2xlIjoiIiwibm9uLWRyb3BwaW5nLXBhcnRpY2xlIjoiIn0seyJmYW1pbHkiOiJNb3JlbmN5IiwiZ2l2ZW4iOiJDYXRoZXJpbmUiLCJwYXJzZS1uYW1lcyI6ZmFsc2UsImRyb3BwaW5nLXBhcnRpY2xlIjoiIiwibm9uLWRyb3BwaW5nLXBhcnRpY2xlIjoiIn1dLCJjb250YWluZXItdGl0bGUiOiJBbWVyaWNhbiBKb3VybmFsIG9mIFB1YmxpYyBIZWFsdGgiLCJjb250YWluZXItdGl0bGUtc2hvcnQiOiJBbS4gSi4gUHVibGljIEhlYWx0aCIsIkRPSSI6IjEwLjIxMDUvQUpQSC4yMDExLjMwMDUyOCIsIklTU04iOiIwMDkwMDAzNiIsIlBNSUQiOiIyMjUxNTg2OSIsImlzc3VlZCI6eyJkYXRlLXBhcnRzIjpbWzIwMTIsNl1dfSwicGFnZSI6IjExMTItMTExOSIsImFic3RyYWN0IjoiT2JqZWN0aXZlczogV2UgZXhhbWluZWQgdGhlIGV4dGVudCB0byB3aGljaCBkaWZmZXJlbnRpYWwgdHJhZmZpYyB2b2x1bWUgYW5kIHJvYWQgZ2VvbWV0cnkgY2FuIGV4cGxhaW4gc29jaWFsIGluZXF1YWxpdGllcyBpbiBwZWRlc3RyaWFuLCBjeWNsaXN0LCBhbmQgbW90b3IgdmVoaWNsZSBvY2N1cGFudCBpbmp1cmllcyBhY3Jvc3Mgd2VhbHRoeSBhbmQgcG9vciB1cmJhbiBhcmVhcy4gTWV0aG9kczogV2UgcGVyZm9ybWVkIGEgbXVsdGlsZXZlbCBvYnNlcnZhdGlvbmFsIHN0dWR5IG9mIGFsbCByb2FkIHVzZXJzIGluanVyZWQgb3ZlciA1IHllYXJzIChuID0gMTkgNTY4KSBhdCBpbnRlcnNlY3Rpb25zIChuID0gMTcgNDk4KSBpbiBhIGxhcmdlIHVyYmFuIGFyZWEgKElzbGFuZCBvZiBNb250cmVhbCwgQ2FuYWRhKS4gV2UgY29uc2lkZXJlZCBpbnRlcnNlY3Rpb24tbGV2ZWwgKHRyYWZmaWMgZXN0aW1hdGVzLCBtYWpvciByb2FkcywgbnVtYmVyIG9mIGxlZ3MpIGFuZCBhcmVhLWxldmVsIChwb3B1bGF0aW9uIGRlbnNpdHksIGNvbW11dGluZyB0cmF2ZWwgbW9kZXMsIGhvdXNlaG9sZCBpbmNvbWUpIGNoYXJhY3RlcmlzdGljcyBpbiBtdWx0aWxldmVsIFBvaXNzb24gcmVncmVzc2lvbnMgdGhhdCBuZXN0ZWQgaW50ZXJzZWN0aW9ucyBpbiA1MDYgY2Vuc3VzIHRyYWN0cy4gUmVzdWx0czogVGhlcmUgd2VyZSBzaWduaWZpY2FudGx5IG1vcmUgaW5qdXJlZCBwZWRlc3RyaWFucywgY3ljbGlzdHMsIGFuZCBtb3RvciB2ZWhpY2xlIG9jY3VwYW50cyBhdCBpbnRlcnNlY3Rpb25zIGluIHRoZSBwb29yZXN0IHRoYW4gaW4gdGhlIHJpY2hlc3QgYXJlYXMuIENvbnRyb2xsaW5nIGZvciB0cmFmZmljIHZvbHVtZSwgaW50ZXJzZWN0aW9uIGdlb21ldHJ5LCBhbmQgcGVkZXN0cmlhbiBhbmQgY3ljbGlzdCB2b2x1bWVzIGdyZWF0bHkgYXR0ZW51YXRlZCB0aGUgZXZlbnQgcmF0ZSByYXRpb3MgYmV0d2VlbiBpbnRlcnNlY3Rpb25zIGluIHRoZSBwb29yZXN0IGFuZCByaWNoZXN0IGFyZWFzIGZvciBpbmp1cmVkIHBlZGVzdHJpYW5zICgtNzAlKSwgY3ljbGlzdHMgKC00NCUpLCBhbmQgbW90b3IgdmVoaWNsZSBvY2N1cGFudHMgKC00NCUpLiBDb25jbHVzaW9uczogUm9hZHdheSBlbnZpcm9ubWVudCBjYW4gZXhwbGFpbiBhIHN1YnN0YW50aWFsIHBvcnRpb24gb2YgdGhlIGV4Y2VzcyByYXRlIG9mIHJvYWQgdHJhZmZpYyBpbmp1cmllcyBpbiB0aGUgcG9vcmVzdCB1cmJhbiBhcmVhcy4iLCJpc3N1ZSI6IjYiLCJ2b2x1bWUiOiIxMDIifSwiaXNUZW1wb3JhcnkiOmZhbHNlLCJzdXBwcmVzcy1hdXRob3IiOmZhbHNlLCJjb21wb3NpdGUiOmZhbHNlLCJhdXRob3Itb25seSI6ZmFsc2V9XX0=&quot;,&quot;citationItems&quot;:[{&quot;id&quot;:&quot;f0cc02e5-5654-31e4-a527-5ebe68094b87&quot;,&quot;itemData&quot;:{&quot;type&quot;:&quot;article-journal&quot;,&quot;id&quot;:&quot;f0cc02e5-5654-31e4-a527-5ebe68094b87&quot;,&quot;title&quot;:&quot;Neighborhood social inequalities in road traffic injuries: The influence of traffic volume and road design&quot;,&quot;author&quot;:[{&quot;family&quot;:&quot;Morency&quot;,&quot;given&quot;:&quot;Patrick&quot;,&quot;parse-names&quot;:false,&quot;dropping-particle&quot;:&quot;&quot;,&quot;non-dropping-particle&quot;:&quot;&quot;},{&quot;family&quot;:&quot;Gauvin&quot;,&quot;given&quot;:&quot;Lise&quot;,&quot;parse-names&quot;:false,&quot;dropping-particle&quot;:&quot;&quot;,&quot;non-dropping-particle&quot;:&quot;&quot;},{&quot;family&quot;:&quot;Plante&quot;,&quot;given&quot;:&quot;Céline&quot;,&quot;parse-names&quot;:false,&quot;dropping-particle&quot;:&quot;&quot;,&quot;non-dropping-particle&quot;:&quot;&quot;},{&quot;family&quot;:&quot;Fournier&quot;,&quot;given&quot;:&quot;Michel&quot;,&quot;parse-names&quot;:false,&quot;dropping-particle&quot;:&quot;&quot;,&quot;non-dropping-particle&quot;:&quot;&quot;},{&quot;family&quot;:&quot;Morency&quot;,&quot;given&quot;:&quot;Catherine&quot;,&quot;parse-names&quot;:false,&quot;dropping-particle&quot;:&quot;&quot;,&quot;non-dropping-particle&quot;:&quot;&quot;}],&quot;container-title&quot;:&quot;American Journal of Public Health&quot;,&quot;container-title-short&quot;:&quot;Am. J. Public Health&quot;,&quot;DOI&quot;:&quot;10.2105/AJPH.2011.300528&quot;,&quot;ISSN&quot;:&quot;00900036&quot;,&quot;PMID&quot;:&quot;22515869&quot;,&quot;issued&quot;:{&quot;date-parts&quot;:[[2012,6]]},&quot;page&quot;:&quot;1112-1119&quot;,&quot;abstract&quot;:&quot;Objectives: We examined the extent to which differential traffic volume and road geometry can explain social inequalities in pedestrian, cyclist, and motor vehicle occupant injuries across wealthy and poor urban areas. Methods: We performed a multilevel observational study of all road users injured over 5 years (n = 19 568) at intersections (n = 17 498) in a large urban area (Island of Montreal, Canada). We considered intersection-level (traffic estimates, major roads, number of legs) and area-level (population density, commuting travel modes, household income) characteristics in multilevel Poisson regressions that nested intersections in 506 census tracts. Results: There were significantly more injured pedestrians, cyclists, and motor vehicle occupants at intersections in the poorest than in the richest areas. Controlling for traffic volume, intersection geometry, and pedestrian and cyclist volumes greatly attenuated the event rate ratios between intersections in the poorest and richest areas for injured pedestrians (-70%), cyclists (-44%), and motor vehicle occupants (-44%). Conclusions: Roadway environment can explain a substantial portion of the excess rate of road traffic injuries in the poorest urban areas.&quot;,&quot;issue&quot;:&quot;6&quot;,&quot;volume&quot;:&quot;102&quot;},&quot;isTemporary&quot;:false,&quot;suppress-author&quot;:false,&quot;composite&quot;:false,&quot;author-only&quot;:false}]},{&quot;citationID&quot;:&quot;MENDELEY_CITATION_c86d8167-a246-4765-a72c-8987c3a82274&quot;,&quot;properties&quot;:{&quot;noteIndex&quot;:0},&quot;isEdited&quot;:false,&quot;manualOverride&quot;:{&quot;isManuallyOverridden&quot;:false,&quot;citeprocText&quot;:&quot;(Watson et al., 2020)&quot;,&quot;manualOverrideText&quot;:&quot;&quot;},&quot;citationTag&quot;:&quot;MENDELEY_CITATION_v3_eyJjaXRhdGlvbklEIjoiTUVOREVMRVlfQ0lUQVRJT05fYzg2ZDgxNjctYTI0Ni00NzY1LWE3MmMtODk4N2MzYTgyMjc0IiwicHJvcGVydGllcyI6eyJub3RlSW5kZXgiOjB9LCJpc0VkaXRlZCI6ZmFsc2UsIm1hbnVhbE92ZXJyaWRlIjp7ImlzTWFudWFsbHlPdmVycmlkZGVuIjpmYWxzZSwiY2l0ZXByb2NUZXh0IjoiKFdhdHNvbiBldCBhbC4sIDIwMjApIiwibWFudWFsT3ZlcnJpZGVUZXh0IjoiIn0sImNpdGF0aW9uSXRlbXMiOlt7ImlkIjoiODZmNmQzYWQtNTQxOC0zMmUwLWFmOGItMmJmNGVkYjk1MTZlIiwiaXRlbURhdGEiOnsidHlwZSI6ImFydGljbGUtam91cm5hbCIsImlkIjoiODZmNmQzYWQtNTQxOC0zMmUwLWFmOGItMmJmNGVkYjk1MTZlIiwidGl0bGUiOiJBc3NvY2lhdGlvbnMgYmV0d2VlbiB0aGUgTmF0aW9uYWwgV2Fsa2FiaWxpdHkgSW5kZXggYW5kIHdhbGtpbmcgYW1vbmcgVVMgQWR1bHRzIOKAlCBOYXRpb25hbCBIZWFsdGggSW50ZXJ2aWV3IFN1cnZleSwgMjAxNSIsImF1dGhvciI6W3siZmFtaWx5IjoiV2F0c29uIiwiZ2l2ZW4iOiJLYXRobGVlbiBCLiIsInBhcnNlLW5hbWVzIjpmYWxzZSwiZHJvcHBpbmctcGFydGljbGUiOiIiLCJub24tZHJvcHBpbmctcGFydGljbGUiOiIifSx7ImZhbWlseSI6IldoaXRmaWVsZCIsImdpdmVuIjoiR2VvZmZyZXkgUC4iLCJwYXJzZS1uYW1lcyI6ZmFsc2UsImRyb3BwaW5nLXBhcnRpY2xlIjoiIiwibm9uLWRyb3BwaW5nLXBhcnRpY2xlIjoiIn0seyJmYW1pbHkiOiJUaG9tYXMiLCJnaXZlbiI6IkpvaG4iLCJwYXJzZS1uYW1lcyI6ZmFsc2UsImRyb3BwaW5nLXBhcnRpY2xlIjoiVi4iLCJub24tZHJvcHBpbmctcGFydGljbGUiOiIifSx7ImZhbWlseSI6IkJlcnJpZ2FuIiwiZ2l2ZW4iOiJEYXZpZCIsInBhcnNlLW5hbWVzIjpmYWxzZSwiZHJvcHBpbmctcGFydGljbGUiOiIiLCJub24tZHJvcHBpbmctcGFydGljbGUiOiIifSx7ImZhbWlseSI6IkZ1bHRvbiIsImdpdmVuIjoiSmFuZXQgRS4iLCJwYXJzZS1uYW1lcyI6ZmFsc2UsImRyb3BwaW5nLXBhcnRpY2xlIjoiIiwibm9uLWRyb3BwaW5nLXBhcnRpY2xlIjoiIn0seyJmYW1pbHkiOiJDYXJsc29uIiwiZ2l2ZW4iOiJTdXNhbiBBLiIsInBhcnNlLW5hbWVzIjpmYWxzZSwiZHJvcHBpbmctcGFydGljbGUiOiIiLCJub24tZHJvcHBpbmctcGFydGljbGUiOiIifV0sImNvbnRhaW5lci10aXRsZSI6IlByZXZlbnRpdmUgTWVkaWNpbmUiLCJjb250YWluZXItdGl0bGUtc2hvcnQiOiJQcmV2LiBNZWQuIChCYWx0aW0pLiIsIkRPSSI6IjEwLjEwMTYvai55cG1lZC4yMDIwLjEwNjEyMiIsIklTU04iOiIxMDk2MDI2MCIsIlBNSUQiOiIzMjM4OTY3NyIsImlzc3VlZCI6eyJkYXRlLXBhcnRzIjpbWzIwMjAsOCwxXV19LCJhYnN0cmFjdCI6IlRoZSBFbnZpcm9ubWVudGFsIFByb3RlY3Rpb24gQWdlbmN5IGNyZWF0ZWQgdGhlIE5hdGlvbmFsIFdhbGthYmlsaXR5IEluZGV4IChJbmRleCkgdG8gY29tcGFyZSBhbmQgYW5hbHl6ZSB3YWxrYWJpbGl0eSBhbW9uZyBVUyBjb21tdW5pdGllcy4gSW5kZXggZWxlbWVudHMgaW5jbHVkZSBkZXNpZ24sIGRpc3RhbmNlIHRvIHRyYW5zaXQsIGFuZCBkaXZlcnNpdHkgb2YgbGFuZCB1c2VzLiBBc3NvY2lhdGlvbnMgYmV0d2VlbiB0aGUgSW5kZXggYW5kIHdhbGtpbmcgYmVoYXZpb3IgaGF2ZSBub3QgYmVlbiBleGFtaW5lZC4gVGhpcyBzdHVkeSBkZXNjcmliZXMgYXNzb2NpYXRpb25zIGJldHdlZW4gdGhlIEluZGV4IGFuZCB0cmFuc3BvcnRhdGlvbiBhbmQgbGVpc3VyZSB3YWxraW5nIGFtb25nIFVTIGFkdWx0cy4gUGFzdCB3ZWVrIHNlbGYtcmVwb3J0ZWQgcGFydGljaXBhdGlvbiBpbiB0cmFuc3BvcnRhdGlvbiBhbmQgbGVpc3VyZSB3YWxraW5nIGFtb25nIGFkdWx0cyAobiA9IDMzLDY3Mikgd2FzIG9idGFpbmVkIGZyb20gdGhlIDIwMTUgQ2FuY2VyIENvbnRyb2wgU3VwcGxlbWVudCBvZiB0aGUgTmF0aW9uYWwgSGVhbHRoIEludGVydmlldyBTdXJ2ZXkgKE5ISVMpIGFuZCBhbmFseXNpcyBjb21wbGV0ZWQgaW4gMjAxOS4gSW5kZXggc2NvcmVzIHdlcmUgbGlua2VkIHRvIE5ISVMgZGF0YSBiYXNlZCBvbiB0aGUgcmVzcG9uZGVudCdzIHJlc2lkZW5jZSBhbmQgY2xhc3NpZmllZCBpbnRvIGxlYXN0LCBiZWxvdyBhdmVyYWdlLCBhYm92ZSBhdmVyYWdlLCBhbmQgbW9zdCB3YWxrYWJsZSBjb21tdW5pdGllcy4gQXNzb2NpYXRpb25zIGJldHdlZW4gSW5kZXggY2F0ZWdvcmllcyBhbmQgd2Fsa2luZyB3ZXJlIGV4YW1pbmVkIHdpdGggcmVncmVzc2lvbiBtb2RlbHMuIE92ZXJhbGwsIHRoZSBJbmRleCB3YXMgYXNzb2NpYXRlZCB3aXRoIGEgaGlnaGVyIGxpa2VsaWhvb2Qgb2Ygd2Fsa2luZywgZXNwZWNpYWxseSBmb3IgdHJhbnNwb3J0YXRpb24uIFRyYW5zcG9ydGF0aW9uIHdhbGtpbmcgd2FzIG1vcmUgY29tbW9uIGluIGFyZWFzIHdpdGggaGlnaGVyIHdhbGthYmlsaXR5ICgyMS42JeKAkzUxLjYlLCBsZWFzdCB0byBtb3N0IHdhbGthYmxlKS4gTGVpc3VyZSB3YWxraW5nIHdhcyBhbHNvIG1vcmUgY29tbW9uIHdpdGggZ3JlYXRlciB3YWxrYWJpbGl0eSAoNDguNCXigJM1Ni41JSwgbGVhc3QgdG8gbW9zdCB3YWxrYWJsZSkuIFRyYW5zcG9ydGF0aW9uIGFuZCBsZWlzdXJlIHdhbGtpbmcgYnkgSW5kZXggY2F0ZWdvcmllcyBpbiB1cmJhbiBhcmVhcyB3ZXJlIHNpbWlsYXIgdG8gdGhlIG92ZXJhbGwgcG9wdWxhdGlvbjsgaG93ZXZlciwgaXQgd2FzIG5vdCBhc3NvY2lhdGVkIHdpdGggd2Fsa2luZyBpbiBydXJhbCBhcmVhcy4gVVMgYWR1bHRzIGxpdmluZyBpbiBtb3JlIHdhbGthYmxlIGFyZWFzIHJlcG9ydCBtb3JlIHRyYW5zcG9ydGF0aW9uIGFuZCBsZWlzdXJlIHdhbGtpbmcsIGVzcGVjaWFsbHkgYW1vbmcgdXJiYW4gYXJlYXMuIENvbnNpc3RlbnQgd2l0aCBlbGVtZW50cyBpbiB0aGUgSW5kZXgsIGFzc29jaWF0aW9ucyB3ZXJlIHN0cm9uZ2VyIGZvciB0cmFuc3BvcnRhdGlvbiB0aGFuIGxlaXN1cmUgd2Fsa2luZy4gRmluZGluZ3Mgc3VwcG9ydCB0aGUgdXNlIG9mIHRoZSBXYWxrYWJpbGl0eSBJbmRleCBieSByZXNlYXJjaGVycywgcHJvZmVzc2lvbmFscywgYW5kIG90aGVyIHJlbGV2YW50IHN0YWtlaG9sZGVycyBhcyBhIHZpYWJsZSBpbmRpY2F0b3Igb2Ygd2Fsa2FiaWxpdHkuIiwicHVibGlzaGVyIjoiQWNhZGVtaWMgUHJlc3MgSW5jLiIsInZvbHVtZSI6IjEzNyJ9LCJpc1RlbXBvcmFyeSI6ZmFsc2UsInN1cHByZXNzLWF1dGhvciI6ZmFsc2UsImNvbXBvc2l0ZSI6ZmFsc2UsImF1dGhvci1vbmx5IjpmYWxzZX1dfQ==&quot;,&quot;citationItems&quot;:[{&quot;id&quot;:&quot;86f6d3ad-5418-32e0-af8b-2bf4edb9516e&quot;,&quot;itemData&quot;:{&quot;type&quot;:&quot;article-journal&quot;,&quot;id&quot;:&quot;86f6d3ad-5418-32e0-af8b-2bf4edb9516e&quot;,&quot;title&quot;:&quot;Associations between the National Walkability Index and walking among US Adults — National Health Interview Survey, 2015&quot;,&quot;author&quot;:[{&quot;family&quot;:&quot;Watson&quot;,&quot;given&quot;:&quot;Kathleen B.&quot;,&quot;parse-names&quot;:false,&quot;dropping-particle&quot;:&quot;&quot;,&quot;non-dropping-particle&quot;:&quot;&quot;},{&quot;family&quot;:&quot;Whitfield&quot;,&quot;given&quot;:&quot;Geoffrey P.&quot;,&quot;parse-names&quot;:false,&quot;dropping-particle&quot;:&quot;&quot;,&quot;non-dropping-particle&quot;:&quot;&quot;},{&quot;family&quot;:&quot;Thomas&quot;,&quot;given&quot;:&quot;John&quot;,&quot;parse-names&quot;:false,&quot;dropping-particle&quot;:&quot;V.&quot;,&quot;non-dropping-particle&quot;:&quot;&quot;},{&quot;family&quot;:&quot;Berrigan&quot;,&quot;given&quot;:&quot;David&quot;,&quot;parse-names&quot;:false,&quot;dropping-particle&quot;:&quot;&quot;,&quot;non-dropping-particle&quot;:&quot;&quot;},{&quot;family&quot;:&quot;Fulton&quot;,&quot;given&quot;:&quot;Janet E.&quot;,&quot;parse-names&quot;:false,&quot;dropping-particle&quot;:&quot;&quot;,&quot;non-dropping-particle&quot;:&quot;&quot;},{&quot;family&quot;:&quot;Carlson&quot;,&quot;given&quot;:&quot;Susan A.&quot;,&quot;parse-names&quot;:false,&quot;dropping-particle&quot;:&quot;&quot;,&quot;non-dropping-particle&quot;:&quot;&quot;}],&quot;container-title&quot;:&quot;Preventive Medicine&quot;,&quot;container-title-short&quot;:&quot;Prev. Med. (Baltim).&quot;,&quot;DOI&quot;:&quot;10.1016/j.ypmed.2020.106122&quot;,&quot;ISSN&quot;:&quot;10960260&quot;,&quot;PMID&quot;:&quot;32389677&quot;,&quot;issued&quot;:{&quot;date-parts&quot;:[[2020,8,1]]},&quot;abstract&quot;:&quot;The Environmental Protection Agency created the National Walkability Index (Index) to compare and analyze walkability among US communities. Index elements include design, distance to transit, and diversity of land uses. Associations between the Index and walking behavior have not been examined. This study describes associations between the Index and transportation and leisure walking among US adults. Past week self-reported participation in transportation and leisure walking among adults (n = 33,672) was obtained from the 2015 Cancer Control Supplement of the National Health Interview Survey (NHIS) and analysis completed in 2019. Index scores were linked to NHIS data based on the respondent's residence and classified into least, below average, above average, and most walkable communities. Associations between Index categories and walking were examined with regression models. Overall, the Index was associated with a higher likelihood of walking, especially for transportation. Transportation walking was more common in areas with higher walkability (21.6%–51.6%, least to most walkable). Leisure walking was also more common with greater walkability (48.4%–56.5%, least to most walkable). Transportation and leisure walking by Index categories in urban areas were similar to the overall population; however, it was not associated with walking in rural areas. US adults living in more walkable areas report more transportation and leisure walking, especially among urban areas. Consistent with elements in the Index, associations were stronger for transportation than leisure walking. Findings support the use of the Walkability Index by researchers, professionals, and other relevant stakeholders as a viable indicator of walkability.&quot;,&quot;publisher&quot;:&quot;Academic Press Inc.&quot;,&quot;volume&quot;:&quot;137&quot;},&quot;isTemporary&quot;:false,&quot;suppress-author&quot;:false,&quot;composite&quot;:false,&quot;author-only&quot;:false}]},{&quot;citationID&quot;:&quot;MENDELEY_CITATION_fc0bdef3-0748-4480-b9aa-624e2c41da85&quot;,&quot;properties&quot;:{&quot;noteIndex&quot;:0},&quot;isEdited&quot;:false,&quot;manualOverride&quot;:{&quot;isManuallyOverridden&quot;:true,&quot;citeprocText&quot;:&quot;(Aldred, 2016; Sanders, 2015)&quot;,&quot;manualOverrideText&quot;:&quot;(Sanders, 2015; Aldred, 2016)&quot;},&quot;citationTag&quot;:&quot;MENDELEY_CITATION_v3_eyJjaXRhdGlvbklEIjoiTUVOREVMRVlfQ0lUQVRJT05fZmMwYmRlZjMtMDc0OC00NDgwLWI5YWEtNjI0ZTJjNDFkYTg1IiwicHJvcGVydGllcyI6eyJub3RlSW5kZXgiOjB9LCJpc0VkaXRlZCI6ZmFsc2UsIm1hbnVhbE92ZXJyaWRlIjp7ImlzTWFudWFsbHlPdmVycmlkZGVuIjp0cnVlLCJjaXRlcHJvY1RleHQiOiIoQWxkcmVkLCAyMDE2OyBTYW5kZXJzLCAyMDE1KSIsIm1hbnVhbE92ZXJyaWRlVGV4dCI6IihTYW5kZXJzLCAyMDE1OyBBbGRyZWQsIDIwMTYpIn0sImNpdGF0aW9uSXRlbXMiOlt7ImlkIjoiOTNmNzNmNzctNmYxMC0zNzkxLTk3YTgtMjBlNzNhMDBhMGNlIiwiaXRlbURhdGEiOnsidHlwZSI6ImFydGljbGUtam91cm5hbCIsImlkIjoiOTNmNzNmNzctNmYxMC0zNzkxLTk3YTgtMjBlNzNhMDBhMGNlIiwidGl0bGUiOiJDeWNsaW5nIG5lYXIgbWlzc2VzOiBUaGVpciBmcmVxdWVuY3ksIGltcGFjdCwgYW5kIHByZXZlbnRpb24iLCJhdXRob3IiOlt7ImZhbWlseSI6IkFsZHJlZCIsImdpdmVuIjoiUmFjaGVsIiwicGFyc2UtbmFtZXMiOmZhbHNlLCJkcm9wcGluZy1wYXJ0aWNsZSI6IiIsIm5vbi1kcm9wcGluZy1wYXJ0aWNsZSI6IiJ9XSwiY29udGFpbmVyLXRpdGxlIjoiVHJhbnNwb3J0YXRpb24gUmVzZWFyY2ggUGFydCBBOiBQb2xpY3kgYW5kIFByYWN0aWNlIiwiY29udGFpbmVyLXRpdGxlLXNob3J0IjoiVHJhbnNwLiBSZXMuIFBhcnQgQSBQb2xpY3kgUHJhY3QuIiwiRE9JIjoiMTAuMTAxNi9qLnRyYS4yMDE2LjA0LjAxNiIsIklTU04iOiIwOTY1ODU2NCIsImlzc3VlZCI6eyJkYXRlLXBhcnRzIjpbWzIwMTYsOCwxXV19LCJwYWdlIjoiNjktODMiLCJhYnN0cmFjdCI6IlRoaXMgcGFwZXIgZXhwbG9yZXMgY3ljbGlzdHMnIGV4cGVyaWVuY2VzIG9mIG5vbi1pbmp1cnkgaW5jaWRlbnRzLCBhcmd1aW5nIHRoYXQgdGhlc2UgYXJlIGltcG9ydGFudCBmb3IgY3ljbGluZyBleHBlcmllbmNlIGFuZCB1cHRha2UgYXMgd2VsbCBhcyBmb3IgaW5qdXJ5IHByZXZlbnRpb24uIEl0IGRpc2N1c3NlcyBkaWZmZXJlbnQgdHlwZXMgb2Ygbm9uLWluanVyeSBpbmNpZGVudCBjb2xsZWN0ZWQgaW4gYSByZWNlbnQgc3VydmV5IG9mIFVLIGN5Y2xpc3RzLiBUaGVzZSBhcmUgZXZlcnlkYXkgb2NjdXJyZW5jZXMgdGhhdCBpbiBzb21lIGNhc2VzIGhhdmUgYSBzdWJzdGFudGlhbGx5IG5lZ2F0aXZlIGltcGFjdCBvbiBjeWNsaW5nIGV4cGVyaWVuY2VzLiBUaGlzIGFydGljbGUgZXhwbG9yZXMgdGhlIGltcGFjdCBvZiBkaWZmZXJlbnQgaW5jaWRlbnQgdHlwZXMgb24gcGVvcGxlIGN5Y2xpbmcgYm90aCBpbW1lZGlhdGVseSBhbmQgaW4gdGhlIGZ1dHVyZS4gSXQgYW5hbHlzZXMgd2hhdCBuZWFyIG1pc3NlcyB0ZWxsIHVzIGFib3V0IGN5Y2xpc3RzJyBleHBlcmllbmNlIG9mIHByb2JsZW1zIHJlbGF0ZWQgdG8gcm9hZCB1c2VyIGJlaGF2aW91ciBhbmQgY3VsdHVyZSwgYW5kIGluZnJhc3RydWN0dXJhbCBjb25kaXRpb25zIGZvciBjeWNsaW5nLiBUaGUgcGFwZXIgZXhwbG9yZXMgd2hhdCBjeWNsaXN0cyBleHBlcmllbmNpbmcgbmVhciBtaXNzZXMgdGhpbmsgbWlnaHQgaGF2ZSBwcmV2ZW50ZWQgdGhlbS4gQmFzZWQgb24gdGhpcyBhbmQgb24gYSBjb21wYXJpc29uIHdpdGggY29tbW9uIHR5cGVzIG9mIGluanVyeSBpbmNpZGVudHMsIHN1bW1hcnkgcmVjb21tZW5kYXRpb25zIGFyZSBtYWRlIGZvciBwb2xpY3kgYW5kIGZ1dHVyZSByZXNlYXJjaC4iLCJwdWJsaXNoZXIiOiJFbHNldmllciBMdGQiLCJ2b2x1bWUiOiI5MCJ9LCJpc1RlbXBvcmFyeSI6ZmFsc2V9LHsiaWQiOiJkMzg5NTVhNC00MTYyLTM2N2QtYTk0YS03ZjlkZmUwZTA2YmMiLCJpdGVtRGF0YSI6eyJ0eXBlIjoiYXJ0aWNsZS1qb3VybmFsIiwiaWQiOiJkMzg5NTVhNC00MTYyLTM2N2QtYTk0YS03ZjlkZmUwZTA2YmMiLCJ0aXRsZSI6IlBlcmNlaXZlZCB0cmFmZmljIHJpc2sgZm9yIGN5Y2xpc3RzOiBUaGUgaW1wYWN0IG9mIG5lYXIgbWlzcyBhbmQgY29sbGlzaW9uIGV4cGVyaWVuY2VzIiwiYXV0aG9yIjpbeyJmYW1pbHkiOiJTYW5kZXJzIiwiZ2l2ZW4iOiJSZWJlY2NhIEwuIiwicGFyc2UtbmFtZXMiOmZhbHNlLCJkcm9wcGluZy1wYXJ0aWNsZSI6IiIsIm5vbi1kcm9wcGluZy1wYXJ0aWNsZSI6IiJ9XSwiY29udGFpbmVyLXRpdGxlIjoiQWNjaWRlbnQgQW5hbHlzaXMgYW5kIFByZXZlbnRpb24iLCJjb250YWluZXItdGl0bGUtc2hvcnQiOiJBY2NpZC4gQW5hbC4gUHJldi4iLCJET0kiOiIxMC4xMDE2L2ouYWFwLjIwMTQuMTEuMDA0IiwiSVNTTiI6IjAwMDE0NTc1IiwiUE1JRCI6IjI1NDYwMDg4IiwiaXNzdWVkIjp7ImRhdGUtcGFydHMiOltbMjAxNV1dfSwicGFnZSI6IjI2LTM0IiwiYWJzdHJhY3QiOiJUaG91Z2ggdGhlIHBlcmNlbnRhZ2Ugb2YgcGVvcGxlIGJpY3ljbGluZyBmb3IgdHJhbnNwb3J0YXRpb24gcm9zZSBkdXJpbmcgdGhlIGxhc3QgZGVjYWRlLCB3aXRoIGFuIGF2ZXJhZ2UgaW5jcmVhc2UgaW4gYmljeWNsZSBjb21tdXRpbmcgb2YgNDclIChGbHVzY2hlLCAyMDEyKSwgc3RpbGwgb25seSAxJSBvZiBhbGwgVS5TLiB0cmlwcyBhcmUgbWFkZSBieSBiaWtlIChGbHVzY2hlLCAyMDEwKS4gUmVzZWFyY2ggc3VnZ2VzdHMgdGhhdCBwZW9wbGUncyBjb25jZXJuIHJlZ2FyZGluZyB0aGUgcmlzayBvZiBiaWN5Y2xpbmcgbmVhciB0cmFmZmljLW5hbWVseSB0aGUgcmlzayBvZiBiZWluZyBoaXQgYnkgYSBjYXItcmVtYWluIGEgc2lnbmlmaWNhbnQgYmFycmllciB0byB3aWRlc3ByZWFkIGN5Y2xpbmcuIEhvd2V2ZXIsIHJlc2VhcmNoIGhhcyBub3QgZGlzYWdncmVnYXRlZCB0cmFmZmljIHJpc2sgdG8gZXhwb3NlIGl0cyBtYW55IGFzcGVjdHMgYW5kIGhvdyB0aGV5IG1heSBhZmZlY3QgYmljeWNsaXN0cyB3aXRoIGRpZmZlcmluZyBza2lsbCBsZXZlbHMsIGV4cGVyaWVuY2VzLCBhbmQgYmVoYXZpb3JzLiBUaGlzIHN0dWR5IGJlZ2lucyB0byBhZGRyZXNzIHRoaXMgZ2FwIGluIG91ciB1bmRlcnN0YW5kaW5nLiBFbGFib3JhdGluZyBvbiByZXN1bHRzIGZyb20gYW4gaW50ZXJuZXQgc3VydmV5LCB0aGlzIHN0dWR5IGV4YW1pbmVkIHZhcmlvdXMgYXNwZWN0cyBvZiB0cmFmZmljIHJpc2sgYW1vbmcgNDA2IHBvdGVudGlhbCBhbmQgY3VycmVudCBiaWN5Y2xpc3RzIGluIHRoZSBTYW4gRnJhbmNpc2NvIEJheSBBcmVhLiBUaGUgZGF0YSBpbmRpY2F0ZSB0aGF0IHBlcmNlaXZlZCB0cmFmZmljIHJpc2sgbmVnYXRpdmVseSBpbmZsdWVuY2VzIHRoZSBkZWNpc2lvbiB0byBiaWN5Y2xlIGZvciBwb3RlbnRpYWwgYW5kIG9jY2FzaW9uYWwgYmljeWNsaXN0cywgYWx0aG91Z2ggdGhlIGluZmx1ZW5jZSBkZWNyZWFzZXMgd2l0aCBjeWNsaW5nIGZyZXF1ZW5jeS4gQWRkaXRpb25hbGx5LCBjeWNsaW5nIGZyZXF1ZW5jeSBzZWVtcyB0byBoZWlnaHRlbiBhd2FyZW5lc3Mgb2YgdHJhZmZpYyByaXNrLCBwYXJ0aWN1bGFybHkgZm9yIGN5Y2xpc3RzIHdobyBoYXZlIGV4cGVyaWVuY2VkIFwibmVhciBtaXNzZXNcIiBvciBjb2xsaXNpb25zLiBJbiBwYXJ0aWN1bGFyLCBuZWFyIG1pc3NlcyB3ZXJlIGZvdW5kIHRvIGJlIChhKSBtdWNoIG1vcmUgY29tbW9uIHRoYW4gY29sbGlzaW9ucyBhbmQgKGIpIG1vcmUgc3Ryb25nbHkgYXNzb2NpYXRlZCB0aGFuIGNvbGxpc2lvbnMgd2l0aCBwZXJjZWl2ZWQgdHJhZmZpYyByaXNrLiBUaGUgZmluZGluZ3Mgc3VnZ2VzdCB0aGF0IGVmZm9ydHMgdGFyZ2V0aW5nIHJvYWQgdXNlciBiZWhhdmlvcnMgYW5kIHJvYWR3YXkgZGVzaWducyBhc3NvY2lhdGVkIHdpdGggdGhlc2UgbmVhciBtaXNzZXMgY291bGQgbWl0aWdhdGUgcGVyY2VpdmVkIGFuZCBhY3R1YWwgdHJhZmZpYyByaXNrIGZvciBiaWN5Y2xpc3RzLCBhbmQgdGhlcmVieSBldmVudHVhbGx5IGhlbHAgYWNoaWV2ZSBoaWdoZXIgY3ljbGluZyByaWRlcnNoaXAuIiwicHVibGlzaGVyIjoiRWxzZXZpZXIgTHRkIiwidm9sdW1lIjoiNzUifSwiaXNUZW1wb3JhcnkiOmZhbHNlfV19&quot;,&quot;citationItems&quot;:[{&quot;id&quot;:&quot;93f73f77-6f10-3791-97a8-20e73a00a0ce&quot;,&quot;itemData&quot;:{&quot;type&quot;:&quot;article-journal&quot;,&quot;id&quot;:&quot;93f73f77-6f10-3791-97a8-20e73a00a0ce&quot;,&quot;title&quot;:&quot;Cycling near misses: Their frequency, impact, and prevention&quot;,&quot;author&quot;:[{&quot;family&quot;:&quot;Aldred&quot;,&quot;given&quot;:&quot;Rachel&quot;,&quot;parse-names&quot;:false,&quot;dropping-particle&quot;:&quot;&quot;,&quot;non-dropping-particle&quot;:&quot;&quot;}],&quot;container-title&quot;:&quot;Transportation Research Part A: Policy and Practice&quot;,&quot;container-title-short&quot;:&quot;Transp. Res. Part A Policy Pract.&quot;,&quot;DOI&quot;:&quot;10.1016/j.tra.2016.04.016&quot;,&quot;ISSN&quot;:&quot;09658564&quot;,&quot;issued&quot;:{&quot;date-parts&quot;:[[2016,8,1]]},&quot;page&quot;:&quot;69-83&quot;,&quot;abstract&quot;:&quot;This paper explores cyclists' experiences of non-injury incidents, arguing that these are important for cycling experience and uptake as well as for injury prevention. It discusses different types of non-injury incident collected in a recent survey of UK cyclists. These are everyday occurrences that in some cases have a substantially negative impact on cycling experiences. This article explores the impact of different incident types on people cycling both immediately and in the future. It analyses what near misses tell us about cyclists' experience of problems related to road user behaviour and culture, and infrastructural conditions for cycling. The paper explores what cyclists experiencing near misses think might have prevented them. Based on this and on a comparison with common types of injury incidents, summary recommendations are made for policy and future research.&quot;,&quot;publisher&quot;:&quot;Elsevier Ltd&quot;,&quot;volume&quot;:&quot;90&quot;},&quot;isTemporary&quot;:false},{&quot;id&quot;:&quot;d38955a4-4162-367d-a94a-7f9dfe0e06bc&quot;,&quot;itemData&quot;:{&quot;type&quot;:&quot;article-journal&quot;,&quot;id&quot;:&quot;d38955a4-4162-367d-a94a-7f9dfe0e06bc&quot;,&quot;title&quot;:&quot;Perceived traffic risk for cyclists: The impact of near miss and collision experiences&quot;,&quot;author&quot;:[{&quot;family&quot;:&quot;Sanders&quot;,&quot;given&quot;:&quot;Rebecca L.&quot;,&quot;parse-names&quot;:false,&quot;dropping-particle&quot;:&quot;&quot;,&quot;non-dropping-particle&quot;:&quot;&quot;}],&quot;container-title&quot;:&quot;Accident Analysis and Prevention&quot;,&quot;container-title-short&quot;:&quot;Accid. Anal. Prev.&quot;,&quot;DOI&quot;:&quot;10.1016/j.aap.2014.11.004&quot;,&quot;ISSN&quot;:&quot;00014575&quot;,&quot;PMID&quot;:&quot;25460088&quot;,&quot;issued&quot;:{&quot;date-parts&quot;:[[2015]]},&quot;page&quot;:&quot;26-34&quot;,&quot;abstract&quot;:&quot;Though the percentage of people bicycling for transportation rose during the last decade, with an average increase in bicycle commuting of 47% (Flusche, 2012), still only 1% of all U.S. trips are made by bike (Flusche, 2010). Research suggests that people's concern regarding the risk of bicycling near traffic-namely the risk of being hit by a car-remain a significant barrier to widespread cycling. However, research has not disaggregated traffic risk to expose its many aspects and how they may affect bicyclists with differing skill levels, experiences, and behaviors. This study begins to address this gap in our understanding. Elaborating on results from an internet survey, this study examined various aspects of traffic risk among 406 potential and current bicyclists in the San Francisco Bay Area. The data indicate that perceived traffic risk negatively influences the decision to bicycle for potential and occasional bicyclists, although the influence decreases with cycling frequency. Additionally, cycling frequency seems to heighten awareness of traffic risk, particularly for cyclists who have experienced \&quot;near misses\&quot; or collisions. In particular, near misses were found to be (a) much more common than collisions and (b) more strongly associated than collisions with perceived traffic risk. The findings suggest that efforts targeting road user behaviors and roadway designs associated with these near misses could mitigate perceived and actual traffic risk for bicyclists, and thereby eventually help achieve higher cycling ridership.&quot;,&quot;publisher&quot;:&quot;Elsevier Ltd&quot;,&quot;volume&quot;:&quot;75&quot;},&quot;isTemporary&quot;:false}]},{&quot;citationID&quot;:&quot;MENDELEY_CITATION_0a2239f0-2595-4e0d-8a1f-56f86059a4dd&quot;,&quot;properties&quot;:{&quot;noteIndex&quot;:0},&quot;isEdited&quot;:false,&quot;manualOverride&quot;:{&quot;isManuallyOverridden&quot;:false,&quot;citeprocText&quot;:&quot;(Foster et al., 2014; Rees-Punia et al., 2018)&quot;,&quot;manualOverrideText&quot;:&quot;&quot;},&quot;citationTag&quot;:&quot;MENDELEY_CITATION_v3_eyJjaXRhdGlvbklEIjoiTUVOREVMRVlfQ0lUQVRJT05fMGEyMjM5ZjAtMjU5NS00ZTBkLThhMWYtNTZmODYwNTlhNGRkIiwicHJvcGVydGllcyI6eyJub3RlSW5kZXgiOjB9LCJpc0VkaXRlZCI6ZmFsc2UsIm1hbnVhbE92ZXJyaWRlIjp7ImlzTWFudWFsbHlPdmVycmlkZGVuIjpmYWxzZSwiY2l0ZXByb2NUZXh0IjoiKEZvc3RlciBldCBhbC4sIDIwMTQ7IFJlZXMtUHVuaWEgZXQgYWwuLCAyMDE4KSIsIm1hbnVhbE92ZXJyaWRlVGV4dCI6IiJ9LCJjaXRhdGlvbkl0ZW1zIjpbeyJpZCI6IjRiNzA0NDMwLTRjYmUtMzhkMy04MTUyLWJlMWE0ODNkODY0MyIsIml0ZW1EYXRhIjp7InR5cGUiOiJhcnRpY2xlIiwiaWQiOiI0YjcwNDQzMC00Y2JlLTM4ZDMtODE1Mi1iZTFhNDgzZDg2NDMiLCJ0aXRsZSI6IkNyaW1lLCBwZXJjZWl2ZWQgc2FmZXR5LCBhbmQgcGh5c2ljYWwgYWN0aXZpdHk6IEEgbWV0YS1hbmFseXNpcyIsImF1dGhvciI6W3siZmFtaWx5IjoiUmVlcy1QdW5pYSIsImdpdmVuIjoiRXJpa2EiLCJwYXJzZS1uYW1lcyI6ZmFsc2UsImRyb3BwaW5nLXBhcnRpY2xlIjoiIiwibm9uLWRyb3BwaW5nLXBhcnRpY2xlIjoiIn0seyJmYW1pbHkiOiJIYXRoYXdheSIsImdpdmVuIjoiRWxpemFiZXRoIEQuIiwicGFyc2UtbmFtZXMiOmZhbHNlLCJkcm9wcGluZy1wYXJ0aWNsZSI6IiIsIm5vbi1kcm9wcGluZy1wYXJ0aWNsZSI6IiJ9LHsiZmFtaWx5IjoiR2F5IiwiZ2l2ZW4iOiJKZW5uaWZlciBMLiIsInBhcnNlLW5hbWVzIjpmYWxzZSwiZHJvcHBpbmctcGFydGljbGUiOiIiLCJub24tZHJvcHBpbmctcGFydGljbGUiOiIifV0sImNvbnRhaW5lci10aXRsZSI6IlByZXZlbnRpdmUgTWVkaWNpbmUiLCJjb250YWluZXItdGl0bGUtc2hvcnQiOiJQcmV2LiBNZWQuIChCYWx0aW0pLiIsIkRPSSI6IjEwLjEwMTYvai55cG1lZC4yMDE3LjExLjAxNyIsIklTU04iOiIxMDk2MDI2MCIsIlBNSUQiOiIyOTE1Nzk3NSIsImlzc3VlZCI6eyJkYXRlLXBhcnRzIjpbWzIwMTgsNiwxXV19LCJwYWdlIjoiMzA3LTMxMyIsImFic3RyYWN0IjoiUGVyY2VpdmVkIHNhZmV0eSBmcm9tIGNyaW1lIGFuZCBvYmplY3RpdmVseS1tZWFzdXJlZCBjcmltZSByYXRlcyBtYXkgYmUgYXNzb2NpYXRlZCB3aXRoIHBoeXNpY2FsIGluYWN0aXZpdHkuIFRoZSBwdXJwb3NlIG9mIHRoaXMgbWV0YS1hbmFseXNpcyBpcyB0byBlc3RpbWF0ZSB0aGUgb2RkcyBvZiBhY2N1bXVsYXRpbmcgaGlnaCBsZXZlbHMgb2YgcGh5c2ljYWwgYWN0aXZpdHkgKFBBKSB3aGVuIHRoZSBwZXJjZXB0aW9uIG9mIHNhZmV0eSBmcm9tIGNyaW1lIGlzIGhpZ2ggYW5kIHdoZW4gb2JqZWN0aXZlbHktbWVhc3VyZWQgY3JpbWUgaXMgaGlnaC4gUGVlci1yZXZpZXdlZCBzdHVkaWVzIHdlcmUgaWRlbnRpZmllZCB0aHJvdWdoIFB1Yk1lZCwgV2ViIG9mIFNjaWVuY2UsIFByb1F1ZXN0IENyaW1pbmFsIEp1c3RpY2UsIGFuZCBTY2llbmNlRGlyZWN0IGZyb20gZWFybGllc3QgcmVjb3JkIHRocm91Z2ggMjAxNi4gSW5jbHVkZWQgc3R1ZGllcyBtZWFzdXJlZCB0b3RhbCBQQSwgbGVpc3VyZS10aW1lIFBBLCBvciB3YWxraW5nIGluIGFkZGl0aW9uIHRvIHBlcmNlaXZlZCBzYWZldHkgZnJvbSBjcmltZSBvciBvYmplY3RpdmUgbWVhc3VyZXMgb2YgY3JpbWUuIE1lYW4gb2RkcyByYXRpb3Mgd2VyZSBhZ2dyZWdhdGVkIHdpdGggcmFuZG9tIGVmZmVjdHMgbW9kZWxzLCBhbmQgbWV0YS1yZWdyZXNzaW9uIHdhcyB1c2VkIHRvIGV4YW1pbmUgZWZmZWN0cyBvZiBwb3RlbnRpYWwgbW9kZXJhdG9yczogY291bnRyeSwgYWdlLCBhbmQgY3JpbWUvUEEgbWVhc3VyZS4gU2l4dGVlbiBjcm9zcy1zZWN0aW9uYWwgc3R1ZGllcyB5aWVsZGVkIHNpeHRlZW4gZWZmZWN0cyBmb3IgcGVyY2VpdmVkIHNhZmV0eSBmcm9tIGNyaW1lIGFuZCBmb3VyIGVmZmVjdHMgZm9yIG9iamVjdGl2ZSBjcmltZS4gVGhvc2UgcmVwb3J0aW5nIGZlZWxpbmcgc2FmZSBmcm9tIGNyaW1lIGhhZCBhIDI3JSBncmVhdGVyIG9kZHMgb2YgYWNoaWV2aW5nIGhpZ2hlciBsZXZlbHMgb2YgcGh5c2ljYWwgYWN0aXZpdHkgKE9SID0gMS4yNyBbMS4wOCwgMS40OV0pLCBhbmQgdGhvc2UgbGl2aW5nIGluIGFyZWFzIHdpdGggaGlnaGVyIG9iamVjdGl2ZWx5LW1lYXN1cmVkIGNyaW1lIGhhZCBhIDI4JSByZWR1Y2VkIG9kZHMgb2YgYWNoaWV2aW5nIGhpZ2hlciBsZXZlbHMgb2YgcGh5c2ljYWwgYWN0aXZpdHkgKE9SID0gMC43MiBbMC42MSwgMC44M10pLiBFZmZlY3RzIG9mIHBlcmNlaXZlZCBzYWZldHkgd2VyZSBoaWdobHkgaGV0ZXJvZ2VuZW91cyAoSTIgPSA5NC4wOSUpLCBidXQgZXhwbG9yZWQgbW9kZXJhdG9ycyB3ZXJlIG5vdCBzdGF0aXN0aWNhbGx5IHNpZ25pZmljYW50LCBsaWtlbHkgYmVjYXVzZSBvZiB0aGUgc21hbGwgc2FtcGxlIHNpemUuIERlc3BpdGUgdGhlIGxpbWl0ZWQgbnVtYmVyIG9mIGVmZmVjdHMgc3VpdGFibGUgZm9yIGFnZ3JlZ2F0aW9uLCB0aGUgbWVhbiBhc3NvY2lhdGlvbiBiZXR3ZWVuIHBlcmNlaXZlZCBzYWZldHkgYW5kIFBBIHdhcyBzaWduaWZpY2FudC4gQXMgaXQgc2VlbXMgbGlrZWx5IHRoYXQgcGVyY2VpdmVkIGxhY2sgb2Ygc2FmZXR5IGZyb20gY3JpbWUgY29uc3RyYWlucyBQQSBiZWhhdmlvcnMsIGZ1dHVyZSByZXNlYXJjaCBleHBsb3JpbmcgbW9kZXJhdG9ycyBvZiB0aGlzIGFzc29jaWF0aW9uIG1heSBoZWxwIGd1aWRlIHB1YmxpYyBoZWFsdGggcmVjb21tZW5kYXRpb25zIGFuZCBpbnRlcnZlbnRpb25zLiIsInB1Ymxpc2hlciI6IkFjYWRlbWljIFByZXNzIEluYy4iLCJ2b2x1bWUiOiIxMTEifSwiaXNUZW1wb3JhcnkiOmZhbHNlfSx7ImlkIjoiY2EyNGE2ZDItNmFlMy0zNmI5LWFjOTctZDc3MTgwOTdmNzBiIiwiaXRlbURhdGEiOnsidHlwZSI6ImFydGljbGUtam91cm5hbCIsImlkIjoiY2EyNGE2ZDItNmFlMy0zNmI5LWFjOTctZDc3MTgwOTdmNzBiIiwidGl0bGUiOiJEb2VzIEZlYXIgb2YgQ3JpbWUgRGlzY291cmFnZSBXYWxrZXJzPyBBIFNvY2lhbC1FY29sb2dpY2FsIEV4cGxvcmF0aW9uIG9mIEZlYXIgQXMgYSBEZXRlcnJlbnQgdG8gV2Fsa2luZyIsImF1dGhvciI6W3siZmFtaWx5IjoiRm9zdGVyIiwiZ2l2ZW4iOiJTYXJhaCIsInBhcnNlLW5hbWVzIjpmYWxzZSwiZHJvcHBpbmctcGFydGljbGUiOiIiLCJub24tZHJvcHBpbmctcGFydGljbGUiOiIifSx7ImZhbWlseSI6IkdpbGVzLUNvcnRpIiwiZ2l2ZW4iOiJCaWxsaWUiLCJwYXJzZS1uYW1lcyI6ZmFsc2UsImRyb3BwaW5nLXBhcnRpY2xlIjoiIiwibm9uLWRyb3BwaW5nLXBhcnRpY2xlIjoiIn0seyJmYW1pbHkiOiJLbnVpbWFuIiwiZ2l2ZW4iOiJNYXR0aGV3IiwicGFyc2UtbmFtZXMiOmZhbHNlLCJkcm9wcGluZy1wYXJ0aWNsZSI6IiIsIm5vbi1kcm9wcGluZy1wYXJ0aWNsZSI6IiJ9XSwiY29udGFpbmVyLXRpdGxlIjoiRW52aXJvbm1lbnQgYW5kIEJlaGF2aW9yIiwiY29udGFpbmVyLXRpdGxlLXNob3J0IjoiRW52aXJvbi4gQmVoYXYuIiwiRE9JIjoiMTAuMTE3Ny8wMDEzOTE2NTEyNDY1MTc2IiwiSVNTTiI6IjE1NTIzOTBYIiwiaXNzdWVkIjp7ImRhdGUtcGFydHMiOltbMjAxNF1dfSwicGFnZSI6IjY5OC03MTciLCJhYnN0cmFjdCI6IkZldyBzdHVkaWVzIGhhdmUgc3BlY2lmaWNhbGx5IGludmVzdGlnYXRlZCBmZWFyIG9mIGNyaW1lIGFzIGEgZGV0ZXJyZW50IHRvIHdhbGtpbmcuIFRoaXMgc3R1ZHkgdGVzdGVkIHRoZSBoeXBvdGhlc2lzIHRoYXQgZmVhciB3b3VsZCBpbmhpYml0IHJlc2lkZW50cyBmcm9tIHdhbGtpbmcgaW4gdGhlaXIgbG9jYWwgbmVpZ2hib3Job29kcy4gSG9tZW93bmVycyAobiA9IDEsMDQ0KSBpbiBQZXJ0aCwgV2VzdGVybiBBdXN0cmFsaWEsIHJlcG9ydGVkIHRoZWlyIGZlYXIgb2YgY3JpbWUsIG5laWdoYm9yaG9vZCBwcm9ibGVtcyBhbmQgd2Fsa2luZywgYW5kIG9iamVjdGl2ZSBlbnZpcm9ubWVudGFsIG1lYXN1cmVzIHdlcmUgZ2VuZXJhdGVkIGZvciBlYWNoIHBhcnRpY2lwYW50J3MgbmVpZ2hib3Job29kLiBNdWx0aXZhcmlhdGUgbG9naXN0aWMgcmVncmVzc2lvbiBtb2RlbHMgZXhhbWluZWQgdGhlIGFzc29jaWF0aW9uIGJldHdlZW4gZmVhciBhbmQgd2Fsa2luZywgd2l0aCBwcm9ncmVzc2l2ZSBhZGp1c3RtZW50IGZvciBvdGhlciBjb3JyZWxhdGVzLiBGZWFyIHdhcyBhc3NvY2lhdGVkIHdpdGggbG93ZXIgb2RkcyBvZiB0cmFuc3BvcnQgd2Fsa2luZyAoT1IgPSAwLjc5LCBwID0gLjAzNCk7IGhvd2V2ZXIsIGNhciBhY2Nlc3Mgd2FzIHViaXF1aXRvdXMgc28gZmVhcmZ1bCBwYXJ0aWNpcGFudHMgY291bGQgYXZvaWQgd2Fsa2luZy4gQSBzaW1pbGFyIGFzc29jaWF0aW9uIGJldHdlZW4gZmVhciBhbmQgcmVjcmVhdGlvbmFsIHdhbGtpbmcgYXR0ZW51YXRlZCBhZnRlciBjb250cm9sbGluZyBmb3Igb3RoZXIgbmVpZ2hib3Job29kIGZhY3RvcnMuIEZpbmRpbmdzIHN1Z2dlc3QgdGhhdCB0aGUgY2FwYWNpdHkgZm9yIGZlYXIgdG8gZGV0ZXIgcmVjcmVhdGlvbmFsIHdhbGtlcnMgaXMgbm90IGZpeGVkLCBhbmQgdGhhdCBhIHN1cHBvcnRpdmUgZW52aXJvbm1lbnQgY2FuIGxlc3NlbiBpdHMgaW1wYWN0LiBDb21tdW5pdHkgaW5pdGlhdGl2ZXMgdGhhdCBlbmNvdXJhZ2Ugc29jaWFsIGludGVyYWN0aW9uIGJldHdlZW4gcmVzaWRlbnRzIGFuZCBpbXByb3ZlIG5laWdoYm9yaG9vZCBhZXN0aGV0aWNzIG1heSBpbmNyZWFzZSBsZXZlbHMgb2YgcmVjcmVhdGlvbmFsIHdhbGtpbmcuIMKpIDIwMTIgU0FHRSBQdWJsaWNhdGlvbnMuIiwicHVibGlzaGVyIjoiU0FHRSBQdWJsaWNhdGlvbnMgTHRkIiwiaXNzdWUiOiI2Iiwidm9sdW1lIjoiNDYifSwiaXNUZW1wb3JhcnkiOmZhbHNlfV19&quot;,&quot;citationItems&quot;:[{&quot;id&quot;:&quot;4b704430-4cbe-38d3-8152-be1a483d8643&quot;,&quot;itemData&quot;:{&quot;type&quot;:&quot;article&quot;,&quot;id&quot;:&quot;4b704430-4cbe-38d3-8152-be1a483d8643&quot;,&quot;title&quot;:&quot;Crime, perceived safety, and physical activity: A meta-analysis&quot;,&quot;author&quot;:[{&quot;family&quot;:&quot;Rees-Punia&quot;,&quot;given&quot;:&quot;Erika&quot;,&quot;parse-names&quot;:false,&quot;dropping-particle&quot;:&quot;&quot;,&quot;non-dropping-particle&quot;:&quot;&quot;},{&quot;family&quot;:&quot;Hathaway&quot;,&quot;given&quot;:&quot;Elizabeth D.&quot;,&quot;parse-names&quot;:false,&quot;dropping-particle&quot;:&quot;&quot;,&quot;non-dropping-particle&quot;:&quot;&quot;},{&quot;family&quot;:&quot;Gay&quot;,&quot;given&quot;:&quot;Jennifer L.&quot;,&quot;parse-names&quot;:false,&quot;dropping-particle&quot;:&quot;&quot;,&quot;non-dropping-particle&quot;:&quot;&quot;}],&quot;container-title&quot;:&quot;Preventive Medicine&quot;,&quot;container-title-short&quot;:&quot;Prev. Med. (Baltim).&quot;,&quot;DOI&quot;:&quot;10.1016/j.ypmed.2017.11.017&quot;,&quot;ISSN&quot;:&quot;10960260&quot;,&quot;PMID&quot;:&quot;29157975&quot;,&quot;issued&quot;:{&quot;date-parts&quot;:[[2018,6,1]]},&quot;page&quot;:&quot;307-313&quot;,&quot;abstract&quot;:&quot;Perceived safety from crime and objectively-measured crime rates may be associated with physical inactivity. The purpose of this meta-analysis is to estimate the odds of accumulating high levels of physical activity (PA) when the perception of safety from crime is high and when objectively-measured crime is high. Peer-reviewed studies were identified through PubMed, Web of Science, ProQuest Criminal Justice, and ScienceDirect from earliest record through 2016. Included studies measured total PA, leisure-time PA, or walking in addition to perceived safety from crime or objective measures of crime. Mean odds ratios were aggregated with random effects models, and meta-regression was used to examine effects of potential moderators: country, age, and crime/PA measure. Sixteen cross-sectional studies yielded sixteen effects for perceived safety from crime and four effects for objective crime. Those reporting feeling safe from crime had a 27% greater odds of achieving higher levels of physical activity (OR = 1.27 [1.08, 1.49]), and those living in areas with higher objectively-measured crime had a 28% reduced odds of achieving higher levels of physical activity (OR = 0.72 [0.61, 0.83]). Effects of perceived safety were highly heterogeneous (I2 = 94.09%), but explored moderators were not statistically significant, likely because of the small sample size. Despite the limited number of effects suitable for aggregation, the mean association between perceived safety and PA was significant. As it seems likely that perceived lack of safety from crime constrains PA behaviors, future research exploring moderators of this association may help guide public health recommendations and interventions.&quot;,&quot;publisher&quot;:&quot;Academic Press Inc.&quot;,&quot;volume&quot;:&quot;111&quot;},&quot;isTemporary&quot;:false},{&quot;id&quot;:&quot;ca24a6d2-6ae3-36b9-ac97-d7718097f70b&quot;,&quot;itemData&quot;:{&quot;type&quot;:&quot;article-journal&quot;,&quot;id&quot;:&quot;ca24a6d2-6ae3-36b9-ac97-d7718097f70b&quot;,&quot;title&quot;:&quot;Does Fear of Crime Discourage Walkers? A Social-Ecological Exploration of Fear As a Deterrent to Walking&quot;,&quot;author&quot;:[{&quot;family&quot;:&quot;Foster&quot;,&quot;given&quot;:&quot;Sarah&quot;,&quot;parse-names&quot;:false,&quot;dropping-particle&quot;:&quot;&quot;,&quot;non-dropping-particle&quot;:&quot;&quot;},{&quot;family&quot;:&quot;Giles-Corti&quot;,&quot;given&quot;:&quot;Billie&quot;,&quot;parse-names&quot;:false,&quot;dropping-particle&quot;:&quot;&quot;,&quot;non-dropping-particle&quot;:&quot;&quot;},{&quot;family&quot;:&quot;Knuiman&quot;,&quot;given&quot;:&quot;Matthew&quot;,&quot;parse-names&quot;:false,&quot;dropping-particle&quot;:&quot;&quot;,&quot;non-dropping-particle&quot;:&quot;&quot;}],&quot;container-title&quot;:&quot;Environment and Behavior&quot;,&quot;container-title-short&quot;:&quot;Environ. Behav.&quot;,&quot;DOI&quot;:&quot;10.1177/0013916512465176&quot;,&quot;ISSN&quot;:&quot;1552390X&quot;,&quot;issued&quot;:{&quot;date-parts&quot;:[[2014]]},&quot;page&quot;:&quot;698-717&quot;,&quot;abstract&quot;:&quot;Few studies have specifically investigated fear of crime as a deterrent to walking. This study tested the hypothesis that fear would inhibit residents from walking in their local neighborhoods. Homeowners (n = 1,044) in Perth, Western Australia, reported their fear of crime, neighborhood problems and walking, and objective environmental measures were generated for each participant's neighborhood. Multivariate logistic regression models examined the association between fear and walking, with progressive adjustment for other correlates. Fear was associated with lower odds of transport walking (OR = 0.79, p = .034); however, car access was ubiquitous so fearful participants could avoid walking. A similar association between fear and recreational walking attenuated after controlling for other neighborhood factors. Findings suggest that the capacity for fear to deter recreational walkers is not fixed, and that a supportive environment can lessen its impact. Community initiatives that encourage social interaction between residents and improve neighborhood aesthetics may increase levels of recreational walking. © 2012 SAGE Publications.&quot;,&quot;publisher&quot;:&quot;SAGE Publications Ltd&quot;,&quot;issue&quot;:&quot;6&quot;,&quot;volume&quot;:&quot;46&quot;},&quot;isTemporary&quot;:false}]},{&quot;citationID&quot;:&quot;MENDELEY_CITATION_8e0b1049-0cf7-4144-9f46-32fc0a42d4a9&quot;,&quot;properties&quot;:{&quot;noteIndex&quot;:0},&quot;isEdited&quot;:false,&quot;manualOverride&quot;:{&quot;isManuallyOverridden&quot;:true,&quot;citeprocText&quot;:&quot;(Vespa et al., 2020; World Health Organization, 2015)&quot;,&quot;manualOverrideText&quot;:&quot;(World Health Organization, 2015; Vespa et al., 2020)&quot;},&quot;citationTag&quot;:&quot;MENDELEY_CITATION_v3_eyJjaXRhdGlvbklEIjoiTUVOREVMRVlfQ0lUQVRJT05fOGUwYjEwNDktMGNmNy00MTQ0LTlmNDYtMzJmYzBhNDJkNGE5IiwicHJvcGVydGllcyI6eyJub3RlSW5kZXgiOjB9LCJpc0VkaXRlZCI6ZmFsc2UsIm1hbnVhbE92ZXJyaWRlIjp7ImlzTWFudWFsbHlPdmVycmlkZGVuIjp0cnVlLCJjaXRlcHJvY1RleHQiOiIoVmVzcGEgZXQgYWwuLCAyMDIwOyBXb3JsZCBIZWFsdGggT3JnYW5pemF0aW9uLCAyMDE1KSIsIm1hbnVhbE92ZXJyaWRlVGV4dCI6IihXb3JsZCBIZWFsdGggT3JnYW5pemF0aW9uLCAyMDE1OyBWZXNwYSBldCBhbC4sIDIwMjApIn0sImNpdGF0aW9uSXRlbXMiOlt7ImlkIjoiYTg4ZjU0MjUtYjU4Zi0zMTk5LTg2ZTctNGRiZmY3MDM1ZGNiIiwiaXRlbURhdGEiOnsidHlwZSI6ImJvb2siLCJpZCI6ImE4OGY1NDI1LWI1OGYtMzE5OS04NmU3LTRkYmZmNzAzNWRjYiIsInRpdGxlIjoiV29ybGQgcmVwb3J0IG9uIGFnZWluZyBhbmQgaGVhbHRoIiwiYXV0aG9yIjpbeyJmYW1pbHkiOiJXb3JsZCBIZWFsdGggT3JnYW5pemF0aW9uIiwiZ2l2ZW4iOiIiLCJwYXJzZS1uYW1lcyI6ZmFsc2UsImRyb3BwaW5nLXBhcnRpY2xlIjoiIiwibm9uLWRyb3BwaW5nLXBhcnRpY2xlIjoiIn1dLCJhY2Nlc3NlZCI6eyJkYXRlLXBhcnRzIjpbWzIwMjYsNywxMl1dfSwiSVNCTiI6Ijk3ODkyNDE1NjUwNDIiLCJVUkwiOiJodHRwczovL3d3dy53aG8uaW50L3B1YmxpY2F0aW9ucy9pL2l0ZW0vOTc4OTI0MTU2NTA0MiIsImlzc3VlZCI6eyJkYXRlLXBhcnRzIjpbWzIwMTVdXX0sIm51bWJlci1vZi1wYWdlcyI6IjI0NiIsImFic3RyYWN0IjoiXCJDb21wcmVoZW5zaXZlIHB1YmxpYyBoZWFsdGggYWN0aW9uIG9uIHBvcHVsYXRpb24gYWdlaW5nIGlzIHVyZ2VudGx5IG5lZWRlZC4gVGhpcyB3aWxsIHJlcXVpcmUgZnVuZGFtZW50YWwgc2hpZnRzLCBub3QganVzdCBpbiB0aGUgdGhpbmdzIHdlIGRvLCBidXQgaW4gaG93IHdlIHRoaW5rIGFib3V0IGFnZWluZyBpdHNlbGYuIFRoZSBXb3JsZCByZXBvcnQgb24gYWdlaW5nIGFuZCBoZWFsdGggb3V0bGluZXMgYSBmcmFtZXdvcmsgZm9yIGFjdGlvbiB0byBmb3N0ZXIgSGVhbHRoeSBBZ2VpbmcgYnVpbHQgYXJvdW5kIHRoZSBuZXcgY29uY2VwdCBvZiBmdW5jdGlvbmFsIGFiaWxpdHkuIFRoaXMgd2lsbCByZXF1aXJlIGEgdHJhbnNmb3JtYXRpb24gb2YgaGVhbHRoIHN5c3RlbXMgYXdheSBmcm9tIGRpc2Vhc2UgYmFzZWQgY3VyYXRpdmUgbW9kZWxzIGFuZCB0b3dhcmRzIHRoZSBwcm92aXNpb24gb2Ygb2xkZXItcGVyc29uLWNlbnRyZWQgYW5kIGludGVncmF0ZWQgY2FyZS4gSXQgd2lsbCByZXF1aXJlIHRoZSBkZXZlbG9wbWVudCwgc29tZXRpbWVzIGZyb20gbm90aGluZywgb2YgY29tcHJlaGVuc2l2ZSBzeXN0ZW1zIG9mIGxvbmcgdGVybSBjYXJlLlwiLS1QYWdlIDQgb2YgY292ZXIuIFByZWZhY2UgLS0gQWNrbm93bGVkZ2VtZW50cyAtLSAxLiBBZGRpbmcgaGVhbHRoIHRvIHllYXJzIC0tIEludHJvZHVjdGlvbiAtLSBUaGUgY29udGV4dCBmb3IgYWN0aW9uIC0tIFRoZSBpbnRlcm5hdGlvbmFsIGxlZ2FsIGFuZCBwb2xpY3kgZnJhbWV3b3JrcyAtLSBDdXJyZW50IHB1YmxpYy1oZWFsdGggcmVzcG9uc2UgLS0gbW9yZSBvZiB0aGUgc2FtZSB3aWxsIG5vdCBiZSBlbm91Z2ggLS0gVGhlIGNoYWxsZW5nZXMgZm9yIHBvbGljeSBkZXZlbG9wbWVudCAtLSBEaXZlcnNpdHkgaW4gb2xkZXIgYWdlIC0tIFRoZSBpbXBhY3Qgb2YgaW5lcXVpdHkgLS0gT3V0ZGF0ZWQgc3RlcmVvdHlwZXMsIG5ldyBleHBlY3RhdGlvbnMgLS0gVGhlIHdvcmxkIGlzIGNoYW5naW5nIHRvbyAtLSBXaHkgYWN0IG9uIGFnZWluZyBhbmQgaGVhbHRoPyAtLSBUaGUgcmlnaHRzIG9mIG9sZGVyIHBlb3BsZSAtLSBBZ2VpbmcsIGhlYWx0aCBhbmQgZGV2ZWxvcG1lbnQgLS0gVGhlIGVjb25vbWljIGltcGVyYXRpdmUgLS0gQ29uY2x1c2lvbiAtLSAyLiBIZWFsdGh5IEFnZWluZyAtLSBXaGF0IGlzIGFnZWluZz8gLS0gQWdlaW5nLCBoZWFsdGggYW5kIGZ1bmN0aW9uaW5nIC0tIEEgZnJhbWV3b3JrIGZvciBhY3Rpb24gb24gYWdlaW5nIGFuZCBoZWFsdGggLS0gSGVhbHRoeSBBZ2VpbmcgLS0gVHJhamVjdG9yaWVzIG9mIEhlYWx0aHkgQWdlaW5nIC0tIEEgcHVibGljLWhlYWx0aCBmcmFtZXdvcmsgZm9yIEhlYWx0aHkgQWdlaW5nIC0tIEtleSBpc3N1ZXMgZm9yIHB1YmxpYy1oZWFsdGggYWN0aW9uIC0tIERlYWxpbmcgd2l0aCBkaXZlcnNpdHkgLS0gUmVkdWNpbmcgaW5lcXVpdHkgLS0gRW5hYmxpbmcgY2hvaWNlIC0tIEFnZWluZyBpbiBwbGFjZSAtLSAzLiBIZWFsdGggaW4gb2xkZXIgYWdlIC0tIERlbW9ncmFwaGljIGFuZCBlcGlkZW1pb2xvZ2ljYWwgY2hhbmdlcyAtLSBQb3B1bGF0aW9uIGFnZWluZyAtLSBXaHkgYXJlIHBvcHVsYXRpb25zIGFnZWluZz8gLS0gQXJlIHRoZSBhZGRlZCB5ZWFycyBpbiBvbGRlciBhZ2UgYmVpbmcgZXhwZXJpZW5jZWQgaW4gZ29vZCBoZWFsdGg/IC0tIEhlYWx0aCBjaGFyYWN0ZXJpc3RpY3MgaW4gb2xkZXIgYWdlIC0tIFVuZGVybHlpbmcgY2hhbmdlcyAtLSBIZWFsdGggY29uZGl0aW9ucyBpbiBvbGRlciBhZ2UgLS0gT3RoZXIgY29tcGxleCBoZWFsdGggaXNzdWVzIGluIG9sZGVyIGFnZSAtLSBJbnRyaW5zaWMgY2FwYWNpdHkgYW5kIGZ1bmN0aW9uYWwgYWJpbGl0eSAtLSBJbnRyaW5zaWMgY2FwYWNpdHkgYWNyb3NzIHRoZSBsaWZlIGNvdXJzZSAtLSBQYXR0ZXJucyBvZiBmdW5jdGlvbmluZyBpbiBjb3VudHJpZXMgYXQgZGlmZmVyZW50IGxldmVscyBvZiBzb2Npb2Vjb25vbWljIGRldmVsb3BtZW50IC0tIFNpZ25pZmljYW50IGxvc3Mgb2YgZnVuY3Rpb25hbCBhYmlsaXR5LCBhbmQgY2FyZSBkZXBlbmRlbmNlIC0tIEtleSBiZWhhdmlvdXJzIHRoYXQgaW5mbHVlbmNlIEhlYWx0aHkgQWdlaW5nIC0tIFBoeXNpY2FsIGFjdGl2aXR5IC0tIE51dHJpdGlvbiAtLSBLZXkgZW52aXJvbm1lbnRhbCByaXNrcyAtLSBFbWVyZ2VuY3kgc2l0dWF0aW9ucyAtLSBFbGRlciBhYnVzZSAtLSA0LiBIZWFsdGggc3lzdGVtcyAtLSBJbnRyb2R1Y3Rpb24gLS0gUmlzaW5nIGRlbWFuZCwgYmFycmllcnMgdG8gdXNlLCBwb29ybHkgYWxpZ25lZCBzZXJ2aWNlcyAtLSBEZW1hbmQgZm9yIGhlYWx0aCBzZXJ2aWNlcyAtLSBCYXJyaWVycyB0byB1c2UgLS0gU3lzdGVtcyBkZXNpZ25lZCBmb3IgZGlmZmVyZW50IHByb2JsZW1zIC0tIEVjb25vbWljIGltcGFjdCBvZiBwb3B1bGF0aW9uIGFnZWluZyBvbiBoZWFsdGggc3lzdGVtcyAtLSBSZXNwb25zZXMgLS0gVGhlIGdvYWw6IG9wdGltaXplIHRyYWplY3RvcmllcyBvZiBpbnRyaW5zaWMgY2FwYWNpdHkgLS0gQWRhcHQgaW50ZXJ2ZW50aW9ucyB0byBpbmRpdmlkdWFscyBhbmQgdGhlaXIgbGV2ZWxzIG9mIGNhcGFjaXR5IC0tIEltcGxlbWVudCBvbGRlci1wZXJzb24tY2VudHJlZCBhbmQgaW50ZWdyYXRlZCBjYXJlIC0tIEFsaWduIGhlYWx0aCBzeXN0ZW1zIC0tIENvbmNsdXNpb24uIiwiY29udGFpbmVyLXRpdGxlLXNob3J0IjoiIn0sImlzVGVtcG9yYXJ5IjpmYWxzZX0seyJpZCI6IjRlZmY0MDQzLTYzNmUtMzBlMy1hMWE3LTQ3ODhlN2Y1MjdmYiIsIml0ZW1EYXRhIjp7InR5cGUiOiJyZXBvcnQiLCJpZCI6IjRlZmY0MDQzLTYzNmUtMzBlMy1hMWE3LTQ3ODhlN2Y1MjdmYiIsInRpdGxlIjoiXCJEZW1vZ3JhcGhpYyBUdXJuaW5nIFBvaW50cyBmb3IgdGhlIFVuaXRlZCBTdGF0ZXM6IFBvcHVsYXRpb24gUHJvamVjdGlvbnMgZm9yIDIwMjAgdG8gMjA2MFwiLiBDdXJyZW50IFBvcHVsYXRpb24gUmVwb3J0cywgUDI1LTExNDQsIFUuUy4gQ2Vuc3VzIEJ1cmVhdSwgV2FzaGluZ3RvbiwgREMuIiwiYXV0aG9yIjpbeyJmYW1pbHkiOiJWZXNwYSIsImdpdmVuIjoiSm9uYXRoYW4iLCJwYXJzZS1uYW1lcyI6ZmFsc2UsImRyb3BwaW5nLXBhcnRpY2xlIjoiIiwibm9uLWRyb3BwaW5nLXBhcnRpY2xlIjoiIn0seyJmYW1pbHkiOiJNZWRpbmEiLCJnaXZlbiI6IkxhdXJlbiIsInBhcnNlLW5hbWVzIjpmYWxzZSwiZHJvcHBpbmctcGFydGljbGUiOiIiLCJub24tZHJvcHBpbmctcGFydGljbGUiOiIifSx7ImZhbWlseSI6IkFybXN0cm9uZyIsImdpdmVuIjoiRGF2aWQgTSIsInBhcnNlLW5hbWVzIjpmYWxzZSwiZHJvcHBpbmctcGFydGljbGUiOiIiLCJub24tZHJvcHBpbmctcGFydGljbGUiOiIifV0sIlVSTCI6Ind3dy5jZW5zdXMuZ292L3Byb2dyYW1zLXN1cnZleXMvcG9wcHJvaiIsImlzc3VlZCI6eyJkYXRlLXBhcnRzIjpbWzIwMjBdXX0sImNvbnRhaW5lci10aXRsZS1zaG9ydCI6IiJ9LCJpc1RlbXBvcmFyeSI6ZmFsc2V9XX0=&quot;,&quot;citationItems&quot;:[{&quot;id&quot;:&quot;a88f5425-b58f-3199-86e7-4dbff7035dcb&quot;,&quot;itemData&quot;:{&quot;type&quot;:&quot;book&quot;,&quot;id&quot;:&quot;a88f5425-b58f-3199-86e7-4dbff7035dcb&quot;,&quot;title&quot;:&quot;World report on ageing and health&quot;,&quot;author&quot;:[{&quot;family&quot;:&quot;World Health Organization&quot;,&quot;given&quot;:&quot;&quot;,&quot;parse-names&quot;:false,&quot;dropping-particle&quot;:&quot;&quot;,&quot;non-dropping-particle&quot;:&quot;&quot;}],&quot;accessed&quot;:{&quot;date-parts&quot;:[[2026,7,12]]},&quot;ISBN&quot;:&quot;9789241565042&quot;,&quot;URL&quot;:&quot;https://www.who.int/publications/i/item/9789241565042&quot;,&quot;issued&quot;:{&quot;date-parts&quot;:[[2015]]},&quot;number-of-pages&quot;:&quot;246&quot;,&quot;abstract&quot;:&quot;\&quot;Comprehensive public health action on population ageing is urgently needed. This will require fundamental shifts, not just in the things we do, but in how we think about ageing itself. The World report on ageing and health outlines a framework for action to foster Healthy Ageing built around the new concept of functional ability. This will require a transformation of health systems away from disease based curative models and towards the provision of older-person-centred and integrated care. It will require the development, sometimes from nothing, of comprehensive systems of long term care.\&quot;--Page 4 of cover. Preface -- Acknowledgements -- 1. Adding health to years -- Introduction -- The context for action -- The international legal and policy frameworks -- Current public-health response -- more of the same will not be enough -- The challenges for policy development -- Diversity in older age -- The impact of inequity -- Outdated stereotypes, new expectations -- The world is changing too -- Why act on ageing and health? -- The rights of older people -- Ageing, health and development -- The economic imperative -- Conclusion -- 2. Healthy Ageing -- What is ageing? -- Ageing, health and functioning -- A framework for action on ageing and health -- Healthy Ageing -- Trajectories of Healthy Ageing -- A public-health framework for Healthy Ageing -- Key issues for public-health action -- Dealing with diversity -- Reducing inequity -- Enabling choice -- Ageing in place -- 3. Health in older age -- Demographic and epidemiological changes -- Population ageing -- Why are populations ageing? -- Are the added years in older age being experienced in good health? -- Health characteristics in older age -- Underlying changes -- Health conditions in older age -- Other complex health issues in older age -- Intrinsic capacity and functional ability -- Intrinsic capacity across the life course -- Patterns of functioning in countries at different levels of socioeconomic development -- Significant loss of functional ability, and care dependence -- Key behaviours that influence Healthy Ageing -- Physical activity -- Nutrition -- Key environmental risks -- Emergency situations -- Elder abuse -- 4. Health systems -- Introduction -- Rising demand, barriers to use, poorly aligned services -- Demand for health services -- Barriers to use -- Systems designed for different problems -- Economic impact of population ageing on health systems -- Responses -- The goal: optimize trajectories of intrinsic capacity -- Adapt interventions to individuals and their levels of capacity -- Implement older-person-centred and integrated care -- Align health systems -- Conclusion.&quot;,&quot;container-title-short&quot;:&quot;&quot;},&quot;isTemporary&quot;:false},{&quot;id&quot;:&quot;4eff4043-636e-30e3-a1a7-4788e7f527fb&quot;,&quot;itemData&quot;:{&quot;type&quot;:&quot;report&quot;,&quot;id&quot;:&quot;4eff4043-636e-30e3-a1a7-4788e7f527fb&quot;,&quot;title&quot;:&quot;\&quot;Demographic Turning Points for the United States: Population Projections for 2020 to 2060\&quot;. Current Population Reports, P25-1144, U.S. Census Bureau, Washington, DC.&quot;,&quot;author&quot;:[{&quot;family&quot;:&quot;Vespa&quot;,&quot;given&quot;:&quot;Jonathan&quot;,&quot;parse-names&quot;:false,&quot;dropping-particle&quot;:&quot;&quot;,&quot;non-dropping-particle&quot;:&quot;&quot;},{&quot;family&quot;:&quot;Medina&quot;,&quot;given&quot;:&quot;Lauren&quot;,&quot;parse-names&quot;:false,&quot;dropping-particle&quot;:&quot;&quot;,&quot;non-dropping-particle&quot;:&quot;&quot;},{&quot;family&quot;:&quot;Armstrong&quot;,&quot;given&quot;:&quot;David M&quot;,&quot;parse-names&quot;:false,&quot;dropping-particle&quot;:&quot;&quot;,&quot;non-dropping-particle&quot;:&quot;&quot;}],&quot;URL&quot;:&quot;www.census.gov/programs-surveys/popproj&quot;,&quot;issued&quot;:{&quot;date-parts&quot;:[[2020]]},&quot;container-title-short&quot;:&quot;&quot;},&quot;isTemporary&quot;:false}]},{&quot;citationID&quot;:&quot;MENDELEY_CITATION_113188ba-73a7-4425-aabd-96e2ff43a0db&quot;,&quot;properties&quot;:{&quot;noteIndex&quot;:0},&quot;isEdited&quot;:false,&quot;manualOverride&quot;:{&quot;isManuallyOverridden&quot;:false,&quot;citeprocText&quot;:&quot;(Bauman et al., 2016; World Health Organization, 2020)&quot;,&quot;manualOverrideText&quot;:&quot;&quot;},&quot;citationTag&quot;:&quot;MENDELEY_CITATION_v3_eyJjaXRhdGlvbklEIjoiTUVOREVMRVlfQ0lUQVRJT05fMTEzMTg4YmEtNzNhNy00NDI1LWFhYmQtOTZlMmZmNDNhMGRiIiwicHJvcGVydGllcyI6eyJub3RlSW5kZXgiOjB9LCJpc0VkaXRlZCI6ZmFsc2UsIm1hbnVhbE92ZXJyaWRlIjp7ImlzTWFudWFsbHlPdmVycmlkZGVuIjpmYWxzZSwiY2l0ZXByb2NUZXh0IjoiKEJhdW1hbiBldCBhbC4sIDIwMTY7IFdvcmxkIEhlYWx0aCBPcmdhbml6YXRpb24sIDIwMjApIiwibWFudWFsT3ZlcnJpZGVUZXh0IjoiIn0sImNpdGF0aW9uSXRlbXMiOlt7ImlkIjoiYWZjN2RmOWYtYjVlNi0zYmM3LWE0MzItZDIyZDYyZDJmMDEzIiwiaXRlbURhdGEiOnsidHlwZSI6ImFydGljbGUiLCJpZCI6ImFmYzdkZjlmLWI1ZTYtM2JjNy1hNDMyLWQyMmQ2MmQyZjAxMyIsInRpdGxlIjoiVXBkYXRpbmcgdGhlIEV2aWRlbmNlIGZvciBQaHlzaWNhbCBBY3Rpdml0eTogU3VtbWF0aXZlIFJldmlld3Mgb2YgdGhlIEVwaWRlbWlvbG9naWNhbCBFdmlkZW5jZSwgUHJldmFsZW5jZSwgYW5kIEludGVydmVudGlvbnMgdG8gUHJvbW90ZSBcImFjdGl2ZSBBZ2luZ1wiIiwiYXV0aG9yIjpbeyJmYW1pbHkiOiJCYXVtYW4iLCJnaXZlbiI6IkFkcmlhbiIsInBhcnNlLW5hbWVzIjpmYWxzZSwiZHJvcHBpbmctcGFydGljbGUiOiIiLCJub24tZHJvcHBpbmctcGFydGljbGUiOiIifSx7ImZhbWlseSI6Ik1lcm9tIiwiZ2l2ZW4iOiJEYWZuYSIsInBhcnNlLW5hbWVzIjpmYWxzZSwiZHJvcHBpbmctcGFydGljbGUiOiIiLCJub24tZHJvcHBpbmctcGFydGljbGUiOiIifSx7ImZhbWlseSI6IkJ1bGwiLCJnaXZlbiI6IkZpb25hIEMuIiwicGFyc2UtbmFtZXMiOmZhbHNlLCJkcm9wcGluZy1wYXJ0aWNsZSI6IiIsIm5vbi1kcm9wcGluZy1wYXJ0aWNsZSI6IiJ9LHsiZmFtaWx5IjoiQnVjaG5lciIsImdpdmVuIjoiRGF2aWQgTS4iLCJwYXJzZS1uYW1lcyI6ZmFsc2UsImRyb3BwaW5nLXBhcnRpY2xlIjoiIiwibm9uLWRyb3BwaW5nLXBhcnRpY2xlIjoiIn0seyJmYW1pbHkiOiJGaWF0YXJvbmUgU2luZ2giLCJnaXZlbiI6Ik1hcmlhIEEuIiwicGFyc2UtbmFtZXMiOmZhbHNlLCJkcm9wcGluZy1wYXJ0aWNsZSI6IiIsIm5vbi1kcm9wcGluZy1wYXJ0aWNsZSI6IiJ9XSwiY29udGFpbmVyLXRpdGxlIjoiR2Vyb250b2xvZ2lzdCIsIkRPSSI6IjEwLjEwOTMvZ2Vyb250L2dudzAzMSIsIklTU04iOiIxNzU4NTM0MSIsIlBNSUQiOiIyNjk5NDI2NiIsImlzc3VlZCI6eyJkYXRlLXBhcnRzIjpbWzIwMTYsNCwxXV19LCJwYWdlIjoiUzI2OC1TMjgwIiwiYWJzdHJhY3QiOiJQdXJwb3NlIG9mIHRoZSBTdHVkeTogVGhlcmUgaXMgYSBnbG9iYWwgaW1wZXJhdGl2ZSB0byBpbmNyZWFzZSBhd2FyZW5lc3Mgb2YgdGhlIGVtZXJnaW5nIGV2aWRlbmNlIG9uIHBoeXNpY2FsIGFjdGl2aXR5IChQQSkgYW1vbmcgb2xkZXIgYWR1bHRzLiBcIkhlYWx0aHkgYWdpbmdcIiBoYXMgdHJhZGl0aW9uYWxseSBmb2N1c2VkIG9uIHByZXZlbnRpbmcgY2hyb25pYyBkaXNlYXNlLCBidXQgZ3JlYXRlciBlZmZvcnRzIGFyZSByZXF1aXJlZCB0byByZWR1Y2UgZnJhaWx0eSBhbmQgZGVwZW5kZW5jeSBhbmQgdG8gbWFpbnRhaW4gaW5kZXBlbmRlbnQgcGh5c2ljYWwgYW5kIGNvZ25pdGl2ZSBmdW5jdGlvbiBhbmQgbWVudGFsIGhlYWx0aCBhbmQgd2VsbC1iZWluZy4gRGVzaWduIGFuZCBNZXRob2RzOiBUaGlzIGludGVncmF0ZWQgcmV2aWV3IHVwZGF0ZXMgdGhlIGVwaWRlbWlvbG9naWNhbCBkYXRhIG9uIFBBLCBzdW1tYXJpemVzIHRoZSBleGlzdGluZyBldmlkZW5jZS1iYXNlZCBQQSBndWlkZWxpbmVzLCBkZXNjcmliZXMgdGhlIGdsb2JhbCBtYWduaXR1ZGUgb2YgaW5hY3Rpdml0eSwgYW5kIGZpbmFsbHkgZGVzY3JpYmVzIHRoZSByYXRpb25hbGUgZm9yIGFjdGlvbi4gVGhlIGZpcnN0IHNlY3Rpb24gdXBkYXRlcyB0aGUgZXBpZGVtaW9sb2dpY2FsIGV2aWRlbmNlIGZvciByZWR1Y2VkIGNhcmRpb21ldGFib2xpYyByaXNrLCByZWR1Y2VkIHJpc2tzIG9mIGZhbGxzLCB0aGUgYnVyZ2VvbmluZyBuZXcgZXZpZGVuY2Ugb24gaW1wcm92ZWQgY29nbml0aXZlIGZ1bmN0aW9uIGFuZCBmdW5jdGlvbmFsIGNhcGFjaXR5LCBhbmQgcmVkdWNlZCByaXNrIG9mIGRlcHJlc3Npb24sIGFueGlldHksIGFuZCBkZW1lbnRpYS4gVGhpcyBpcyBmb2xsb3dlZCBieSBhIHN1bW1hcnkgb2YgcG9wdWxhdGlvbiBwcmV2YWxlbmNlIHN0dWRpZXMgYW1vbmcgb2xkZXIgYWR1bHRzLiBGaW5hbGx5LCB3ZSBwcmVzZW50IGEgXCJyZXZpZXcgb2YgcmV2aWV3c1wiIG9mIFBBIGludGVydmVudGlvbnMgZGVsaXZlcmVkIGZyb20gY29tbXVuaXR5IG9yIHBvcHVsYXRpb24gc2V0dGluZ3MsIGZvbGxvd2VkIGJ5IGEgY29uc2lkZXJhdGlvbiBvZiBpbnRlcnZlbnRpb25zIGFtb25nIHRoZSBcIm9sZGVzdC1vbGQsXCIgd2hlcmUgZWZmb3J0cyBhcmUgbmVlZGVkIHRvIGluY3JlYXNlIHJlc2lzdGFuY2UgKHN0cmVuZ3RoKSB0cmFpbmluZyBhbmQgYmFsYW5jZS4gUmVzdWx0czogVGhpcyByZXZpZXcgaWRlbnRpZmllcyB0aGUgZ2xvYmFsIGltcG9ydGFuY2Ugb2YgY29uc2lkZXJpbmcgXCJhY3RpdmUgYWdpbmdcIiBiZXlvbmQgdGhlIGVzdGFibGlzaGVkIGJlbmVmaXRzIGF0dHJpYnV0ZWQgdG8gbm9uY29tbXVuaWNhYmxlIGRpc2Vhc2UgcHJldmVudGlvbiBhbG9uZS4gSW1wbGljYXRpb25zOiBJbm5vdmF0aXZlIHBvcHVsYXRpb24tbGV2ZWwgZWZmb3J0cyBhcmUgcmVxdWlyZWQgdG8gYWRkcmVzcyBwaHlzaWNhbCBpbmFjdGl2aXR5LCBwcmV2ZW50IGxvc3Mgb2YgbXVzY2xlIHN0cmVuZ3RoLCBhbmQgbWFpbnRhaW4gYmFsYW5jZSBpbiBvbGRlciBhZHVsdHMuIFNwZWNpZmljIGludmVzdG1lbnQgaW4gaGVhbHRoeSBhZ2luZyByZXF1aXJlcyBnbG9iYWwgcG9saWN5IHN1cHBvcnQgZnJvbSB0aGUgV29ybGQgSGVhbHRoIE9yZ2FuaXphdGlvbiBhbmQgaXMgaW1wbGVtZW50ZWQgYXQgdGhlIG5hdGlvbmFsIGFuZCByZWdpb25hbCBsZXZlbHMsIGluIG9yZGVyIHRvIHJlZHVjZSB0aGUgYnVyZGVuIG9mIGRpc2Vhc2UgYW5kIGRpc2FiaWxpdHkgYW1vbmcgb2xkZXIgYWR1bHRzLiIsInB1Ymxpc2hlciI6Ikdlcm9udG9sb2dpY2FsIFNvY2lldHkgb2YgQW1lcmljYSIsInZvbHVtZSI6IjU2IiwiY29udGFpbmVyLXRpdGxlLXNob3J0IjoiIn0sImlzVGVtcG9yYXJ5IjpmYWxzZX0seyJpZCI6ImUwMDQwZmQwLTk2MDUtMzUzMC1hZmFiLTVkZGNhNjY2NmZmZSIsIml0ZW1EYXRhIjp7InR5cGUiOiJyZXBvcnQiLCJpZCI6ImUwMDQwZmQwLTk2MDUtMzUzMC1hZmFiLTVkZGNhNjY2NmZmZSIsInRpdGxlIjoiV0hPIEd1aWRlbGluZXMgb24gUGh5c2ljYWwgQWN0aXZpdHkgYW5kIFNlZGVudGFyeSBCZWhhdmlvdXIiLCJhdXRob3IiOlt7ImZhbWlseSI6IldvcmxkIEhlYWx0aCBPcmdhbml6YXRpb24iLCJnaXZlbiI6IiIsInBhcnNlLW5hbWVzIjpmYWxzZSwiZHJvcHBpbmctcGFydGljbGUiOiIiLCJub24tZHJvcHBpbmctcGFydGljbGUiOiIifV0sImFjY2Vzc2VkIjp7ImRhdGUtcGFydHMiOltbMjAyNiw3LDEyXV19LCJVUkwiOiJodHRwczovL3d3dy53aG8uaW50L3B1YmxpY2F0aW9ucy9pL2l0ZW0vOTc4OTI0MDAxNTEyOCIsImlzc3VlZCI6eyJkYXRlLXBhcnRzIjpbWzIwMjBdXX0sImNvbnRhaW5lci10aXRsZS1zaG9ydCI6IiJ9LCJpc1RlbXBvcmFyeSI6ZmFsc2V9XX0=&quot;,&quot;citationItems&quot;:[{&quot;id&quot;:&quot;afc7df9f-b5e6-3bc7-a432-d22d62d2f013&quot;,&quot;itemData&quot;:{&quot;type&quot;:&quot;article&quot;,&quot;id&quot;:&quot;afc7df9f-b5e6-3bc7-a432-d22d62d2f013&quot;,&quot;title&quot;:&quot;Updating the Evidence for Physical Activity: Summative Reviews of the Epidemiological Evidence, Prevalence, and Interventions to Promote \&quot;active Aging\&quot;&quot;,&quot;author&quot;:[{&quot;family&quot;:&quot;Bauman&quot;,&quot;given&quot;:&quot;Adrian&quot;,&quot;parse-names&quot;:false,&quot;dropping-particle&quot;:&quot;&quot;,&quot;non-dropping-particle&quot;:&quot;&quot;},{&quot;family&quot;:&quot;Merom&quot;,&quot;given&quot;:&quot;Dafna&quot;,&quot;parse-names&quot;:false,&quot;dropping-particle&quot;:&quot;&quot;,&quot;non-dropping-particle&quot;:&quot;&quot;},{&quot;family&quot;:&quot;Bull&quot;,&quot;given&quot;:&quot;Fiona C.&quot;,&quot;parse-names&quot;:false,&quot;dropping-particle&quot;:&quot;&quot;,&quot;non-dropping-particle&quot;:&quot;&quot;},{&quot;family&quot;:&quot;Buchner&quot;,&quot;given&quot;:&quot;David M.&quot;,&quot;parse-names&quot;:false,&quot;dropping-particle&quot;:&quot;&quot;,&quot;non-dropping-particle&quot;:&quot;&quot;},{&quot;family&quot;:&quot;Fiatarone Singh&quot;,&quot;given&quot;:&quot;Maria A.&quot;,&quot;parse-names&quot;:false,&quot;dropping-particle&quot;:&quot;&quot;,&quot;non-dropping-particle&quot;:&quot;&quot;}],&quot;container-title&quot;:&quot;Gerontologist&quot;,&quot;DOI&quot;:&quot;10.1093/geront/gnw031&quot;,&quot;ISSN&quot;:&quot;17585341&quot;,&quot;PMID&quot;:&quot;26994266&quot;,&quot;issued&quot;:{&quot;date-parts&quot;:[[2016,4,1]]},&quot;page&quot;:&quot;S268-S280&quot;,&quot;abstract&quot;:&quot;Purpose of the Study: There is a global imperative to increase awareness of the emerging evidence on physical activity (PA) among older adults. \&quot;Healthy aging\&quot; has traditionally focused on preventing chronic disease, but greater efforts are required to reduce frailty and dependency and to maintain independent physical and cognitive function and mental health and well-being. Design and Methods: This integrated review updates the epidemiological data on PA, summarizes the existing evidence-based PA guidelines, describes the global magnitude of inactivity, and finally describes the rationale for action. The first section updates the epidemiological evidence for reduced cardiometabolic risk, reduced risks of falls, the burgeoning new evidence on improved cognitive function and functional capacity, and reduced risk of depression, anxiety, and dementia. This is followed by a summary of population prevalence studies among older adults. Finally, we present a \&quot;review of reviews\&quot; of PA interventions delivered from community or population settings, followed by a consideration of interventions among the \&quot;oldest-old,\&quot; where efforts are needed to increase resistance (strength) training and balance. Results: This review identifies the global importance of considering \&quot;active aging\&quot; beyond the established benefits attributed to noncommunicable disease prevention alone. Implications: Innovative population-level efforts are required to address physical inactivity, prevent loss of muscle strength, and maintain balance in older adults. Specific investment in healthy aging requires global policy support from the World Health Organization and is implemented at the national and regional levels, in order to reduce the burden of disease and disability among older adults.&quot;,&quot;publisher&quot;:&quot;Gerontological Society of America&quot;,&quot;volume&quot;:&quot;56&quot;,&quot;container-title-short&quot;:&quot;&quot;},&quot;isTemporary&quot;:false},{&quot;id&quot;:&quot;e0040fd0-9605-3530-afab-5ddca6666ffe&quot;,&quot;itemData&quot;:{&quot;type&quot;:&quot;report&quot;,&quot;id&quot;:&quot;e0040fd0-9605-3530-afab-5ddca6666ffe&quot;,&quot;title&quot;:&quot;WHO Guidelines on Physical Activity and Sedentary Behaviour&quot;,&quot;author&quot;:[{&quot;family&quot;:&quot;World Health Organization&quot;,&quot;given&quot;:&quot;&quot;,&quot;parse-names&quot;:false,&quot;dropping-particle&quot;:&quot;&quot;,&quot;non-dropping-particle&quot;:&quot;&quot;}],&quot;accessed&quot;:{&quot;date-parts&quot;:[[2026,7,12]]},&quot;URL&quot;:&quot;https://www.who.int/publications/i/item/9789240015128&quot;,&quot;issued&quot;:{&quot;date-parts&quot;:[[2020]]},&quot;container-title-short&quot;:&quot;&quot;},&quot;isTemporary&quot;:false}]},{&quot;citationID&quot;:&quot;MENDELEY_CITATION_11bfa93f-9ee6-46bf-8c26-772dfde1442e&quot;,&quot;properties&quot;:{&quot;noteIndex&quot;:0},&quot;isEdited&quot;:false,&quot;manualOverride&quot;:{&quot;isManuallyOverridden&quot;:false,&quot;citeprocText&quot;:&quot;(Millard-Ball et al., 2025)&quot;,&quot;manualOverrideText&quot;:&quot;&quot;},&quot;citationTag&quot;:&quot;MENDELEY_CITATION_v3_eyJjaXRhdGlvbklEIjoiTUVOREVMRVlfQ0lUQVRJT05fMTFiZmE5M2YtOWVlNi00NmJmLThjMjYtNzcyZGZkZTE0NDJlIiwicHJvcGVydGllcyI6eyJub3RlSW5kZXgiOjB9LCJpc0VkaXRlZCI6ZmFsc2UsIm1hbnVhbE92ZXJyaWRlIjp7ImlzTWFudWFsbHlPdmVycmlkZGVuIjpmYWxzZSwiY2l0ZXByb2NUZXh0IjoiKE1pbGxhcmQtQmFsbCBldCBhbC4sIDIwMjUpIiwibWFudWFsT3ZlcnJpZGVUZXh0IjoiIn0sImNpdGF0aW9uSXRlbXMiOlt7ImlkIjoiNGZjNTgzODEtMDBjZS0zYWJmLTkzMTktZjdmOWExN2M1YWNjIiwiaXRlbURhdGEiOnsidHlwZSI6ImFydGljbGUtam91cm5hbCIsImlkIjoiNGZjNTgzODEtMDBjZS0zYWJmLTkzMTktZjdmOWExN2M1YWNjIiwidGl0bGUiOiJHbG9iYWwgaGVhbHRoIGFuZCBjbGltYXRlIGJlbmVmaXRzIGZyb20gd2Fsa2luZyBhbmQgY3ljbGluZyBpbmZyYXN0cnVjdHVyZSIsImF1dGhvciI6W3siZmFtaWx5IjoiTWlsbGFyZC1CYWxsIiwiZ2l2ZW4iOiJBZGFtIiwicGFyc2UtbmFtZXMiOmZhbHNlLCJkcm9wcGluZy1wYXJ0aWNsZSI6IiIsIm5vbi1kcm9wcGluZy1wYXJ0aWNsZSI6IiJ9LHsiZmFtaWx5IjoiUmVnaW5hbGQiLCJnaXZlbiI6Ik1vbmlzaGEiLCJwYXJzZS1uYW1lcyI6ZmFsc2UsImRyb3BwaW5nLXBhcnRpY2xlIjoiIiwibm9uLWRyb3BwaW5nLXBhcnRpY2xlIjoiIn0seyJmYW1pbHkiOiJZdXN1ZiIsImdpdmVuIjoiWWFzbWluYSIsInBhcnNlLW5hbWVzIjpmYWxzZSwiZHJvcHBpbmctcGFydGljbGUiOiIiLCJub24tZHJvcHBpbmctcGFydGljbGUiOiIifSx7ImZhbWlseSI6IkJpYW4iLCJnaXZlbiI6IkNocmlzdG9waGVy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ET0kiOiIxMC4xMDczL3BuYXMuMjQyMjMzNDEyMiIsIklTU04iOiIxMDkxNjQ5MCIsIlBNSUQiOiI0MDQ4OTYxNSIsImlzc3VlZCI6eyJkYXRlLXBhcnRzIjpbWzIwMjUsNiwxN11dfSwiYWJzdHJhY3QiOiJXZSB1c2UgYSBnbG9iYWxseSBjb25zaXN0ZW50IGRhdGFzZXTigJRHb29nbGUgRW52aXJvbm1lbnRhbCBJbnNpZ2h0cyBFeHBsb3JlcuKAlHRvIHF1YW50aWZ5IGhvdyB1cmJhbiBmb3JtIGFuZCB0cmFuc3BvcnQgaW5mcmFzdHJ1Y3R1cmUgYWZmZWN0IHdhbGtpbmcgYW5kIGN5Y2xpbmcgcmF0ZXMgaW4gMTEsNTg3IGNpdGllcyBmcm9tIDEyMSBjb3VudHJpZXMgYWNyb3NzIHNpeCBjb250aW5lbnRzLiBBdCB0aGUgY2l0eSBsZXZlbCwgcG9wdWxhdGlvbiBkZW5zaXR5IGhhcyB0aGUgbGFyZ2VzdCBlZmZlY3Qgb24gd2FsayBtb2RlIHNoYXJlIGFuZCBoYXMgYSBwb3NpdGl2ZSBpbXBhY3Qgb24gY3ljbGluZyB0b28sIGFzIGhpZ2hlciBkZW5zaXRpZXMgYnJpbmcgZGVzdGluYXRpb25zIHdpdGhpbiBmZWFzaWJsZSB3YWxrIGFuZCBjeWNsZSBkaXN0YW5jZXMuIERlbnNpdHkgaGFzIHRoZSBzdHJvbmdlc3QgZWZmZWN0cyBpbiB3ZWFsdGhpZXIgY291bnRyaWVzIHdoZXJlIHRyYXZlbGVycyBvZnRlbiBoYXZlIG1vcmUgdHJhdmVsIGNob2ljZXMsIHdoaWxlIGluIGxvd2VyLWluY29tZSBwbGFjZXMsIHdhbGtpbmcgYW5kIGN5Y2xpbmcgbWF5IGJlIHByaW1hcmlseSBkcml2ZW4gYnkgZmluYW5jaWFsIGNvbnN0cmFpbnRzLiBXZSBhbHNvIGZpbmQgcG9zaXRpdmUgZWZmZWN0cyBvZiBiaWN5Y2xlIGxhbmVzIChwcm94eWluZyBmb3IgYSB3aWRlciBhcnJheSBvZiBzdHJlZXQgZGVzaWduIHByYWN0aWNlcykgb24gYm90aCB3YWxraW5nIGFuZCBjeWNsaW5nLiBJbiB0aGUgbWVkaWFuIGNpdHksIGVhY2ggbmV3IGttIG9mIGJpY3ljbGUgbGFuZXMgaXMgYXNzb2NpYXRlZCB3aXRoIH4xMyw0MDAgYWRkaXRpb25hbCBrbSB5ci0xIG9mIGJpY3ljbGUgdHJhdmVsLiBJZiBldmVyeSBjaXR5IGluY3JlYXNlZCB0aGUgZXh0ZW50IG9mIGl0cyBiaWN5Y2xlIG5ldHdvcmsgdG8gdGhlIGxldmVsIG9mIENvcGVuaGFnZW4sIERlbm1hcmssIG91ciBzaW11bGF0aW9ucyBpbmRpY2F0ZSByZWR1Y3Rpb25zIGluIHByaXZhdGUgdmVoaWNsZSBlbWlzc2lvbnMgb2YgfjYlIGFuZCBoZWFsdGggYmVuZWZpdHMgb2YgflVTJDQzNSBiaWxsaW9uIHBlciB5ZWFyLiIsInB1Ymxpc2hlciI6Ik5hdGlvbmFsIEFjYWRlbXkgb2YgU2NpZW5jZXMiLCJpc3N1ZSI6IjI0Iiwidm9sdW1lIjoiMTIyIn0sImlzVGVtcG9yYXJ5IjpmYWxzZSwic3VwcHJlc3MtYXV0aG9yIjpmYWxzZSwiY29tcG9zaXRlIjpmYWxzZSwiYXV0aG9yLW9ubHkiOmZhbHNlfV19&quot;,&quot;citationItems&quot;:[{&quot;id&quot;:&quot;4fc58381-00ce-3abf-9319-f7f9a17c5acc&quot;,&quot;itemData&quot;:{&quot;type&quot;:&quot;article-journal&quot;,&quot;id&quot;:&quot;4fc58381-00ce-3abf-9319-f7f9a17c5acc&quot;,&quot;title&quot;:&quot;Global health and climate benefits from walking and cycling infrastructure&quot;,&quot;author&quot;:[{&quot;family&quot;:&quot;Millard-Ball&quot;,&quot;given&quot;:&quot;Adam&quot;,&quot;parse-names&quot;:false,&quot;dropping-particle&quot;:&quot;&quot;,&quot;non-dropping-particle&quot;:&quot;&quot;},{&quot;family&quot;:&quot;Reginald&quot;,&quot;given&quot;:&quot;Monisha&quot;,&quot;parse-names&quot;:false,&quot;dropping-particle&quot;:&quot;&quot;,&quot;non-dropping-particle&quot;:&quot;&quot;},{&quot;family&quot;:&quot;Yusuf&quot;,&quot;given&quot;:&quot;Yasmina&quot;,&quot;parse-names&quot;:false,&quot;dropping-particle&quot;:&quot;&quot;,&quot;non-dropping-particle&quot;:&quot;&quot;},{&quot;family&quot;:&quot;Bian&quot;,&quot;given&quot;:&quot;Christopher&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422334122&quot;,&quot;ISSN&quot;:&quot;10916490&quot;,&quot;PMID&quot;:&quot;40489615&quot;,&quot;issued&quot;:{&quot;date-parts&quot;:[[2025,6,17]]},&quot;abstract&quot;:&quot;We use a globally consistent dataset—Google Environmental Insights Explorer—to quantify how urban form and transport infrastructure affect walking and cycling rates in 11,587 cities from 121 countries across six continents. At the city level, population density has the largest effect on walk mode share and has a positive impact on cycling too, as higher densities bring destinations within feasible walk and cycle distances. Density has the strongest effects in wealthier countries where travelers often have more travel choices, while in lower-income places, walking and cycling may be primarily driven by financial constraints. We also find positive effects of bicycle lanes (proxying for a wider array of street design practices) on both walking and cycling. In the median city, each new km of bicycle lanes is associated with ~13,400 additional km yr-1 of bicycle travel. If every city increased the extent of its bicycle network to the level of Copenhagen, Denmark, our simulations indicate reductions in private vehicle emissions of ~6% and health benefits of ~US$435 billion per year.&quot;,&quot;publisher&quot;:&quot;National Academy of Sciences&quot;,&quot;issue&quot;:&quot;24&quot;,&quot;volume&quot;:&quot;122&quot;},&quot;isTemporary&quot;:false,&quot;suppress-author&quot;:false,&quot;composite&quot;:false,&quot;author-only&quot;:false}]},{&quot;citationID&quot;:&quot;MENDELEY_CITATION_85e30b3a-ebc6-4755-9d51-95886b1525ed&quot;,&quot;properties&quot;:{&quot;noteIndex&quot;:0},&quot;isEdited&quot;:false,&quot;manualOverride&quot;:{&quot;isManuallyOverridden&quot;:false,&quot;citeprocText&quot;:&quot;(McCann, 2013)&quot;,&quot;manualOverrideText&quot;:&quot;&quot;},&quot;citationTag&quot;:&quot;MENDELEY_CITATION_v3_eyJjaXRhdGlvbklEIjoiTUVOREVMRVlfQ0lUQVRJT05fODVlMzBiM2EtZWJjNi00NzU1LTlkNTEtOTU4ODZiMTUyNWVkIiwicHJvcGVydGllcyI6eyJub3RlSW5kZXgiOjB9LCJpc0VkaXRlZCI6ZmFsc2UsIm1hbnVhbE92ZXJyaWRlIjp7ImlzTWFudWFsbHlPdmVycmlkZGVuIjpmYWxzZSwiY2l0ZXByb2NUZXh0IjoiKE1jQ2FubiwgMjAxMykiLCJtYW51YWxPdmVycmlkZVRleHQiOiIifSwiY2l0YXRpb25JdGVtcyI6W3siaWQiOiI2OTcyZjEzMi1kYTJjLTM3NWItYjBlYy04NzExYzRmNTI0MjIiLCJpdGVtRGF0YSI6eyJ0eXBlIjoiYm9vayIsImlkIjoiNjk3MmYxMzItZGEyYy0zNzViLWIwZWMtODcxMWM0ZjUyNDIyIiwidGl0bGUiOiJDb21wbGV0aW5nIE91ciBTdHJlZXRzOiBUaGUgVHJhbnNpdGlvbiB0byBTYWZlIGFuZCBJbmNsdXNpdmUgVHJhbnNwb3J0YXRpb24gTmV0d29ya3MiLCJhdXRob3IiOlt7ImZhbWlseSI6Ik1jQ2FubiIsImdpdmVuIjoiQmFyYmFyYSIsInBhcnNlLW5hbWVzIjpmYWxzZSwiZHJvcHBpbmctcGFydGljbGUiOiIiLCJub24tZHJvcHBpbmctcGFydGljbGUiOiIifV0sIkRPSSI6IjEwLjU4MjIvOTc4LTEtNjEwOTEtNDMyLTEiLCJJU0JOIjoiOTc4LTEtNjEwOTEtNDMyLTEiLCJpc3N1ZWQiOnsiZGF0ZS1wYXJ0cyI6W1syMDEzLDEwLDE1XV19LCJlZGl0aW9uIjoiMSIsInB1Ymxpc2hlciI6IklzbGFuZCBQcmVzcyBXYXNoaW5ndG9uLCBEQyIsImNvbnRhaW5lci10aXRsZS1zaG9ydCI6IiJ9LCJpc1RlbXBvcmFyeSI6ZmFsc2UsInN1cHByZXNzLWF1dGhvciI6ZmFsc2UsImNvbXBvc2l0ZSI6ZmFsc2UsImF1dGhvci1vbmx5IjpmYWxzZX1dfQ==&quot;,&quot;citationItems&quot;:[{&quot;id&quot;:&quot;6972f132-da2c-375b-b0ec-8711c4f52422&quot;,&quot;itemData&quot;:{&quot;type&quot;:&quot;book&quot;,&quot;id&quot;:&quot;6972f132-da2c-375b-b0ec-8711c4f52422&quot;,&quot;title&quot;:&quot;Completing Our Streets: The Transition to Safe and Inclusive Transportation Networks&quot;,&quot;author&quot;:[{&quot;family&quot;:&quot;McCann&quot;,&quot;given&quot;:&quot;Barbara&quot;,&quot;parse-names&quot;:false,&quot;dropping-particle&quot;:&quot;&quot;,&quot;non-dropping-particle&quot;:&quot;&quot;}],&quot;DOI&quot;:&quot;10.5822/978-1-61091-432-1&quot;,&quot;ISBN&quot;:&quot;978-1-61091-432-1&quot;,&quot;issued&quot;:{&quot;date-parts&quot;:[[2013,10,15]]},&quot;edition&quot;:&quot;1&quot;,&quot;publisher&quot;:&quot;Island Press Washington, DC&quot;,&quot;container-title-short&quot;:&quot;&quot;},&quot;isTemporary&quot;:false,&quot;suppress-author&quot;:false,&quot;composite&quot;:false,&quot;author-only&quot;:false}]},{&quot;citationID&quot;:&quot;MENDELEY_CITATION_3ff33a90-811d-4c9a-897d-0f6a0a070182&quot;,&quot;properties&quot;:{&quot;noteIndex&quot;:0},&quot;isEdited&quot;:false,&quot;manualOverride&quot;:{&quot;isManuallyOverridden&quot;:false,&quot;citeprocText&quot;:&quot;(Chahine et al., 2025; Pearson et al., 2025)&quot;,&quot;manualOverrideText&quot;:&quot;&quot;},&quot;citationTag&quot;:&quot;MENDELEY_CITATION_v3_eyJjaXRhdGlvbklEIjoiTUVOREVMRVlfQ0lUQVRJT05fM2ZmMzNhOTAtODExZC00YzlhLTg5N2QtMGY2YTBhMDcwMTgyIiwicHJvcGVydGllcyI6eyJub3RlSW5kZXgiOjB9LCJpc0VkaXRlZCI6ZmFsc2UsIm1hbnVhbE92ZXJyaWRlIjp7ImlzTWFudWFsbHlPdmVycmlkZGVuIjpmYWxzZSwiY2l0ZXByb2NUZXh0IjoiKENoYWhpbmUgZXQgYWwuLCAyMDI1OyBQZWFyc29uIGV0IGFsLiwgMjAyNSkiLCJtYW51YWxPdmVycmlkZVRleHQiOiIifSwiY2l0YXRpb25JdGVtcyI6W3siaWQiOiIwMDQ0NDVkYi1iNGM5LTM0NzQtOTVkZi01NjdmMDE1ZmQ5MDgiLCJpdGVtRGF0YSI6eyJ0eXBlIjoiYXJ0aWNsZS1qb3VybmFsIiwiaWQiOiIwMDQ0NDVkYi1iNGM5LTM0NzQtOTVkZi01NjdmMDE1ZmQ5MDgiLCJ0aXRsZSI6IkVmZmVjdCBvZiBwcm90ZWN0ZWQgYmlrZSBsYW5lcyBvbiBiaWtlLXNoYXJpbmcgcmlkZXJzaGlwOiBBIE5ldyBZb3JrIENpdHkgY2FzZSBzdHVkeSIsImF1dGhvciI6W3siZmFtaWx5IjoiQ2hhaGluZSIsImdpdmVuIjoiUmljYXJkbyIsInBhcnNlLW5hbWVzIjpmYWxzZSwiZHJvcHBpbmctcGFydGljbGUiOiIiLCJub24tZHJvcHBpbmctcGFydGljbGUiOiIifSx7ImZhbWlseSI6IkR1YXJ0ZSIsImdpdmVuIjoiSm9yZ2UiLCJwYXJzZS1uYW1lcyI6ZmFsc2UsImRyb3BwaW5nLXBhcnRpY2xlIjoiIiwibm9uLWRyb3BwaW5nLXBhcnRpY2xlIjoiIn0seyJmYW1pbHkiOiJHa3JpdHphIiwiZ2l2ZW4iOiJLb25zdGFudGluYSIsInBhcnNlLW5hbWVzIjpmYWxzZSwiZHJvcHBpbmctcGFydGljbGUiOiIiLCJub24tZHJvcHBpbmctcGFydGljbGUiOiIifV0sImNvbnRhaW5lci10aXRsZSI6IkpvdXJuYWwgb2YgVHJhbnNwb3J0IEdlb2dyYXBoeSIsImNvbnRhaW5lci10aXRsZS1zaG9ydCI6IkouIFRyYW5zcC4gR2VvZ3IuIiwiRE9JIjoiMTAuMTAxNi9qLmp0cmFuZ2VvLjIwMjUuMTA0MTQ3IiwiSVNTTiI6IjA5NjY2OTIzIiwiaXNzdWVkIjp7ImRhdGUtcGFydHMiOltbMjAyNSwyLDFdXX0sImFic3RyYWN0IjoiQmlrZS1zaGFyaW5nIGlzIGFuIGVtZXJnaW5nIHRyYW5zcG9ydGF0aW9uIHNlcnZpY2UgdGhhdCBoYXMgYmVlbiBmb3VuZCB0byBvZmZlciBhIHN1c3RhaW5hYmxlIGFuZCBjb252ZW5pZW50IG9wdGlvbiBmb3IgdHJhbnNwb3J0YXRpb24sIGVzcGVjaWFsbHkgaW4gdXJiYW4gYXJlYXMuIEl0IGFsc28gY29tcGxlbWVudHMgdHJhbnNwb3J0YXRpb24gZm9yIHB1YmxpYyBzZXJ2aWNlcyBzdWNoIGFzIGJ1c2VzLCB0cmFpbnMsIG9yIHN1YndheXMuIE5ldmVydGhlbGVzcywgYmlrZS1zaGFyaW5nIGFkb3B0aW9uIHJlbWFpbnMgbG93IGluIGNvbXBhcmlzb24gdG8gY2FyIHVzYWdlLCBwb3RlbnRpYWxseSBkdWUgdG8gY3ljbGlzdHMnIGNvbmNlcm5zIGFib3V0IHRoZWlyIHNhZmV0eSBvbiB0aGUgcm9hZC4gSW4gdGhpcyByZWdhcmQsIHRoaXMgcmVzZWFyY2ggYWltcyB0byBpbnZlc3RpZ2F0ZSB0aGUgaW1wYWN0IG9mIHRoZSBpbXBsZW1lbnRhdGlvbiBvZiBwcm90ZWN0ZWQgYmlrZSBsYW5lcyBvbiBiaWtlLXNoYXJpbmcgcmlkZXJzaGlwLCBnaXZlbiB0aGF0IHN1Y2ggbWVhc3VyZXMgaGF2ZSBiZWVuIGZvdW5kIHRvIGltcHJvdmUgY3ljbGlzdHMnIHJvYWQgc2FmZXR5IHBlcmNlcHRpb25zLiBUaGUgc3R1ZHkgdXNlcyByaWRlcnNoaXAgZGF0YSBmcm9tIDIwMTQgdG8gMjAxOSwgb2J0YWluZWQgZnJvbSB0aGUgQ2l0aSBCaWtlIFN5c3RlbSBEYXRhIGluIE5ldyBZb3JrIENpdHkuIEEgZGlmZmVyZW5jZS1pbi1kaWZmZXJlbmNlcyBhbmFseXNpcyB3aXRoIG11bHRpcGxlIHRpbWUgcGVyaW9kcyBhbmQgZ3JvdXBzIHdhcyBjb25kdWN0ZWQgdG8gdW5kZXJzdGFuZCB0aGUgaW1wYWN0IG9mIGludHJvZHVjaW5nIG11bHRpcGxlIHByb3RlY3RlZCBiaWtlIGxhbmVzIGluIHRoZSBjaXR5LiBUaGUgYW5hbHlzaXMgcHJvdmlkZWQgZXZpZGVuY2Ugb2YgYSBzaWduaWZpY2FudCB1cHRpY2sgaW4gcmlkZXJzaGlwIGFmdGVyIHRoZSBpbnN0YWxsYXRpb24gb2YgcHJvdGVjdGVkIGJpa2UgbGFuZXMsIHdpdGggdGhlIG1vc3QgcHJvbm91bmNlZCBpbmNyZWFzZXMgb2JzZXJ2ZWQgaW4gYXJlYXMgZGlyZWN0bHkgc2VydmVkIGJ5IHRoZXNlIG5ldyBsYW5lcy4gVGhlIHN0dWR5IGRpZCBub3QgZmluZCBhcHBhcmVudCB0cmVuZHMgcmVsYXRlZCB0byBiaWtlIGxhbmUgcGxhY2VtZW50IG9yIHNlYXNvbmFsIHZhcmlhdGlvbnMgaW4gaW50cm9kdWN0aW9uIGRhdGVzLiBPdXIgZmluZGluZ3MgcHJvdmlkZSBzcGVjaWZpYyBpbnNpZ2h0cyB0aGF0IGVuaGFuY2UgYmlrZSBsYW5lIHBsYWNlbWVudCBzdHJhdGVnaWVzIGFuZCBpbXByb3ZlIGNvb3JkaW5hdGlvbiBiZXR3ZWVuIG9wZXJhdG9ycyBhbmQgc3Rha2Vob2xkZXJzIGluIHRoaXMgcmVnYXJkLiIsInB1Ymxpc2hlciI6IkVsc2V2aWVyIEx0ZCIsInZvbHVtZSI6IjEyMyJ9LCJpc1RlbXBvcmFyeSI6ZmFsc2V9LHsiaWQiOiI5NDUzYjRjMi02MmRhLTM0ZjctOGUxNi00NjkwMTMwNmM2M2IiLCJpdGVtRGF0YSI6eyJ0eXBlIjoiYXJ0aWNsZS1qb3VybmFsIiwiaWQiOiI5NDUzYjRjMi02MmRhLTM0ZjctOGUxNi00NjkwMTMwNmM2M2IiLCJ0aXRsZSI6IkVmZmVjdGl2ZW5lc3Mgb2YgaW50ZXJ2ZW50aW9ucyBmb3IgbW9kYWwgc2hpZnQgdG8gd2Fsa2luZyBhbmQgYmlrZSByaWRpbmc6IGEgc3lzdGVtYXRpYyByZXZpZXcgd2l0aCBtZXRhLWFuYWx5c2lzIiwiYXV0aG9yIjpbeyJmYW1pbHkiOiJQZWFyc29uIiwiZ2l2ZW4iOiJMYXVyZW4iLCJwYXJzZS1uYW1lcyI6ZmFsc2UsImRyb3BwaW5nLXBhcnRpY2xlIjoiIiwibm9uLWRyb3BwaW5nLXBhcnRpY2xlIjoiIn0seyJmYW1pbHkiOiJQYWdlIiwiZ2l2ZW4iOiJNYXR0aGV3IEouIiwicGFyc2UtbmFtZXMiOmZhbHNlLCJkcm9wcGluZy1wYXJ0aWNsZSI6IiIsIm5vbi1kcm9wcGluZy1wYXJ0aWNsZSI6IiJ9LHsiZmFtaWx5IjoiR2VyaGFyZCIsImdpdmVuIjoiUm9ieW4iLCJwYXJzZS1uYW1lcyI6ZmFsc2UsImRyb3BwaW5nLXBhcnRpY2xlIjoiIiwibm9uLWRyb3BwaW5nLXBhcnRpY2xlIjoiIn0seyJmYW1pbHkiOiJDbGFya2UiLCJnaXZlbiI6Ik55c3NhIiwicGFyc2UtbmFtZXMiOmZhbHNlLCJkcm9wcGluZy1wYXJ0aWNsZSI6IiIsIm5vbi1kcm9wcGluZy1wYXJ0aWNsZSI6IiJ9LHsiZmFtaWx5IjoiV2ludGVycyIsImdpdmVuIjoiTWVnaGFuIiwicGFyc2UtbmFtZXMiOmZhbHNlLCJkcm9wcGluZy1wYXJ0aWNsZSI6IiIsIm5vbi1kcm9wcGluZy1wYXJ0aWNsZSI6IiJ9LHsiZmFtaWx5IjoiQmF1bWFuIiwiZ2l2ZW4iOiJBZHJpYW4iLCJwYXJzZS1uYW1lcyI6ZmFsc2UsImRyb3BwaW5nLXBhcnRpY2xlIjoiIiwibm9uLWRyb3BwaW5nLXBhcnRpY2xlIjoiIn0seyJmYW1pbHkiOiJBcm9ndW5kYWRlIiwiZ2l2ZW4iOiJMYW9sdSIsInBhcnNlLW5hbWVzIjpmYWxzZSwiZHJvcHBpbmctcGFydGljbGUiOiIiLCJub24tZHJvcHBpbmctcGFydGljbGUiOiIifSx7ImZhbWlseSI6IkJlY2siLCJnaXZlbiI6IkJlbiIsInBhcnNlLW5hbWVzIjpmYWxzZSwiZHJvcHBpbmctcGFydGljbGUiOiIiLCJub24tZHJvcHBpbmctcGFydGljbGUiOiIifV0sImNvbnRhaW5lci10aXRsZSI6IlRyYW5zcG9ydCBSZXZpZXdzIiwiY29udGFpbmVyLXRpdGxlLXNob3J0IjoiVHJhbnNwLiBSZXYuIiwiYWNjZXNzZWQiOnsiZGF0ZS1wYXJ0cyI6W1syMDI2LDUsMTldXX0sIkRPSSI6IjEwLjEwODAvMDE0NDE2NDcuMjAyNS4yNDgwMjkyIiwiSVNTTiI6IjE0NjQ1MzI3IiwiVVJMIjoiaHR0cHM6Ly93d3cudGFuZGZvbmxpbmUuY29tL2RvaS9wZGYvMTAuMTA4MC8wMTQ0MTY0Ny4yMDI1LjI0ODAyOTIiLCJpc3N1ZWQiOnsiZGF0ZS1wYXJ0cyI6W1syMDI1LDcsNF1dfSwicGFnZSI6IjQ4Mi01MTMiLCJhYnN0cmFjdCI6IlRoZSBwaHlzaWNhbCBhbmQgbWVudGFsIGhlYWx0aCwgZW52aXJvbm1lbnRhbCwgc29jaWFsIGFuZCBlY29ub21pYyBiZW5lZml0cyBvZiBzaGlmdGluZyBmcm9tIHByaXZhdGUgY2FyIHRyYXZlbCB0byBhY3RpdmUgdHJhdmVsICh3YWxraW5nIGFuZCBiaWtlIHJpZGluZykgYXJlIHdlbGwgZXN0YWJsaXNoZWQgKEJyYW5kIGV0IGFsLiwgMjAyMTsgLi4uIiwicHVibGlzaGVyIjoiUm91dGxlZGdlIiwiaXNzdWUiOiI0Iiwidm9sdW1lIjoiNDUifSwiaXNUZW1wb3JhcnkiOmZhbHNlfV19&quot;,&quot;citationItems&quot;:[{&quot;id&quot;:&quot;004445db-b4c9-3474-95df-567f015fd908&quot;,&quot;itemData&quot;:{&quot;type&quot;:&quot;article-journal&quot;,&quot;id&quot;:&quot;004445db-b4c9-3474-95df-567f015fd908&quot;,&quot;title&quot;:&quot;Effect of protected bike lanes on bike-sharing ridership: A New York City case study&quot;,&quot;author&quot;:[{&quot;family&quot;:&quot;Chahine&quot;,&quot;given&quot;:&quot;Ricardo&quot;,&quot;parse-names&quot;:false,&quot;dropping-particle&quot;:&quot;&quot;,&quot;non-dropping-particle&quot;:&quot;&quot;},{&quot;family&quot;:&quot;Duarte&quot;,&quot;given&quot;:&quot;Jorge&quot;,&quot;parse-names&quot;:false,&quot;dropping-particle&quot;:&quot;&quot;,&quot;non-dropping-particle&quot;:&quot;&quot;},{&quot;family&quot;:&quot;Gkritza&quot;,&quot;given&quot;:&quot;Konstantina&quot;,&quot;parse-names&quot;:false,&quot;dropping-particle&quot;:&quot;&quot;,&quot;non-dropping-particle&quot;:&quot;&quot;}],&quot;container-title&quot;:&quot;Journal of Transport Geography&quot;,&quot;container-title-short&quot;:&quot;J. Transp. Geogr.&quot;,&quot;DOI&quot;:&quot;10.1016/j.jtrangeo.2025.104147&quot;,&quot;ISSN&quot;:&quot;09666923&quot;,&quot;issued&quot;:{&quot;date-parts&quot;:[[2025,2,1]]},&quot;abstract&quot;:&quot;Bike-sharing is an emerging transportation service that has been found to offer a sustainable and convenient option for transportation, especially in urban areas. It also complements transportation for public services such as buses, trains, or subways. Nevertheless, bike-sharing adoption remains low in comparison to car usage, potentially due to cyclists' concerns about their safety on the road. In this regard, this research aims to investigate the impact of the implementation of protected bike lanes on bike-sharing ridership, given that such measures have been found to improve cyclists' road safety perceptions. The study uses ridership data from 2014 to 2019, obtained from the Citi Bike System Data in New York City. A difference-in-differences analysis with multiple time periods and groups was conducted to understand the impact of introducing multiple protected bike lanes in the city. The analysis provided evidence of a significant uptick in ridership after the installation of protected bike lanes, with the most pronounced increases observed in areas directly served by these new lanes. The study did not find apparent trends related to bike lane placement or seasonal variations in introduction dates. Our findings provide specific insights that enhance bike lane placement strategies and improve coordination between operators and stakeholders in this regard.&quot;,&quot;publisher&quot;:&quot;Elsevier Ltd&quot;,&quot;volume&quot;:&quot;123&quot;},&quot;isTemporary&quot;:false},{&quot;id&quot;:&quot;9453b4c2-62da-34f7-8e16-46901306c63b&quot;,&quot;itemData&quot;:{&quot;type&quot;:&quot;article-journal&quot;,&quot;id&quot;:&quot;9453b4c2-62da-34f7-8e16-46901306c63b&quot;,&quot;title&quot;:&quot;Effectiveness of interventions for modal shift to walking and bike riding: a systematic review with meta-analysis&quot;,&quot;author&quot;:[{&quot;family&quot;:&quot;Pearson&quot;,&quot;given&quot;:&quot;Lauren&quot;,&quot;parse-names&quot;:false,&quot;dropping-particle&quot;:&quot;&quot;,&quot;non-dropping-particle&quot;:&quot;&quot;},{&quot;family&quot;:&quot;Page&quot;,&quot;given&quot;:&quot;Matthew J.&quot;,&quot;parse-names&quot;:false,&quot;dropping-particle&quot;:&quot;&quot;,&quot;non-dropping-particle&quot;:&quot;&quot;},{&quot;family&quot;:&quot;Gerhard&quot;,&quot;given&quot;:&quot;Robyn&quot;,&quot;parse-names&quot;:false,&quot;dropping-particle&quot;:&quot;&quot;,&quot;non-dropping-particle&quot;:&quot;&quot;},{&quot;family&quot;:&quot;Clarke&quot;,&quot;given&quot;:&quot;Nyssa&quot;,&quot;parse-names&quot;:false,&quot;dropping-particle&quot;:&quot;&quot;,&quot;non-dropping-particle&quot;:&quot;&quot;},{&quot;family&quot;:&quot;Winters&quot;,&quot;given&quot;:&quot;Meghan&quot;,&quot;parse-names&quot;:false,&quot;dropping-particle&quot;:&quot;&quot;,&quot;non-dropping-particle&quot;:&quot;&quot;},{&quot;family&quot;:&quot;Bauman&quot;,&quot;given&quot;:&quot;Adrian&quot;,&quot;parse-names&quot;:false,&quot;dropping-particle&quot;:&quot;&quot;,&quot;non-dropping-particle&quot;:&quot;&quot;},{&quot;family&quot;:&quot;Arogundade&quot;,&quot;given&quot;:&quot;Laolu&quot;,&quot;parse-names&quot;:false,&quot;dropping-particle&quot;:&quot;&quot;,&quot;non-dropping-particle&quot;:&quot;&quot;},{&quot;family&quot;:&quot;Beck&quot;,&quot;given&quot;:&quot;Ben&quot;,&quot;parse-names&quot;:false,&quot;dropping-particle&quot;:&quot;&quot;,&quot;non-dropping-particle&quot;:&quot;&quot;}],&quot;container-title&quot;:&quot;Transport Reviews&quot;,&quot;container-title-short&quot;:&quot;Transp. Rev.&quot;,&quot;accessed&quot;:{&quot;date-parts&quot;:[[2026,5,19]]},&quot;DOI&quot;:&quot;10.1080/01441647.2025.2480292&quot;,&quot;ISSN&quot;:&quot;14645327&quot;,&quot;URL&quot;:&quot;https://www.tandfonline.com/doi/pdf/10.1080/01441647.2025.2480292&quot;,&quot;issued&quot;:{&quot;date-parts&quot;:[[2025,7,4]]},&quot;page&quot;:&quot;482-513&quot;,&quot;abstract&quot;:&quot;The physical and mental health, environmental, social and economic benefits of shifting from private car travel to active travel (walking and bike riding) are well established (Brand et al., 2021; ...&quot;,&quot;publisher&quot;:&quot;Routledge&quot;,&quot;issue&quot;:&quot;4&quot;,&quot;volume&quot;:&quot;45&quot;},&quot;isTemporary&quot;:false}]},{&quot;citationID&quot;:&quot;MENDELEY_CITATION_876c2a40-c60b-495b-a2ba-a7cff9524f3a&quot;,&quot;properties&quot;:{&quot;noteIndex&quot;:0},&quot;isEdited&quot;:false,&quot;manualOverride&quot;:{&quot;isManuallyOverridden&quot;:true,&quot;citeprocText&quot;:&quot;(Hu &amp;#38; Cicchino, 2024)&quot;,&quot;manualOverrideText&quot;:&quot;(Hu and Cicchino, 2024)&quot;},&quot;citationTag&quot;:&quot;MENDELEY_CITATION_v3_eyJjaXRhdGlvbklEIjoiTUVOREVMRVlfQ0lUQVRJT05fODc2YzJhNDAtYzYwYi00OTViLWEyYmEtYTdjZmY5NTI0ZjNhIiwicHJvcGVydGllcyI6eyJub3RlSW5kZXgiOjB9LCJpc0VkaXRlZCI6ZmFsc2UsIm1hbnVhbE92ZXJyaWRlIjp7ImlzTWFudWFsbHlPdmVycmlkZGVuIjp0cnVlLCJjaXRlcHJvY1RleHQiOiIoSHUgJiMzODsgQ2ljY2hpbm8sIDIwMjQpIiwibWFudWFsT3ZlcnJpZGVUZXh0IjoiKEh1IGFuZCBDaWNjaGlubywgMjAyNCkifSwiY2l0YXRpb25JdGVtcyI6W3siaWQiOiIxNDM2ZWE1Yy0wYjFmLTM3OTEtOTBhZC1lMTZkNmVmMmZhZDAiLCJpdGVtRGF0YSI6eyJ0eXBlIjoiYXJ0aWNsZS1qb3VybmFsIiwiaWQiOiIxNDM2ZWE1Yy0wYjFmLTM3OTEtOTBhZC1lMTZkNmVmMmZhZDAiLCJ0aXRsZSI6IkVmZmVjdHMgb2YgbG93ZXJpbmcgc3BlZWQgbGltaXRzIG9uIGNyYXNoIHNldmVyaXR5IGluIFNlYXR0bGUiLCJhdXRob3IiOlt7ImZhbWlseSI6Ikh1IiwiZ2l2ZW4iOiJXZW4iLCJwYXJzZS1uYW1lcyI6ZmFsc2UsImRyb3BwaW5nLXBhcnRpY2xlIjoiIiwibm9uLWRyb3BwaW5nLXBhcnRpY2xlIjoiIn0seyJmYW1pbHkiOiJDaWNjaGlubyIsImdpdmVuIjoiSmVzc2ljYSBCLiIsInBhcnNlLW5hbWVzIjpmYWxzZSwiZHJvcHBpbmctcGFydGljbGUiOiIiLCJub24tZHJvcHBpbmctcGFydGljbGUiOiIifV0sImNvbnRhaW5lci10aXRsZSI6IkpvdXJuYWwgb2YgU2FmZXR5IFJlc2VhcmNoIiwiY29udGFpbmVyLXRpdGxlLXNob3J0IjoiSi4gU2FmZXR5IFJlcy4iLCJET0kiOiIxMC4xMDE2L2ouanNyLjIwMjMuMTEuMDA0IiwiSVNTTiI6IjAwMjI0Mzc1IiwiUE1JRCI6IjM4NDg1MzYwIiwiaXNzdWVkIjp7ImRhdGUtcGFydHMiOltbMjAyNCwyLDFdXX0sInBhZ2UiOiIxNzQtMTc4IiwiYWJzdHJhY3QiOiJJbnRyb2R1Y3Rpb246IEVmZmVjdGl2ZSBOb3ZlbWJlciAyMDE2LCB0aGUgZGVmYXVsdCBzcGVlZCBsaW1pdCBpbiBTZWF0dGxlIHdhcyBsb3dlcmVkIGZyb20gMjUgdG8gMjAgbXBoIG9uIG5vbmFydGVyaWFsIHN0cmVldHMgYW5kIGZyb20gMzAgdG8gMjUgbXBoIG9uIGFydGVyaWFsIHN0cmVldHMsIHVubGVzcyBvdGhlcndpc2UgcG9zdGVkLiBJbiB0aGUgZG93bnRvd24gYXJlYSwgc2lnbnMgaW5kaWNhdGluZyB0aGUgbmV3IHNwZWVkIGxpbWl0IHdlcmUgaW5zdGFsbGVkIG9uIGFydGVyaWFscyB3aGVuIHRoZSBsb3dlciBkZWZhdWx0IGxpbWl0IHRvb2sgZWZmZWN0LiBPdXRzaWRlIHRoZSBkb3dudG93biwgbmV3IHNwZWVkIGxpbWl0IHNpZ25zIHdlcmUgaW5zdGFsbGVkIG9uIHNvbWUgYXJ0ZXJpYWxzIHN0YXJ0aW5nIGluIDIwMTguIFRoZSBzdHVkeSBldmFsdWF0ZWQgZWZmZWN0cyBvZiB0aGUgc3BlZWQgbGltaXQgcmVkdWN0aW9uIG9uIGNyYXNoIHNldmVyaXR5IGluIFNlYXR0bGUuIE1ldGhvZDogUG9saWNlLXJlcG9ydGVkIGNyYXNoZXMgaW4gU2VhdHRsZSBhbmQgdGhyZWUgY29udHJvbCBjaXRpZXMgaW4gV2FzaGluZ3RvbiBiZWZvcmUgYW5kIGFmdGVyIHRoZSBzcGVlZCBsaW1pdCBjaGFuZ2Ugd2VyZSBleGFtaW5lZC4gTG9naXN0aWMgcmVncmVzc2lvbiBhbmFseXNlcyBldmFsdWF0ZWQgZWZmZWN0cyBvZiB0aGUgc3BlZWQgbGltaXQgcmVkdWN0aW9uIG9uIG9kZHMgdGhhdCBhIGNyYXNoIGludm9sdmVkIGEgZmF0YWwgKEspLCBkaXNhYmxpbmcgKEEpLCBvciBldmlkZW50IChCKSBpbmp1cnkgaW5zaWRlIGFuZCBvdXRzaWRlIFNlYXR0bGUncyBkb3dudG93bi4gU2VwYXJhdGUgYW5hbHlzZXMgd2VyZSBwZXJmb3JtZWQgZm9yIGFsbCBjcmFzaGVzIChleGNlcHQgdGhvc2Ugb2NjdXJyaW5nIG9uIGludGVyc3RhdGVzIGFuZCBmcmVld2F5cyksIGZvciBjcmFzaGVzIG9uIGFydGVyaWFscywgYW5kIGZvciBjcmFzaGVzIG9uIG5vbmFydGVyaWFsIHJvYWRzLiBSZXN1bHRzOiBUaGUgc3BlZWQgbGltaXQgcmVkdWN0aW9uIHdhcyBhc3NvY2lhdGVkIHdpdGggYSBzaWduaWZpY2FudCAxNy4yJSByZWR1Y3Rpb24gaW4gb2RkcyBvZiBhIGNyYXNoIGludm9sdmluZyBLQUIgaW5qdXJ5IGFtb25nIGFsbCBjcmFzaGVzIGFuZCBhIDE5LjklIHJlZHVjdGlvbiBmb3IgY3Jhc2hlcyBvbiBhcnRlcmlhbHMgaW4gZG93bnRvd24gU2VhdHRsZS4gVGhlcmUgd2VyZSBzbWFsbGVyIHJlZHVjdGlvbnMgb3V0c2lkZSB0aGUgZG93bnRvd24gKDcuNCUgZm9yIGFsbCBjcmFzaGVzIGFuZCAxMC43JSBmb3IgY3Jhc2hlcyBvbiBhcnRlcmlhbHMpLCBidXQgdGhleSB3ZXJlIG5vdCBzaWduaWZpY2FudC4gQ29uY2x1c2lvbnM6IENvbW11bml0aWVzIHNob3VsZCBjb25zaWRlciBsb3dlcmluZyBzcGVlZCBsaW1pdHMgdG8gaW1wcm92ZSBzYWZldHkgZm9yIGFsbCByb2FkIHVzZXJzLiBXaGVuIGRvaW5nIHNvLCB0aGV5IHNob3VsZCBub3Qgd2FpdCB0b28gbG9uZyB0byBtb2RpZnkgc3BlZWQgbGltaXQgc2lnbnMgdG8gcmVtaW5kIGRyaXZlcnMgb2YgdGhlIG5ldyBzcGVlZCBsaW1pdHMgdG8gbWF4aW1pemUgdGhlIHNhZmV0eSBiZW5lZml0cy4iLCJwdWJsaXNoZXIiOiJFbHNldmllciBMdGQiLCJ2b2x1bWUiOiI4OCJ9LCJpc1RlbXBvcmFyeSI6ZmFsc2UsInN1cHByZXNzLWF1dGhvciI6ZmFsc2UsImNvbXBvc2l0ZSI6ZmFsc2UsImF1dGhvci1vbmx5IjpmYWxzZX1dfQ==&quot;,&quot;citationItems&quot;:[{&quot;id&quot;:&quot;1436ea5c-0b1f-3791-90ad-e16d6ef2fad0&quot;,&quot;itemData&quot;:{&quot;type&quot;:&quot;article-journal&quot;,&quot;id&quot;:&quot;1436ea5c-0b1f-3791-90ad-e16d6ef2fad0&quot;,&quot;title&quot;:&quot;Effects of lowering speed limits on crash severity in Seattle&quot;,&quot;author&quot;:[{&quot;family&quot;:&quot;Hu&quot;,&quot;given&quot;:&quot;Wen&quot;,&quot;parse-names&quot;:false,&quot;dropping-particle&quot;:&quot;&quot;,&quot;non-dropping-particle&quot;:&quot;&quot;},{&quot;family&quot;:&quot;Cicchino&quot;,&quot;given&quot;:&quot;Jessica B.&quot;,&quot;parse-names&quot;:false,&quot;dropping-particle&quot;:&quot;&quot;,&quot;non-dropping-particle&quot;:&quot;&quot;}],&quot;container-title&quot;:&quot;Journal of Safety Research&quot;,&quot;container-title-short&quot;:&quot;J. Safety Res.&quot;,&quot;DOI&quot;:&quot;10.1016/j.jsr.2023.11.004&quot;,&quot;ISSN&quot;:&quot;00224375&quot;,&quot;PMID&quot;:&quot;38485360&quot;,&quot;issued&quot;:{&quot;date-parts&quot;:[[2024,2,1]]},&quot;page&quot;:&quot;174-178&quot;,&quot;abstract&quot;:&quot;Introduction: Effective November 2016, the default speed limit in Seattle was lowered from 25 to 20 mph on nonarterial streets and from 30 to 25 mph on arterial streets, unless otherwise posted. In the downtown area, signs indicating the new speed limit were installed on arterials when the lower default limit took effect. Outside the downtown, new speed limit signs were installed on some arterials starting in 2018. The study evaluated effects of the speed limit reduction on crash severity in Seattle. Method: Police-reported crashes in Seattle and three control cities in Washington before and after the speed limit change were examined. Logistic regression analyses evaluated effects of the speed limit reduction on odds that a crash involved a fatal (K), disabling (A), or evident (B) injury inside and outside Seattle's downtown. Separate analyses were performed for all crashes (except those occurring on interstates and freeways), for crashes on arterials, and for crashes on nonarterial roads. Results: The speed limit reduction was associated with a significant 17.2% reduction in odds of a crash involving KAB injury among all crashes and a 19.9% reduction for crashes on arterials in downtown Seattle. There were smaller reductions outside the downtown (7.4% for all crashes and 10.7% for crashes on arterials), but they were not significant. Conclusions: Communities should consider lowering speed limits to improve safety for all road users. When doing so, they should not wait too long to modify speed limit signs to remind drivers of the new speed limits to maximize the safety benefits.&quot;,&quot;publisher&quot;:&quot;Elsevier Ltd&quot;,&quot;volume&quot;:&quot;88&quot;},&quot;isTemporary&quot;:false,&quot;suppress-author&quot;:false,&quot;composite&quot;:false,&quot;author-only&quot;:false}]},{&quot;citationID&quot;:&quot;MENDELEY_CITATION_99940a31-b3d9-4124-9fce-fd1d0e843176&quot;,&quot;properties&quot;:{&quot;noteIndex&quot;:0},&quot;isEdited&quot;:false,&quot;manualOverride&quot;:{&quot;isManuallyOverridden&quot;:false,&quot;citeprocText&quot;:&quot;(Zadey et al., 2025)&quot;,&quot;manualOverrideText&quot;:&quot;&quot;},&quot;citationTag&quot;:&quot;MENDELEY_CITATION_v3_eyJjaXRhdGlvbklEIjoiTUVOREVMRVlfQ0lUQVRJT05fOTk5NDBhMzEtYjNkOS00MTI0LTlmY2UtZmQxZDBlODQzMTc2IiwicHJvcGVydGllcyI6eyJub3RlSW5kZXgiOjB9LCJpc0VkaXRlZCI6ZmFsc2UsIm1hbnVhbE92ZXJyaWRlIjp7ImlzTWFudWFsbHlPdmVycmlkZGVuIjpmYWxzZSwiY2l0ZXByb2NUZXh0IjoiKFphZGV5IGV0IGFsLiwgMjAyNSkiLCJtYW51YWxPdmVycmlkZVRleHQiOiIifSwiY2l0YXRpb25JdGVtcyI6W3siaWQiOiIwNjMxOTdjNS1hYTVjLTM0ZWEtODgwZS03M2E0MGQxMzQ3NTciLCJpdGVtRGF0YSI6eyJ0eXBlIjoiYXJ0aWNsZS1qb3VybmFsIiwiaWQiOiIwNjMxOTdjNS1hYTVjLTM0ZWEtODgwZS03M2E0MGQxMzQ3NTciLCJ0aXRsZSI6IkVmZmVjdGl2ZW5lc3Mgb2YgbGVhZGluZyBwZWRlc3RyaWFuIGludGVydmFscyBmb3IgY2l0eSB3YWxrZXJz4oCZIHNhZmV0eSIsImF1dGhvciI6W3siZmFtaWx5IjoiWmFkZXkiLCJnaXZlbiI6IlNpZGRoZXNoIiwicGFyc2UtbmFtZXMiOmZhbHNlLCJkcm9wcGluZy1wYXJ0aWNsZSI6IiIsIm5vbi1kcm9wcGluZy1wYXJ0aWNsZSI6IiJ9LHsiZmFtaWx5IjoiUm9iZXJ0cyIsImdpdmVuIjoiTGVhaCBFLiIsInBhcnNlLW5hbWVzIjpmYWxzZSwiZHJvcHBpbmctcGFydGljbGUiOiIiLCJub24tZHJvcHBpbmctcGFydGljbGUiOiIifSx7ImZhbWlseSI6IkJ1c2hvdmVyIiwiZ2l2ZW4iOiJCcmFkeSIsInBhcnNlLW5hbWVzIjpmYWxzZSwiZHJvcHBpbmctcGFydGljbGUiOiIiLCJub24tZHJvcHBpbmctcGFydGljbGUiOiIifSx7ImZhbWlseSI6IkdvYmF1ZCIsImdpdmVuIjoiQXJpYW5hIE4uIiwicGFyc2UtbmFtZXMiOmZhbHNlLCJkcm9wcGluZy1wYXJ0aWNsZSI6IiIsIm5vbi1kcm9wcGluZy1wYXJ0aWNsZSI6IiJ9LHsiZmFtaWx5IjoiTWVocmFuYm9kIiwiZ2l2ZW4iOiJDaHJpc3RpbmEgQS4iLCJwYXJzZS1uYW1lcyI6ZmFsc2UsImRyb3BwaW5nLXBhcnRpY2xlIjoiIiwibm9uLWRyb3BwaW5nLXBhcnRpY2xlIjoiIn0seyJmYW1pbHkiOiJGaXNoIiwiZ2l2ZW4iOiJDYXJvbHluIFMuIiwicGFyc2UtbmFtZXMiOmZhbHNlLCJkcm9wcGluZy1wYXJ0aWNsZSI6IiIsIm5vbi1kcm9wcGluZy1wYXJ0aWNsZSI6IiJ9LHsiZmFtaWx5IjoiRXNjaGxpbWFuIiwiZ2l2ZW4iOiJFdmFuIEwuIiwicGFyc2UtbmFtZXMiOmZhbHNlLCJkcm9wcGluZy1wYXJ0aWNsZSI6IiIsIm5vbi1kcm9wcGluZy1wYXJ0aWNsZSI6IiJ9LHsiZmFtaWx5IjoiR2FvIiwiZ2l2ZW4iOiJYaWFuZyIsInBhcnNlLW5hbWVzIjpmYWxzZSwiZHJvcHBpbmctcGFydGljbGUiOiIiLCJub24tZHJvcHBpbmctcGFydGljbGUiOiIifSx7ImZhbWlseSI6IkdvaW4iLCJnaXZlbiI6IkRhbmEgRS4iLCJwYXJzZS1uYW1lcyI6ZmFsc2UsImRyb3BwaW5nLXBhcnRpY2xlIjoiIiwibm9uLWRyb3BwaW5nLXBhcnRpY2xlIjoiIn0seyJmYW1pbHkiOiJNb3JyaXNvbiIsImdpdmVuIjoiQ2hyaXN0b3BoZXIgTi4iLCJwYXJzZS1uYW1lcyI6ZmFsc2UsImRyb3BwaW5nLXBhcnRpY2xlIjoiIiwibm9uLWRyb3BwaW5nLXBhcnRpY2xlIjoiIn1dLCJjb250YWluZXItdGl0bGUiOiJOYXR1cmUgQ2l0aWVzIiwiRE9JIjoiMTAuMTAzOC9zNDQyODQtMDI1LTAwMjY3LTEiLCJpc3N1ZWQiOnsiZGF0ZS1wYXJ0cyI6W1syMDI1LDcsMThdXX0sInBhZ2UiOiI2MDgtNjEyIiwicHVibGlzaGVyIjoiU3ByaW5nZXIgU2NpZW5jZSBhbmQgQnVzaW5lc3MgTWVkaWEgTExDIiwiaXNzdWUiOiI3Iiwidm9sdW1lIjoiMiIsImNvbnRhaW5lci10aXRsZS1zaG9ydCI6IiJ9LCJpc1RlbXBvcmFyeSI6ZmFsc2UsInN1cHByZXNzLWF1dGhvciI6ZmFsc2UsImNvbXBvc2l0ZSI6ZmFsc2UsImF1dGhvci1vbmx5IjpmYWxzZX1dfQ==&quot;,&quot;citationItems&quot;:[{&quot;id&quot;:&quot;063197c5-aa5c-34ea-880e-73a40d134757&quot;,&quot;itemData&quot;:{&quot;type&quot;:&quot;article-journal&quot;,&quot;id&quot;:&quot;063197c5-aa5c-34ea-880e-73a40d134757&quot;,&quot;title&quot;:&quot;Effectiveness of leading pedestrian intervals for city walkers’ safety&quot;,&quot;author&quot;:[{&quot;family&quot;:&quot;Zadey&quot;,&quot;given&quot;:&quot;Siddhesh&quot;,&quot;parse-names&quot;:false,&quot;dropping-particle&quot;:&quot;&quot;,&quot;non-dropping-particle&quot;:&quot;&quot;},{&quot;family&quot;:&quot;Roberts&quot;,&quot;given&quot;:&quot;Leah E.&quot;,&quot;parse-names&quot;:false,&quot;dropping-particle&quot;:&quot;&quot;,&quot;non-dropping-particle&quot;:&quot;&quot;},{&quot;family&quot;:&quot;Bushover&quot;,&quot;given&quot;:&quot;Brady&quot;,&quot;parse-names&quot;:false,&quot;dropping-particle&quot;:&quot;&quot;,&quot;non-dropping-particle&quot;:&quot;&quot;},{&quot;family&quot;:&quot;Gobaud&quot;,&quot;given&quot;:&quot;Ariana N.&quot;,&quot;parse-names&quot;:false,&quot;dropping-particle&quot;:&quot;&quot;,&quot;non-dropping-particle&quot;:&quot;&quot;},{&quot;family&quot;:&quot;Mehranbod&quot;,&quot;given&quot;:&quot;Christina A.&quot;,&quot;parse-names&quot;:false,&quot;dropping-particle&quot;:&quot;&quot;,&quot;non-dropping-particle&quot;:&quot;&quot;},{&quot;family&quot;:&quot;Fish&quot;,&quot;given&quot;:&quot;Carolyn S.&quot;,&quot;parse-names&quot;:false,&quot;dropping-particle&quot;:&quot;&quot;,&quot;non-dropping-particle&quot;:&quot;&quot;},{&quot;family&quot;:&quot;Eschliman&quot;,&quot;given&quot;:&quot;Evan L.&quot;,&quot;parse-names&quot;:false,&quot;dropping-particle&quot;:&quot;&quot;,&quot;non-dropping-particle&quot;:&quot;&quot;},{&quot;family&quot;:&quot;Gao&quot;,&quot;given&quot;:&quot;Xiang&quot;,&quot;parse-names&quot;:false,&quot;dropping-particle&quot;:&quot;&quot;,&quot;non-dropping-particle&quot;:&quot;&quot;},{&quot;family&quot;:&quot;Goin&quot;,&quot;given&quot;:&quot;Dana E.&quot;,&quot;parse-names&quot;:false,&quot;dropping-particle&quot;:&quot;&quot;,&quot;non-dropping-particle&quot;:&quot;&quot;},{&quot;family&quot;:&quot;Morrison&quot;,&quot;given&quot;:&quot;Christopher N.&quot;,&quot;parse-names&quot;:false,&quot;dropping-particle&quot;:&quot;&quot;,&quot;non-dropping-particle&quot;:&quot;&quot;}],&quot;container-title&quot;:&quot;Nature Cities&quot;,&quot;DOI&quot;:&quot;10.1038/s44284-025-00267-1&quot;,&quot;issued&quot;:{&quot;date-parts&quot;:[[2025,7,18]]},&quot;page&quot;:&quot;608-612&quot;,&quot;publisher&quot;:&quot;Springer Science and Business Media LLC&quot;,&quot;issue&quot;:&quot;7&quot;,&quot;volume&quot;:&quot;2&quot;,&quot;container-title-short&quot;:&quot;&quot;},&quot;isTemporary&quot;:false,&quot;suppress-author&quot;:false,&quot;composite&quot;:false,&quot;author-only&quot;:false}]},{&quot;citationID&quot;:&quot;MENDELEY_CITATION_5f53b576-b946-431c-a7f6-775fa9bc42f9&quot;,&quot;properties&quot;:{&quot;noteIndex&quot;:0},&quot;isEdited&quot;:false,&quot;manualOverride&quot;:{&quot;isManuallyOverridden&quot;:true,&quot;citeprocText&quot;:&quot;(Elvik &amp;#38; Bjørnskau, 2017)&quot;,&quot;manualOverrideText&quot;:&quot;(Elvik and Bjørnskau, 2017)&quot;},&quot;citationTag&quot;:&quot;MENDELEY_CITATION_v3_eyJjaXRhdGlvbklEIjoiTUVOREVMRVlfQ0lUQVRJT05fNWY1M2I1NzYtYjk0Ni00MzFjLWE3ZjYtNzc1ZmE5YmM0MmY5IiwicHJvcGVydGllcyI6eyJub3RlSW5kZXgiOjB9LCJpc0VkaXRlZCI6ZmFsc2UsIm1hbnVhbE92ZXJyaWRlIjp7ImlzTWFudWFsbHlPdmVycmlkZGVuIjp0cnVlLCJjaXRlcHJvY1RleHQiOiIoRWx2aWsgJiMzODsgQmrDuHJuc2thdSwgMjAxNykiLCJtYW51YWxPdmVycmlkZVRleHQiOiIoRWx2aWsgYW5kIEJqw7hybnNrYXUsIDIwMTcpIn0sImNpdGF0aW9uSXRlbXMiOlt7ImlkIjoiYmIzMjMxYTgtYjFhNi0zNTc4LTlkNmYtYTFhOGFlOGUxNWIzIiwiaXRlbURhdGEiOnsidHlwZSI6ImFydGljbGUtam91cm5hbCIsImlkIjoiYmIzMjMxYTgtYjFhNi0zNTc4LTlkNmYtYTFhOGFlOGUxNWIzIiwidGl0bGUiOiJTYWZldHktaW4tbnVtYmVyczogQSBzeXN0ZW1hdGljIHJldmlldyBhbmQgbWV0YS1hbmFseXNpcyBvZiBldmlkZW5jZSIsImF1dGhvciI6W3siZmFtaWx5IjoiRWx2aWsiLCJnaXZlbiI6IlJ1bmUiLCJwYXJzZS1uYW1lcyI6ZmFsc2UsImRyb3BwaW5nLXBhcnRpY2xlIjoiIiwibm9uLWRyb3BwaW5nLXBhcnRpY2xlIjoiIn0seyJmYW1pbHkiOiJCasO4cm5za2F1IiwiZ2l2ZW4iOiJUb3JrZWwiLCJwYXJzZS1uYW1lcyI6ZmFsc2UsImRyb3BwaW5nLXBhcnRpY2xlIjoiIiwibm9uLWRyb3BwaW5nLXBhcnRpY2xlIjoiIn1dLCJjb250YWluZXItdGl0bGUiOiJTYWZldHkgU2NpZW5jZSIsImNvbnRhaW5lci10aXRsZS1zaG9ydCI6IlNhZi4gU2NpLiIsIkRPSSI6IjEwLjEwMTYvai5zc2NpLjIwMTUuMDcuMDE3IiwiSVNTTiI6IjE4NzkxMDQyIiwiaXNzdWVkIjp7ImRhdGUtcGFydHMiOltbMjAxNywyLDFdXX0sInBhZ2UiOiIyNzQtMjgyIiwiYWJzdHJhY3QiOiJUaGlzIHBhcGVyIHByZXNlbnRzIGEgc3lzdGVtYXRpYyByZXZpZXcgYW5kIG1ldGEtYW5hbHlzaXMgb2Ygc3R1ZGllcyB0aGF0IGhhdmUgZXN0aW1hdGVkIHRoZSByZWxhdGlvbnNoaXAgYmV0d2VlbiB0aGUgbnVtYmVyIG9mIGFjY2lkZW50cyBpbnZvbHZpbmcgbW90b3IgdmVoaWNsZXMgYW5kIGN5Y2xpc3RzIG9yIHBlZGVzdHJpYW5zIGFuZCB0aGUgdm9sdW1lIG9mIG1vdG9yIHZlaGljbGVzLCBjeWNsaXN0cyBhbmQgcGVkZXN0cmlhbnMuIEEga2V5IG9iamVjdGl2ZSBvZiBtb3N0IG9mIHRoZXNlIHN0dWRpZXMgaGFzIGJlZW4gdG8gZGV0ZXJtaW5lIGlmIHRoZXJlIGlzIGEgc2FmZXR5LWluLW51bWJlcnMgZWZmZWN0LiBUaGVyZSBpcyBzYWZldHktaW4tbnVtYmVycyBpZiB0aGUgbnVtYmVyIG9mIGFjY2lkZW50cyBpbmNyZWFzZXMgbGVzcyB0aGFuIHByb3BvcnRpb25hbGx5IHRvIHRyYWZmaWMgdm9sdW1lIChmb3IgbW90b3IgdmVoaWNsZXMsIHBlZGVzdHJpYW5zIGFuZCBjeWNsaXN0cykuIEFsbCBzdHVkaWVzIHJldmlld2VkIGluIHRoZSBwYXBlciBhcmUgbXVsdGl2YXJpYXRlIGFjY2lkZW50IHByZWRpY3Rpb24gbW9kZWxzLCBlc3RpbWF0aW5nIHJlZ3Jlc3Npb24gY29lZmZpY2llbnRzIHRoYXQgc2hvdyBob3cgdGhlIG51bWJlciBvZiBhY2NpZGVudHMgZGVwZW5kcyBvbiB0aGUgY29uZmxpY3RpbmcgZmxvd3MgKHBlZGVzdHJpYW5zLCBjeWNsaXN0cywgbW90b3IgdmVoaWNsZXMpLCBhcyB3ZWxsIGFzIChpbiBzb21lIG9mIHRoZSBtb2RlbHMpIG90aGVyIGZhY3RvcnMgdGhhdCBpbmZsdWVuY2UgdGhlIG51bWJlciBvZiBhY2NpZGVudHMuIE1ldGEtYW5hbHlzaXMgb2YgcmVncmVzc2lvbiBjb2VmZmljaWVudHMgaW52b2x2ZXMgbWV0aG9kb2xvZ2ljYWwgcHJvYmxlbXMsIHdoaWNoIHJlcXVpcmUgY2FyZWZ1bCBjb25zaWRlcmF0aW9uIG9mIHdoZXRoZXIgdGhlIGNvZWZmaWNpZW50cyBhcmUgc3VmZmljaWVudGx5IGNvbXBhcmFibGUgdG8gYmUgZm9ybWFsbHkgc3ludGhlc2lzZWQgYnkgbWVhbnMgb2Ygc3RhbmRhcmQgdGVjaG5pcXVlcyBvZiBtZXRhLWFuYWx5c2lzLiBUaGUgY29tcGFyYWJpbGl0eSBvZiByZWdyZXNzaW9uIGNvZWZmaWNpZW50cyB3YXMgYXNzZXNzZWQuIEl0IHdhcyBjb25jbHVkZWQgdGhhdCBhIGZvcm1hbCBzeW50aGVzaXMgb2YgcmVncmVzc2lvbiBjb2VmZmljaWVudHMgaW4gc3R1ZGllcyBvZiB0aGUgc2FmZXR5LWluLW51bWJlcnMgZWZmZWN0IGlzIGRlZmVuc2libGUuIEFjY29yZGluZyB0byBhIHJhbmRvbS1lZmZlY3RzIGludmVyc2UtdmFyaWFuY2UgbWV0YS1hbmFseXNpcywgdGhlIHN1bW1hcnkgZXN0aW1hdGVzIG9mIHRoZSByZWdyZXNzaW9uIGNvZWZmaWNpZW50cyBmb3IgdHJhZmZpYyB2b2x1bWUgYXJlIDAuNTAgZm9yIG1vdG9yIHZlaGljbGUgdm9sdW1lLCAwLjQzIGZvciBjeWNsZSB2b2x1bWUgYW5kIDAuNTEgZm9yIHBlZGVzdHJpYW4gdm9sdW1lLiBFc3RpbWF0ZXMgYXJlIGhpZ2hseSBjb25zaXN0ZW50IGJldHdlZW4gc3R1ZGllcy4gSXQgaXMgY29uY2x1ZGVkIHRoYXQgYSBzYWZldHktaW4tbnVtYmVycyBlZmZlY3QgZXhpc3RzLiBJdCBpcyBzdGlsbCBub3QgY2xlYXIgd2hldGhlciB0aGlzIGVmZmVjdCBpcyBjYXVzYWwsIG5vciwgaWYgY2F1c2FsLCB3aGljaCBtZWNoYW5pc21zIGdlbmVyYXRlIHRoZSBlZmZlY3QuIiwicHVibGlzaGVyIjoiRWxzZXZpZXIgQi5WLiIsInZvbHVtZSI6IjkyIn0sImlzVGVtcG9yYXJ5IjpmYWxzZSwic3VwcHJlc3MtYXV0aG9yIjpmYWxzZSwiY29tcG9zaXRlIjpmYWxzZSwiYXV0aG9yLW9ubHkiOmZhbHNlfV19&quot;,&quot;citationItems&quot;:[{&quot;id&quot;:&quot;bb3231a8-b1a6-3578-9d6f-a1a8ae8e15b3&quot;,&quot;itemData&quot;:{&quot;type&quot;:&quot;article-journal&quot;,&quot;id&quot;:&quot;bb3231a8-b1a6-3578-9d6f-a1a8ae8e15b3&quot;,&quot;title&quot;:&quot;Safety-in-numbers: A systematic review and meta-analysis of evidence&quot;,&quot;author&quot;:[{&quot;family&quot;:&quot;Elvik&quot;,&quot;given&quot;:&quot;Rune&quot;,&quot;parse-names&quot;:false,&quot;dropping-particle&quot;:&quot;&quot;,&quot;non-dropping-particle&quot;:&quot;&quot;},{&quot;family&quot;:&quot;Bjørnskau&quot;,&quot;given&quot;:&quot;Torkel&quot;,&quot;parse-names&quot;:false,&quot;dropping-particle&quot;:&quot;&quot;,&quot;non-dropping-particle&quot;:&quot;&quot;}],&quot;container-title&quot;:&quot;Safety Science&quot;,&quot;container-title-short&quot;:&quot;Saf. Sci.&quot;,&quot;DOI&quot;:&quot;10.1016/j.ssci.2015.07.017&quot;,&quot;ISSN&quot;:&quot;18791042&quot;,&quot;issued&quot;:{&quot;date-parts&quot;:[[2017,2,1]]},&quot;page&quot;:&quot;274-282&quot;,&quot;abstract&quot;:&quot;This paper presents a systematic review and meta-analysis of studies that have estimated the relationship between the number of accidents involving motor vehicles and cyclists or pedestrians and the volume of motor vehicles, cyclists and pedestrians. A key objective of most of these studies has been to determine if there is a safety-in-numbers effect. There is safety-in-numbers if the number of accidents increases less than proportionally to traffic volume (for motor vehicles, pedestrians and cyclists). All studies reviewed in the paper are multivariate accident prediction models, estimating regression coefficients that show how the number of accidents depends on the conflicting flows (pedestrians, cyclists, motor vehicles), as well as (in some of the models) other factors that influence the number of accidents. Meta-analysis of regression coefficients involves methodological problems, which require careful consideration of whether the coefficients are sufficiently comparable to be formally synthesised by means of standard techniques of meta-analysis. The comparability of regression coefficients was assessed. It was concluded that a formal synthesis of regression coefficients in studies of the safety-in-numbers effect is defensible. According to a random-effects inverse-variance meta-analysis, the summary estimates of the regression coefficients for traffic volume are 0.50 for motor vehicle volume, 0.43 for cycle volume and 0.51 for pedestrian volume. Estimates are highly consistent between studies. It is concluded that a safety-in-numbers effect exists. It is still not clear whether this effect is causal, nor, if causal, which mechanisms generate the effect.&quot;,&quot;publisher&quot;:&quot;Elsevier B.V.&quot;,&quot;volume&quot;:&quot;92&quot;},&quot;isTemporary&quot;:false,&quot;suppress-author&quot;:false,&quot;composite&quot;:false,&quot;author-only&quot;:false}]},{&quot;citationID&quot;:&quot;MENDELEY_CITATION_4b8ff610-3786-4069-9c85-3ba13b8aae26&quot;,&quot;properties&quot;:{&quot;noteIndex&quot;:0},&quot;isEdited&quot;:false,&quot;manualOverride&quot;:{&quot;isManuallyOverridden&quot;:false,&quot;citeprocText&quot;:&quot;(Chalfin et al., 2022)&quot;,&quot;manualOverrideText&quot;:&quot;&quot;},&quot;citationTag&quot;:&quot;MENDELEY_CITATION_v3_eyJjaXRhdGlvbklEIjoiTUVOREVMRVlfQ0lUQVRJT05fNGI4ZmY2MTAtMzc4Ni00MDY5LTljODUtM2JhMTNiOGFhZTI2IiwicHJvcGVydGllcyI6eyJub3RlSW5kZXgiOjB9LCJpc0VkaXRlZCI6ZmFsc2UsIm1hbnVhbE92ZXJyaWRlIjp7ImlzTWFudWFsbHlPdmVycmlkZGVuIjpmYWxzZSwiY2l0ZXByb2NUZXh0IjoiKENoYWxmaW4gZXQgYWwuLCAyMDIyKSIsIm1hbnVhbE92ZXJyaWRlVGV4dCI6IiJ9LCJjaXRhdGlvbkl0ZW1zIjpbeyJpZCI6IjNjYzYzODc4LTU1NjAtM2YxYS04MDY3LWQwN2U2M2NmMmY3NSIsIml0ZW1EYXRhIjp7InR5cGUiOiJhcnRpY2xlLWpvdXJuYWwiLCJpZCI6IjNjYzYzODc4LTU1NjAtM2YxYS04MDY3LWQwN2U2M2NmMmY3NSIsInRpdGxlIjoiUmVkdWNpbmcgQ3JpbWUgVGhyb3VnaCBFbnZpcm9ubWVudGFsIERlc2lnbjogRXZpZGVuY2UgZnJvbSBhIFJhbmRvbWl6ZWQgRXhwZXJpbWVudCBvZiBTdHJlZXQgTGlnaHRpbmcgaW4gTmV3IFlvcmsgQ2l0eSIsImF1dGhvciI6W3siZmFtaWx5IjoiQ2hhbGZpbiIsImdpdmVuIjoiQWFyb24iLCJwYXJzZS1uYW1lcyI6ZmFsc2UsImRyb3BwaW5nLXBhcnRpY2xlIjoiIiwibm9uLWRyb3BwaW5nLXBhcnRpY2xlIjoiIn0seyJmYW1pbHkiOiJIYW5zZW4iLCJnaXZlbiI6IkJlbmphbWluIiwicGFyc2UtbmFtZXMiOmZhbHNlLCJkcm9wcGluZy1wYXJ0aWNsZSI6IiIsIm5vbi1kcm9wcGluZy1wYXJ0aWNsZSI6IiJ9LHsiZmFtaWx5IjoiTGVybmVyIiwiZ2l2ZW4iOiJKYXNvbiIsInBhcnNlLW5hbWVzIjpmYWxzZSwiZHJvcHBpbmctcGFydGljbGUiOiIiLCJub24tZHJvcHBpbmctcGFydGljbGUiOiIifSx7ImZhbWlseSI6IlBhcmtlciIsImdpdmVuIjoiTHVjaWUiLCJwYXJzZS1uYW1lcyI6ZmFsc2UsImRyb3BwaW5nLXBhcnRpY2xlIjoiIiwibm9uLWRyb3BwaW5nLXBhcnRpY2xlIjoiIn1dLCJjb250YWluZXItdGl0bGUiOiJKb3VybmFsIG9mIFF1YW50aXRhdGl2ZSBDcmltaW5vbG9neSIsImNvbnRhaW5lci10aXRsZS1zaG9ydCI6IkouIFF1YW50LiBDcmltaW5vbC4iLCJET0kiOiIxMC4xMDA3L3MxMDk0MC0wMjAtMDk0OTAtNiIsIklTU04iOiIxNTczNzc5OSIsImlzc3VlZCI6eyJkYXRlLXBhcnRzIjpbWzIwMjIsMywxXV19LCJwYWdlIjoiMTI3LTE1NyIsImFic3RyYWN0IjoiT2JqZWN0aXZlczogVGhpcyBwYXBlciBvZmZlcnMgbm92ZWwgZXhwZXJpbWVudGFsIGV2aWRlbmNlIHRoYXQgdmlvbGVudCBjcmltZXMgY2FuIGJlIHN1Y2Nlc3NmdWxseSByZWR1Y2VkIGJ5IGNoYW5naW5nIHRoZSBzaXR1YXRpb25hbCBlbnZpcm9ubWVudCB0aGF0IHBvdGVudGlhbCB2aWN0aW1zIGFuZCBvZmZlbmRlcnMgZmFjZS4gV2UgZm9jdXMgb24gYSB1YmlxdWl0b3VzIGJ1dCB1bmRlcnN0dWRpZWQgZmVhdHVyZSBvZiB0aGUgdXJiYW4gbGFuZHNjYXBl4oCUc3RyZWV0IGxpZ2h0aW5n4oCUYW5kIHJlcG9ydCB0aGUgZmlyc3QgZXhwZXJpbWVudGFsIGV2aWRlbmNlIG9uIHRoZSBlZmZlY3Qgb2Ygc3RyZWV0IGxpZ2h0aW5nIG9uIGNyaW1lLiBNZXRob2RzOiBUaHJvdWdoIGEgdW5pcXVlIHB1YmxpYyBwYXJ0bmVyc2hpcCBpbiBOZXcgWW9yayBDaXR5LCB0ZW1wb3Jhcnkgc3RyZWV0IGxpZ2h0cyB3ZXJlIHJhbmRvbWx5IGFsbG9jYXRlZCB0byA0MCBvZiB0aGUgY2l0eeKAmXMgcHVibGljIGhvdXNpbmcgZGV2ZWxvcG1lbnRzLiBSZXN1bHRzOiBXZSBmaW5kIGV2aWRlbmNlIHRoYXQgY29tbXVuaXRpZXMgdGhhdCB3ZXJlIGFzc2lnbmVkIG1vcmUgbGlnaHRpbmcgZXhwZXJpZW5jZWQgc2l6YWJsZSByZWR1Y3Rpb25zIGluIG5pZ2h0dGltZSBvdXRkb29yIGluZGV4IGNyaW1lcy4gV2UgYWxzbyBvYnNlcnZlIGEgbGFyZ2UgZGVjbGluZSBpbiBhcnJlc3RzIGluZGljYXRpbmcgdGhhdCBkZXRlcnJlbmNlIGlzIHRoZSBtb3N0IGxpa2VseSBtZWNoYW5pc20gdGhyb3VnaCB3aGljaCB0aGUgaW50ZXJ2ZW50aW9uIHJlZHVjZWQgY3JpbWUuIENvbmNsdXNpb246IFJlc3VsdHMgc3VnZ2VzdHMgdGhhdCBzdHJlZXQgbGlnaHRpbmcsIHdoZW4gZGVwbG95ZWQgdGFjdGljYWxseSwgbWF5IGJlIGEgbWVhbnMgdGhyb3VnaCB3aGljaCBwb2xpY3ltYWtlcnMgY2FuIGNvbnRyb2wgY3JpbWUgd2l0aG91dCB3aWRlbmluZyB0aGUgbmV0IG9mIHRoZSBjcmltaW5hbCBqdXN0aWNlIHN5c3RlbS4iLCJwdWJsaXNoZXIiOiJTcHJpbmdlciIsImlzc3VlIjoiMSIsInZvbHVtZSI6IjM4In0sImlzVGVtcG9yYXJ5IjpmYWxzZSwic3VwcHJlc3MtYXV0aG9yIjpmYWxzZSwiY29tcG9zaXRlIjpmYWxzZSwiYXV0aG9yLW9ubHkiOmZhbHNlfV19&quot;,&quot;citationItems&quot;:[{&quot;id&quot;:&quot;3cc63878-5560-3f1a-8067-d07e63cf2f75&quot;,&quot;itemData&quot;:{&quot;type&quot;:&quot;article-journal&quot;,&quot;id&quot;:&quot;3cc63878-5560-3f1a-8067-d07e63cf2f75&quot;,&quot;title&quot;:&quot;Reducing Crime Through Environmental Design: Evidence from a Randomized Experiment of Street Lighting in New York City&quot;,&quot;author&quot;:[{&quot;family&quot;:&quot;Chalfin&quot;,&quot;given&quot;:&quot;Aaron&quot;,&quot;parse-names&quot;:false,&quot;dropping-particle&quot;:&quot;&quot;,&quot;non-dropping-particle&quot;:&quot;&quot;},{&quot;family&quot;:&quot;Hansen&quot;,&quot;given&quot;:&quot;Benjamin&quot;,&quot;parse-names&quot;:false,&quot;dropping-particle&quot;:&quot;&quot;,&quot;non-dropping-particle&quot;:&quot;&quot;},{&quot;family&quot;:&quot;Lerner&quot;,&quot;given&quot;:&quot;Jason&quot;,&quot;parse-names&quot;:false,&quot;dropping-particle&quot;:&quot;&quot;,&quot;non-dropping-particle&quot;:&quot;&quot;},{&quot;family&quot;:&quot;Parker&quot;,&quot;given&quot;:&quot;Lucie&quot;,&quot;parse-names&quot;:false,&quot;dropping-particle&quot;:&quot;&quot;,&quot;non-dropping-particle&quot;:&quot;&quot;}],&quot;container-title&quot;:&quot;Journal of Quantitative Criminology&quot;,&quot;container-title-short&quot;:&quot;J. Quant. Criminol.&quot;,&quot;DOI&quot;:&quot;10.1007/s10940-020-09490-6&quot;,&quot;ISSN&quot;:&quot;15737799&quot;,&quot;issued&quot;:{&quot;date-parts&quot;:[[2022,3,1]]},&quot;page&quot;:&quot;127-157&quot;,&quot;abstract&quot;:&quot;Objectives: This paper offers novel experimental evidence that violent crimes can be successfully reduced by changing the situational environment that potential victims and offenders face. We focus on a ubiquitous but understudied feature of the urban landscape—street lighting—and report the first experimental evidence on the effect of street lighting on crime. Methods: Through a unique public partnership in New York City, temporary street lights were randomly allocated to 40 of the city’s public housing developments. Results: We find evidence that communities that were assigned more lighting experienced sizable reductions in nighttime outdoor index crimes. We also observe a large decline in arrests indicating that deterrence is the most likely mechanism through which the intervention reduced crime. Conclusion: Results suggests that street lighting, when deployed tactically, may be a means through which policymakers can control crime without widening the net of the criminal justice system.&quot;,&quot;publisher&quot;:&quot;Springer&quot;,&quot;issue&quot;:&quot;1&quot;,&quot;volume&quot;:&quot;38&quot;},&quot;isTemporary&quot;:false,&quot;suppress-author&quot;:false,&quot;composite&quot;:false,&quot;author-only&quot;:false}]},{&quot;citationID&quot;:&quot;MENDELEY_CITATION_04989b82-b79f-417a-bc7b-d7b069696ae0&quot;,&quot;properties&quot;:{&quot;noteIndex&quot;:0},&quot;isEdited&quot;:false,&quot;manualOverride&quot;:{&quot;isManuallyOverridden&quot;:true,&quot;citeprocText&quot;:&quot;(Branas et al., 2018; Lee et al., 2023)&quot;,&quot;manualOverrideText&quot;:&quot;Branas et al., 2018; Lee et al., 2023&quot;},&quot;citationTag&quot;:&quot;MENDELEY_CITATION_v3_eyJjaXRhdGlvbklEIjoiTUVOREVMRVlfQ0lUQVRJT05fMDQ5ODliODItYjc5Zi00MTdhLWJjN2ItZDdiMDY5Njk2YWUwIiwicHJvcGVydGllcyI6eyJub3RlSW5kZXgiOjB9LCJpc0VkaXRlZCI6ZmFsc2UsIm1hbnVhbE92ZXJyaWRlIjp7ImlzTWFudWFsbHlPdmVycmlkZGVuIjp0cnVlLCJjaXRlcHJvY1RleHQiOiIoQnJhbmFzIGV0IGFsLiwgMjAxODsgTGVlIGV0IGFsLiwgMjAyMykiLCJtYW51YWxPdmVycmlkZVRleHQiOiJCcmFuYXMgZXQgYWwuLCAyMDE4OyBMZWUgZXQgYWwuLCAyMDIzIn0sImNpdGF0aW9uSXRlbXMiOlt7ImlkIjoiN2FjMWE2ZWQtMzk4Ni0zYzdkLWE1YTktNjU3YzJlYzgyYjhhIiwiaXRlbURhdGEiOnsidHlwZSI6ImFydGljbGUtam91cm5hbCIsImlkIjoiN2FjMWE2ZWQtMzk4Ni0zYzdkLWE1YTktNjU3YzJlYzgyYjhhIiwidGl0bGUiOiJDaXR5d2lkZSBjbHVzdGVyIHJhbmRvbWl6ZWQgdHJpYWwgdG8gcmVzdG9yZSBibGlnaHRlZCB2YWNhbnQgbGFuZCBhbmQgaXRzIGVmZmVjdHMgb24gdmlvbGVuY2UsIGNyaW1lLCBhbmQgZmVhciIsImF1dGhvciI6W3siZmFtaWx5IjoiQnJhbmFzIiwiZ2l2ZW4iOiJDaGFybGVzIEMuIiwicGFyc2UtbmFtZXMiOmZhbHNlLCJkcm9wcGluZy1wYXJ0aWNsZSI6IiIsIm5vbi1kcm9wcGluZy1wYXJ0aWNsZSI6IiJ9LHsiZmFtaWx5IjoiU291dGgiLCJnaXZlbiI6IkV1Z2VuaWEiLCJwYXJzZS1uYW1lcyI6ZmFsc2UsImRyb3BwaW5nLXBhcnRpY2xlIjoiIiwibm9uLWRyb3BwaW5nLXBhcnRpY2xlIjoiIn0seyJmYW1pbHkiOiJLb25kbyIsImdpdmVuIjoiTWljaGVsbGUgQy4iLCJwYXJzZS1uYW1lcyI6ZmFsc2UsImRyb3BwaW5nLXBhcnRpY2xlIjoiIiwibm9uLWRyb3BwaW5nLXBhcnRpY2xlIjoiIn0seyJmYW1pbHkiOiJIb2hsIiwiZ2l2ZW4iOiJCZXJuYWRldHRlIEMuIiwicGFyc2UtbmFtZXMiOmZhbHNlLCJkcm9wcGluZy1wYXJ0aWNsZSI6IiIsIm5vbi1kcm9wcGluZy1wYXJ0aWNsZSI6IiJ9LHsiZmFtaWx5IjoiQm91cmdvaXMiLCJnaXZlbiI6IlBoaWxpcHBlIiwicGFyc2UtbmFtZXMiOmZhbHNlLCJkcm9wcGluZy1wYXJ0aWNsZSI6IiIsIm5vbi1kcm9wcGluZy1wYXJ0aWNsZSI6IiJ9LHsiZmFtaWx5IjoiV2llYmUiLCJnaXZlbiI6IkRvdWdsYXMgSi4iLCJwYXJzZS1uYW1lcyI6ZmFsc2UsImRyb3BwaW5nLXBhcnRpY2xlIjoiIiwibm9uLWRyb3BwaW5nLXBhcnRpY2xlIjoiIn0seyJmYW1pbHkiOiJNYWNEb25hbGQiLCJnaXZlbiI6IkpvaG4gTS4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kRPSSI6IjEwLjEwNzMvcG5hcy4xNzE4NTAzMTE1IiwiSVNTTiI6IjEwOTE2NDkwIiwiUE1JRCI6IjI5NDgzMjQ2IiwiaXNzdWVkIjp7ImRhdGUtcGFydHMiOltbMjAxOCwzLDIwXV19LCJwYWdlIjoiMjk0Ni0yOTUxIiwiYWJzdHJhY3QiOiJWYWNhbnQgYW5kIGJsaWdodGVkIHVyYmFuIGxhbmQgaXMgYSB3aWRlc3ByZWFkIGFuZCBwb3RlbnRpYWxseSByaXNreSBlbnZpcm9ubWVudGFsIGNvbmRpdGlvbiBlbmNvdW50ZXJlZCBieSBtaWxsaW9ucyBvZiBwZW9wbGUgb24gYSBkYWlseSBiYXNpcy4gQWJvdXQgMTUlIG9mIHRoZSBsYW5kIGluIFVTIGNpdGllcyBpcyBkZWVtZWQgdmFjYW50IG9yIGFiYW5kb25lZCwgYW4gYXJlYSByb3VnaGx5IHRoZSBzaXplIG9mIFN3aXR6ZXJsYW5kLiBJbiBhIGNpdHl3aWRlIGNsdXN0ZXIgcmFuZG9taXplZCBjb250cm9sbGVkIHRyaWFsLCB3ZSBpbnZlc3RpZ2F0ZWQgdGhlIGVmZmVjdHMgb2Ygc3RhbmRhcmRpemVkLCByZXByb2R1Y2libGUgaW50ZXJ2ZW50aW9ucyB0aGF0IHJlc3RvcmUgdmFjYW50IGxhbmQgb24gdGhlIGNvbW1pc3Npb24gb2YgdmlvbGVuY2UsIGNyaW1lLCBhbmQgdGhlIHBlcmNlcHRpb25zIG9mIGZlYXIgYW5kIHNhZmV0eS4gUXVhbnRpdGF0aXZlIGFuZCBldGhub2dyYXBoaWMgYW5hbHlzZXMgd2VyZSBpbmNsdWRlZCBpbiBhIG1peGVkLW1ldGhvZHMgYXBwcm9hY2ggdG8gbW9yZSBmdWxseSB0ZXN0IGFuZCBleHBsaWNhdGUgb3VyIGZpbmRpbmdzLiBBIHRvdGFsIG9mIDU0MSByYW5kb21seSBzYW1wbGVkIHZhY2FudCBsb3RzIHdlcmUgcmFuZG9tbHkgYXNzaWduZWQgaW50byB0cmVhdG1lbnQgYW5kIGNvbnRyb2wgc3R1ZHkgYXJtczsgb3V0Y29tZXMgZnJvbSBwb2xpY2UgYW5kIDQ0NSByYW5kb21seSBzYW1wbGVkIHBhcnRpY2lwYW50cyB3ZXJlIGFuYWx5emVkIG92ZXIgYSAzOC1tb250aCBzdHVkeSBwZXJpb2QuIFBhcnRpY2lwYW50cyBsaXZpbmcgbmVhciB0cmVhdGVkIHZhY2FudCBsb3RzIHJlcG9ydGVkIHNpZ25pZmljYW50bHkgcmVkdWNlZCBwZXJjZXB0aW9ucyBvZiBjcmltZSAoLTM2LjglLCBQIDwgMC4wNSksIHZhbmRhbGlzbSAoLTM5LjMlLCBQIDwgMC4wNSksIGFuZCBzYWZldHkgY29uY2VybnMgd2hlbiBnb2luZyBvdXRzaWRlIHRoZWlyIGhvbWVzICgtNTcuOCUsIFAgPCAwLjA1KSwgYXMgd2VsbCBhcyBzaWduaWZpY2FudGx5IGluY3JlYXNlZCB1c2Ugb2Ygb3V0c2lkZSBzcGFjZXMgZm9yIHJlbGF4aW5nIGFuZCBzb2NpYWxpemluZyAoNzUuNyUsIFAgPCAwLjAxKS4gU2lnbmlmaWNhbnQgcmVkdWN0aW9ucyBpbiBjcmltZSBvdmVyYWxsICgtMTMuMyUsIFAgPCAwLjAxKSwgZ3VuIHZpb2xlbmNlICgtMjkuMSUsIFAgPCAwLjAwMSksIGJ1cmdsYXJ5ICgtMjEuOSUsIFAgPCAwLjAwMSksIGFuZCBudWlzYW5jZXMgKC0zMC4zJSwgUCA8IDAuMDUpIHdlcmUgYWxzbyBmb3VuZCBhZnRlciB0aGUgdHJlYXRtZW50IG9mIHZhY2FudCBsb3RzIGluIG5laWdoYm9yaG9vZHMgYmVsb3cgdGhlIHBvdmVydHkgbGluZS4gQmxpZ2h0ZWQgYW5kIHZhY2FudCB1cmJhbiBsYW5kIGFmZmVjdHMgcGVvcGxlJ3MgcGVyY2VwdGlvbnMgb2Ygc2FmZXR5LCBhbmQgdGhlaXIgYWN0dWFsLCBwaHlzaWNhbCBzYWZldHkuIFJlc3RvcmF0aW9uIG9mIHRoaXMgbGFuZCBjYW4gYmUgYW4gZWZmZWN0aXZlIGFuZCBzY2FsYWJsZSBpbmZyYXN0cnVjdHVyZSBpbnRlcnZlbnRpb24gZm9yIGd1biB2aW9sZW5jZSwgY3JpbWUsIGFuZCBmZWFyIGluIHVyYmFuIG5laWdoYm9yaG9vZHMuIiwicHVibGlzaGVyIjoiTmF0aW9uYWwgQWNhZGVteSBvZiBTY2llbmNlcyIsImlzc3VlIjoiMTIiLCJ2b2x1bWUiOiIxMTUifSwiaXNUZW1wb3JhcnkiOmZhbHNlfSx7ImlkIjoiZGMyMzVjZTktNjQ0MS0zYmU5LTk4MWQtZDE4NDBkNmNjZDJlIiwiaXRlbURhdGEiOnsidHlwZSI6ImFydGljbGUtam91cm5hbCIsImlkIjoiZGMyMzVjZTktNjQ0MS0zYmU5LTk4MWQtZDE4NDBkNmNjZDJlIiwidGl0bGUiOiJTdHJlZXQgZW52aXJvbm1lbnRzIGFuZCBjcmltZSBhcm91bmQgbG93LWluY29tZSBhbmQgbWlub3JpdHkgc2Nob29sczogQWRvcHRpbmcgYW4gZW52aXJvbm1lbnRhbCBhdWRpdCB0b29sIHRvIGFzc2VzcyBjcmltZSBwcmV2ZW50aW9uIHRocm91Z2ggZW52aXJvbm1lbnRhbCBkZXNpZ24gKENQVEVEKSIsImF1dGhvciI6W3siZmFtaWx5IjoiTGVlIiwiZ2l2ZW4iOiJTdW5nbWluIiwicGFyc2UtbmFtZXMiOmZhbHNlLCJkcm9wcGluZy1wYXJ0aWNsZSI6IiIsIm5vbi1kcm9wcGluZy1wYXJ0aWNsZSI6IiJ9LHsiZmFtaWx5IjoiTGVlIiwiZ2l2ZW4iOiJDaGFuYW0iLCJwYXJzZS1uYW1lcyI6ZmFsc2UsImRyb3BwaW5nLXBhcnRpY2xlIjoiIiwibm9uLWRyb3BwaW5nLXBhcnRpY2xlIjoiIn0seyJmYW1pbHkiOiJXb24gTmFtIiwiZ2l2ZW4iOiJKaSIsInBhcnNlLW5hbWVzIjpmYWxzZSwiZHJvcHBpbmctcGFydGljbGUiOiIiLCJub24tZHJvcHBpbmctcGFydGljbGUiOiIifSx7ImZhbWlseSI6IlZlcm5leiBNb3Vkb24iLCJnaXZlbiI6IkFubmUiLCJwYXJzZS1uYW1lcyI6ZmFsc2UsImRyb3BwaW5nLXBhcnRpY2xlIjoiIiwibm9uLWRyb3BwaW5nLXBhcnRpY2xlIjoiIn0seyJmYW1pbHkiOiJNZW5kb3phIiwiZ2l2ZW4iOiJKYXNvbiBBLiIsInBhcnNlLW5hbWVzIjpmYWxzZSwiZHJvcHBpbmctcGFydGljbGUiOiIiLCJub24tZHJvcHBpbmctcGFydGljbGUiOiIifV0sImNvbnRhaW5lci10aXRsZSI6IkxhbmRzY2FwZSBhbmQgVXJiYW4gUGxhbm5pbmciLCJjb250YWluZXItdGl0bGUtc2hvcnQiOiJMYW5kc2MuIFVyYmFuIFBsYW4uIiwiRE9JIjoiMTAuMTAxNi9qLmxhbmR1cmJwbGFuLjIwMjIuMTA0Njc2IiwiSVNTTiI6IjAxNjkyMDQ2IiwiaXNzdWVkIjp7ImRhdGUtcGFydHMiOltbMjAyMyw0LDFdXX0sImFic3RyYWN0IjoiQ3JpbWUgcHJldmVudGlvbiB0aHJvdWdoIGVudmlyb25tZW50YWwgZGVzaWduIChDUFRFRCkgc3VnZ2VzdHMgYW4gYXNzb2NpYXRpb24gYmV0d2VlbiBtaWNyby1zY2FsZSBlbnZpcm9ubWVudGFsIGNvbmRpdGlvbnMgYW5kIGNyaW1lLCBidXQgbGl0dGxlIGVtcGlyaWNhbCByZXNlYXJjaCBleGlzdHMgb24gdGhlIGRldGFpbGVkIHN0cmVldC1sZXZlbCBlbnZpcm9ubWVudGFsIGZlYXR1cmVzIGFzc29jaWF0ZWQgd2l0aCBjcmltZSBuZWFyIGxvdy1pbmNvbWUgYW5kIG1pbm9yaXR5IHNjaG9vbHMuIFRoaXMgc3R1ZHkgZm9jdXNlcyBvbiB0aGUgbmVpZ2hib3Job29kcyBhcm91bmQgMTQgZWxlbWVudGFyeSBzY2hvb2xzIHNlcnZpbmcgbG93ZXIgaW5jb21lIHBvcHVsYXRpb25zIGluIFNlYXR0bGUsIFdBIHRvIGFzc2VzcyBpZiB0aGUgZGlzdHJpYnV0aW9uIG9mIGNyaW1lIGluY2lkZW5jZXMgKDIwMTPigJMyMDE3KSBpcyBsaW5rZWQgd2l0aCB0aGUgc3RyZWV0LWxldmVsIGVudmlyb25tZW50YWwgZmVhdHVyZXMgdGhhdCByZWZsZWN0IENQVEVEIHByaW5jaXBsZXMuIFdlIHVzZWQgYSB0b3RhbCBvZiA0MCBhdWRpdCB2YXJpYWJsZXMgdGhhdCB3ZXJlIGluY2x1ZGVkIGluIHRoZSBmb3VyIGRvbWFpbnMgZGVyaXZlZCBmcm9tIHRoZSBicm9rZW4gd2luZG93cyB0aGVvcnkgYW5kIENQVEVEIHByaW5jaXBsZXM6IG5hdHVyYWwgc3VydmVpbGxhbmNlIChlLmcuLCBudW1iZXIgb2Ygd2luZG93cywgYmFsY29uaWVzLCBhbmQgYSBzZW5zZSBvZiBzdXJ2ZWlsbGFuY2UpLCB0ZXJyaXRvcmlhbGl0eSAoZS5nLiwgY3JpbWUgd2F0Y2ggc2lnbnMsIHRyZWVzKSwgaW1hZ2UvbWFpbnRlbmFuY2UgKGUuZy4sIGdyYWZmaXRpIGFuZCBhIHNlbnNlIG9mIG1haW50ZW5hbmNlL2NsZWFubmVzcyksIGFuZCBnZW9ncmFwaGljYWwganV4dGFwb3NpdGlvbiAoZS5nLiwgYnVzIHN0b3BzLCBwcmVzZW5jZSBvZiBhcnRlcmlhbCkuIFdlIGZvdW5kIHRoYXQgbXVsdGlwbGUgY3JpbWUgdHlwZXMgaGFkIHNpZ25pZmljYW50IGFzc29jaWF0aW9ucyB3aXRoIENQVEVEIGNvbXBvbmVudHMgYXQgdGhlIHN0cmVldCBsZXZlbC4gQW1vbmcgdGhlIENQVEVEIGRvbWFpbnMsIHR3byBpbWFnZS9tYWludGVuYW5jZSBmZWF0dXJlcyAoaS5lLiwgbWFpbnRlbmFuY2Ugb2Ygc3RyZWV0cyBhbmQgdmlzdWFsIHF1YWxpdHkgb2YgYnVpbGRpbmdzKSBhbmQgdHdvIGdlb2dyYXBoaWNhbCBqdXh0YXBvc2l0aW9uIGZlYXR1cmVzIChpLmUuLCBiZWluZyBhZGphY2VudCB0byBtdWx0aS1mYW1pbHkgaG91c2luZyBhbmQgYnVzIHN0b3BzKSB3ZXJlIGNvbnNpc3RlbnRseSBhc3NvY2lhdGVkIHdpdGggYm90aCB2aW9sZW50IGFuZCBwcm9wZXJ0eSBjcmltZS4gVGhlIGZpbmRpbmdzIHN1Z2dlc3QgdGhhdCBsb2NhbCBlZmZvcnRzIHRvIGltcHJvdmUgbWFpbnRlbmFuY2Ugb2Ygc3RyZWV0cyBhbmQgdmlzdWFsIHF1YWxpdHkgb2YgYnVpbGRpbmdzIGFuZCBicm9hZGVyIHBsYW5uaW5nIGVmZm9ydHMgdG8gY29udHJvbCBzcGVjaWZpYyBsYW5kIHVzZXMgbmVhciBzY2hvb2xzIGFyZSBpbXBvcnRhbnQgdG8gaW1wcm92ZSBzYWZldHkgaW4gbWFyZ2luYWxpemVkIG5laWdoYm9yaG9vZHMgbmVhciBzY2hvb2xzIHRoYXQgdGVuZCB0byBiZSBtb3JlIHZ1bG5lcmFibGUgdG8gY3JpbWUuIE91ciByZXNlYXJjaCBvbiBtaWNyby1zY2FsZSBlbnZpcm9ubWVudGFsIGRldGVybWluYW50cyBvZiBjcmltZSBjYW4gYWxzbyBzZXJ2ZSBhcyBwcm9taXNpbmcgdGFyZ2V0cyBmb3IgQ1BURUQgcmVzZWFyY2ggYW5kIGluaXRpYXRpdmVzLiIsInB1Ymxpc2hlciI6IkVsc2V2aWVyIEIuVi4iLCJ2b2x1bWUiOiIyMzIifSwiaXNUZW1wb3JhcnkiOmZhbHNlfV19&quot;,&quot;citationItems&quot;:[{&quot;id&quot;:&quot;7ac1a6ed-3986-3c7d-a5a9-657c2ec82b8a&quot;,&quot;itemData&quot;:{&quot;type&quot;:&quot;article-journal&quot;,&quot;id&quot;:&quot;7ac1a6ed-3986-3c7d-a5a9-657c2ec82b8a&quot;,&quot;title&quot;:&quot;Citywide cluster randomized trial to restore blighted vacant land and its effects on violence, crime, and fear&quot;,&quot;author&quot;:[{&quot;family&quot;:&quot;Branas&quot;,&quot;given&quot;:&quot;Charles C.&quot;,&quot;parse-names&quot;:false,&quot;dropping-particle&quot;:&quot;&quot;,&quot;non-dropping-particle&quot;:&quot;&quot;},{&quot;family&quot;:&quot;South&quot;,&quot;given&quot;:&quot;Eugenia&quot;,&quot;parse-names&quot;:false,&quot;dropping-particle&quot;:&quot;&quot;,&quot;non-dropping-particle&quot;:&quot;&quot;},{&quot;family&quot;:&quot;Kondo&quot;,&quot;given&quot;:&quot;Michelle C.&quot;,&quot;parse-names&quot;:false,&quot;dropping-particle&quot;:&quot;&quot;,&quot;non-dropping-particle&quot;:&quot;&quot;},{&quot;family&quot;:&quot;Hohl&quot;,&quot;given&quot;:&quot;Bernadette C.&quot;,&quot;parse-names&quot;:false,&quot;dropping-particle&quot;:&quot;&quot;,&quot;non-dropping-particle&quot;:&quot;&quot;},{&quot;family&quot;:&quot;Bourgois&quot;,&quot;given&quot;:&quot;Philippe&quot;,&quot;parse-names&quot;:false,&quot;dropping-particle&quot;:&quot;&quot;,&quot;non-dropping-particle&quot;:&quot;&quot;},{&quot;family&quot;:&quot;Wiebe&quot;,&quot;given&quot;:&quot;Douglas J.&quot;,&quot;parse-names&quot;:false,&quot;dropping-particle&quot;:&quot;&quot;,&quot;non-dropping-particle&quot;:&quot;&quot;},{&quot;family&quot;:&quot;MacDonald&quot;,&quot;given&quot;:&quot;John M.&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718503115&quot;,&quot;ISSN&quot;:&quot;10916490&quot;,&quot;PMID&quot;:&quot;29483246&quot;,&quot;issued&quot;:{&quot;date-parts&quot;:[[2018,3,20]]},&quot;page&quot;:&quot;2946-2951&quot;,&quot;abstract&quot;:&quot;Vacant and blighted urban land is a widespread and potentially risky environmental condition encountered by millions of people on a daily basis. About 15% of the land in US cities is deemed vacant or abandoned, an area roughly the size of Switzerland. In a citywide cluster randomized controlled trial, we investigated the effects of standardized, reproducible interventions that restore vacant land on the commission of violence, crime, and the perceptions of fear and safety. Quantitative and ethnographic analyses were included in a mixed-methods approach to more fully test and explicate our findings. A total of 541 randomly sampled vacant lots were randomly assigned into treatment and control study arms; outcomes from police and 445 randomly sampled participants were analyzed over a 38-month study period. Participants living near treated vacant lots reported significantly reduced perceptions of crime (-36.8%, P &lt; 0.05), vandalism (-39.3%, P &lt; 0.05), and safety concerns when going outside their homes (-57.8%, P &lt; 0.05), as well as significantly increased use of outside spaces for relaxing and socializing (75.7%, P &lt; 0.01). Significant reductions in crime overall (-13.3%, P &lt; 0.01), gun violence (-29.1%, P &lt; 0.001), burglary (-21.9%, P &lt; 0.001), and nuisances (-30.3%, P &lt; 0.05) were also found after the treatment of vacant lots in neighborhoods below the poverty line. Blighted and vacant urban land affects people's perceptions of safety, and their actual, physical safety. Restoration of this land can be an effective and scalable infrastructure intervention for gun violence, crime, and fear in urban neighborhoods.&quot;,&quot;publisher&quot;:&quot;National Academy of Sciences&quot;,&quot;issue&quot;:&quot;12&quot;,&quot;volume&quot;:&quot;115&quot;},&quot;isTemporary&quot;:false},{&quot;id&quot;:&quot;dc235ce9-6441-3be9-981d-d1840d6ccd2e&quot;,&quot;itemData&quot;:{&quot;type&quot;:&quot;article-journal&quot;,&quot;id&quot;:&quot;dc235ce9-6441-3be9-981d-d1840d6ccd2e&quot;,&quot;title&quot;:&quot;Street environments and crime around low-income and minority schools: Adopting an environmental audit tool to assess crime prevention through environmental design (CPTED)&quot;,&quot;author&quot;:[{&quot;family&quot;:&quot;Lee&quot;,&quot;given&quot;:&quot;Sungmin&quot;,&quot;parse-names&quot;:false,&quot;dropping-particle&quot;:&quot;&quot;,&quot;non-dropping-particle&quot;:&quot;&quot;},{&quot;family&quot;:&quot;Lee&quot;,&quot;given&quot;:&quot;Chanam&quot;,&quot;parse-names&quot;:false,&quot;dropping-particle&quot;:&quot;&quot;,&quot;non-dropping-particle&quot;:&quot;&quot;},{&quot;family&quot;:&quot;Won Nam&quot;,&quot;given&quot;:&quot;Ji&quot;,&quot;parse-names&quot;:false,&quot;dropping-particle&quot;:&quot;&quot;,&quot;non-dropping-particle&quot;:&quot;&quot;},{&quot;family&quot;:&quot;Vernez Moudon&quot;,&quot;given&quot;:&quot;Anne&quot;,&quot;parse-names&quot;:false,&quot;dropping-particle&quot;:&quot;&quot;,&quot;non-dropping-particle&quot;:&quot;&quot;},{&quot;family&quot;:&quot;Mendoza&quot;,&quot;given&quot;:&quot;Jason A.&quot;,&quot;parse-names&quot;:false,&quot;dropping-particle&quot;:&quot;&quot;,&quot;non-dropping-particle&quot;:&quot;&quot;}],&quot;container-title&quot;:&quot;Landscape and Urban Planning&quot;,&quot;container-title-short&quot;:&quot;Landsc. Urban Plan.&quot;,&quot;DOI&quot;:&quot;10.1016/j.landurbplan.2022.104676&quot;,&quot;ISSN&quot;:&quot;01692046&quot;,&quot;issued&quot;:{&quot;date-parts&quot;:[[2023,4,1]]},&quot;abstract&quot;:&quot;Crime prevention through environmental design (CPTED) suggests an association between micro-scale environmental conditions and crime, but little empirical research exists on the detailed street-level environmental features associated with crime near low-income and minority schools. This study focuses on the neighborhoods around 14 elementary schools serving lower income populations in Seattle, WA to assess if the distribution of crime incidences (2013–2017) is linked with the street-level environmental features that reflect CPTED principles. We used a total of 40 audit variables that were included in the four domains derived from the broken windows theory and CPTED principles: natural surveillance (e.g., number of windows, balconies, and a sense of surveillance), territoriality (e.g., crime watch signs, trees), image/maintenance (e.g., graffiti and a sense of maintenance/cleanness), and geographical juxtaposition (e.g., bus stops, presence of arterial). We found that multiple crime types had significant associations with CPTED components at the street level. Among the CPTED domains, two image/maintenance features (i.e., maintenance of streets and visual quality of buildings) and two geographical juxtaposition features (i.e., being adjacent to multi-family housing and bus stops) were consistently associated with both violent and property crime. The findings suggest that local efforts to improve maintenance of streets and visual quality of buildings and broader planning efforts to control specific land uses near schools are important to improve safety in marginalized neighborhoods near schools that tend to be more vulnerable to crime. Our research on micro-scale environmental determinants of crime can also serve as promising targets for CPTED research and initiatives.&quot;,&quot;publisher&quot;:&quot;Elsevier B.V.&quot;,&quot;volume&quot;:&quot;232&quot;},&quot;isTemporary&quot;:false}]},{&quot;citationID&quot;:&quot;MENDELEY_CITATION_75e7f3de-6aff-4715-bc9e-e966db063aa5&quot;,&quot;properties&quot;:{&quot;noteIndex&quot;:0},&quot;isEdited&quot;:false,&quot;manualOverride&quot;:{&quot;isManuallyOverridden&quot;:false,&quot;citeprocText&quot;:&quot;(Jauregui et al., 2025)&quot;,&quot;manualOverrideText&quot;:&quot;&quot;},&quot;citationTag&quot;:&quot;MENDELEY_CITATION_v3_eyJjaXRhdGlvbklEIjoiTUVOREVMRVlfQ0lUQVRJT05fNzVlN2YzZGUtNmFmZi00NzE1LWJjOWUtZTk2NmRiMDYzYWE1IiwicHJvcGVydGllcyI6eyJub3RlSW5kZXgiOjB9LCJpc0VkaXRlZCI6ZmFsc2UsIm1hbnVhbE92ZXJyaWRlIjp7ImlzTWFudWFsbHlPdmVycmlkZGVuIjpmYWxzZSwiY2l0ZXByb2NUZXh0IjoiKEphdXJlZ3VpIGV0IGFsLiwgMjAyNSkiLCJtYW51YWxPdmVycmlkZVRleHQiOiIifSwiY2l0YXRpb25JdGVtcyI6W3siaWQiOiIzMmZlMjA0OS03NjA4LTMzODgtOGZkMy1mM2M2ZWUxNDhlMTkiLCJpdGVtRGF0YSI6eyJ0eXBlIjoiYXJ0aWNsZS1qb3VybmFsIiwiaWQiOiIzMmZlMjA0OS03NjA4LTMzODgtOGZkMy1mM2M2ZWUxNDhlMTkiLCJ0aXRsZSI6IldvbWVuJ3MgU2FmZXR5IFBlcmNlcHRpb24gQmVmb3JlIGFuZCBBZnRlciB0aGUgUmVjb25zdHJ1Y3Rpb24gb2YgYW4gVXJiYW4gQXJlYTogQSBNaXhlZC1NZXRob2QgUmVzZWFyY2giLCJhdXRob3IiOlt7ImZhbWlseSI6IkphdXJlZ3VpIiwiZ2l2ZW4iOiJDYXJsb3RhIiwicGFyc2UtbmFtZXMiOmZhbHNlLCJkcm9wcGluZy1wYXJ0aWNsZSI6IiIsIm5vbi1kcm9wcGluZy1wYXJ0aWNsZSI6IiJ9LHsiZmFtaWx5IjoiVHJpbmlkYWQiLCJnaXZlbiI6IkFsZXhhbmRlciIsInBhcnNlLW5hbWVzIjpmYWxzZSwiZHJvcHBpbmctcGFydGljbGUiOiIiLCJub24tZHJvcHBpbmctcGFydGljbGUiOiIifSx7ImZhbWlseSI6IlZvem1lZGlhbm8iLCJnaXZlbiI6IkxhdXJhIiwicGFyc2UtbmFtZXMiOmZhbHNlLCJkcm9wcGluZy1wYXJ0aWNsZSI6IiIsIm5vbi1kcm9wcGluZy1wYXJ0aWNsZSI6IiJ9XSwiY29udGFpbmVyLXRpdGxlIjoiVmlvbGVuY2UgQWdhaW5zdCBXb21lbiIsImNvbnRhaW5lci10aXRsZS1zaG9ydCI6IlZpb2xlbmNlIEFnYWluc3QgV29tZW4iLCJET0kiOiIxMC4xMTc3LzEwNzc4MDEyMjUxMzYyMjI1IiwiSVNTTiI6IjE1NTI4NDQ4IiwiaXNzdWVkIjp7ImRhdGUtcGFydHMiOltbMjAyNSw3LDFdXX0sImFic3RyYWN0IjoiVGhpcyBzdHVkeSBleGFtaW5lcyB3b21lbidzIHBlcmNlcHRpb25zIG9mIHNhZmV0eSBpbiBhIGhpZ2gtcmlzayBhcmVhIHVuZGVyZ29pbmcgdXJiYW4gcmVkZXNpZ24uIFVzaW5nIGEgbWl4ZWQtbWV0aG9kIGFwcHJvYWNo4oCUc3lzdGVtYXRpYyBvYnNlcnZhdGlvbiwgc3VydmV5cywgYW5kIHNhZmV0eSB3YWxrcyBiZWZvcmUgYW5kIGFmdGVyIHRoZSBpbnRlcnZlbnRpb27igJRpdCBleHBsb3JlcyBob3cgdGhlIGJ1aWx0IGVudmlyb25tZW50IGluZmx1ZW5jZXMgZmVlbGluZ3Mgb2YgaW5zZWN1cml0eS4gR3JvdW5kZWQgaW4gQ3JpbWUgUHJldmVudGlvbiBUaHJvdWdoIEVudmlyb25tZW50YWwgRGVzaWduLCB0aGUgcmVzZWFyY2ggaW50ZWdyYXRlcyBxdWFudGl0YXRpdmUgYW5kIHF1YWxpdGF0aXZlIGRhdGEgdG8gcHJvdmlkZSBhIGNvbXByZWhlbnNpdmUgdW5kZXJzdGFuZGluZyBvZiBzYWZldHkuIEl0IGhpZ2hsaWdodHMgdGhlIG9mdGVuLW92ZXJsb29rZWQgaXNzdWUgb2Ygd29tZW4ncyBzYWZldHkgaW4gcHVibGljIHNwYWNlcyBhbmQgb2ZmZXJzIGluc2lnaHRzIHRvIGd1aWRlIHVyYmFuIHBsYW5uZXJzIGFuZCBwb2xpY3ltYWtlcnMgaW4gY3JlYXRpbmcgaW5jbHVzaXZlLCBzYWZldHktZm9jdXNlZCBkZXNpZ24gc3RyYXRlZ2llcyB0aGF0IGVuaGFuY2Ugd2VsbC1iZWluZyBpbiBwdWJsaWMgZW52aXJvbm1lbnRzLiIsInB1Ymxpc2hlciI6IlNBR0UgUHVibGljYXRpb25zIEluYy4ifSwiaXNUZW1wb3JhcnkiOmZhbHNlLCJzdXBwcmVzcy1hdXRob3IiOmZhbHNlLCJjb21wb3NpdGUiOmZhbHNlLCJhdXRob3Itb25seSI6ZmFsc2V9XX0=&quot;,&quot;citationItems&quot;:[{&quot;id&quot;:&quot;32fe2049-7608-3388-8fd3-f3c6ee148e19&quot;,&quot;itemData&quot;:{&quot;type&quot;:&quot;article-journal&quot;,&quot;id&quot;:&quot;32fe2049-7608-3388-8fd3-f3c6ee148e19&quot;,&quot;title&quot;:&quot;Women's Safety Perception Before and After the Reconstruction of an Urban Area: A Mixed-Method Research&quot;,&quot;author&quot;:[{&quot;family&quot;:&quot;Jauregui&quot;,&quot;given&quot;:&quot;Carlota&quot;,&quot;parse-names&quot;:false,&quot;dropping-particle&quot;:&quot;&quot;,&quot;non-dropping-particle&quot;:&quot;&quot;},{&quot;family&quot;:&quot;Trinidad&quot;,&quot;given&quot;:&quot;Alexander&quot;,&quot;parse-names&quot;:false,&quot;dropping-particle&quot;:&quot;&quot;,&quot;non-dropping-particle&quot;:&quot;&quot;},{&quot;family&quot;:&quot;Vozmediano&quot;,&quot;given&quot;:&quot;Laura&quot;,&quot;parse-names&quot;:false,&quot;dropping-particle&quot;:&quot;&quot;,&quot;non-dropping-particle&quot;:&quot;&quot;}],&quot;container-title&quot;:&quot;Violence Against Women&quot;,&quot;container-title-short&quot;:&quot;Violence Against Women&quot;,&quot;DOI&quot;:&quot;10.1177/10778012251362225&quot;,&quot;ISSN&quot;:&quot;15528448&quot;,&quot;issued&quot;:{&quot;date-parts&quot;:[[2025,7,1]]},&quot;abstract&quot;:&quot;This study examines women's perceptions of safety in a high-risk area undergoing urban redesign. Using a mixed-method approach—systematic observation, surveys, and safety walks before and after the intervention—it explores how the built environment influences feelings of insecurity. Grounded in Crime Prevention Through Environmental Design, the research integrates quantitative and qualitative data to provide a comprehensive understanding of safety. It highlights the often-overlooked issue of women's safety in public spaces and offers insights to guide urban planners and policymakers in creating inclusive, safety-focused design strategies that enhance well-being in public environments.&quot;,&quot;publisher&quot;:&quot;SAGE Publications Inc.&quot;},&quot;isTemporary&quot;:false,&quot;suppress-author&quot;:false,&quot;composite&quot;:false,&quot;author-only&quot;:false}]},{&quot;citationID&quot;:&quot;MENDELEY_CITATION_a9c48546-377d-4023-92e9-02e7ae661a82&quot;,&quot;properties&quot;:{&quot;noteIndex&quot;:0},&quot;isEdited&quot;:false,&quot;manualOverride&quot;:{&quot;isManuallyOverridden&quot;:true,&quot;citeprocText&quot;:&quot;(Ewing &amp;#38; Cervero, 2010)&quot;,&quot;manualOverrideText&quot;:&quot;Ewing and Cervero, 2010&quot;},&quot;citationTag&quot;:&quot;MENDELEY_CITATION_v3_eyJjaXRhdGlvbklEIjoiTUVOREVMRVlfQ0lUQVRJT05fYTljNDg1NDYtMzc3ZC00MDIzLTkyZTktMDJlN2FlNjYxYTgyIiwicHJvcGVydGllcyI6eyJub3RlSW5kZXgiOjB9LCJpc0VkaXRlZCI6ZmFsc2UsIm1hbnVhbE92ZXJyaWRlIjp7ImlzTWFudWFsbHlPdmVycmlkZGVuIjp0cnVlLCJjaXRlcHJvY1RleHQiOiIoRXdpbmcgJiMzODsgQ2VydmVybywgMjAxMCkiLCJtYW51YWxPdmVycmlkZVRleHQiOiJFd2luZyBhbmQgQ2VydmVybywgMjAxMCJ9LCJjaXRhdGlvbkl0ZW1zIjpbeyJpZCI6IjM1NzUxZmFmLWI3NDAtM2MzNy05MDhiLTc4Mjc2ZDc0NDAzNiIsIml0ZW1EYXRhIjp7InR5cGUiOiJhcnRpY2xlLWpvdXJuYWwiLCJpZCI6IjM1NzUxZmFmLWI3NDAtM2MzNy05MDhiLTc4Mjc2ZDc0NDAzNiIsInRpdGxlIjoiVHJhdmVsIGFuZCB0aGUgQnVpbHQgRW52aXJvbm1lbnQiLCJhdXRob3IiOlt7ImZhbWlseSI6IkV3aW5nIiwiZ2l2ZW4iOiJSZWlkIiwicGFyc2UtbmFtZXMiOmZhbHNlLCJkcm9wcGluZy1wYXJ0aWNsZSI6IiIsIm5vbi1kcm9wcGluZy1wYXJ0aWNsZSI6IiJ9LHsiZmFtaWx5IjoiQ2VydmVybyIsImdpdmVuIjoiUm9iZXJ0IiwicGFyc2UtbmFtZXMiOmZhbHNlLCJkcm9wcGluZy1wYXJ0aWNsZSI6IiIsIm5vbi1kcm9wcGluZy1wYXJ0aWNsZSI6IiJ9XSwiY29udGFpbmVyLXRpdGxlIjoiSm91cm5hbCBvZiB0aGUgQW1lcmljYW4gUGxhbm5pbmcgQXNzb2NpYXRpb24iLCJhY2Nlc3NlZCI6eyJkYXRlLXBhcnRzIjpbWzIwMjYsNCwxXV19LCJET0kiOiIxMC4xMDgwLzAxOTQ0MzYxMDAzNzY2NzY2IiwiSVNTTiI6IjAxOTQ0MzYzIiwiVVJMIjoiaHR0cHM6Ly9zY2hvbGFyLmdvb2dsZS5jb20vc2Nob2xhcl91cmw/dXJsPWh0dHBzOi8vd3d3LnRhbmRmb25saW5lLmNvbS9kb2kvcGRmLzEwLjEwODAvMDE5NDQzNjEwMDM3NjY3NjYlM0ZjYXNhX3Rva2VuJTNEVEk2NzlhOEZpMGNBQUFBQTp0UDJwNkRucktTb0tnV1lId1FXNDQ4aVFDZmVkQndDUXlua1BZeDVtb0k1Z0FLN2RGZlhhTHZJMk5qT0VGLXJyNlp4NmVBR2R1S2ZjJmhsPWVuJnNhPVQmb2k9dWNhc2EmY3Q9dWNhc2EmZWk9X3dET2FkQzdPSnJVaWVvUDA5TFRxQTAmc2Npc2lnPUFEaTBFRVVGQjRiLTlKNUM3Tlh2bFhOY2l2aGMiLCJpc3N1ZWQiOnsiZGF0ZS1wYXJ0cyI6W1syMDEwLDZdXX0sInBhZ2UiOiIyNjUtMjk0IiwiYWJzdHJhY3QiOiJTb21lIG9mIHRvZGF5J3MgbW9zdCB2ZXhpbmcgcHJvYmxlbXMsIGluY2x1ZGluZyBzcHJhd2wsIGNvbmdlc3Rpb24sIG9pbCBkZXBlbmRlbmNlLCBhbmQgY2xpbWF0ZSBjaGFuZ2UsIGFyZSBwcm9tcHRpbmcgc3RhdGVzIGFuZCBsb2NhbGl0aWVzIHRvIHR1cm4gdG8gbGFuZCBwbGFubmluZyBhbmQgdXJiYW4gZGVzaWduIHRvIHJlaW4gaW4gYXV0by4uLiIsInB1Ymxpc2hlciI6IlRheWxvciAmIEZyYW5jaXMgR3JvdXAiLCJpc3N1ZSI6IjMiLCJ2b2x1bWUiOiI3NiIsImNvbnRhaW5lci10aXRsZS1zaG9ydCI6IiJ9LCJpc1RlbXBvcmFyeSI6ZmFsc2UsInN1cHByZXNzLWF1dGhvciI6ZmFsc2UsImNvbXBvc2l0ZSI6ZmFsc2UsImF1dGhvci1vbmx5IjpmYWxzZX1dfQ==&quot;,&quot;citationItems&quot;:[{&quot;id&quot;:&quot;35751faf-b740-3c37-908b-78276d744036&quot;,&quot;itemData&quot;:{&quot;type&quot;:&quot;article-journal&quot;,&quot;id&quot;:&quot;35751faf-b740-3c37-908b-78276d744036&quot;,&quot;title&quot;:&quot;Travel and the Built Environment&quot;,&quot;author&quot;:[{&quot;family&quot;:&quot;Ewing&quot;,&quot;given&quot;:&quot;Reid&quot;,&quot;parse-names&quot;:false,&quot;dropping-particle&quot;:&quot;&quot;,&quot;non-dropping-particle&quot;:&quot;&quot;},{&quot;family&quot;:&quot;Cervero&quot;,&quot;given&quot;:&quot;Robert&quot;,&quot;parse-names&quot;:false,&quot;dropping-particle&quot;:&quot;&quot;,&quot;non-dropping-particle&quot;:&quot;&quot;}],&quot;container-title&quot;:&quot;Journal of the American Planning Association&quot;,&quot;accessed&quot;:{&quot;date-parts&quot;:[[2026,4,1]]},&quot;DOI&quot;:&quot;10.1080/01944361003766766&quot;,&quot;ISSN&quot;:&quot;01944363&quot;,&quot;URL&quot;:&quot;https://scholar.google.com/scholar_url?url=https://www.tandfonline.com/doi/pdf/10.1080/01944361003766766%3Fcasa_token%3DTI679a8Fi0cAAAAA:tP2p6DnrKSoKgWYHwQW448iQCfedBwCQynkPYx5moI5gAK7dFfXaLvI2NjOEF-rr6Zx6eAGduKfc&amp;hl=en&amp;sa=T&amp;oi=ucasa&amp;ct=ucasa&amp;ei=_wDOadC7OJrUieoP09LTqA0&amp;scisig=ADi0EEUFB4b-9J5C7NXvlXNcivhc&quot;,&quot;issued&quot;:{&quot;date-parts&quot;:[[2010,6]]},&quot;page&quot;:&quot;265-294&quot;,&quot;abstract&quot;:&quot;Some of today's most vexing problems, including sprawl, congestion, oil dependence, and climate change, are prompting states and localities to turn to land planning and urban design to rein in auto...&quot;,&quot;publisher&quot;:&quot;Taylor &amp; Francis Group&quot;,&quot;issue&quot;:&quot;3&quot;,&quot;volume&quot;:&quot;76&quot;,&quot;container-title-short&quot;:&quot;&quot;},&quot;isTemporary&quot;:false,&quot;suppress-author&quot;:false,&quot;composite&quot;:false,&quot;author-only&quot;:false}]},{&quot;citationID&quot;:&quot;MENDELEY_CITATION_01fba178-ba70-4045-8f0c-d4119adfc9f8&quot;,&quot;properties&quot;:{&quot;noteIndex&quot;:0},&quot;isEdited&quot;:false,&quot;manualOverride&quot;:{&quot;isManuallyOverridden&quot;:true,&quot;citeprocText&quot;:&quot;(Tuffour et al., 2025)&quot;,&quot;manualOverrideText&quot;:&quot;Tuffour et al., 2025&quot;},&quot;citationTag&quot;:&quot;MENDELEY_CITATION_v3_eyJjaXRhdGlvbklEIjoiTUVOREVMRVlfQ0lUQVRJT05fMDFmYmExNzgtYmE3MC00MDQ1LThmMGMtZDQxMTlhZGZjOWY4IiwicHJvcGVydGllcyI6eyJub3RlSW5kZXgiOjB9LCJpc0VkaXRlZCI6ZmFsc2UsIm1hbnVhbE92ZXJyaWRlIjp7ImlzTWFudWFsbHlPdmVycmlkZGVuIjp0cnVlLCJjaXRlcHJvY1RleHQiOiIoVHVmZm91ciBldCBhbC4sIDIwMjUpIiwibWFudWFsT3ZlcnJpZGVUZXh0IjoiVHVmZm91ciBldCBhbC4sIDIwMjUifSwiY2l0YXRpb25JdGVtcyI6W3siaWQiOiJlOWRjY2RiYi0xZTRmLTM5ZDctYWZkMy1kYzg1NTc5YTQ4ZTkiLCJpdGVtRGF0YSI6eyJ0eXBlIjoiYXJ0aWNsZS1qb3VybmFsIiwiaWQiOiJlOWRjY2RiYi0xZTRmLTM5ZDctYWZkMy1kYzg1NTc5YTQ4ZTkiLCJ0aXRsZSI6IkRvIG1peGVkLXVzZSBkZXZlbG9wbWVudHMgb3B0aW1pemUgVk1UIGFuZCBlbWlzc2lvbnMgcmVkdWN0aW9uPyBFdmlkZW5jZSBmcm9tIDM2IHJlZ2lvbnMiLCJhdXRob3IiOlt7ImZhbWlseSI6IlR1ZmZvdXIiLCJnaXZlbiI6Ikp1c3RpY2UgUC4iLCJwYXJzZS1uYW1lcyI6ZmFsc2UsImRyb3BwaW5nLXBhcnRpY2xlIjoiIiwibm9uLWRyb3BwaW5nLXBhcnRpY2xlIjoiIn0seyJmYW1pbHkiOiJFd2luZyIsImdpdmVuIjoiUmVpZCIsInBhcnNlLW5hbWVzIjpmYWxzZSwiZHJvcHBpbmctcGFydGljbGUiOiIiLCJub24tZHJvcHBpbmctcGFydGljbGUiOiIifSx7ImZhbWlseSI6IkJyZXdlciIsImdpdmVuIjoiU2ltb24iLCJwYXJzZS1uYW1lcyI6ZmFsc2UsImRyb3BwaW5nLXBhcnRpY2xlIjoiIiwibm9uLWRyb3BwaW5nLXBhcnRpY2xlIjoiIn0seyJmYW1pbHkiOiJUaWFuIiwiZ2l2ZW4iOiJHdWFuZyIsInBhcnNlLW5hbWVzIjpmYWxzZSwiZHJvcHBpbmctcGFydGljbGUiOiIiLCJub24tZHJvcHBpbmctcGFydGljbGUiOiIifV0sImNvbnRhaW5lci10aXRsZSI6IlRyYW5zcG9ydGF0aW9uIFJlc2VhcmNoIFBhcnQgRDogVHJhbnNwb3J0IGFuZCBFbnZpcm9ubWVudCIsImNvbnRhaW5lci10aXRsZS1zaG9ydCI6IlRyYW5zcC4gUmVzLiBEIFRyYW5zcC4gRW52aXJvbi4iLCJET0kiOiIxMC4xMDE2L2oudHJkLjIwMjUuMTA0OTQ0IiwiSVNTTiI6IjEzNjE5MjA5IiwiaXNzdWVkIjp7ImRhdGUtcGFydHMiOltbMjAyNSwxMCwxXV19LCJhYnN0cmFjdCI6Ik1peGVkLXVzZSBkZXZlbG9wbWVudHMgKE1YRHMpIGhhdmUgZG92ZXRhaWxlZCBuaWNlbHkgYXMgYSBkZXZlbG9wbWVudCBkZXNpZ24gc3RyYXRlZ3kgdG8gbG93ZXIgVk1UIGJ5IGNvbmNlbnRyYXRpbmcgZGl2ZXJzZSBhY3Rpdml0aWVzIHdpdGhpbiB3YWxrYWJsZSBjb21wYWN0IGVudmlyb25tZW50cy4gRGVzcGl0ZSB0aGVpciBjb25jZXB0dWFsIGFwcGVhbCwgZXN0aW1hdGluZyB0aGVpciBhY3R1YWwgaW1wYWN0cyBvbiB2ZWhpY2xlIHRyaXBzIGFuZCBlbnZpcm9ubWVudGFsIHF1YWxpdHkgcmVtYWlucyBib3RoIGxpbWl0ZWQgYW5kIGNoYWxsZW5naW5nIGZvciBhZ2VuY2llcyBhbmQgbG9jYWwgZ292ZXJubWVudHMgZHVlIHRvIGluY29uc2lzdGVuY2llcyBpbiBleGlzdGluZyB0cmFmZmljIGltcGFjdCBtZXRob2RvbG9naWVzLCB3aGljaCBmYWlsIHRvIGFjY291bnQgZm9yIHJlZ2lvbmFsIHZhcmlhYmlsaXR5LiBUaGlzIHN0dWR5IGFkZHJlc3NlcyB0aGVzZSBsaW1pdGF0aW9ucyBieSB1c2luZyBhZHZhbmNlZCBHYXVzc2lhbiBtdWx0aS1sZXZlbCByZWdyZXNzaW9uIG1vZGVscyBhbmQgSy1mb2xkIGNyb3NzLXZhbGlkYXRpb24sIGluY29ycG9yYXRpbmcgdGhlIGZhbW91cyA3LUQgYnVpbHQgZW52aXJvbm1lbnQgdmFyaWFibGVzIHRvIGVzdGltYXRlIGNvbXBhcmF0aXZlIFZNVCBhbmQgR0hHIGVtaXNzaW9ucyBhY3Jvc3MgNzEwIE1YRHMgaW4gMzYgVS5TLiByZWdpb25zLiBXZSBmaW5kIHRoYXQgTVhEcyBnZW5lcmF0ZSBhYm91dCBvbmUtdGhpcmQgbGVzcyBWTVQgdGhhbiBjb252ZW50aW9uYWwgZGV2ZWxvcG1lbnRzLCB3aXRoIHVwIHRvIGFuIDgwJSByZWR1Y3Rpb24gaW4gY2VydGFpbiByZWdpb25zLiBPdmVyIHRpbWUsIE1YRHMgZ2VuZXJhdGUgZXZlbiBmZXdlciB2ZWhpY2xlIHRyaXBzIChhYm91dCA1MCUgbGVzcykgYW5kIHNpZ25pZmljYW50bHkgbG93ZXIgQ08yZSwgc3VnZ2VzdGluZyBwb3NpdGl2ZSBpbXBhY3RzIG9uIGxlc3NlbmluZyBib3RoIHRyYWZmaWMgY29uZ2VzdGlvbiBhbmQgY2xpbWF0ZSBwb2xsdXRpb24gaW4gY2l0aWVzLiBPdXIgc3R1ZHkgcmVmaW5lcyB0aGUgbWV0aG9kb2xvZ3kgZm9yIGVzdGltYXRpbmcgZGV2ZWxvcG1lbnQtZ2VuZXJhdGVkIFZNVCB3aGlsZSBwcm92aWRpbmcgaW5zaWdodHMgZm9yIHNoYXBpbmcgbG93LWVtaXNzaW9uIGNvbW11bml0aWVzIHRoYXQgYWxpZ24gd2l0aCBtb2Rlcm4gc3VzdGFpbmFiaWxpdHkgZ29hbHMuIiwicHVibGlzaGVyIjoiRWxzZXZpZXIgTHRkIiwidm9sdW1lIjoiMTQ3In0sImlzVGVtcG9yYXJ5IjpmYWxzZSwic3VwcHJlc3MtYXV0aG9yIjpmYWxzZSwiY29tcG9zaXRlIjpmYWxzZSwiYXV0aG9yLW9ubHkiOmZhbHNlfV19&quot;,&quot;citationItems&quot;:[{&quot;id&quot;:&quot;e9dccdbb-1e4f-39d7-afd3-dc85579a48e9&quot;,&quot;itemData&quot;:{&quot;type&quot;:&quot;article-journal&quot;,&quot;id&quot;:&quot;e9dccdbb-1e4f-39d7-afd3-dc85579a48e9&quot;,&quot;title&quot;:&quot;Do mixed-use developments optimize VMT and emissions reduction? Evidence from 36 regions&quot;,&quot;author&quot;:[{&quot;family&quot;:&quot;Tuffour&quot;,&quot;given&quot;:&quot;Justice P.&quot;,&quot;parse-names&quot;:false,&quot;dropping-particle&quot;:&quot;&quot;,&quot;non-dropping-particle&quot;:&quot;&quot;},{&quot;family&quot;:&quot;Ewing&quot;,&quot;given&quot;:&quot;Reid&quot;,&quot;parse-names&quot;:false,&quot;dropping-particle&quot;:&quot;&quot;,&quot;non-dropping-particle&quot;:&quot;&quot;},{&quot;family&quot;:&quot;Brewer&quot;,&quot;given&quot;:&quot;Simon&quot;,&quot;parse-names&quot;:false,&quot;dropping-particle&quot;:&quot;&quot;,&quot;non-dropping-particle&quot;:&quot;&quot;},{&quot;family&quot;:&quot;Tian&quot;,&quot;given&quot;:&quot;Guang&quot;,&quot;parse-names&quot;:false,&quot;dropping-particle&quot;:&quot;&quot;,&quot;non-dropping-particle&quot;:&quot;&quot;}],&quot;container-title&quot;:&quot;Transportation Research Part D: Transport and Environment&quot;,&quot;container-title-short&quot;:&quot;Transp. Res. D Transp. Environ.&quot;,&quot;DOI&quot;:&quot;10.1016/j.trd.2025.104944&quot;,&quot;ISSN&quot;:&quot;13619209&quot;,&quot;issued&quot;:{&quot;date-parts&quot;:[[2025,10,1]]},&quot;abstract&quot;:&quot;Mixed-use developments (MXDs) have dovetailed nicely as a development design strategy to lower VMT by concentrating diverse activities within walkable compact environments. Despite their conceptual appeal, estimating their actual impacts on vehicle trips and environmental quality remains both limited and challenging for agencies and local governments due to inconsistencies in existing traffic impact methodologies, which fail to account for regional variability. This study addresses these limitations by using advanced Gaussian multi-level regression models and K-fold cross-validation, incorporating the famous 7-D built environment variables to estimate comparative VMT and GHG emissions across 710 MXDs in 36 U.S. regions. We find that MXDs generate about one-third less VMT than conventional developments, with up to an 80% reduction in certain regions. Over time, MXDs generate even fewer vehicle trips (about 50% less) and significantly lower CO2e, suggesting positive impacts on lessening both traffic congestion and climate pollution in cities. Our study refines the methodology for estimating development-generated VMT while providing insights for shaping low-emission communities that align with modern sustainability goals.&quot;,&quot;publisher&quot;:&quot;Elsevier Ltd&quot;,&quot;volume&quot;:&quot;147&quot;},&quot;isTemporary&quot;:false,&quot;suppress-author&quot;:false,&quot;composite&quot;:false,&quot;author-only&quot;:false}]},{&quot;citationID&quot;:&quot;MENDELEY_CITATION_885430af-6b17-40bd-826d-e15af461af28&quot;,&quot;properties&quot;:{&quot;noteIndex&quot;:0},&quot;isEdited&quot;:false,&quot;manualOverride&quot;:{&quot;isManuallyOverridden&quot;:false,&quot;citeprocText&quot;:&quot;(Johnson et al., 2023; Meng et al., 2025)&quot;,&quot;manualOverrideText&quot;:&quot;&quot;},&quot;citationTag&quot;:&quot;MENDELEY_CITATION_v3_eyJjaXRhdGlvbklEIjoiTUVOREVMRVlfQ0lUQVRJT05fODg1NDMwYWYtNmIxNy00MGJkLTgyNmQtZTE1YWY0NjFhZjI4IiwicHJvcGVydGllcyI6eyJub3RlSW5kZXgiOjB9LCJpc0VkaXRlZCI6ZmFsc2UsIm1hbnVhbE92ZXJyaWRlIjp7ImlzTWFudWFsbHlPdmVycmlkZGVuIjpmYWxzZSwiY2l0ZXByb2NUZXh0IjoiKEpvaG5zb24gZXQgYWwuLCAyMDIzOyBNZW5nIGV0IGFsLiwgMjAyNSkiLCJtYW51YWxPdmVycmlkZVRleHQiOiIifSwiY2l0YXRpb25JdGVtcyI6W3siaWQiOiIzYTc3YTY1Yy0wOTFiLTM5OTUtYTBkZS1mOWE1YzQ5NzM5MmYiLCJpdGVtRGF0YSI6eyJ0eXBlIjoiYXJ0aWNsZS1qb3VybmFsIiwiaWQiOiIzYTc3YTY1Yy0wOTFiLTM5OTUtYTBkZS1mOWE1YzQ5NzM5MmYiLCJ0aXRsZSI6IkltcGFjdHMgb2YgZS1iaWtlIG93bmVyc2hpcCBvbiB0cmF2ZWwgYmVoYXZpb3I6IEV2aWRlbmNlIGZyb20gdGhyZWUgbm9ydGhlcm4gQ2FsaWZvcm5pYSByZWJhdGUgcHJvZ3JhbXMiLCJhdXRob3IiOlt7ImZhbWlseSI6IkpvaG5zb24iLCJnaXZlbiI6Ik5pY2hvbGFzIiwicGFyc2UtbmFtZXMiOmZhbHNlLCJkcm9wcGluZy1wYXJ0aWNsZSI6IiIsIm5vbi1kcm9wcGluZy1wYXJ0aWNsZSI6IiJ9LHsiZmFtaWx5IjoiRml0Y2gtUG9sc2UiLCJnaXZlbiI6IkRpbGxvbiBULiIsInBhcnNlLW5hbWVzIjpmYWxzZSwiZHJvcHBpbmctcGFydGljbGUiOiIiLCJub24tZHJvcHBpbmctcGFydGljbGUiOiIifSx7ImZhbWlseSI6IkhhbmR5IiwiZ2l2ZW4iOiJTdXNhbiBMLiIsInBhcnNlLW5hbWVzIjpmYWxzZSwiZHJvcHBpbmctcGFydGljbGUiOiIiLCJub24tZHJvcHBpbmctcGFydGljbGUiOiIifV0sImNvbnRhaW5lci10aXRsZSI6IlRyYW5zcG9ydCBQb2xpY3kiLCJjb250YWluZXItdGl0bGUtc2hvcnQiOiJUcmFuc3AuIFBvbGljeSAoT3hmKS4iLCJET0kiOiIxMC4xMDE2L2oudHJhbnBvbC4yMDIzLjA2LjAxNCIsIklTU04iOiIxODc5MzEwWCIsImlzc3VlZCI6eyJkYXRlLXBhcnRzIjpbWzIwMjMsOSwxXV19LCJwYWdlIjoiMTYzLTE3NCIsImFic3RyYWN0IjoiRS1iaWtlIGluY2VudGl2ZSBwcm9ncmFtcyBhcmUgYmVpbmcgdXRpbGl6ZWQgYWNyb3NzIHRoZSBVbml0ZWQgU3RhdGVzIHRvIGVuY291cmFnZSB0aGUgYWRvcHRpb24gb2YgYWN0aXZlIG1vZGVzIG9mIHRyYXZlbC4gVGhpcyBzdHVkeSBhc3Nlc3NlcyB0aGUgaW1wYWN0cyBvZiB0aHJlZSBlLWJpa2UgcmViYXRlIHByb2dyYW1zIGluIE5vcnRoZXJuIENhbGlmb3JuaWEgdXNpbmcgZGF0YSBmcm9tIHN1cnZleXMgb2YgcmViYXRlIHJlY2lwaWVudHMuIFdlIGFuc3dlciB0aHJlZSByZXNlYXJjaCBxdWVzdGlvbnM6IGhvdyBoYXMgZS1iaWtlIG93bmVyc2hpcCBpbXBhY3RlZCB0aGUgbW9kZSBjaG9pY2VzLCB0cmlwIHB1cnBvc2UsIGFuZCB0cmF2ZWwgZnJlcXVlbmN5IG9mIG5ldyBhZG9wdGVycz87IGhvdyBtdWNoIGRvIGUtYmlrZSByZWJhdGUgcmVjaXBpZW50cyByZWR1Y2UgdGhlaXIgdHJhbnNwb3J0YXRpb24tcmVsYXRlZCBHSEcgZW1pc3Npb25zPzsgaG93IGRpZCB0aGUgZGVzaWduIG9mIGVhY2ggcHJvZ3JhbSBpbXBhY3Qgd2hvIHdhcyBhYmxlIHRvIHBhcnRpY2lwYXRlIGFuZCB0aGUgcHJvZ3JhbSBvdXRjb21lcz8gVGhlIGFuYWx5c2lzIHJldmVhbHMgY2hhbmdlcyBpbiB0cmF2ZWwgYmVoYXZpb3IgYW5kIHRoZSByZXBsYWNlbWVudCBvZiBjYXIgdHJhdmVsLCBhcyB3ZWxsIGFzIHZhcmlhdGlvbiBpbiBvdXRjb21lcyBieSBwcm9ncmFtIGRlc2lnbi4gRS1iaWtlIHJlY2lwaWVudHMgcmVwb3J0ZWQgbW9yZSByZWd1bGFyIGJpa2UgdXNlIGFmdGVyIGdldHRpbmcgdGhlaXIgZS1iaWtlLCBhbHRob3VnaCB0aGVpciBmcmVxdWVuY3kgb2YgYmljeWNsZSB1c2UgZGVjbGluZWQgb3ZlciB0aW1lLiBNb3N0IHJlc3BvbmRlbnRzIGFsc28gcmVwb3J0ZWQgcmVwbGFjaW5nIGNhciB0cmlwcyB3aXRoIHRoZWlyIGUtYmlrZXMgc29tZXdoYXQgcmVndWxhcmx5ICgx4oCTMyB0aW1lcyBwZXIgd2VlayBhbmQgMeKAkzMgdGltZXMgcGVyIG1vbnRoKS4gSG93ZXZlciwgbWFueSBvZiB0aGVzZSBzYW1lIHJlc3BvbmRlbnRzIHJlcG9ydGVkIHRoYXQgdGhleSB1c2VkIHRoZWlyIGUtYmlrZXMgbW9zdCBvZnRlbiBmb3IgcmVjcmVhdGlvbmFsIHRyYXZlbC4gV2UgZXN0aW1hdGVkIGEgbW9udGhseSByZWR1Y3Rpb24gb2YgMTLigJM0NCBrZyBvZiBDTzIgcGVyIHJlYmF0ZSBwYXJ0aWNpcGFudCwgc2ltaWxhciB0byB0aGUgR0hHIGVtaXNzaW9ucyByZWR1Y3Rpb25zIG9ic2VydmVkIGluIHBhc3Qgc3R1ZGllcy4gVGhlIHByb2dyYW0gd2l0aCB0aGUgbGFyZ2VyIHJlYmF0ZSBhbmQgc3Ryb25nZXIgbG93LWluY29tZSByZXF1aXJlbWVudHMgc3VjY2Vzc2Z1bGx5IHJlYWNoZWQgdGhvc2UgbW9zdCBpbiBuZWVkIG9mIGZpbmFuY2lhbCBhc3Npc3RhbmNlIChhcyBzZWxmLXJlcG9ydGVkKS4gSG93ZXZlciwgdGhvc2UgcmVxdWlyZW1lbnRzIGRpZCBub3QgcmVhY2ggYSBkaXZlcnNlIHJlY2lwaWVudCBwb29sIGJ5IG90aGVyIG1ldHJpY3MgKGUuZy4sIGdlbmRlciwgcmFjZSkuIiwicHVibGlzaGVyIjoiRWxzZXZpZXIgTHRkIiwidm9sdW1lIjoiMTQwIn0sImlzVGVtcG9yYXJ5IjpmYWxzZX0seyJpZCI6IjMwZmE4NDFhLWM5NGYtM2Y3YS05MzRkLTA1NDRhYTJhNmI1OSIsIml0ZW1EYXRhIjp7InR5cGUiOiJhcnRpY2xlLWpvdXJuYWwiLCJpZCI6IjMwZmE4NDFhLWM5NGYtM2Y3YS05MzRkLTA1NDRhYTJhNmI1OSIsInRpdGxlIjoiUHVyY2hhc2UgcHJvY2VzcywgdHJhdmVsIGJlaGF2aW9yLCBhbmQgZXF1aXR5IGltcGxpY2F0aW9ucyBvZiBlLWJpa2UgcmViYXRlcyBpbiBFdWdlbmUsIE9yZWdvbiIsImF1dGhvciI6W3siZmFtaWx5IjoiTWVuZyIsImdpdmVuIjoiU2lhbiIsInBhcnNlLW5hbWVzIjpmYWxzZSwiZHJvcHBpbmctcGFydGljbGUiOiIiLCJub24tZHJvcHBpbmctcGFydGljbGUiOiIifSx7ImZhbWlseSI6IkJyb3duIiwiZ2l2ZW4iOiJBbm5lIiwicGFyc2UtbmFtZXMiOmZhbHNlLCJkcm9wcGluZy1wYXJ0aWNsZSI6IiIsIm5vbi1kcm9wcGluZy1wYXJ0aWNsZSI6IiJ9LHsiZmFtaWx5IjoiU2NobG9zc2JlcmciLCJnaXZlbiI6Ik1hcmMiLCJwYXJzZS1uYW1lcyI6ZmFsc2UsImRyb3BwaW5nLXBhcnRpY2xlIjoiIiwibm9uLWRyb3BwaW5nLXBhcnRpY2xlIjoiIn1dLCJjb250YWluZXItdGl0bGUiOiJDYXNlIFN0dWRpZXMgb24gVHJhbnNwb3J0IFBvbGljeSIsImNvbnRhaW5lci10aXRsZS1zaG9ydCI6IkNhc2UgU3R1ZC4gVHJhbnNwLiBQb2xpY3kiLCJET0kiOiIxMC4xMDE2L2ouY3N0cC4yMDI1LjEwMTU5NCIsIklTU04iOiIyMjEzNjI1OCIsImlzc3VlZCI6eyJkYXRlLXBhcnRzIjpbWzIwMjUsMTIsMV1dfSwiYWJzdHJhY3QiOiJFbGVjdHJpYyBiaWN5Y2xlcywgb3IgZS1iaWtlcywgb2ZmZXIgYSB0cmFuc2Zvcm1hdGl2ZSwgZXF1aXRhYmxlLCBhbmQgZWNvLWZyaWVuZGx5IHVyYmFuIHRyYW5zcG9ydGF0aW9uIHNvbHV0aW9uLiBUbyBlbmNvdXJhZ2UgZS1iaWtlIGFkb3B0aW9uLCBtYW55IG9yZ2FuaXphdGlvbnMgYW5kIGdvdmVybm1lbnRzIHByb3ZpZGUgaW5jZW50aXZlIHByb2dyYW1zLCBzdWNoIGFzIHJlYmF0ZXMsIHRvIGRlZnJheSBwdXJjaGFzZSBjb3N0cy4gRGVzcGl0ZSB0aGUgcmlzZSBvZiB0aGVzZSByZWJhdGUgcHJvZ3JhbXMsIHRoZWlyIGltcGFjdCBvbiBwdXJjaGFzZSBkZWNpc2lvbnMgYW5kIHRyYXZlbCBiZWhhdmlvcnMgcmVtYWlucyBsYXJnZWx5IHVuZXZhbHVhdGVkLiBUaGlzIHBhcGVyIGV4YW1pbmVzIGFuIGUtYmlrZSByZWJhdGUgcHJvZ3JhbSBhZG1pbmlzdGVyZWQgaW4gRXVnZW5lLCBPcmVnb24sIHdoZXJlIHRoZSBwdWJsaWMgdXRpbGl0eSBiZWdhbiBvZmZlcmluZyAkMzAwIGUtYmlrZSByZWJhdGVzIGluIEFwcmlsIDIwMjIuIFNwZWNpZmljYWxseSwgd2UgY29sbGVjdGVkIG9ubGluZSBzdXJ2ZXkgcmVzcG9uc2VzIGZyb20gMzI0IHJlYmF0ZSByZWNpcGllbnRzIGFuZCBlbXBsb3llZCBkZXNjcmlwdGl2ZSBhbmQgbWl4ZWQgb3JkaW5hbCBsb2dpc3RpYyByZWdyZXNzaW9uIGFuYWx5c2VzIHRvIGludmVzdGlnYXRlIHBhcnRpY2lwYW50c+KAmSBjaGFyYWN0ZXJpc3RpY3MsIHRoZSByZWJhdGUncyByb2xlIGluIHRoZSBwdXJjaGFzZSBwcm9jZXNzLCBhbmQgZS1iaWtlIHVzZS4gTW9zdCBwYXJ0aWNpcGFudHMgdXNlIGUtYmlrZXMgdG8gcmVwbGFjZSBjYXIgdHJpcHMsIHNpZ25pZnlpbmcgdGhlIHBvdGVudGlhbCBvZiBlLWJpa2VzIHRvIHJlZHVjZSBhdXRvIGRlcGVuZGVuY2UgYW5kIGFkdmFuY2UgbW9kZSBzaGlmdCBhbmQgY2xpbWF0ZSBnb2Fscy4gVGhlIHN0dWR5IGFsc28gaWRlbnRpZmllcyBob3cgYWdlLCBlLWJpa2UgY29zdCwgYW5kIGNhciBvd25lcnNoaXAgc2hhcGVkIHBhcnRpY2lwYW50c+KAmSBwZXJjZXB0aW9ucyBvZiB0aGUgcmViYXRlJ3MgaW1wYWN0IG9uIHB1cmNoYXNlIGJlaGF2aW9ycy4gUGVvcGxlIHdobyBhcmUgeW91bmcsIG1hbGUsIGVhcm4gbG93IGluY29tZXMsIHByZXZpb3VzbHkgb3duZWQgbm9uLWVsZWN0cmljIGJpY3ljbGVzLCBhbmQgaG9sZCBncmFkdWF0ZSBkZWdyZWVzIHJpZGUgdGhlaXIgZS1iaWtlcyBtb3JlIGZyZXF1ZW50bHkgdGhhbiBvdGhlciByZWJhdGUgcmVjaXBpZW50cy4gWWV0IHJlc3VsdHMgYWxzbyBzaG93IHRoYXQgZS1iaWtlIHJlYmF0ZSByZWNpcGllbnRzIGFyZSBkaXNwcm9wb3J0aW9uYXRlbHkgbWFsZSwgV2hpdGUsIGhpZ2hlci1pbmNvbWUsIGFuZCBob2xkIGdyYWR1YXRlIGRlZ3JlZXMsIHN1Z2dlc3RpbmcgdGhhdCB0aGUgcmViYXRlJ3MgYmVuZWZpdHMgYXJlIG5vdCBldmVubHkgZGlzdHJpYnV0ZWQgYWNyb3NzIGRlbW9ncmFwaGljIGdyb3Vwcy4gVGhlc2UgZmluZGluZ3MgaW5mb3JtIHNwZWNpZmljIGFuZCBhY3Rpb25hYmxlIHBvbGljeSByZWNvbW1lbmRhdGlvbnMgdG8gYWRkcmVzcyB0aGUgaWRlbnRpZmllZCBlcXVpdHkgZ2Fwcywgc3VjaCBhcyBpbXBsZW1lbnRpbmcgdGllcmVkLCBpbmNvbWUtYmFzZWQsIGFuZCBwb2ludC1vZi1zYWxlIHJlYmF0ZXMuIFN1Y2ggY2hhbmdlcyBjYW4gZm9zdGVyIGEgbW9yZSBlcXVpdGFibGUgaW50ZWdyYXRpb24gb2YgZS1iaWtlcyBpbnRvIHRoZSBzdXN0YWluYWJsZSB1cmJhbiBtb2JpbGl0eSBzeXN0ZW0uIiwicHVibGlzaGVyIjoiRWxzZXZpZXIgTHRkIiwidm9sdW1lIjoiMjIifSwiaXNUZW1wb3JhcnkiOmZhbHNlfV19&quot;,&quot;citationItems&quot;:[{&quot;id&quot;:&quot;3a77a65c-091b-3995-a0de-f9a5c497392f&quot;,&quot;itemData&quot;:{&quot;type&quot;:&quot;article-journal&quot;,&quot;id&quot;:&quot;3a77a65c-091b-3995-a0de-f9a5c497392f&quot;,&quot;title&quot;:&quot;Impacts of e-bike ownership on travel behavior: Evidence from three northern California rebate programs&quot;,&quot;author&quot;:[{&quot;family&quot;:&quot;Johnson&quot;,&quot;given&quot;:&quot;Nicholas&quot;,&quot;parse-names&quot;:false,&quot;dropping-particle&quot;:&quot;&quot;,&quot;non-dropping-particle&quot;:&quot;&quot;},{&quot;family&quot;:&quot;Fitch-Polse&quot;,&quot;given&quot;:&quot;Dillon T.&quot;,&quot;parse-names&quot;:false,&quot;dropping-particle&quot;:&quot;&quot;,&quot;non-dropping-particle&quot;:&quot;&quot;},{&quot;family&quot;:&quot;Handy&quot;,&quot;given&quot;:&quot;Susan L.&quot;,&quot;parse-names&quot;:false,&quot;dropping-particle&quot;:&quot;&quot;,&quot;non-dropping-particle&quot;:&quot;&quot;}],&quot;container-title&quot;:&quot;Transport Policy&quot;,&quot;container-title-short&quot;:&quot;Transp. Policy (Oxf).&quot;,&quot;DOI&quot;:&quot;10.1016/j.tranpol.2023.06.014&quot;,&quot;ISSN&quot;:&quot;1879310X&quot;,&quot;issued&quot;:{&quot;date-parts&quot;:[[2023,9,1]]},&quot;page&quot;:&quot;163-174&quot;,&quot;abstract&quot;:&quot;E-bike incentive programs are being utilized across the United States to encourage the adoption of active modes of travel. This study assesses the impacts of three e-bike rebate programs in Northern California using data from surveys of rebate recipients. We answer three research questions: how has e-bike ownership impacted the mode choices, trip purpose, and travel frequency of new adopters?; how much do e-bike rebate recipients reduce their transportation-related GHG emissions?; how did the design of each program impact who was able to participate and the program outcomes? The analysis reveals changes in travel behavior and the replacement of car travel, as well as variation in outcomes by program design. E-bike recipients reported more regular bike use after getting their e-bike, although their frequency of bicycle use declined over time. Most respondents also reported replacing car trips with their e-bikes somewhat regularly (1–3 times per week and 1–3 times per month). However, many of these same respondents reported that they used their e-bikes most often for recreational travel. We estimated a monthly reduction of 12–44 kg of CO2 per rebate participant, similar to the GHG emissions reductions observed in past studies. The program with the larger rebate and stronger low-income requirements successfully reached those most in need of financial assistance (as self-reported). However, those requirements did not reach a diverse recipient pool by other metrics (e.g., gender, race).&quot;,&quot;publisher&quot;:&quot;Elsevier Ltd&quot;,&quot;volume&quot;:&quot;140&quot;},&quot;isTemporary&quot;:false},{&quot;id&quot;:&quot;30fa841a-c94f-3f7a-934d-0544aa2a6b59&quot;,&quot;itemData&quot;:{&quot;type&quot;:&quot;article-journal&quot;,&quot;id&quot;:&quot;30fa841a-c94f-3f7a-934d-0544aa2a6b59&quot;,&quot;title&quot;:&quot;Purchase process, travel behavior, and equity implications of e-bike rebates in Eugene, Oregon&quot;,&quot;author&quot;:[{&quot;family&quot;:&quot;Meng&quot;,&quot;given&quot;:&quot;Sian&quot;,&quot;parse-names&quot;:false,&quot;dropping-particle&quot;:&quot;&quot;,&quot;non-dropping-particle&quot;:&quot;&quot;},{&quot;family&quot;:&quot;Brown&quot;,&quot;given&quot;:&quot;Anne&quot;,&quot;parse-names&quot;:false,&quot;dropping-particle&quot;:&quot;&quot;,&quot;non-dropping-particle&quot;:&quot;&quot;},{&quot;family&quot;:&quot;Schlossberg&quot;,&quot;given&quot;:&quot;Marc&quot;,&quot;parse-names&quot;:false,&quot;dropping-particle&quot;:&quot;&quot;,&quot;non-dropping-particle&quot;:&quot;&quot;}],&quot;container-title&quot;:&quot;Case Studies on Transport Policy&quot;,&quot;container-title-short&quot;:&quot;Case Stud. Transp. Policy&quot;,&quot;DOI&quot;:&quot;10.1016/j.cstp.2025.101594&quot;,&quot;ISSN&quot;:&quot;22136258&quot;,&quot;issued&quot;:{&quot;date-parts&quot;:[[2025,12,1]]},&quot;abstract&quot;:&quot;Electric bicycles, or e-bikes, offer a transformative, equitable, and eco-friendly urban transportation solution. To encourage e-bike adoption, many organizations and governments provide incentive programs, such as rebates, to defray purchase costs. Despite the rise of these rebate programs, their impact on purchase decisions and travel behaviors remains largely unevaluated. This paper examines an e-bike rebate program administered in Eugene, Oregon, where the public utility began offering $300 e-bike rebates in April 2022. Specifically, we collected online survey responses from 324 rebate recipients and employed descriptive and mixed ordinal logistic regression analyses to investigate participants’ characteristics, the rebate's role in the purchase process, and e-bike use. Most participants use e-bikes to replace car trips, signifying the potential of e-bikes to reduce auto dependence and advance mode shift and climate goals. The study also identifies how age, e-bike cost, and car ownership shaped participants’ perceptions of the rebate's impact on purchase behaviors. People who are young, male, earn low incomes, previously owned non-electric bicycles, and hold graduate degrees ride their e-bikes more frequently than other rebate recipients. Yet results also show that e-bike rebate recipients are disproportionately male, White, higher-income, and hold graduate degrees, suggesting that the rebate's benefits are not evenly distributed across demographic groups. These findings inform specific and actionable policy recommendations to address the identified equity gaps, such as implementing tiered, income-based, and point-of-sale rebates. Such changes can foster a more equitable integration of e-bikes into the sustainable urban mobility system.&quot;,&quot;publisher&quot;:&quot;Elsevier Ltd&quot;,&quot;volume&quot;:&quot;22&quot;},&quot;isTemporary&quot;:false}]},{&quot;citationID&quot;:&quot;MENDELEY_CITATION_e7ac71d6-3f4a-49f8-83f8-a4246a5f2c9f&quot;,&quot;properties&quot;:{&quot;noteIndex&quot;:0},&quot;isEdited&quot;:false,&quot;manualOverride&quot;:{&quot;isManuallyOverridden&quot;:false,&quot;citeprocText&quot;:&quot;(Bauman et al., 2016)&quot;,&quot;manualOverrideText&quot;:&quot;&quot;},&quot;citationTag&quot;:&quot;MENDELEY_CITATION_v3_eyJjaXRhdGlvbklEIjoiTUVOREVMRVlfQ0lUQVRJT05fZTdhYzcxZDYtM2Y0YS00OWY4LTgzZjgtYTQyNDZhNWYyYzlmIiwicHJvcGVydGllcyI6eyJub3RlSW5kZXgiOjB9LCJpc0VkaXRlZCI6ZmFsc2UsIm1hbnVhbE92ZXJyaWRlIjp7ImlzTWFudWFsbHlPdmVycmlkZGVuIjpmYWxzZSwiY2l0ZXByb2NUZXh0IjoiKEJhdW1hbiBldCBhbC4sIDIwMTYpIiwibWFudWFsT3ZlcnJpZGVUZXh0IjoiIn0sImNpdGF0aW9uSXRlbXMiOlt7ImlkIjoiYWZjN2RmOWYtYjVlNi0zYmM3LWE0MzItZDIyZDYyZDJmMDEzIiwiaXRlbURhdGEiOnsidHlwZSI6ImFydGljbGUiLCJpZCI6ImFmYzdkZjlmLWI1ZTYtM2JjNy1hNDMyLWQyMmQ2MmQyZjAxMyIsInRpdGxlIjoiVXBkYXRpbmcgdGhlIEV2aWRlbmNlIGZvciBQaHlzaWNhbCBBY3Rpdml0eTogU3VtbWF0aXZlIFJldmlld3Mgb2YgdGhlIEVwaWRlbWlvbG9naWNhbCBFdmlkZW5jZSwgUHJldmFsZW5jZSwgYW5kIEludGVydmVudGlvbnMgdG8gUHJvbW90ZSBcImFjdGl2ZSBBZ2luZ1wiIiwiYXV0aG9yIjpbeyJmYW1pbHkiOiJCYXVtYW4iLCJnaXZlbiI6IkFkcmlhbiIsInBhcnNlLW5hbWVzIjpmYWxzZSwiZHJvcHBpbmctcGFydGljbGUiOiIiLCJub24tZHJvcHBpbmctcGFydGljbGUiOiIifSx7ImZhbWlseSI6Ik1lcm9tIiwiZ2l2ZW4iOiJEYWZuYSIsInBhcnNlLW5hbWVzIjpmYWxzZSwiZHJvcHBpbmctcGFydGljbGUiOiIiLCJub24tZHJvcHBpbmctcGFydGljbGUiOiIifSx7ImZhbWlseSI6IkJ1bGwiLCJnaXZlbiI6IkZpb25hIEMuIiwicGFyc2UtbmFtZXMiOmZhbHNlLCJkcm9wcGluZy1wYXJ0aWNsZSI6IiIsIm5vbi1kcm9wcGluZy1wYXJ0aWNsZSI6IiJ9LHsiZmFtaWx5IjoiQnVjaG5lciIsImdpdmVuIjoiRGF2aWQgTS4iLCJwYXJzZS1uYW1lcyI6ZmFsc2UsImRyb3BwaW5nLXBhcnRpY2xlIjoiIiwibm9uLWRyb3BwaW5nLXBhcnRpY2xlIjoiIn0seyJmYW1pbHkiOiJGaWF0YXJvbmUgU2luZ2giLCJnaXZlbiI6Ik1hcmlhIEEuIiwicGFyc2UtbmFtZXMiOmZhbHNlLCJkcm9wcGluZy1wYXJ0aWNsZSI6IiIsIm5vbi1kcm9wcGluZy1wYXJ0aWNsZSI6IiJ9XSwiY29udGFpbmVyLXRpdGxlIjoiR2Vyb250b2xvZ2lzdCIsIkRPSSI6IjEwLjEwOTMvZ2Vyb250L2dudzAzMSIsIklTU04iOiIxNzU4NTM0MSIsIlBNSUQiOiIyNjk5NDI2NiIsImlzc3VlZCI6eyJkYXRlLXBhcnRzIjpbWzIwMTYsNCwxXV19LCJwYWdlIjoiUzI2OC1TMjgwIiwiYWJzdHJhY3QiOiJQdXJwb3NlIG9mIHRoZSBTdHVkeTogVGhlcmUgaXMgYSBnbG9iYWwgaW1wZXJhdGl2ZSB0byBpbmNyZWFzZSBhd2FyZW5lc3Mgb2YgdGhlIGVtZXJnaW5nIGV2aWRlbmNlIG9uIHBoeXNpY2FsIGFjdGl2aXR5IChQQSkgYW1vbmcgb2xkZXIgYWR1bHRzLiBcIkhlYWx0aHkgYWdpbmdcIiBoYXMgdHJhZGl0aW9uYWxseSBmb2N1c2VkIG9uIHByZXZlbnRpbmcgY2hyb25pYyBkaXNlYXNlLCBidXQgZ3JlYXRlciBlZmZvcnRzIGFyZSByZXF1aXJlZCB0byByZWR1Y2UgZnJhaWx0eSBhbmQgZGVwZW5kZW5jeSBhbmQgdG8gbWFpbnRhaW4gaW5kZXBlbmRlbnQgcGh5c2ljYWwgYW5kIGNvZ25pdGl2ZSBmdW5jdGlvbiBhbmQgbWVudGFsIGhlYWx0aCBhbmQgd2VsbC1iZWluZy4gRGVzaWduIGFuZCBNZXRob2RzOiBUaGlzIGludGVncmF0ZWQgcmV2aWV3IHVwZGF0ZXMgdGhlIGVwaWRlbWlvbG9naWNhbCBkYXRhIG9uIFBBLCBzdW1tYXJpemVzIHRoZSBleGlzdGluZyBldmlkZW5jZS1iYXNlZCBQQSBndWlkZWxpbmVzLCBkZXNjcmliZXMgdGhlIGdsb2JhbCBtYWduaXR1ZGUgb2YgaW5hY3Rpdml0eSwgYW5kIGZpbmFsbHkgZGVzY3JpYmVzIHRoZSByYXRpb25hbGUgZm9yIGFjdGlvbi4gVGhlIGZpcnN0IHNlY3Rpb24gdXBkYXRlcyB0aGUgZXBpZGVtaW9sb2dpY2FsIGV2aWRlbmNlIGZvciByZWR1Y2VkIGNhcmRpb21ldGFib2xpYyByaXNrLCByZWR1Y2VkIHJpc2tzIG9mIGZhbGxzLCB0aGUgYnVyZ2VvbmluZyBuZXcgZXZpZGVuY2Ugb24gaW1wcm92ZWQgY29nbml0aXZlIGZ1bmN0aW9uIGFuZCBmdW5jdGlvbmFsIGNhcGFjaXR5LCBhbmQgcmVkdWNlZCByaXNrIG9mIGRlcHJlc3Npb24sIGFueGlldHksIGFuZCBkZW1lbnRpYS4gVGhpcyBpcyBmb2xsb3dlZCBieSBhIHN1bW1hcnkgb2YgcG9wdWxhdGlvbiBwcmV2YWxlbmNlIHN0dWRpZXMgYW1vbmcgb2xkZXIgYWR1bHRzLiBGaW5hbGx5LCB3ZSBwcmVzZW50IGEgXCJyZXZpZXcgb2YgcmV2aWV3c1wiIG9mIFBBIGludGVydmVudGlvbnMgZGVsaXZlcmVkIGZyb20gY29tbXVuaXR5IG9yIHBvcHVsYXRpb24gc2V0dGluZ3MsIGZvbGxvd2VkIGJ5IGEgY29uc2lkZXJhdGlvbiBvZiBpbnRlcnZlbnRpb25zIGFtb25nIHRoZSBcIm9sZGVzdC1vbGQsXCIgd2hlcmUgZWZmb3J0cyBhcmUgbmVlZGVkIHRvIGluY3JlYXNlIHJlc2lzdGFuY2UgKHN0cmVuZ3RoKSB0cmFpbmluZyBhbmQgYmFsYW5jZS4gUmVzdWx0czogVGhpcyByZXZpZXcgaWRlbnRpZmllcyB0aGUgZ2xvYmFsIGltcG9ydGFuY2Ugb2YgY29uc2lkZXJpbmcgXCJhY3RpdmUgYWdpbmdcIiBiZXlvbmQgdGhlIGVzdGFibGlzaGVkIGJlbmVmaXRzIGF0dHJpYnV0ZWQgdG8gbm9uY29tbXVuaWNhYmxlIGRpc2Vhc2UgcHJldmVudGlvbiBhbG9uZS4gSW1wbGljYXRpb25zOiBJbm5vdmF0aXZlIHBvcHVsYXRpb24tbGV2ZWwgZWZmb3J0cyBhcmUgcmVxdWlyZWQgdG8gYWRkcmVzcyBwaHlzaWNhbCBpbmFjdGl2aXR5LCBwcmV2ZW50IGxvc3Mgb2YgbXVzY2xlIHN0cmVuZ3RoLCBhbmQgbWFpbnRhaW4gYmFsYW5jZSBpbiBvbGRlciBhZHVsdHMuIFNwZWNpZmljIGludmVzdG1lbnQgaW4gaGVhbHRoeSBhZ2luZyByZXF1aXJlcyBnbG9iYWwgcG9saWN5IHN1cHBvcnQgZnJvbSB0aGUgV29ybGQgSGVhbHRoIE9yZ2FuaXphdGlvbiBhbmQgaXMgaW1wbGVtZW50ZWQgYXQgdGhlIG5hdGlvbmFsIGFuZCByZWdpb25hbCBsZXZlbHMsIGluIG9yZGVyIHRvIHJlZHVjZSB0aGUgYnVyZGVuIG9mIGRpc2Vhc2UgYW5kIGRpc2FiaWxpdHkgYW1vbmcgb2xkZXIgYWR1bHRzLiIsInB1Ymxpc2hlciI6Ikdlcm9udG9sb2dpY2FsIFNvY2lldHkgb2YgQW1lcmljYSIsInZvbHVtZSI6IjU2IiwiY29udGFpbmVyLXRpdGxlLXNob3J0IjoiIn0sImlzVGVtcG9yYXJ5IjpmYWxzZSwic3VwcHJlc3MtYXV0aG9yIjpmYWxzZSwiY29tcG9zaXRlIjpmYWxzZSwiYXV0aG9yLW9ubHkiOmZhbHNlfV19&quot;,&quot;citationItems&quot;:[{&quot;id&quot;:&quot;afc7df9f-b5e6-3bc7-a432-d22d62d2f013&quot;,&quot;itemData&quot;:{&quot;type&quot;:&quot;article&quot;,&quot;id&quot;:&quot;afc7df9f-b5e6-3bc7-a432-d22d62d2f013&quot;,&quot;title&quot;:&quot;Updating the Evidence for Physical Activity: Summative Reviews of the Epidemiological Evidence, Prevalence, and Interventions to Promote \&quot;active Aging\&quot;&quot;,&quot;author&quot;:[{&quot;family&quot;:&quot;Bauman&quot;,&quot;given&quot;:&quot;Adrian&quot;,&quot;parse-names&quot;:false,&quot;dropping-particle&quot;:&quot;&quot;,&quot;non-dropping-particle&quot;:&quot;&quot;},{&quot;family&quot;:&quot;Merom&quot;,&quot;given&quot;:&quot;Dafna&quot;,&quot;parse-names&quot;:false,&quot;dropping-particle&quot;:&quot;&quot;,&quot;non-dropping-particle&quot;:&quot;&quot;},{&quot;family&quot;:&quot;Bull&quot;,&quot;given&quot;:&quot;Fiona C.&quot;,&quot;parse-names&quot;:false,&quot;dropping-particle&quot;:&quot;&quot;,&quot;non-dropping-particle&quot;:&quot;&quot;},{&quot;family&quot;:&quot;Buchner&quot;,&quot;given&quot;:&quot;David M.&quot;,&quot;parse-names&quot;:false,&quot;dropping-particle&quot;:&quot;&quot;,&quot;non-dropping-particle&quot;:&quot;&quot;},{&quot;family&quot;:&quot;Fiatarone Singh&quot;,&quot;given&quot;:&quot;Maria A.&quot;,&quot;parse-names&quot;:false,&quot;dropping-particle&quot;:&quot;&quot;,&quot;non-dropping-particle&quot;:&quot;&quot;}],&quot;container-title&quot;:&quot;Gerontologist&quot;,&quot;DOI&quot;:&quot;10.1093/geront/gnw031&quot;,&quot;ISSN&quot;:&quot;17585341&quot;,&quot;PMID&quot;:&quot;26994266&quot;,&quot;issued&quot;:{&quot;date-parts&quot;:[[2016,4,1]]},&quot;page&quot;:&quot;S268-S280&quot;,&quot;abstract&quot;:&quot;Purpose of the Study: There is a global imperative to increase awareness of the emerging evidence on physical activity (PA) among older adults. \&quot;Healthy aging\&quot; has traditionally focused on preventing chronic disease, but greater efforts are required to reduce frailty and dependency and to maintain independent physical and cognitive function and mental health and well-being. Design and Methods: This integrated review updates the epidemiological data on PA, summarizes the existing evidence-based PA guidelines, describes the global magnitude of inactivity, and finally describes the rationale for action. The first section updates the epidemiological evidence for reduced cardiometabolic risk, reduced risks of falls, the burgeoning new evidence on improved cognitive function and functional capacity, and reduced risk of depression, anxiety, and dementia. This is followed by a summary of population prevalence studies among older adults. Finally, we present a \&quot;review of reviews\&quot; of PA interventions delivered from community or population settings, followed by a consideration of interventions among the \&quot;oldest-old,\&quot; where efforts are needed to increase resistance (strength) training and balance. Results: This review identifies the global importance of considering \&quot;active aging\&quot; beyond the established benefits attributed to noncommunicable disease prevention alone. Implications: Innovative population-level efforts are required to address physical inactivity, prevent loss of muscle strength, and maintain balance in older adults. Specific investment in healthy aging requires global policy support from the World Health Organization and is implemented at the national and regional levels, in order to reduce the burden of disease and disability among older adults.&quot;,&quot;publisher&quot;:&quot;Gerontological Society of America&quot;,&quot;volume&quot;:&quot;56&quot;,&quot;container-title-short&quot;:&quot;&quot;},&quot;isTemporary&quot;:false,&quot;suppress-author&quot;:false,&quot;composite&quot;:false,&quot;author-only&quot;:false}]},{&quot;citationID&quot;:&quot;MENDELEY_CITATION_0cde1160-03f4-4f7a-bd14-b85f9e3679c5&quot;,&quot;properties&quot;:{&quot;noteIndex&quot;:0},&quot;isEdited&quot;:false,&quot;manualOverride&quot;:{&quot;isManuallyOverridden&quot;:false,&quot;citeprocText&quot;:&quot;(Freiberger et al., 2020)&quot;,&quot;manualOverrideText&quot;:&quot;&quot;},&quot;citationTag&quot;:&quot;MENDELEY_CITATION_v3_eyJjaXRhdGlvbklEIjoiTUVOREVMRVlfQ0lUQVRJT05fMGNkZTExNjAtMDNmNC00ZjdhLWJkMTQtYjg1ZjllMzY3OWM1IiwicHJvcGVydGllcyI6eyJub3RlSW5kZXgiOjB9LCJpc0VkaXRlZCI6ZmFsc2UsIm1hbnVhbE92ZXJyaWRlIjp7ImlzTWFudWFsbHlPdmVycmlkZGVuIjpmYWxzZSwiY2l0ZXByb2NUZXh0IjoiKEZyZWliZXJnZXIgZXQgYWwuLCAyMDIwKSIsIm1hbnVhbE92ZXJyaWRlVGV4dCI6IiJ9LCJjaXRhdGlvbkl0ZW1zIjpbeyJpZCI6IjZiNjM0ZTA1LTcxZWItMzQwZi04YzkzLTFkZTU5YjEyOGMxMyIsIml0ZW1EYXRhIjp7InR5cGUiOiJhcnRpY2xlIiwiaWQiOiI2YjYzNGUwNS03MWViLTM0MGYtOGM5My0xZGU1OWIxMjhjMTMiLCJ0aXRsZSI6Ik1vYmlsaXR5IGluIE9sZGVyIENvbW11bml0eS1Ed2VsbGluZyBQZXJzb25zOiBBIE5hcnJhdGl2ZSBSZXZpZXciLCJhdXRob3IiOlt7ImZhbWlseSI6IkZyZWliZXJnZXIiLCJnaXZlbiI6IkVsbGVuIiwicGFyc2UtbmFtZXMiOmZhbHNlLCJkcm9wcGluZy1wYXJ0aWNsZSI6IiIsIm5vbi1kcm9wcGluZy1wYXJ0aWNsZSI6IiJ9LHsiZmFtaWx5IjoiU2llYmVyIiwiZ2l2ZW4iOiJDb3JuZWwgQ2hyaXN0aWFuIiwicGFyc2UtbmFtZXMiOmZhbHNlLCJkcm9wcGluZy1wYXJ0aWNsZSI6IiIsIm5vbi1kcm9wcGluZy1wYXJ0aWNsZSI6IiJ9LHsiZmFtaWx5IjoiS29iIiwiZ2l2ZW4iOiJSb2JlcnQiLCJwYXJzZS1uYW1lcyI6ZmFsc2UsImRyb3BwaW5nLXBhcnRpY2xlIjoiIiwibm9uLWRyb3BwaW5nLXBhcnRpY2xlIjoiIn1dLCJjb250YWluZXItdGl0bGUiOiJGcm9udGllcnMgaW4gUGh5c2lvbG9neSIsImNvbnRhaW5lci10aXRsZS1zaG9ydCI6IkZyb250LiBQaHlzaW9sLiIsIkRPSSI6IjEwLjMzODkvZnBoeXMuMjAyMC4wMDg4MSIsIklTU04iOiIxNjY0MDQyWCIsImlzc3VlZCI6eyJkYXRlLXBhcnRzIjpbWzIwMjAsOSwxNV1dfSwiYWJzdHJhY3QiOiJEdWUgdG8gdGhlIGRlbW9ncmFwaGljIGNoYW5nZXMgYW5kIHRoZSBpbmNyZWFzaW5nIGF3YXJlbmVzcyBvZiB0aGUgcm9sZSBvZiBwaHlzaWNhbCBmdW5jdGlvbiwgbW9iaWxpdHkgaW4gb2xkZXIgYWdlIGlzIGJlY29taW5nIGFuIGltcG9ydGFudCB0b3BpYy4gTW9iaWxpdHkgbGltaXRhdGlvbnMgaGF2ZSBiZWVuIHJlcG9ydGVkIGFzIGluY3JlYXNpbmdseSBwcmV2YWxlbnQgaW4gb2xkZXIgcGVyc29ucyBhZmZlY3RpbmcgYWJvdXQgMzUlIG9mIHBlcnNvbnMgYWdlZCA3MCBhbmQgdGhlIG1ham9yaXR5IG9mIHBlcnNvbnMgb3ZlciA4NSB5ZWFycy4gTW9iaWxpdHkgbGltaXRhdGlvbnMgaGF2ZSBiZWVuIGFzc29jaWF0ZWQgd2l0aCBpbmNyZWFzZWQgZmFsbCByaXNrLCBob3NwaXRhbGl6YXRpb24sIGEgZGVjcmVhc2VkIHF1YWxpdHkgb2YgbGlmZSwgYW5kIGV2ZW4gbW9ydGFsaXR5LiBBcyBjb25jZXB0cyBvZiBtb2JpbGl0eSBhcmUgbXVsdGlmYWN0b3JpYWwgYW5kIGNvbXBsZXgsIGluIHRoaXMgbmFycmF0aXZlIHJldmlldywgZGVmaW5pdGlvbnMsIHBoeXNpY2FsIGZhY3RvcnMsIGFuZCB0aGVpciBhZ2UtcmVsYXRlZCBjaGFuZ2VzIGFzc29jaWF0ZWQgd2l0aCBtb2JpbGl0eSB3aWxsIGJlIHByZXNlbnRlZC4gQWxzbywgYXJlYXMgb2YgY29nbml0aXZlIGRlY2xpbmUgYW5kIHRoZWlyIGltcGFjdCBvbiBtb2JpbGl0eSwgYXMgd2VsbCBhcyBuZXVyb211c2N1bGFyIGZhY3RvcnMgcmVsYXRlZCB0byBtb2JpbGl0eSB3aWxsIGJlIGFkZHJlc3NlZC4gQW5vdGhlciBzZWN0aW9uIHdpbGwgcmVsYXRlIHBzeWNob2xvZ2ljYWwgZmFjdG9ycyBzdWNoIGFzIEZhbGwtcmVsYXRlZCBwc3ljaG9sb2dpY2FsIGNvbmNlcm5zIGFuZCBzZWRlbnRhcnkgYmVoYXZpb3IgdG8gbW9iaWxpdHkuIEFzc2Vzc21lbnQgb2YgbW9iaWxpdHkgYXMgd2VsbCBhcyBlZmZlY3RpdmUgZXhlcmNpc2UgaW50ZXJ2ZW50aW9ucyBhcmUgb25seSBzaG9ydGx5IGFkZHJlc3NlZC4gSW4gdGhlIGxhc3QgcGFydCwgZ2FwcyBhbmQgZnV0dXJlIHdvcmsgb24gbW9iaWxpdHkgaW4gb2xkZXIgcGVyc29ucyBhcmUgZGlzY3Vzc2VkLiIsInB1Ymxpc2hlciI6IkZyb250aWVycyBNZWRpYSBTLkEuIiwidm9sdW1lIjoiMTEifSwiaXNUZW1wb3JhcnkiOmZhbHNlLCJzdXBwcmVzcy1hdXRob3IiOmZhbHNlLCJjb21wb3NpdGUiOmZhbHNlLCJhdXRob3Itb25seSI6ZmFsc2V9XX0=&quot;,&quot;citationItems&quot;:[{&quot;id&quot;:&quot;6b634e05-71eb-340f-8c93-1de59b128c13&quot;,&quot;itemData&quot;:{&quot;type&quot;:&quot;article&quot;,&quot;id&quot;:&quot;6b634e05-71eb-340f-8c93-1de59b128c13&quot;,&quot;title&quot;:&quot;Mobility in Older Community-Dwelling Persons: A Narrative Review&quot;,&quot;author&quot;:[{&quot;family&quot;:&quot;Freiberger&quot;,&quot;given&quot;:&quot;Ellen&quot;,&quot;parse-names&quot;:false,&quot;dropping-particle&quot;:&quot;&quot;,&quot;non-dropping-particle&quot;:&quot;&quot;},{&quot;family&quot;:&quot;Sieber&quot;,&quot;given&quot;:&quot;Cornel Christian&quot;,&quot;parse-names&quot;:false,&quot;dropping-particle&quot;:&quot;&quot;,&quot;non-dropping-particle&quot;:&quot;&quot;},{&quot;family&quot;:&quot;Kob&quot;,&quot;given&quot;:&quot;Robert&quot;,&quot;parse-names&quot;:false,&quot;dropping-particle&quot;:&quot;&quot;,&quot;non-dropping-particle&quot;:&quot;&quot;}],&quot;container-title&quot;:&quot;Frontiers in Physiology&quot;,&quot;container-title-short&quot;:&quot;Front. Physiol.&quot;,&quot;DOI&quot;:&quot;10.3389/fphys.2020.00881&quot;,&quot;ISSN&quot;:&quot;1664042X&quot;,&quot;issued&quot;:{&quot;date-parts&quot;:[[2020,9,15]]},&quot;abstract&quot;:&quot;Due to the demographic changes and the increasing awareness of the role of physical function, mobility in older age is becoming an important topic. Mobility limitations have been reported as increasingly prevalent in older persons affecting about 35% of persons aged 70 and the majority of persons over 85 years. Mobility limitations have been associated with increased fall risk, hospitalization, a decreased quality of life, and even mortality. As concepts of mobility are multifactorial and complex, in this narrative review, definitions, physical factors, and their age-related changes associated with mobility will be presented. Also, areas of cognitive decline and their impact on mobility, as well as neuromuscular factors related to mobility will be addressed. Another section will relate psychological factors such as Fall-related psychological concerns and sedentary behavior to mobility. Assessment of mobility as well as effective exercise interventions are only shortly addressed. In the last part, gaps and future work on mobility in older persons are discussed.&quot;,&quot;publisher&quot;:&quot;Frontiers Media S.A.&quot;,&quot;volume&quot;:&quot;11&quot;},&quot;isTemporary&quot;:false,&quot;suppress-author&quot;:false,&quot;composite&quot;:false,&quot;author-only&quot;:false}]},{&quot;citationID&quot;:&quot;MENDELEY_CITATION_1fda4e2c-1949-4455-ba6a-e910fe1e3f86&quot;,&quot;properties&quot;:{&quot;noteIndex&quot;:0,&quot;mode&quot;:&quot;composite&quot;},&quot;isEdited&quot;:false,&quot;manualOverride&quot;:{&quot;isManuallyOverridden&quot;:false,&quot;citeprocText&quot;:&quot;Hwang et al. (2025)&quot;,&quot;manualOverrideText&quot;:&quot;&quot;},&quot;citationTag&quot;:&quot;MENDELEY_CITATION_v3_eyJjaXRhdGlvbklEIjoiTUVOREVMRVlfQ0lUQVRJT05fMWZkYTRlMmMtMTk0OS00NDU1LWJhNmEtZTkxMGZlMWUzZjg2IiwicHJvcGVydGllcyI6eyJub3RlSW5kZXgiOjAsIm1vZGUiOiJjb21wb3NpdGUifSwiaXNFZGl0ZWQiOmZhbHNlLCJtYW51YWxPdmVycmlkZSI6eyJpc01hbnVhbGx5T3ZlcnJpZGRlbiI6ZmFsc2UsImNpdGVwcm9jVGV4dCI6Ikh3YW5nIGV0IGFsLiAoMjAyNSkiLCJtYW51YWxPdmVycmlkZVRleHQiOiIifSwiY2l0YXRpb25JdGVtcyI6W3siaWQiOiIxOTdmMzI5OC0xMThmLTNmMWEtYTZmMC0xZDJhMjU2OWM0YmEiLCJpdGVtRGF0YSI6eyJ0eXBlIjoiYXJ0aWNsZS1qb3VybmFsIiwiaWQiOiIxOTdmMzI5OC0xMThmLTNmMWEtYTZmMC0xZDJhMjU2OWM0YmEiLCJ0aXRsZSI6Ik11bHRpdmFyaWF0ZSBhbmFseXNpcyBvZiBmcmVxdWVuY3ksIGR1cmF0aW9uIGFuZCBjb21wYW5pb25zaGlwIGluIHdhbGtpbmcgYmVoYXZpb3JzIGFtb25nIGFkdWx0cyBvdmVyIDUwIiwiYXV0aG9yIjpbeyJmYW1pbHkiOiJId2FuZyIsImdpdmVuIjoiSHl1bmp1biIsInBhcnNlLW5hbWVzIjpmYWxzZSwiZHJvcHBpbmctcGFydGljbGUiOiIiLCJub24tZHJvcHBpbmctcGFydGljbGUiOiIifSx7ImZhbWlseSI6IkhhZGRhZCIsImdpdmVuIjoiQW5nZWxhIEouIiwicGFyc2UtbmFtZXMiOmZhbHNlLCJkcm9wcGluZy1wYXJ0aWNsZSI6IiIsIm5vbi1kcm9wcGluZy1wYXJ0aWNsZSI6IiJ9LHsiZmFtaWx5IjoiQmhhdCIsImdpdmVuIjoiQ2hhbmRyYSBSLiIsInBhcnNlLW5hbWVzIjpmYWxzZSwiZHJvcHBpbmctcGFydGljbGUiOiIiLCJub24tZHJvcHBpbmctcGFydGljbGUiOiIifV0sImNvbnRhaW5lci10aXRsZSI6IkpvdXJuYWwgb2YgVHJhbnNwb3J0IGFuZCBIZWFsdGgiLCJjb250YWluZXItdGl0bGUtc2hvcnQiOiJKLiBUcmFuc3AuIEhlYWx0aCIsIkRPSSI6IjEwLjEwMTYvai5qdGguMjAyNS4xMDIxNjEiLCJJU1NOIjoiMjIxNDE0MTMiLCJpc3N1ZWQiOnsiZGF0ZS1wYXJ0cyI6W1syMDI1LDEwLDFdXX0sImFic3RyYWN0IjoiSW50cm9kdWN0aW9uOiBQaHlzaWNhbCBhY3Rpdml0eSBpcyBlc3NlbnRpYWwgZm9yIG1haW50YWluaW5nIG1lbnRhbCBhbmQgcGh5c2ljYWwgaGVhbHRoLiBEZXNwaXRlIGl0cyBiZW5lZml0cywgb2xkZXIgYWR1bHRzIGZhbGwgc2hvcnQgb2YgdGhlIHJlY29tbWVuZGVkIHBoeXNpY2FsIGFjdGl2aXR5IGxldmVscy4gV2Fsa2luZywgaW4gcGFydGljdWxhciwgb2ZmZXJzIHNpZ25pZmljYW50IGFkdmFudGFnZXMgZm9yIG9sZGVyIGFkdWx0cyBiZWNhdXNlIG9mIGl0cyBsb3ctaW1wYWN0IG5hdHVyZSBhbmQgbG93ZXIgbGlrZWxpaG9vZCBvZiBzZXJpb3VzIGluanVyaWVzLiBUaGlzIHBhcGVyIGV4YW1pbmVzIHRocmVlIGtleSBkaW1lbnNpb25zIG9mIHdhbGtpbmcgYmVoYXZpb3IgYW1vbmcgYWR1bHRzIGFnZWQgNTAgYW5kIG9sZGVyOiBmcmVxdWVuY3ksIGR1cmF0aW9uLCBhbmQgc29jaWFsIGNvbXBhbmlvbnNoaXAgKFNDKS4gTWV0aG9kczogVXRpbGl6aW5nIGRhdGEgZnJvbSB0aGUgMjAyMiBBbWVyaWNhbiBBc3NvY2lhdGlvbiBvZiBSZXRpcmVkIFBlcnNvbnMgKEFBUlApIFdhbGtpbmcgU3VydmV5LCBhbmQgZW1wbG95aW5nIGEgam9pbnQgbW9kZWxpbmcgYXBwcm9hY2gsIHdlIGlkZW50aWZ5IHRoZSBmYWN0b3JzIGluZmx1ZW5jaW5nIGVhY2ggb2YgdGhlIHRocmVlIGRpbWVuc2lvbnMgb2Ygd2Fsa2luZyBiZWhhdmlvci4gUmVzdWx0czogT3VyIGZpbmRpbmdzIHN1Z2dlc3QgdGhhdCBvbGRlciB1bmVtcGxveWVkIGFkdWx0cyBmcm9tIGxvdy1pbmNvbWUvbWlub3JpdHkgaG91c2Vob2xkcywgd29tZW4sIGFuZCBpbmRpdmlkdWFscyBpbiBob3VzZWhvbGRzIHdpdGggY2hpbGRyZW4gdGVuZCB0byB3YWxrIGxlc3MgZnJlcXVlbnRseSBhbmQgZm9yIHNob3J0ZXIgZHVyYXRpb25zLiBIYXZpbmcgc29jaWFsIGNvbXBhbnkgb24gd2Fsa3MgaGFzIHRoZSBoaWdoZXN0IHBvc2l0aXZlIGVmZmVjdCBvbiBib3RoIHdhbGtpbmcgZnJlcXVlbmN5IGFuZCBkdXJhdGlvbiwgZG9taW5hdGluZyBvdmVyIG90aGVyIHNvY2lvZGVtb2dyYXBoaWMgZmFjdG9ycy4gVGhlIHJlc3VsdHMgYWxzbyBwb2ludCB0byBzcGVjaWZpYyBwb3B1bGF0aW9uIHNlZ21lbnRzOiBzcGVjaWZpY2FsbHkgQmxhY2sgaW5kaXZpZHVhbHMsIHRob3NlIGVtcGxveWVkLCBhbmQgc2luZ2xlIGFkdWx0cywgd2FsayBsZXNzIGluIGdyb3Vwcywgd2hpbGUgdGhvc2UgaW4gaG91c2Vob2xkcyB3aXRoIGNoaWxkcmVuIHdhbGsgbW9yZSBpbiBncm91cHMuIENvbmNsdXNpb25zOiBUaGUgZmluZGluZ3MgaGlnaGxpZ2h0IHRoZSBpbXBvcnRhbmNlIG9mIGNvbnNpZGVyaW5nIHNvY2lhbCBhc3BlY3RzIGluIHVuZGVyc3RhbmRpbmcgd2Fsa2luZyBiZWhhdmlvciwgYW5kIGNhbGwgZm9yIHBvbGljaWVzIHRoYXQgZm9zdGVyIGdyb3VwIHdhbGtpbmcgcHJvZ3JhbXMsIGVuaGFuY2Ugc2FmZSBhbmQgYWdlLWZyaWVuZGx5IHdhbGtpbmcgZW52aXJvbm1lbnRzLCBhbmQgaW1wbGVtZW50IGN1c3RvbWl6ZWQgYXdhcmVuZXNzL2luY2VudGl2ZSBpbml0aWF0aXZlcyB0byBpbmNyZWFzZSBwaHlzaWNhbCBhY3Rpdml0eSBhbmQgcHJvdmlkZSBlcXVpdGFibGUgYWNjZXNzIHRvIHRoZSBtYW55IGhlYWx0aCBiZW5lZml0cyBvZiB3YWxraW5nLiIsInB1Ymxpc2hlciI6IkVsc2V2aWVyIEx0ZCIsInZvbHVtZSI6IjQ0In0sImlzVGVtcG9yYXJ5IjpmYWxzZSwiZGlzcGxheUFzIjoiY29tcG9zaXRlIiwic3VwcHJlc3MtYXV0aG9yIjpmYWxzZSwiY29tcG9zaXRlIjp0cnVlLCJhdXRob3Itb25seSI6ZmFsc2V9XX0=&quot;,&quot;citationItems&quot;:[{&quot;id&quot;:&quot;197f3298-118f-3f1a-a6f0-1d2a2569c4ba&quot;,&quot;itemData&quot;:{&quot;type&quot;:&quot;article-journal&quot;,&quot;id&quot;:&quot;197f3298-118f-3f1a-a6f0-1d2a2569c4ba&quot;,&quot;title&quot;:&quot;Multivariate analysis of frequency, duration and companionship in walking behaviors among adults over 50&quot;,&quot;author&quot;:[{&quot;family&quot;:&quot;Hwang&quot;,&quot;given&quot;:&quot;Hyunjun&quot;,&quot;parse-names&quot;:false,&quot;dropping-particle&quot;:&quot;&quot;,&quot;non-dropping-particle&quot;:&quot;&quot;},{&quot;family&quot;:&quot;Haddad&quot;,&quot;given&quot;:&quot;Angela J.&quot;,&quot;parse-names&quot;:false,&quot;dropping-particle&quot;:&quot;&quot;,&quot;non-dropping-particle&quot;:&quot;&quot;},{&quot;family&quot;:&quot;Bhat&quot;,&quot;given&quot;:&quot;Chandra R.&quot;,&quot;parse-names&quot;:false,&quot;dropping-particle&quot;:&quot;&quot;,&quot;non-dropping-particle&quot;:&quot;&quot;}],&quot;container-title&quot;:&quot;Journal of Transport and Health&quot;,&quot;container-title-short&quot;:&quot;J. Transp. Health&quot;,&quot;DOI&quot;:&quot;10.1016/j.jth.2025.102161&quot;,&quot;ISSN&quot;:&quot;22141413&quot;,&quot;issued&quot;:{&quot;date-parts&quot;:[[2025,10,1]]},&quot;abstract&quot;:&quot;Introduction: Physical activity is essential for maintaining mental and physical health. Despite its benefits, older adults fall short of the recommended physical activity levels. Walking, in particular, offers significant advantages for older adults because of its low-impact nature and lower likelihood of serious injuries. This paper examines three key dimensions of walking behavior among adults aged 50 and older: frequency, duration, and social companionship (SC). Methods: Utilizing data from the 2022 American Association of Retired Persons (AARP) Walking Survey, and employing a joint modeling approach, we identify the factors influencing each of the three dimensions of walking behavior. Results: Our findings suggest that older unemployed adults from low-income/minority households, women, and individuals in households with children tend to walk less frequently and for shorter durations. Having social company on walks has the highest positive effect on both walking frequency and duration, dominating over other sociodemographic factors. The results also point to specific population segments: specifically Black individuals, those employed, and single adults, walk less in groups, while those in households with children walk more in groups. Conclusions: The findings highlight the importance of considering social aspects in understanding walking behavior, and call for policies that foster group walking programs, enhance safe and age-friendly walking environments, and implement customized awareness/incentive initiatives to increase physical activity and provide equitable access to the many health benefits of walking.&quot;,&quot;publisher&quot;:&quot;Elsevier Ltd&quot;,&quot;volume&quot;:&quot;44&quot;},&quot;isTemporary&quot;:false,&quot;displayAs&quot;:&quot;composite&quot;,&quot;suppress-author&quot;:false,&quot;composite&quot;:true,&quot;author-only&quot;:false}]},{&quot;citationID&quot;:&quot;MENDELEY_CITATION_8e8a5aee-32a5-4ca9-84ba-cbf2e2c4f4b1&quot;,&quot;properties&quot;:{&quot;noteIndex&quot;:0},&quot;isEdited&quot;:false,&quot;manualOverride&quot;:{&quot;isManuallyOverridden&quot;:false,&quot;citeprocText&quot;:&quot;(Duim et al., 2017; Western et al., 2025)&quot;,&quot;manualOverrideText&quot;:&quot;&quot;},&quot;citationTag&quot;:&quot;MENDELEY_CITATION_v3_eyJjaXRhdGlvbklEIjoiTUVOREVMRVlfQ0lUQVRJT05fOGU4YTVhZWUtMzJhNS00Y2E5LTg0YmEtY2JmMmUyYzRmNGIxIiwicHJvcGVydGllcyI6eyJub3RlSW5kZXgiOjB9LCJpc0VkaXRlZCI6ZmFsc2UsIm1hbnVhbE92ZXJyaWRlIjp7ImlzTWFudWFsbHlPdmVycmlkZGVuIjpmYWxzZSwiY2l0ZXByb2NUZXh0IjoiKER1aW0gZXQgYWwuLCAyMDE3OyBXZXN0ZXJuIGV0IGFsLiwgMjAyNSkiLCJtYW51YWxPdmVycmlkZVRleHQiOiIifSwiY2l0YXRpb25JdGVtcyI6W3siaWQiOiJlOWQxYTljYi1hMjE5LTNmYmMtOGEyNy01NDk2NGI5M2MyNjYiLCJpdGVtRGF0YSI6eyJ0eXBlIjoiYXJ0aWNsZS1qb3VybmFsIiwiaWQiOiJlOWQxYTljYi1hMjE5LTNmYmMtOGEyNy01NDk2NGI5M2MyNjYiLCJ0aXRsZSI6IldhbGtpbmcgc3BlZWQgb2Ygb2xkZXIgcGVvcGxlIGFuZCBwZWRlc3RyaWFuIGNyb3NzaW5nIHRpbWUiLCJhdXRob3IiOlt7ImZhbWlseSI6IkR1aW0iLCJnaXZlbiI6IkV0aWVubmUiLCJwYXJzZS1uYW1lcyI6ZmFsc2UsImRyb3BwaW5nLXBhcnRpY2xlIjoiIiwibm9uLWRyb3BwaW5nLXBhcnRpY2xlIjoiIn0seyJmYW1pbHkiOiJMZWJyw6NvIiwiZ2l2ZW4iOiJNYXJpYSBMdWNpYSIsInBhcnNlLW5hbWVzIjpmYWxzZSwiZHJvcHBpbmctcGFydGljbGUiOiIiLCJub24tZHJvcHBpbmctcGFydGljbGUiOiIifSx7ImZhbWlseSI6IkFudHVuZXMiLCJnaXZlbiI6Ikpvc8OpIExlb3BvbGRvIEZlcnJlaXJhIiwicGFyc2UtbmFtZXMiOmZhbHNlLCJkcm9wcGluZy1wYXJ0aWNsZSI6IiIsIm5vbi1kcm9wcGluZy1wYXJ0aWNsZSI6IiJ9XSwiY29udGFpbmVyLXRpdGxlIjoiSm91cm5hbCBvZiBUcmFuc3BvcnQgYW5kIEhlYWx0aCIsImNvbnRhaW5lci10aXRsZS1zaG9ydCI6IkouIFRyYW5zcC4gSGVhbHRoIiwiRE9JIjoiMTAuMTAxNi9qLmp0aC4yMDE3LjAyLjAwMSIsIklTU04iOiIyMjE0MTQwNSIsImlzc3VlZCI6eyJkYXRlLXBhcnRzIjpbWzIwMTcsNiwxXV19LCJwYWdlIjoiNzAtNzYiLCJhYnN0cmFjdCI6IkJhY2tncm91bmQgVHJhZmZpYyBsaWdodHMgdGhhdCByZWd1bGF0ZSB0aGUgcGVkZXN0cmlhbiBjcm9zc2luZ3MgaW4gU2FvIFBhdWxvLCBCcmF6aWwgYXJlIHByb2dyYW1tZWQgdG8gY29uc2lkZXIgYSBzdGFuZGFyZCB3YWxraW5nIHNwZWVkIG9mIDEuMsKgbS9zIChtL3MpLiBIb3dldmVyLCB0aGUgZnJlcXVlbnRseSBzbG93ZXIgd2Fsa2luZyBzcGVlZCBvZiB0aGUgZWxkZXJseSBtYXkgbWFrZSBpdCBkaWZmaWN1bHQgZm9yIHRoZW0gdG8gY3Jvc3MgdGhlIHN0cmVldHMgc2FmZWx5IGFuZCBjb250cmlidXRlIHRvIHRoZWlyIHNvY2lhbCBzZWNsdXNpb24uIE9iamVjdGl2ZXMgVG8gYXNzZXNzIHRoZSB3YWxraW5nIHNwZWVkIG9mIG9sZGVyIHBlb3BsZSBsaXZpbmcgaW4gdGhlIGNvbW11bml0eSBhbmQgdG8gY29tcGFyZSB0aGUgcmVzdWx0cyB3aXRoIHRoZSBpbnRlcm5hdGlvbmFsIHN0YW5kYXJkcyBmb3IgcGVkZXN0cmlhbiBjcm9zc2luZy4gRGVzaWduIEEgY3Jvc3Mtc2VjdGlvbmFsLCBwb3B1bGF0aW9uLWJhc2VkIHN0dWR5LiBTZXR0aW5nIGFuZCBQYXJ0aWNpcGFudHMgQSBwcm9iYWJpbGlzdGljIHNhbXBsZSBvZiAxMTkxIGluZGl2aWR1YWxzIGFnZWQgNjAgeWVhcnMgb3IgbW9yZSwgbGl2aW5nIGluIHRoZSBjaXR5IG9mIFNhbyBQYXVsbywgQnJhemlsLCBpbiAyMDEwLiBNZWFzdXJlbWVudHMgV2Fsa2luZyBzcGVlZCB3YXMgZGlyZWN0bHkgbWVhc3VyZWQgdXNpbmcgYSBwaHlzaWNhbCB0ZXN0LCBhbmQgd2FzIGRpY2hvdG9tb3VzbHkgY2xhc3NpZmllZCB1c2luZyB0d28gY3V0LW9mZiBwb2ludHM6IDEuMSBhbmQgMC45wqBtL3MuIEludGVydmlld3MgaW5mb3JtZWQgY292YXJpYXRlcyBvbiBzb2Npby1kZW1vZ3JhcGhpYyBjaGFyYWN0ZXJpc3RpY3MgYW5kIGhlYWx0aCBzdGF0dXMuIFJlc3VsdHMgVmFzdCBtYWpvcml0eSAoOTcuOCUpIG9mIG9sZGVyIGFkdWx0cyBpbiBTYW8gUGF1bG8gd2Fsa3MgYXQgYSBzbG93ZXIgcGFjZSB0aGFuIGlzIGN1cnJlbnRseSBkZW1hbmRlZCBieSB0aGUgbGlnaHRzIGF0IHRoZSBwZWRlc3RyaWFuIGNyb3NzaW5ncyAoMS4ywqBtL3MpLiBUaGlzIHByb3BvcnRpb24gcmVtYWluZWQgcHJhY3RpY2FsbHkgdW5jaGFuZ2VkICg5NS43JSkgd2hlbiBhIHN0YW5kYXJkIHBlZGVzdHJpYW4gd2Fsa2luZyBzcGVlZCBvZiAxLjHCoG0vcyBpcyBjb25zaWRlcmVkLiBSZWR1Y2luZyB0aGUgcmVmZXJlbmNlIHNwZWVkIHRvIDAuOcKgbS9zIHdvdWxkIG5hcnJvd2VkIHRoaXMgcHJvcG9ydGlvbiB0byA2OS43JS4gV29tZW4sIGxpZ2h0LXNraW5uZWQgYmxhY2tzLCBwb29ybHkgZWR1Y2F0ZWQgaW5kaXZpZHVhbHMgYW5kIHRob3NlIHdpdGggcG9vcmVyIGhlYWx0aCB3ZXJlIG1vcmUgbGlrZWx5IHRvIHdhbGsgYXQgYSBzbG93ZXIgcGFjZSB0aGFuIGlzIHJlcXVpcmVkIGJ5IHRyYWZmaWMgbGlnaHRzIGF0IHRoZSBwZWRlc3RyaWFuIGNyb3NzaW5ncyBpbiB0aGUgY2l0eS4gQ29uY2x1c2lvbnMgT3ZlcndoZWxtaW5nIG1ham9yaXR5IG9mIG9sZGVyIGFkdWx0cyBsaXZpbmcgaW4gU2FvIFBhdWxvIGNhbm5vdCBjcm9zcyBzdHJlZXRzIGF0IHRoZWlyIG93biB3YWxraW5nIHNwZWVkLiBUaGVyZWZvcmUsIHRoZXJlIGlzIGFuIHVyZ2VudCBuZWVkIGZvciBtb2RpZnlpbmcgdGhlIHRyYWZmaWMgZW52aXJvbm1lbnQgdG8gcHJldmVudCBhY2NpZGVudHMgaW52b2x2aW5nIHZ1bG5lcmFibGUgcGVkZXN0cmlhbnMgYW5kIHByb21vdGUgdXJiYW4gbW9iaWxpdHkuIiwicHVibGlzaGVyIjoiRWxzZXZpZXIgTHRkIiwidm9sdW1lIjoiNSJ9LCJpc1RlbXBvcmFyeSI6ZmFsc2V9LHsiaWQiOiI2NzhhNWM0Yy1jYTkzLTNkODQtOGNhZi1hYmExY2M2ODQ0ODgiLCJpdGVtRGF0YSI6eyJ0eXBlIjoiYXJ0aWNsZS1qb3VybmFsIiwiaWQiOiI2NzhhNWM0Yy1jYTkzLTNkODQtOGNhZi1hYmExY2M2ODQ0ODgiLCJ0aXRsZSI6IldoeSBkaWRu4oCZdCB0aGUgc2VuaW9yIGNpdGl6ZW4gY3Jvc3MgdGhlIHJvYWQ/IEdhaXQgc3BlZWQgaW4gY29tbXVuaXR5LWR3ZWxsaW5nIG9sZGVyIGFkdWx0cyB3aXRoIG1vYmlsaXR5IGxpbWl0YXRpb25zIHJlbGF0aXZlIHRvIHBlZGVzdHJpYW4gY3Jvc3NpbmcgdGltZXMiLCJhdXRob3IiOlt7ImZhbWlseSI6Ildlc3Rlcm4iLCJnaXZlbiI6Ik1heCBKLiIsInBhcnNlLW5hbWVzIjpmYWxzZSwiZHJvcHBpbmctcGFydGljbGUiOiIiLCJub24tZHJvcHBpbmctcGFydGljbGUiOiIifSx7ImZhbWlseSI6IldpdGhhbGwiLCJnaXZlbiI6IkphbmV0IiwicGFyc2UtbmFtZXMiOmZhbHNlLCJkcm9wcGluZy1wYXJ0aWNsZSI6IiIsIm5vbi1kcm9wcGluZy1wYXJ0aWNsZSI6IiJ9LHsiZmFtaWx5IjoiU2hlcHBhcmQiLCJnaXZlbiI6IlJvcnkiLCJwYXJzZS1uYW1lcyI6ZmFsc2UsImRyb3BwaW5nLXBhcnRpY2xlIjoiIiwibm9uLWRyb3BwaW5nLXBhcnRpY2xlIjoiIn0seyJmYW1pbHkiOiJHcmVhdmVzIiwiZ2l2ZW4iOiJDb2xpbiIsInBhcnNlLW5hbWVzIjpmYWxzZSwiZHJvcHBpbmctcGFydGljbGUiOiIiLCJub24tZHJvcHBpbmctcGFydGljbGUiOiIifSx7ImZhbWlseSI6IkhpbGxzZG9uIiwiZ2l2ZW4iOiJNZWx2eW4iLCJwYXJzZS1uYW1lcyI6ZmFsc2UsImRyb3BwaW5nLXBhcnRpY2xlIjoiIiwibm9uLWRyb3BwaW5nLXBhcnRpY2xlIjoiIn0seyJmYW1pbHkiOiJTdGF0aGkiLCJnaXZlbiI6IkFmcm9kaXRpIiwicGFyc2UtbmFtZXMiOmZhbHNlLCJkcm9wcGluZy1wYXJ0aWNsZSI6IiIsIm5vbi1kcm9wcGluZy1wYXJ0aWNsZSI6IiJ9XSwiY29udGFpbmVyLXRpdGxlIjoiQWdlIGFuZCBBZ2VpbmciLCJjb250YWluZXItdGl0bGUtc2hvcnQiOiJBZ2UgQWdlaW5nIiwiRE9JIjoiMTAuMTA5My9hZ2VpbmcvYWZhZjM0NSIsIklTU04iOiIxNDY4MjgzNCIsIlBNSUQiOiI0MTM1NDA5MCIsImlzc3VlZCI6eyJkYXRlLXBhcnRzIjpbWzIwMjUsMTIsMV1dfSwiYWJzdHJhY3QiOiJCYWNrZ3JvdW5kOiBTdXBwb3J0aW5nIG9sZGVyIGFkdWx0cyB0byBtYWludGFpbiBwaHlzaWNhbCBhY3Rpdml0eSBpcyBhIGtleSB0b29sIGluIGNvbWJhdGluZyB0aGUgcmlzaW5nIHByZXZhbGVuY2Ugb2YgcGh5c2ljYWwgZnJhaWx0eSBhbmQgaXRzIGFzc29jaWF0ZWQgc29jaWFsLCBoZWFsdGggYW5kIGVjb25vbWljIGJ1cmRlbi4gV2Fsa2FiaWxpdHkgb2YgdGhlIHBoeXNpY2FsIGVudmlyb25tZW50LCB3aGljaCBpbiB1cmJhbiBhcmVhcyBpbmNsdWRlcyBwZWRlc3RyaWFuIGluZnJhc3RydWN0dXJlIGFuZCBzYWZldHksIGlzIGEga2V5IGZhY2lsaXRhdG9yIG9mIHBoeXNpY2FsIGFjdGl2aXR5LiBSb2FkIGNyb3NzaW5ncyBtYXkgYmUgb25lIHN1Y2ggZmFjdG9yIHRoYXQgaW1wYWN0cyB3YWxrYWJpbGl0eSBmb3Igb2xkZXIgcG9wdWxhdGlvbnMuIE9iamVjdGl2ZTogVGhpcyBzdHVkeSBhaW1lZCB0byBkZXRlcm1pbmUgd2hhdCBwcm9wb3J0aW9uIG9mIGNvbW11bml0eSBkd2VsbGluZyBhZHVsdHMg4omlNjUgeWVhcnMgb2YgYWdlIGNsYXNzaWZpZWQgYXMgZnJhaWwvcHJlLWZyYWlsIGluIHRlcm1zIG9mIHRoZWlyIGxvd2VyIGxpbWIgcGh5c2ljYWwgZnVuY3Rpb24gd291bGQgbWVldCB0aGUgMS4yIG0vcyByZXF1aXJlZCB3YWxraW5nIHNwZWVkIGZvciBwZWRlc3RyaWFuIGNyb3NzaW5ncywgYW5kIHRoZSBkZW1vZ3JhcGhpYyBjaGFyYWN0ZXJpc3RpY3MgYXNzb2NpYXRlZCB3aXRoIGxvdyBnYWl0IHNwZWVkLiBNZXRob2RzOiBGb3VyLW1ldHJlIHdhbGtpbmcgc3BlZWQgZGF0YSBmcm9tIDExMTAgb2xkZXIgYWR1bHRzIGluIHR3byByYW5kb21pc2VkIGNvbnRyb2xsZWQgdHJpYWxzIHdlcmUgYW5hbHlzZWQuIEdhaXQgc3BlZWQgYW5kIHRoZSBwcm9wb3J0aW9uIG1lZXRpbmcgdGhlIDEuMiBtL3Mg4oCYZ3JlZW4gc2lnbmFs4oCZIGNyb3NzaW5nIHRpbWUgd2FzIGNhbGN1bGF0ZWQuIEdlbmVyYWxpc2VkIGxpbmVhciBtb2RlbHMgZXhwbG9yZWQgZGlmZmVyZW5jZXMgaW4gZ2FpdCBzcGVlZCBieSBzZXgsIGFnZSwgZWR1Y2F0aW9uLCBtYXJpdGFsIHN0YXR1cywgc29jaW9lY29ub21pYyBzdGF0dXMgYW5kIHBoeXNpY2FsIGZ1bmN0aW9uLiBSZXN1bHRzOiBTZXZlbnRlZW4gKDEuNSUpIG9mIHRoZSBzYW1wbGUgd2Fsa2VkIGZhc3QgZW5vdWdoIGF0IHRoZWlyIHVzdWFsIGNvbWZvcnRhYmxlIHBhY2UgdG8gY3Jvc3MgZHVyaW5nIGEgMS4yIG0vcyBncmVlbiBzaWduYWwuIFRoZSBtZWFuIGdhaXQgc3BlZWQgZm9yIHRoZSBzYW1wbGUgd2FzIDAuNzcgKFNEIDAuMTkpLiBPbGRlciBhZ2UsIGxvd2VyIHBoeXNpY2FsIGZ1bmN0aW9uIGFuZCBub24td2hpdGUgZXRobmljaXR5IHdlcmUgY2hhcmFjdGVyaXN0aWNzIGFzc29jaWF0ZWQgd2l0aCBzbG93ZXIgZ2FpdCBzcGVlZC4gQ29uY2x1c2lvbnM6IFBlZGVzdHJpYW4gY3Jvc3NpbmdzIGFzc3VtaW5nIGEgZ2FpdCBzcGVlZCBvZiAxLjIgbS9zIGFyZSBpbmFkZXF1YXRlIGZvciBtb2JpbGl0eS1saW1pdGVkIG9sZGVyIGFkdWx0cyB0byBjcm9zcyBhdCBhIGNvbWZvcnRhYmxlIHdhbGtpbmcgc3BlZWQuIEZ1cnRoZXIgc3R1ZGllcyBhcmUgbmVlZGVkIHRvIGFzc2VzcyB0aGUgaW1wYWN0IG9mIHNsb3cgZ2FpdCBzcGVlZCBvbiBvdXRkb29yIHBoeXNpY2FsIGFjdGl2aXR5IGFuZCB0byBkZXZlbG9wIHBvbGljaWVzIGZvciBtb3JlIGFjY29tbW9kYXRpbmcgcGVkZXN0cmlhbiBpbmZyYXN0cnVjdHVyZS4iLCJwdWJsaXNoZXIiOiJPeGZvcmQgVW5pdmVyc2l0eSBQcmVzcyIsImlzc3VlIjoiMTIiLCJ2b2x1bWUiOiI1NCJ9LCJpc1RlbXBvcmFyeSI6ZmFsc2V9XX0=&quot;,&quot;citationItems&quot;:[{&quot;id&quot;:&quot;e9d1a9cb-a219-3fbc-8a27-54964b93c266&quot;,&quot;itemData&quot;:{&quot;type&quot;:&quot;article-journal&quot;,&quot;id&quot;:&quot;e9d1a9cb-a219-3fbc-8a27-54964b93c266&quot;,&quot;title&quot;:&quot;Walking speed of older people and pedestrian crossing time&quot;,&quot;author&quot;:[{&quot;family&quot;:&quot;Duim&quot;,&quot;given&quot;:&quot;Etienne&quot;,&quot;parse-names&quot;:false,&quot;dropping-particle&quot;:&quot;&quot;,&quot;non-dropping-particle&quot;:&quot;&quot;},{&quot;family&quot;:&quot;Lebrão&quot;,&quot;given&quot;:&quot;Maria Lucia&quot;,&quot;parse-names&quot;:false,&quot;dropping-particle&quot;:&quot;&quot;,&quot;non-dropping-particle&quot;:&quot;&quot;},{&quot;family&quot;:&quot;Antunes&quot;,&quot;given&quot;:&quot;José Leopoldo Ferreira&quot;,&quot;parse-names&quot;:false,&quot;dropping-particle&quot;:&quot;&quot;,&quot;non-dropping-particle&quot;:&quot;&quot;}],&quot;container-title&quot;:&quot;Journal of Transport and Health&quot;,&quot;container-title-short&quot;:&quot;J. Transp. Health&quot;,&quot;DOI&quot;:&quot;10.1016/j.jth.2017.02.001&quot;,&quot;ISSN&quot;:&quot;22141405&quot;,&quot;issued&quot;:{&quot;date-parts&quot;:[[2017,6,1]]},&quot;page&quot;:&quot;70-76&quot;,&quot;abstract&quot;:&quot;Background Traffic lights that regulate the pedestrian crossings in Sao Paulo, Brazil are programmed to consider a standard walking speed of 1.2 m/s (m/s). However, the frequently slower walking speed of the elderly may make it difficult for them to cross the streets safely and contribute to their social seclusion. Objectives To assess the walking speed of older people living in the community and to compare the results with the international standards for pedestrian crossing. Design A cross-sectional, population-based study. Setting and Participants A probabilistic sample of 1191 individuals aged 60 years or more, living in the city of Sao Paulo, Brazil, in 2010. Measurements Walking speed was directly measured using a physical test, and was dichotomously classified using two cut-off points: 1.1 and 0.9 m/s. Interviews informed covariates on socio-demographic characteristics and health status. Results Vast majority (97.8%) of older adults in Sao Paulo walks at a slower pace than is currently demanded by the lights at the pedestrian crossings (1.2 m/s). This proportion remained practically unchanged (95.7%) when a standard pedestrian walking speed of 1.1 m/s is considered. Reducing the reference speed to 0.9 m/s would narrowed this proportion to 69.7%. Women, light-skinned blacks, poorly educated individuals and those with poorer health were more likely to walk at a slower pace than is required by traffic lights at the pedestrian crossings in the city. Conclusions Overwhelming majority of older adults living in Sao Paulo cannot cross streets at their own walking speed. Therefore, there is an urgent need for modifying the traffic environment to prevent accidents involving vulnerable pedestrians and promote urban mobility.&quot;,&quot;publisher&quot;:&quot;Elsevier Ltd&quot;,&quot;volume&quot;:&quot;5&quot;},&quot;isTemporary&quot;:false},{&quot;id&quot;:&quot;678a5c4c-ca93-3d84-8caf-aba1cc684488&quot;,&quot;itemData&quot;:{&quot;type&quot;:&quot;article-journal&quot;,&quot;id&quot;:&quot;678a5c4c-ca93-3d84-8caf-aba1cc684488&quot;,&quot;title&quot;:&quot;Why didn’t the senior citizen cross the road? Gait speed in community-dwelling older adults with mobility limitations relative to pedestrian crossing times&quot;,&quot;author&quot;:[{&quot;family&quot;:&quot;Western&quot;,&quot;given&quot;:&quot;Max J.&quot;,&quot;parse-names&quot;:false,&quot;dropping-particle&quot;:&quot;&quot;,&quot;non-dropping-particle&quot;:&quot;&quot;},{&quot;family&quot;:&quot;Withall&quot;,&quot;given&quot;:&quot;Janet&quot;,&quot;parse-names&quot;:false,&quot;dropping-particle&quot;:&quot;&quot;,&quot;non-dropping-particle&quot;:&quot;&quot;},{&quot;family&quot;:&quot;Sheppard&quot;,&quot;given&quot;:&quot;Rory&quot;,&quot;parse-names&quot;:false,&quot;dropping-particle&quot;:&quot;&quot;,&quot;non-dropping-particle&quot;:&quot;&quot;},{&quot;family&quot;:&quot;Greaves&quot;,&quot;given&quot;:&quot;Colin&quot;,&quot;parse-names&quot;:false,&quot;dropping-particle&quot;:&quot;&quot;,&quot;non-dropping-particle&quot;:&quot;&quot;},{&quot;family&quot;:&quot;Hillsdon&quot;,&quot;given&quot;:&quot;Melvyn&quot;,&quot;parse-names&quot;:false,&quot;dropping-particle&quot;:&quot;&quot;,&quot;non-dropping-particle&quot;:&quot;&quot;},{&quot;family&quot;:&quot;Stathi&quot;,&quot;given&quot;:&quot;Afroditi&quot;,&quot;parse-names&quot;:false,&quot;dropping-particle&quot;:&quot;&quot;,&quot;non-dropping-particle&quot;:&quot;&quot;}],&quot;container-title&quot;:&quot;Age and Ageing&quot;,&quot;container-title-short&quot;:&quot;Age Ageing&quot;,&quot;DOI&quot;:&quot;10.1093/ageing/afaf345&quot;,&quot;ISSN&quot;:&quot;14682834&quot;,&quot;PMID&quot;:&quot;41354090&quot;,&quot;issued&quot;:{&quot;date-parts&quot;:[[2025,12,1]]},&quot;abstract&quot;:&quot;Background: Supporting older adults to maintain physical activity is a key tool in combating the rising prevalence of physical frailty and its associated social, health and economic burden. Walkability of the physical environment, which in urban areas includes pedestrian infrastructure and safety, is a key facilitator of physical activity. Road crossings may be one such factor that impacts walkability for older populations. Objective: This study aimed to determine what proportion of community dwelling adults ≥65 years of age classified as frail/pre-frail in terms of their lower limb physical function would meet the 1.2 m/s required walking speed for pedestrian crossings, and the demographic characteristics associated with low gait speed. Methods: Four-metre walking speed data from 1110 older adults in two randomised controlled trials were analysed. Gait speed and the proportion meeting the 1.2 m/s ‘green signal’ crossing time was calculated. Generalised linear models explored differences in gait speed by sex, age, education, marital status, socioeconomic status and physical function. Results: Seventeen (1.5%) of the sample walked fast enough at their usual comfortable pace to cross during a 1.2 m/s green signal. The mean gait speed for the sample was 0.77 (SD 0.19). Older age, lower physical function and non-white ethnicity were characteristics associated with slower gait speed. Conclusions: Pedestrian crossings assuming a gait speed of 1.2 m/s are inadequate for mobility-limited older adults to cross at a comfortable walking speed. Further studies are needed to assess the impact of slow gait speed on outdoor physical activity and to develop policies for more accommodating pedestrian infrastructure.&quot;,&quot;publisher&quot;:&quot;Oxford University Press&quot;,&quot;issue&quot;:&quot;12&quot;,&quot;volume&quot;:&quot;54&quot;},&quot;isTemporary&quot;:false}]},{&quot;citationID&quot;:&quot;MENDELEY_CITATION_32fc33e2-a350-4791-9a69-6e8755ba4069&quot;,&quot;properties&quot;:{&quot;noteIndex&quot;:0},&quot;isEdited&quot;:false,&quot;manualOverride&quot;:{&quot;isManuallyOverridden&quot;:false,&quot;citeprocText&quot;:&quot;(Cerin et al., 2017; Stearns et al., 2023)&quot;,&quot;manualOverrideText&quot;:&quot;&quot;},&quot;citationTag&quot;:&quot;MENDELEY_CITATION_v3_eyJjaXRhdGlvbklEIjoiTUVOREVMRVlfQ0lUQVRJT05fMzJmYzMzZTItYTM1MC00NzkxLTlhNjktNmU4NzU1YmE0MDY5IiwicHJvcGVydGllcyI6eyJub3RlSW5kZXgiOjB9LCJpc0VkaXRlZCI6ZmFsc2UsIm1hbnVhbE92ZXJyaWRlIjp7ImlzTWFudWFsbHlPdmVycmlkZGVuIjpmYWxzZSwiY2l0ZXByb2NUZXh0IjoiKENlcmluIGV0IGFsLiwgMjAxNzsgU3RlYXJucyBldCBhbC4sIDIwMjMpIiwibWFudWFsT3ZlcnJpZGVUZXh0IjoiIn0sImNpdGF0aW9uSXRlbXMiOlt7ImlkIjoiMmQ5MzczOGYtM2VlNC0zYjVkLTkxMzctZmQyMWU4NjZjZmUyIiwiaXRlbURhdGEiOnsidHlwZSI6ImFydGljbGUtam91cm5hbCIsImlkIjoiMmQ5MzczOGYtM2VlNC0zYjVkLTkxMzctZmQyMWU4NjZjZmUyIiwidGl0bGUiOiJUaGUgbmVpZ2hib3VyaG9vZCBwaHlzaWNhbCBlbnZpcm9ubWVudCBhbmQgYWN0aXZlIHRyYXZlbCBpbiBvbGRlciBhZHVsdHM6IGEgc3lzdGVtYXRpYyByZXZpZXcgYW5kIG1ldGEtYW5hbHlzaXMiLCJhdXRob3IiOlt7ImZhbWlseSI6IkNlcmluIiwiZ2l2ZW4iOiJFc3RlciIsInBhcnNlLW5hbWVzIjpmYWxzZSwiZHJvcHBpbmctcGFydGljbGUiOiIiLCJub24tZHJvcHBpbmctcGFydGljbGUiOiIifSx7ImZhbWlseSI6Ik5hdGhhbiIsImdpdmVuIjoiQW5kcmVhIiwicGFyc2UtbmFtZXMiOmZhbHNlLCJkcm9wcGluZy1wYXJ0aWNsZSI6IiIsIm5vbi1kcm9wcGluZy1wYXJ0aWNsZSI6IiJ9LHsiZmFtaWx5IjoiQ2F1d2VuYmVyZyIsImdpdmVuIjoiSmVsbGUiLCJwYXJzZS1uYW1lcyI6ZmFsc2UsImRyb3BwaW5nLXBhcnRpY2xlIjoiIiwibm9uLWRyb3BwaW5nLXBhcnRpY2xlIjoidmFuIn0seyJmYW1pbHkiOiJCYXJuZXR0IiwiZ2l2ZW4iOiJEYXZpZCBXLiIsInBhcnNlLW5hbWVzIjpmYWxzZSwiZHJvcHBpbmctcGFydGljbGUiOiIiLCJub24tZHJvcHBpbmctcGFydGljbGUiOiIifSx7ImZhbWlseSI6IkJhcm5ldHQiLCJnaXZlbiI6IkFudGhvbnkiLCJwYXJzZS1uYW1lcyI6ZmFsc2UsImRyb3BwaW5nLXBhcnRpY2xlIjoiIiwibm9uLWRyb3BwaW5nLXBhcnRpY2xlIjoiIn1dLCJjb250YWluZXItdGl0bGUiOiJJbnRlcm5hdGlvbmFsIEpvdXJuYWwgb2YgQmVoYXZpb3JhbCBOdXRyaXRpb24gYW5kIFBoeXNpY2FsIEFjdGl2aXR5IDIwMTcgMTQ6MSIsImFjY2Vzc2VkIjp7ImRhdGUtcGFydHMiOltbMjAyNiw0LDFdXX0sIkRPSSI6IjEwLjExODYvczEyOTY2LTAxNy0wNDcxLTUiLCJJU1NOIjoiMTQ3OS01ODY4IiwiUE1JRCI6IjI4MTY2NzkwIiwiVVJMIjoiaHR0cHM6Ly9saW5rLnNwcmluZ2VyLmNvbS9hcnRpY2xlLzEwLjExODYvczEyOTY2LTAxNy0wNDcxLTUiLCJpc3N1ZWQiOnsiZGF0ZS1wYXJ0cyI6W1syMDE3LDIsNl1dfSwicGFnZSI6IjE1LSIsImFic3RyYWN0IjoiUGVyY2VpdmVkIGFuZCBvYmplY3RpdmVseS1hc3Nlc3NlZCBhc3BlY3RzIG9mIHRoZSBuZWlnaGJvdXJob29kIHBoeXNpY2FsIGVudmlyb25tZW50IGhhdmUgYmVlbiBwb3N0dWxhdGVkIHRvIGJlIGtleSBjb250cmlidXRvcnMgdG8gcmVndWxhciBlbmdhZ2VtZW50IGluIGFjdGl2ZSB0cmF2ZWwgKEFUKSBpbiBvbGRlciBhZHVsdHMuIFdlIHN5c3RlbWF0aWNhbGx5IHJldmlld2VkIHRoZSBsaXRlcmF0dXJlIG9uIG5laWdoYm91cmhvb2QgcGh5c2ljYWwgZW52aXJvbm1lbnRhbCBjb3JyZWxhdGVzIG9mIEFUIGluIG9sZGVyIGFkdWx0cyBhbmQgYXBwbGllZCBhIG5vdmVsIG1ldGEtYW5hbHl0aWMgYXBwcm9hY2ggdG8gc3RhdGlzdGljYWxseSBxdWFudGlmeSB0aGUgc3RyZW5ndGggb2YgZXZpZGVuY2UgZm9yIGVudmlyb25tZW50LUFUIGFzc29jaWF0aW9ucy4gRm9ydHkgdHdvIHF1YW50aXRhdGl2ZSBzdHVkaWVzIHRoYXQgZXN0aW1hdGVkIGFzc29jaWF0aW9ucyBvZiBhc3BlY3RzIG9mIHRoZSBuZWlnaGJvdXJob29kIGJ1aWx0IGVudmlyb25tZW50IHdpdGggQVQgaW4gb2xkZXIgYWR1bHRzIChhZ2Vk4oCJ4oml4oCJNjUmbmJzcDt5ZWFycykgYW5kIG1ldCBzZWxlY3Rpb24gY3JpdGVyaWEgd2VyZSByZXZpZXdlZCBhbmQgbWV0YS1hbmFseXNlZC4gRmluZGluZ3Mgd2VyZSBhbmFseXNlZCBhY2NvcmRpbmcgdG8gZml2ZSBBVCBvdXRjb21lcyAodG90YWwgd2Fsa2luZyBmb3IgdHJhbnNwb3J0LCB3aXRoaW4tbmVpZ2hib3VyaG9vZCB3YWxraW5nIGZvciB0cmFuc3BvcnQsIGNvbWJpbmVkIHdhbGtpbmcgYW5kIGN5Y2xpbmcgZm9yIHRyYW5zcG9ydCwgY3ljbGluZyBmb3IgdHJhbnNwb3J0LCBhbmQgYWxsIEFUIG91dGNvbWVzIGNvbWJpbmVkKSBhbmQgc2V2ZW4gY2F0ZWdvcmllcyBvZiB0aGUgbmVpZ2hib3VyaG9vZCBwaHlzaWNhbCBlbnZpcm9ubWVudCAocmVzaWRlbnRpYWwgZGVuc2l0eS91cmJhbmlzYXRpb24sIHdhbGthYmlsaXR5LCBzdHJlZXQgY29ubmVjdGl2aXR5LCBhY2Nlc3MgdG8vYXZhaWxhYmlsaXR5IG9mIHNlcnZpY2VzL2Rlc3RpbmF0aW9ucywgcGVkZXN0cmlhbiBhbmQgY3ljbGluZyBpbmZyYXN0cnVjdHVyZSwgYWVzdGhldGljcyBhbmQgY2xlYW5saW5lc3Mvb3JkZXIsIGFuZCBzYWZldHkgYW5kIHRyYWZmaWMpLiBNb3N0IHN0dWRpZXMgZXhhbWluZWQgY29ycmVsYXRlcyBvZiB0b3RhbCB3YWxraW5nIGZvciB0cmFuc3BvcnQuIEEgc3VmZmljaWVudCBhbW91bnQgb2YgZXZpZGVuY2Ugb2YgcG9zaXRpdmUgYXNzb2NpYXRpb25zIHdpdGggdG90YWwgd2Fsa2luZyBmb3IgdHJhbnNwb3J0IHdhcyBmb3VuZCBmb3IgcmVzaWRlbnRpYWwgZGVuc2l0eS91cmJhbmlzYXRpb24sIHdhbGthYmlsaXR5LCBzdHJlZXQgY29ubmVjdGl2aXR5LCBvdmVyYWxsIGFjY2VzcyB0byBkZXN0aW5hdGlvbnMvc2VydmljZXMsIGxhbmQgdXNlIG1peCwgcGVkZXN0cmlhbi1mcmllbmRseSBmZWF0dXJlcyBhbmQgYWNjZXNzIHRvIHNldmVyYWwgdHlwZXMgb2YgZGVzdGluYXRpb25zLiBMaXR0ZXJpbmcvdmFuZGFsaXNtL2RlY2F5IHdhcyBuZWdhdGl2ZWx5IHJlbGF0ZWQgdG8gdG90YWwgd2Fsa2luZyBmb3IgdHJhbnNwb3J0LiBMaW1pdGVkIGV2aWRlbmNlIHdhcyBhdmFpbGFibGUgb24gY29ycmVsYXRlcyBvZiBjeWNsaW5nIGFuZCBjb21iaW5lZCB3YWxraW5nIGFuZCBjeWNsaW5nIGZvciB0cmFuc3BvcnQsIHdoaWxlIHN1ZmZpY2llbnQgZXZpZGVuY2UgZW1lcmdlZCBmb3IgYSBwb3NpdGl2ZSBhc3NvY2lhdGlvbiBvZiB3aXRoaW4tbmVpZ2hib3VyaG9vZCB3YWxraW5nIHdpdGggcGVkZXN0cmlhbi1mcmllbmRseSBmZWF0dXJlcyBhbmQgYXZhaWxhYmlsaXR5IG9mIGJlbmNoZXMvc2l0dGluZyBmYWNpbGl0aWVzLiBDb3JyZWxhdGVzIG9mIGFsbCBBVCBjb21iaW5lZCBtaXJyb3JlZCB0aG9zZSBvZiB3YWxraW5nIGZvciB0cmFuc3BvcnQuIFBvc2l0aXZlIGFzc29jaWF0aW9ucyB3ZXJlIGFsc28gb2JzZXJ2ZWQgd2l0aCBmb29kIG91dGxldHMsIGJ1c2luZXNzL2luc3RpdHV0aW9uYWwvaW5kdXN0cmlhbCBkZXN0aW5hdGlvbnMsIGF2YWlsYWJpbGl0eSBvZiBzdHJlZXQgbGlnaHRzLCBlYXN5IGFjY2VzcyB0byBidWlsZGluZyBlbnRyYW5jZSBhbmQgaHVtYW4gYW5kIG1vdG9yaXNlZCB0cmFmZmljIHZvbHVtZS4gU2V2ZXJhbCBidXQgaW5jb25zaXN0ZW50IGluZGl2aWR1YWwtIGFuZCBlbnZpcm9ubWVudGFsLWxldmVsIG1vZGVyYXRvcnMgb2YgYXNzb2NpYXRpb25zIHdlcmUgaWRlbnRpZmllZC4gUmVzdWx0cyBzdXBwb3J0IHN0cm9uZyBsaW5rcyBiZXR3ZWVuIHRoZSBuZWlnaGJvdXJob29kIHBoeXNpY2FsIGVudmlyb25tZW50IGFuZCBvbGRlciBhZHVsdHPigJkgQVQuIEZ1dHVyZSByZXNlYXJjaCBzaG91bGQgZm9jdXMgb24gdGhlIGlkZW50aWZpY2F0aW9uIG9mIHR5cGVzIGFuZCBtaXhlcyBvZiBkZXN0aW5hdGlvbnMgdGhhdCBzdXBwb3J0IEFUIGluIG9sZGVyIGFkdWx0cyBhbmQgaG93IHRoZXNlIGludGVyYWN0IHdpdGggaW5kaXZpZHVhbCBjaGFyYWN0ZXJpc3RpY3MgYW5kIG90aGVyIGVudmlyb25tZW50YWwgZmFjdG9ycy4gRnV0dXJlIHJlc2VhcmNoIHNob3VsZCBhbHNvIGFpbSB0byBjbGFyaWZ5IGRvc2UtcmVzcG9uc2UgcmVsYXRpb25zaGlwcyB0aHJvdWdoIG11bHRpLWNvdW50cnkgaW52ZXN0aWdhdGlvbnMgYW5kIGRhdGEtcG9vbGluZyBmcm9tIGRpdmVyc2UgZ2VvZ3JhcGhpY2FsIHJlZ2lvbnMuIiwicHVibGlzaGVyIjoiQmlvTWVkIENlbnRyYWwiLCJpc3N1ZSI6IjEiLCJ2b2x1bWUiOiIxNCIsImNvbnRhaW5lci10aXRsZS1zaG9ydCI6IiJ9LCJpc1RlbXBvcmFyeSI6ZmFsc2V9LHsiaWQiOiI1NTI4ZmMxMy1iZmIzLTMwNDgtYTM3Mi00YWRkNmU4OWExMWUiLCJpdGVtRGF0YSI6eyJ0eXBlIjoiYXJ0aWNsZSIsImlkIjoiNTUyOGZjMTMtYmZiMy0zMDQ4LWEzNzItNGFkZDZlODlhMTFlIiwidGl0bGUiOiJBbiBVbWJyZWxsYSBSZXZpZXcgb2YgdGhlIEJlc3QgYW5kIE1vc3QgVXAtdG8tRGF0ZSBFdmlkZW5jZSBvbiB0aGUgQnVpbHQgRW52aXJvbm1lbnQgYW5kIFBoeXNpY2FsIEFjdGl2aXR5IGluIE9sZGVyIEFkdWx0cyDiiaU2MCBZZWFycyIsImF1dGhvciI6W3siZmFtaWx5IjoiU3RlYXJucyIsImdpdmVuIjoiSm9kaWUgQS4iLCJwYXJzZS1uYW1lcyI6ZmFsc2UsImRyb3BwaW5nLXBhcnRpY2xlIjoiIiwibm9uLWRyb3BwaW5nLXBhcnRpY2xlIjoiIn0seyJmYW1pbHkiOiJBdmVkemkiLCJnaXZlbiI6IkhheWZvcmQgTS4iLCJwYXJzZS1uYW1lcyI6ZmFsc2UsImRyb3BwaW5nLXBhcnRpY2xlIjoiIiwibm9uLWRyb3BwaW5nLXBhcnRpY2xlIjoiIn0seyJmYW1pbHkiOiJZaW0iLCJnaXZlbiI6IkRlc21vbmQiLCJwYXJzZS1uYW1lcyI6ZmFsc2UsImRyb3BwaW5nLXBhcnRpY2xlIjoiIiwibm9uLWRyb3BwaW5nLXBhcnRpY2xlIjoiIn0seyJmYW1pbHkiOiJTcGVuY2UiLCJnaXZlbiI6IkpvaG4gQy4iLCJwYXJzZS1uYW1lcyI6ZmFsc2UsImRyb3BwaW5nLXBhcnRpY2xlIjoiIiwibm9uLWRyb3BwaW5nLXBhcnRpY2xlIjoiIn0seyJmYW1pbHkiOiJMYWJiYWYiLCJnaXZlbiI6IkZhcnNoYWQiLCJwYXJzZS1uYW1lcyI6ZmFsc2UsImRyb3BwaW5nLXBhcnRpY2xlIjoiIiwibm9uLWRyb3BwaW5nLXBhcnRpY2xlIjoiIn0seyJmYW1pbHkiOiJMYW1ib2dsaWEiLCJnaXZlbiI6IkNhcm1pbmRhIEcuIiwicGFyc2UtbmFtZXMiOmZhbHNlLCJkcm9wcGluZy1wYXJ0aWNsZSI6IiIsIm5vbi1kcm9wcGluZy1wYXJ0aWNsZSI6IiJ9LHsiZmFtaWx5IjoiS28iLCJnaXZlbiI6IkZpb25hIiwicGFyc2UtbmFtZXMiOmZhbHNlLCJkcm9wcGluZy1wYXJ0aWNsZSI6IiIsIm5vbi1kcm9wcGluZy1wYXJ0aWNsZSI6IiJ9LHsiZmFtaWx5IjoiRmFybWVyIiwiZ2l2ZW4iOiJDaWFyYSIsInBhcnNlLW5hbWVzIjpmYWxzZSwiZHJvcHBpbmctcGFydGljbGUiOiIiLCJub24tZHJvcHBpbmctcGFydGljbGUiOiIifSx7ImZhbWlseSI6Ikx5dHZ5YWsiLCJnaXZlbiI6IkVsbGluYSIsInBhcnNlLW5hbWVzIjpmYWxzZSwiZHJvcHBpbmctcGFydGljbGUiOiIiLCJub24tZHJvcHBpbmctcGFydGljbGUiOiIifSx7ImZhbWlseSI6Iktlbm5lZHkiLCJnaXZlbiI6Ik1lZ2FuIiwicGFyc2UtbmFtZXMiOmZhbHNlLCJkcm9wcGluZy1wYXJ0aWNsZSI6IiIsIm5vbi1kcm9wcGluZy1wYXJ0aWNsZSI6IiJ9LHsiZmFtaWx5IjoiS2ltIiwiZ2l2ZW4iOiJZZW9uZyBCYWUiLCJwYXJzZS1uYW1lcyI6ZmFsc2UsImRyb3BwaW5nLXBhcnRpY2xlIjoiIiwibm9uLWRyb3BwaW5nLXBhcnRpY2xlIjoiIn0seyJmYW1pbHkiOiJSZW4iLCJnaXZlbiI6Ikh1aSIsInBhcnNlLW5hbWVzIjpmYWxzZSwiZHJvcHBpbmctcGFydGljbGUiOiIiLCJub24tZHJvcHBpbmctcGFydGljbGUiOiIifSx7ImZhbWlseSI6IkxlZSIsImdpdmVuIjoiS2FyZW4gSy4iLCJwYXJzZS1uYW1lcyI6ZmFsc2UsImRyb3BwaW5nLXBhcnRpY2xlIjoiIiwibm9uLWRyb3BwaW5nLXBhcnRpY2xlIjoiIn1dLCJjb250YWluZXItdGl0bGUiOiJQdWJsaWMgSGVhbHRoIFJldmlld3MiLCJjb250YWluZXItdGl0bGUtc2hvcnQiOiJQdWJsaWMgSGVhbHRoIFJldi4iLCJET0kiOiIxMC4zMzg5L3BocnMuMjAyMy4xNjA1NDc0IiwiSVNTTiI6IjIxMDc2OTUyIiwiaXNzdWVkIjp7ImRhdGUtcGFydHMiOltbMjAyM11dfSwiYWJzdHJhY3QiOiJPYmplY3RpdmVzOiBUbyBwcmVzZW50IHRoZSBiZXN0IGFuZCBtb3N0IHVwLXRvLWRhdGUgZXZpZGVuY2Ugb24gYXNzb2NpYXRpb25zIGJldHdlZW4gYnVpbHQgZW52aXJvbm1lbnQgKEJFKSBhdHRyaWJ1dGVzIGFuZCBvdmVyYWxsIGFuZCBzcGVjaWZpYyBkb21haW5zIG9mIHBoeXNpY2FsIGFjdGl2aXR5IChQQSkgKGkuZS4sIGxlaXN1cmUsIHRyYW5zcG9ydCwgd2Fsa2luZywgYW5kIGN5Y2xpbmcpIGluIG9sZGVyIGFkdWx0cyAo4omlNjDCoHllYXJzKS4gTWV0aG9kczogQW4gdW1icmVsbGEgcmV2aWV3IHdhcyB1bmRlcnRha2VuIHRvIGNvbXBpbGUgZXZpZGVuY2UgZnJvbSBzeXN0ZW1hdGljIHJldmlld3MgdXNpbmcgdGhlIEpvYW5uYSBCcmlnZ3MgSW5zdGl0dXRlIG1ldGhvZG9sb2d5LiBBIGNvbXByZWhlbnNpdmUgc2VhcmNoICh1cGRhdGVkIDE2IEF1Z3VzdCAyMDIyKSwgaW5jbHVzaW9uL2V4Y2x1c2lvbiBvZiBhcnRpY2xlcyB2aWEgdGl0bGUvYWJzdHJhY3QgYW5kIGZ1bGwtdGV4dCByZXZpZXdzLCBkYXRhIGV4dHJhY3Rpb24sIGFuZCBjcml0aWNhbCBhcHByYWlzYWwgd2VyZSBjb21wbGV0ZWQuIE9ubHkgcmV2aWV3cyB3aXRoIGEgZ29vZCBjcml0aWNhbCBhcHByYWlzYWwgc2NvcmUgd2VyZSBpbmNsdWRlZC4gUmVzdWx0czogQWNyb3NzIHRocmVlIGluY2x1ZGVkIHN5c3RlbWF0aWMgcmV2aWV3cywgZWFjaCBCRSBhdHRyaWJ1dGUgY2F0ZWdvcnkgd2FzIHBvc2l0aXZlbHkgYXNzb2NpYXRlZCB3aXRoIOKJpTEgUEEgb3V0Y29tZS4gQSBsYXJnZXIgbnVtYmVyIG9mIHNpZ25pZmljYW50IGFzc29jaWF0aW9ucyB3aXRoIEJFIGF0dHJpYnV0ZXMgd2VyZSByZXBvcnRlZCBmb3IgdHJhbnNwb3J0IHdhbGtpbmcgKDEzLzI2KSwgdG90YWwgd2Fsa2luZyAoMTAvMjUpLCBhbmQgdG90YWwgUEEgKDkvMjYpLCBjb21wYXJlZCB0byBsZWlzdXJlIHdhbGtpbmcgKDQvMzQpIGFuZCB0cmFuc3BvcnQgY3ljbGluZyAoMy8xMikuIEZld2VyIGFzc29jaWF0aW9ucyBoYXZlIGJlZW4gZXhhbWluZWQgZm9yIGxlaXN1cmUgY3ljbGluZyAoMS8yKS4gQ29uY2x1c2lvbjogQWx0aG91Z2ggdGhlIGNhdXNhbGl0eSBvZiBmaW5kaW5ncyBjYW5ub3QgYmUgY29uY2x1ZGVkIGR1ZSB0byBtb3N0IHByaW1hcnkgc3R1ZGllcyBiZWluZyBjcm9zcy1zZWN0aW9uYWwsIHRoZXNlIGJlc3QgYW5kIG1vc3QgdXAtdG8tZGF0ZSBmaW5kaW5ncyBjYW4gZ3VpZGUgbmVjZXNzYXJ5IGZ1dHVyZSBsb25naXR1ZGluYWwgYW5kIGV4cGVyaW1lbnRhbCBzdHVkaWVzIGZvciB0aGUgKHJlKWRlc2lnbiBvZiBhZ2UtZnJpZW5kbHkgY29tbXVuaXRpZXMuIiwicHVibGlzaGVyIjoiRnJvbnRpZXJzIE1lZGlhIFMuQS4iLCJ2b2x1bWUiOiI0NCJ9LCJpc1RlbXBvcmFyeSI6ZmFsc2V9XX0=&quot;,&quot;citationItems&quot;:[{&quot;id&quot;:&quot;2d93738f-3ee4-3b5d-9137-fd21e866cfe2&quot;,&quot;itemData&quot;:{&quot;type&quot;:&quot;article-journal&quot;,&quot;id&quot;:&quot;2d93738f-3ee4-3b5d-9137-fd21e866cfe2&quot;,&quot;title&quot;:&quot;The neighbourhood physical environment and active travel in older adults: a systematic review and meta-analysis&quot;,&quot;author&quot;:[{&quot;family&quot;:&quot;Cerin&quot;,&quot;given&quot;:&quot;Ester&quot;,&quot;parse-names&quot;:false,&quot;dropping-particle&quot;:&quot;&quot;,&quot;non-dropping-particle&quot;:&quot;&quot;},{&quot;family&quot;:&quot;Nathan&quot;,&quot;given&quot;:&quot;Andrea&quot;,&quot;parse-names&quot;:false,&quot;dropping-particle&quot;:&quot;&quot;,&quot;non-dropping-particle&quot;:&quot;&quot;},{&quot;family&quot;:&quot;Cauwenberg&quot;,&quot;given&quot;:&quot;Jelle&quot;,&quot;parse-names&quot;:false,&quot;dropping-particle&quot;:&quot;&quot;,&quot;non-dropping-particle&quot;:&quot;van&quot;},{&quot;family&quot;:&quot;Barnett&quot;,&quot;given&quot;:&quot;David W.&quot;,&quot;parse-names&quot;:false,&quot;dropping-particle&quot;:&quot;&quot;,&quot;non-dropping-particle&quot;:&quot;&quot;},{&quot;family&quot;:&quot;Barnett&quot;,&quot;given&quot;:&quot;Anthony&quot;,&quot;parse-names&quot;:false,&quot;dropping-particle&quot;:&quot;&quot;,&quot;non-dropping-particle&quot;:&quot;&quot;}],&quot;container-title&quot;:&quot;International Journal of Behavioral Nutrition and Physical Activity 2017 14:1&quot;,&quot;accessed&quot;:{&quot;date-parts&quot;:[[2026,4,1]]},&quot;DOI&quot;:&quot;10.1186/s12966-017-0471-5&quot;,&quot;ISSN&quot;:&quot;1479-5868&quot;,&quot;PMID&quot;:&quot;28166790&quot;,&quot;URL&quot;:&quot;https://link.springer.com/article/10.1186/s12966-017-0471-5&quot;,&quot;issued&quot;:{&quot;date-parts&quot;:[[2017,2,6]]},&quot;page&quot;:&quot;15-&quot;,&quot;abstract&quot;:&quot;Perceived and objectively-assessed aspects of the neighbourhood physical environment have been postulated to be key contributors to regular engagement in active travel (AT) in older adults. We systematically reviewed the literature on neighbourhood physical environmental correlates of AT in older adults and applied a novel meta-analytic approach to statistically quantify the strength of evidence for environment-AT associations. Forty two quantitative studies that estimated associations of aspects of the neighbourhood built environment with AT in older adults (aged ≥ 65&amp;nbsp;years) and met selection criteria were reviewed and meta-analysed. Findings were analysed according to five AT outcomes (total walking for transport, within-neighbourhood walking for transport, combined walking and cycling for transport, cycling for transport, and all AT outcomes combined) and seven categories of the neighbourhood physical environment (residential density/urbanisation, walkability, street connectivity, access to/availability of services/destinations, pedestrian and cycling infrastructure, aesthetics and cleanliness/order, and safety and traffic). Most studies examined correlates of total walking for transport. A sufficient amount of evidence of positive associations with total walking for transport was found for residential density/urbanisation, walkability, street connectivity, overall access to destinations/services, land use mix, pedestrian-friendly features and access to several types of destinations. Littering/vandalism/decay was negatively related to total walking for transport. Limited evidence was available on correlates of cycling and combined walking and cycling for transport, while sufficient evidence emerged for a positive association of within-neighbourhood walking with pedestrian-friendly features and availability of benches/sitting facilities. Correlates of all AT combined mirrored those of walking for transport. Positive associations were also observed with food outlets, business/institutional/industrial destinations, availability of street lights, easy access to building entrance and human and motorised traffic volume. Several but inconsistent individual- and environmental-level moderators of associations were identified. Results support strong links between the neighbourhood physical environment and older adults’ AT. Future research should focus on the identification of types and mixes of destinations that support AT in older adults and how these interact with individual characteristics and other environmental factors. Future research should also aim to clarify dose-response relationships through multi-country investigations and data-pooling from diverse geographical regions.&quot;,&quot;publisher&quot;:&quot;BioMed Central&quot;,&quot;issue&quot;:&quot;1&quot;,&quot;volume&quot;:&quot;14&quot;,&quot;container-title-short&quot;:&quot;&quot;},&quot;isTemporary&quot;:false},{&quot;id&quot;:&quot;5528fc13-bfb3-3048-a372-4add6e89a11e&quot;,&quot;itemData&quot;:{&quot;type&quot;:&quot;article&quot;,&quot;id&quot;:&quot;5528fc13-bfb3-3048-a372-4add6e89a11e&quot;,&quot;title&quot;:&quot;An Umbrella Review of the Best and Most Up-to-Date Evidence on the Built Environment and Physical Activity in Older Adults ≥60 Years&quot;,&quot;author&quot;:[{&quot;family&quot;:&quot;Stearns&quot;,&quot;given&quot;:&quot;Jodie A.&quot;,&quot;parse-names&quot;:false,&quot;dropping-particle&quot;:&quot;&quot;,&quot;non-dropping-particle&quot;:&quot;&quot;},{&quot;family&quot;:&quot;Avedzi&quot;,&quot;given&quot;:&quot;Hayford M.&quot;,&quot;parse-names&quot;:false,&quot;dropping-particle&quot;:&quot;&quot;,&quot;non-dropping-particle&quot;:&quot;&quot;},{&quot;family&quot;:&quot;Yim&quot;,&quot;given&quot;:&quot;Desmond&quot;,&quot;parse-names&quot;:false,&quot;dropping-particle&quot;:&quot;&quot;,&quot;non-dropping-particle&quot;:&quot;&quot;},{&quot;family&quot;:&quot;Spence&quot;,&quot;given&quot;:&quot;John C.&quot;,&quot;parse-names&quot;:false,&quot;dropping-particle&quot;:&quot;&quot;,&quot;non-dropping-particle&quot;:&quot;&quot;},{&quot;family&quot;:&quot;Labbaf&quot;,&quot;given&quot;:&quot;Farshad&quot;,&quot;parse-names&quot;:false,&quot;dropping-particle&quot;:&quot;&quot;,&quot;non-dropping-particle&quot;:&quot;&quot;},{&quot;family&quot;:&quot;Lamboglia&quot;,&quot;given&quot;:&quot;Carminda G.&quot;,&quot;parse-names&quot;:false,&quot;dropping-particle&quot;:&quot;&quot;,&quot;non-dropping-particle&quot;:&quot;&quot;},{&quot;family&quot;:&quot;Ko&quot;,&quot;given&quot;:&quot;Fiona&quot;,&quot;parse-names&quot;:false,&quot;dropping-particle&quot;:&quot;&quot;,&quot;non-dropping-particle&quot;:&quot;&quot;},{&quot;family&quot;:&quot;Farmer&quot;,&quot;given&quot;:&quot;Ciara&quot;,&quot;parse-names&quot;:false,&quot;dropping-particle&quot;:&quot;&quot;,&quot;non-dropping-particle&quot;:&quot;&quot;},{&quot;family&quot;:&quot;Lytvyak&quot;,&quot;given&quot;:&quot;Ellina&quot;,&quot;parse-names&quot;:false,&quot;dropping-particle&quot;:&quot;&quot;,&quot;non-dropping-particle&quot;:&quot;&quot;},{&quot;family&quot;:&quot;Kennedy&quot;,&quot;given&quot;:&quot;Megan&quot;,&quot;parse-names&quot;:false,&quot;dropping-particle&quot;:&quot;&quot;,&quot;non-dropping-particle&quot;:&quot;&quot;},{&quot;family&quot;:&quot;Kim&quot;,&quot;given&quot;:&quot;Yeong Bae&quot;,&quot;parse-names&quot;:false,&quot;dropping-particle&quot;:&quot;&quot;,&quot;non-dropping-particle&quot;:&quot;&quot;},{&quot;family&quot;:&quot;Ren&quot;,&quot;given&quot;:&quot;Hui&quot;,&quot;parse-names&quot;:false,&quot;dropping-particle&quot;:&quot;&quot;,&quot;non-dropping-particle&quot;:&quot;&quot;},{&quot;family&quot;:&quot;Lee&quot;,&quot;given&quot;:&quot;Karen K.&quot;,&quot;parse-names&quot;:false,&quot;dropping-particle&quot;:&quot;&quot;,&quot;non-dropping-particle&quot;:&quot;&quot;}],&quot;container-title&quot;:&quot;Public Health Reviews&quot;,&quot;container-title-short&quot;:&quot;Public Health Rev.&quot;,&quot;DOI&quot;:&quot;10.3389/phrs.2023.1605474&quot;,&quot;ISSN&quot;:&quot;21076952&quot;,&quot;issued&quot;:{&quot;date-parts&quot;:[[2023]]},&quot;abstract&quot;:&quot;Objectives: To present the best and most up-to-date evidence on associations between built environment (BE) attributes and overall and specific domains of physical activity (PA) (i.e., leisure, transport, walking, and cycling) in older adults (≥60 years). Methods: An umbrella review was undertaken to compile evidence from systematic reviews using the Joanna Briggs Institute methodology. A comprehensive search (updated 16 August 2022), inclusion/exclusion of articles via title/abstract and full-text reviews, data extraction, and critical appraisal were completed. Only reviews with a good critical appraisal score were included. Results: Across three included systematic reviews, each BE attribute category was positively associated with ≥1 PA outcome. A larger number of significant associations with BE attributes were reported for transport walking (13/26), total walking (10/25), and total PA (9/26), compared to leisure walking (4/34) and transport cycling (3/12). Fewer associations have been examined for leisure cycling (1/2). Conclusion: Although the causality of findings cannot be concluded due to most primary studies being cross-sectional, these best and most up-to-date findings can guide necessary future longitudinal and experimental studies for the (re)design of age-friendly communities.&quot;,&quot;publisher&quot;:&quot;Frontiers Media S.A.&quot;,&quot;volume&quot;:&quot;44&quot;},&quot;isTemporary&quot;:false}]},{&quot;citationID&quot;:&quot;MENDELEY_CITATION_c9551cf0-658d-43e0-9313-3731401bd22f&quot;,&quot;properties&quot;:{&quot;noteIndex&quot;:0},&quot;isEdited&quot;:false,&quot;manualOverride&quot;:{&quot;isManuallyOverridden&quot;:false,&quot;citeprocText&quot;:&quot;(Veitch et al., 2020)&quot;,&quot;manualOverrideText&quot;:&quot;&quot;},&quot;citationTag&quot;:&quot;MENDELEY_CITATION_v3_eyJjaXRhdGlvbklEIjoiTUVOREVMRVlfQ0lUQVRJT05fYzk1NTFjZjAtNjU4ZC00M2UwLTkzMTMtMzczMTQwMWJkMjJmIiwicHJvcGVydGllcyI6eyJub3RlSW5kZXgiOjB9LCJpc0VkaXRlZCI6ZmFsc2UsIm1hbnVhbE92ZXJyaWRlIjp7ImlzTWFudWFsbHlPdmVycmlkZGVuIjpmYWxzZSwiY2l0ZXByb2NUZXh0IjoiKFZlaXRjaCBldCBhbC4sIDIwMjApIiwibWFudWFsT3ZlcnJpZGVUZXh0IjoiIn0sImNpdGF0aW9uSXRlbXMiOlt7ImlkIjoiNGU5MDAxMDktNGUzZC0zMjViLWEwODMtMGNiYjIxZDcwOWRjIiwiaXRlbURhdGEiOnsidHlwZSI6ImFydGljbGUtam91cm5hbCIsImlkIjoiNGU5MDAxMDktNGUzZC0zMjViLWEwODMtMGNiYjIxZDcwOWRjIiwidGl0bGUiOiJEZXNpZ25pbmcgcGFya3MgZm9yIG9sZGVyIGFkdWx0czogQSBxdWFsaXRhdGl2ZSBzdHVkeSB1c2luZyB3YWxrLWFsb25nIGludGVydmlld3MiLCJhdXRob3IiOlt7ImZhbWlseSI6IlZlaXRjaCIsImdpdmVuIjoiSmVubnkiLCJwYXJzZS1uYW1lcyI6ZmFsc2UsImRyb3BwaW5nLXBhcnRpY2xlIjoiIiwibm9uLWRyb3BwaW5nLXBhcnRpY2xlIjoiIn0seyJmYW1pbHkiOiJGbG93ZXJzIiwiZ2l2ZW4iOiJFbGxpb3R0IiwicGFyc2UtbmFtZXMiOmZhbHNlLCJkcm9wcGluZy1wYXJ0aWNsZSI6IiIsIm5vbi1kcm9wcGluZy1wYXJ0aWNsZSI6IiJ9LHsiZmFtaWx5IjoiQmFsbCIsImdpdmVuIjoiS3lsaWUiLCJwYXJzZS1uYW1lcyI6ZmFsc2UsImRyb3BwaW5nLXBhcnRpY2xlIjoiIiwibm9uLWRyb3BwaW5nLXBhcnRpY2xlIjoiIn0seyJmYW1pbHkiOiJEZWZvcmNoZSIsImdpdmVuIjoiQmVuZWRpY3RlIiwicGFyc2UtbmFtZXMiOmZhbHNlLCJkcm9wcGluZy1wYXJ0aWNsZSI6IiIsIm5vbi1kcm9wcGluZy1wYXJ0aWNsZSI6IiJ9LHsiZmFtaWx5IjoiVGltcGVyaW8iLCJnaXZlbiI6IkFubmEiLCJwYXJzZS1uYW1lcyI6ZmFsc2UsImRyb3BwaW5nLXBhcnRpY2xlIjoiIiwibm9uLWRyb3BwaW5nLXBhcnRpY2xlIjoiIn1dLCJjb250YWluZXItdGl0bGUiOiJVcmJhbiBGb3Jlc3RyeSBhbmQgVXJiYW4gR3JlZW5pbmciLCJjb250YWluZXItdGl0bGUtc2hvcnQiOiJVcmJhbiBGb3IuIFVyYmFuIEdyZWVuLiIsIkRPSSI6IjEwLjEwMTYvai51ZnVnLjIwMjAuMTI2NzY4IiwiSVNTTiI6IjE2MTA4MTY3IiwiaXNzdWVkIjp7ImRhdGUtcGFydHMiOltbMjAyMCwxMCwxXV19LCJhYnN0cmFjdCI6IlRoZSBwcm9wb3J0aW9uIG9mIG9sZGVyIGFkdWx0cyBpbiB0aGUgcG9wdWxhdGlvbiBpcyBpbmNyZWFzaW5nIGFuZCBhZ2VpbmcgaXMgYXNzb2NpYXRlZCB3aXRoIHBvb3JlciBwaHlzaWNhbCwgbWVudGFsIGFuZCBzb2NpYWwgaGVhbHRoLiBIZW5jZSwgdGhlcmUgaXMgaW5jcmVhc2luZyBuZWVkIGZvciBjb21tdW5pdHkgZmFjaWxpdGllcyB0aGF0IGFyZSBhcHBlYWxpbmcgYW5kIHN1aXRhYmxlIHRvIG9sZGVyIGFkdWx0cyBhbmQgcHJvbW90ZSBnb29kIGhlYWx0aCBhbmQgd2VsbC1iZWluZy4gVmlzaXRpbmcgcGFya3MgaGFzIGJlZW4gc2hvd24gdG8gZmFjaWxpdGF0ZSBhIG11bHRpdHVkZSBvZiBwaHlzaWNhbCwgcHN5Y2hvbG9naWNhbCwgYW5kIHNvY2lhbCBoZWFsdGggYmVuZWZpdHM7IGhvd2V2ZXIsIHRoZSBmcmVxdWVuY3kgb2YgcGFyayB2aXNpdGF0aW9uIGJ5IG9sZGVyIGFkdWx0cyBpcyBsb3cuIEEgYmV0dGVyIHVuZGVyc3RhbmRpbmcgb2YgdGhlIG5lZWRzIGFuZCBwcmVmZXJlbmNlcyBvZiBwYXJrIGZlYXR1cmVzIGFtb25nIG9sZGVyIGFkdWx0cyB3aWxsIGhlbHAgcGFyayBkZXNpZ25lcnMgdG8gY3JlYXRlIHBhcmtzIHRoYXQgZW5jb3VyYWdlIHRoZWlyIHZpc2l0YXRpb24uIFRoZSBhaW0gb2YgdGhpcyBxdWFsaXRhdGl2ZSB3YWxrLWFsb25nIHN0dWR5IHdhcyB0byBleHBsb3JlIHBhcmsgZmVhdHVyZXMgdGhhdCBpbmZsdWVuY2UgcGFyayB2aXNpdGF0aW9uLCBwYXJrLWJhc2VkIHBoeXNpY2FsIGFjdGl2aXR5IGFuZCBzb2NpYWwgaW50ZXJhY3Rpb24gYW1vbmcgb2xkZXIgYWR1bHRzICg2NSsgeWVhcnMpLiBQYXJ0aWNpcGFudHMgKG4gPSAzMCwgbWVhbiBhZ2UgPSA3NC45IHllYXJzIFtzZCA1LjQpXSwgNTAgJSBmZW1hbGUpIHdlcmUgaW50ZXJ2aWV3ZWQgYnkgYSByZXNlYXJjaGVyIHdoaWxlIHdhbGtpbmcgaW4gb25lIG9mIGVpZ2h0IGRpdmVyc2UgcGFya3MgbG9jYXRlZCBpbiB2YXJ5aW5nIHNvY2lvLWVjb25vbWljIHN0YXR1cyBhcmVhcyBvZiBtZXRyb3BvbGl0YW4gTWVsYm91cm5lLCBBdXN0cmFsaWEuIEFsbCBpbnRlcnZpZXdzIHdlcmUgdHJhbnNjcmliZWQgdmVyYmF0aW0gYW5kIGFuYWx5c2VkIHVzaW5nIE5WaXZvIDEyIHNvZnR3YXJlLiBQYXJ0aWNpcGFudHMgcHJpbWFyaWx5IHJlcG9ydGVkIHVzaW5nIHBhcmtzIGZvciB3YWxraW5nLCBzaXR0aW5nL3JlbGF4aW5nLCBlbmpveWluZyBuYXR1cmUgYW5kIHNvY2lhbGlzaW5nIHdpdGggb3RoZXJzIGFuZCB3YWxraW5nIHdhcyB0aGUgcHJlZmVycmVkIHBhcmstYmFzZWQgYWN0aXZpdHkuIFBhcmsgZmVhdHVyZXMgaGlnaGx5IHZhbHVlZCBmb3IgdmlzaXRhdGlvbiBpbmNsdWRlZDogYSB3ZWxsLW1haW50YWluZWQsIHBlYWNlZnVsIGFuZCBhdHRyYWN0aXZlIGVudmlyb25tZW50IHdpdGggZXN0YWJsaXNoZWQgdHJlZXMsIGdhcmRlbnMgYW5kIGJpcmRsaWZlOyBzZWF0aW5nOyBwbGVhc2FudCBwYXRoczsgdG9pbGV0czsgY2Fmw6lzOyB3YXRlciBmZWF0dXJlczsgc2hhZGUvc2hlbHRlcjsgZmFjaWxpdGllcyBmb3IgZ3JhbmRjaGlsZHJlbjsgYW5kIHRoZSBwcmVzZW5jZSBvZiBvdGhlciBwZW9wbGUuIEZlYXR1cmVzIG1vc3QgdmFsdWVkIGZvciBwaHlzaWNhbCBhY3Rpdml0eSBpbmNsdWRlZCB3YWxraW5nIHBhdGhzLCBvcmdhbmlzZWQgYWN0aXZpdGllcywgYW5kIGZpdG5lc3MgZXF1aXBtZW50LiBGZWF0dXJlcyBtb3N0IHZhbHVlZCBmb3Igc29jaWFsIGludGVyYWN0aW9uIGluY2x1ZGVkIHBpY25pYy9iYXJiZWN1ZSBmYWNpbGl0aWVzLCBvcmdhbmlzZWQgZXZlbnRzLCBhIGNhZsOpIGFuZCBhZXN0aGV0aWNzLiBUaGlzIGV2aWRlbmNlIGlzIGltcG9ydGFudCBmb3IgcG9saWN5IGFuZCBkZWNpc2lvbiBtYWtlcnMsIHVyYmFuIHBsYW5uaW5nLCBsYW5kc2NhcGUgYXJjaGl0ZWN0cywgYW5kIGxvY2FsLCBzdGF0ZSBhbmQgbmF0aW9uYWwgZ292ZXJubWVudCBvcmdhbmlzYXRpb25zIHRvIGVuc3VyZSBvdXIgcGFya3MgYXJlIGRlc2lnbmVkIHRvIHN1cHBvcnQgb2xkZXIgYWR1bHRzIHRvIGxlYWQgaGVhbHRoeSBhbmQgYWN0aXZlIGxpdmVzLiIsInB1Ymxpc2hlciI6IkVsc2V2aWVyIEdtYkgiLCJ2b2x1bWUiOiI1NCJ9LCJpc1RlbXBvcmFyeSI6ZmFsc2UsInN1cHByZXNzLWF1dGhvciI6ZmFsc2UsImNvbXBvc2l0ZSI6ZmFsc2UsImF1dGhvci1vbmx5IjpmYWxzZX1dfQ==&quot;,&quot;citationItems&quot;:[{&quot;id&quot;:&quot;4e900109-4e3d-325b-a083-0cbb21d709dc&quot;,&quot;itemData&quot;:{&quot;type&quot;:&quot;article-journal&quot;,&quot;id&quot;:&quot;4e900109-4e3d-325b-a083-0cbb21d709dc&quot;,&quot;title&quot;:&quot;Designing parks for older adults: A qualitative study using walk-along interviews&quot;,&quot;author&quot;:[{&quot;family&quot;:&quot;Veitch&quot;,&quot;given&quot;:&quot;Jenny&quot;,&quot;parse-names&quot;:false,&quot;dropping-particle&quot;:&quot;&quot;,&quot;non-dropping-particle&quot;:&quot;&quot;},{&quot;family&quot;:&quot;Flowers&quot;,&quot;given&quot;:&quot;Elliott&quot;,&quot;parse-names&quot;:false,&quot;dropping-particle&quot;:&quot;&quot;,&quot;non-dropping-particle&quot;:&quot;&quot;},{&quot;family&quot;:&quot;Ball&quot;,&quot;given&quot;:&quot;Kylie&quot;,&quot;parse-names&quot;:false,&quot;dropping-particle&quot;:&quot;&quot;,&quot;non-dropping-particle&quot;:&quot;&quot;},{&quot;family&quot;:&quot;Deforche&quot;,&quot;given&quot;:&quot;Benedicte&quot;,&quot;parse-names&quot;:false,&quot;dropping-particle&quot;:&quot;&quot;,&quot;non-dropping-particle&quot;:&quot;&quot;},{&quot;family&quot;:&quot;Timperio&quot;,&quot;given&quot;:&quot;Anna&quot;,&quot;parse-names&quot;:false,&quot;dropping-particle&quot;:&quot;&quot;,&quot;non-dropping-particle&quot;:&quot;&quot;}],&quot;container-title&quot;:&quot;Urban Forestry and Urban Greening&quot;,&quot;container-title-short&quot;:&quot;Urban For. Urban Green.&quot;,&quot;DOI&quot;:&quot;10.1016/j.ufug.2020.126768&quot;,&quot;ISSN&quot;:&quot;16108167&quot;,&quot;issued&quot;:{&quot;date-parts&quot;:[[2020,10,1]]},&quot;abstract&quot;:&quot;The proportion of older adults in the population is increasing and ageing is associated with poorer physical, mental and social health. Hence, there is increasing need for community facilities that are appealing and suitable to older adults and promote good health and well-being. Visiting parks has been shown to facilitate a multitude of physical, psychological, and social health benefits; however, the frequency of park visitation by older adults is low. A better understanding of the needs and preferences of park features among older adults will help park designers to create parks that encourage their visitation. The aim of this qualitative walk-along study was to explore park features that influence park visitation, park-based physical activity and social interaction among older adults (65+ years). Participants (n = 30, mean age = 74.9 years [sd 5.4)], 50 % female) were interviewed by a researcher while walking in one of eight diverse parks located in varying socio-economic status areas of metropolitan Melbourne, Australia. All interviews were transcribed verbatim and analysed using NVivo 12 software. Participants primarily reported using parks for walking, sitting/relaxing, enjoying nature and socialising with others and walking was the preferred park-based activity. Park features highly valued for visitation included: a well-maintained, peaceful and attractive environment with established trees, gardens and birdlife; seating; pleasant paths; toilets; cafés; water features; shade/shelter; facilities for grandchildren; and the presence of other people. Features most valued for physical activity included walking paths, organised activities, and fitness equipment. Features most valued for social interaction included picnic/barbecue facilities, organised events, a café and aesthetics. This evidence is important for policy and decision makers, urban planning, landscape architects, and local, state and national government organisations to ensure our parks are designed to support older adults to lead healthy and active lives.&quot;,&quot;publisher&quot;:&quot;Elsevier GmbH&quot;,&quot;volume&quot;:&quot;54&quot;},&quot;isTemporary&quot;:false,&quot;suppress-author&quot;:false,&quot;composite&quot;:false,&quot;author-only&quot;:false}]},{&quot;citationID&quot;:&quot;MENDELEY_CITATION_f8b15a42-72de-417d-9629-6951c92100ad&quot;,&quot;properties&quot;:{&quot;noteIndex&quot;:0},&quot;isEdited&quot;:false,&quot;manualOverride&quot;:{&quot;isManuallyOverridden&quot;:false,&quot;citeprocText&quot;:&quot;(Hwang et al., 2025)&quot;,&quot;manualOverrideText&quot;:&quot;&quot;},&quot;citationTag&quot;:&quot;MENDELEY_CITATION_v3_eyJjaXRhdGlvbklEIjoiTUVOREVMRVlfQ0lUQVRJT05fZjhiMTVhNDItNzJkZS00MTdkLTk2MjktNjk1MWM5MjEwMGFkIiwicHJvcGVydGllcyI6eyJub3RlSW5kZXgiOjB9LCJpc0VkaXRlZCI6ZmFsc2UsIm1hbnVhbE92ZXJyaWRlIjp7ImlzTWFudWFsbHlPdmVycmlkZGVuIjpmYWxzZSwiY2l0ZXByb2NUZXh0IjoiKEh3YW5nIGV0IGFsLiwgMjAyNSkiLCJtYW51YWxPdmVycmlkZVRleHQiOiIifSwiY2l0YXRpb25JdGVtcyI6W3siaWQiOiIxOTdmMzI5OC0xMThmLTNmMWEtYTZmMC0xZDJhMjU2OWM0YmEiLCJpdGVtRGF0YSI6eyJ0eXBlIjoiYXJ0aWNsZS1qb3VybmFsIiwiaWQiOiIxOTdmMzI5OC0xMThmLTNmMWEtYTZmMC0xZDJhMjU2OWM0YmEiLCJ0aXRsZSI6Ik11bHRpdmFyaWF0ZSBhbmFseXNpcyBvZiBmcmVxdWVuY3ksIGR1cmF0aW9uIGFuZCBjb21wYW5pb25zaGlwIGluIHdhbGtpbmcgYmVoYXZpb3JzIGFtb25nIGFkdWx0cyBvdmVyIDUwIiwiYXV0aG9yIjpbeyJmYW1pbHkiOiJId2FuZyIsImdpdmVuIjoiSHl1bmp1biIsInBhcnNlLW5hbWVzIjpmYWxzZSwiZHJvcHBpbmctcGFydGljbGUiOiIiLCJub24tZHJvcHBpbmctcGFydGljbGUiOiIifSx7ImZhbWlseSI6IkhhZGRhZCIsImdpdmVuIjoiQW5nZWxhIEouIiwicGFyc2UtbmFtZXMiOmZhbHNlLCJkcm9wcGluZy1wYXJ0aWNsZSI6IiIsIm5vbi1kcm9wcGluZy1wYXJ0aWNsZSI6IiJ9LHsiZmFtaWx5IjoiQmhhdCIsImdpdmVuIjoiQ2hhbmRyYSBSLiIsInBhcnNlLW5hbWVzIjpmYWxzZSwiZHJvcHBpbmctcGFydGljbGUiOiIiLCJub24tZHJvcHBpbmctcGFydGljbGUiOiIifV0sImNvbnRhaW5lci10aXRsZSI6IkpvdXJuYWwgb2YgVHJhbnNwb3J0IGFuZCBIZWFsdGgiLCJjb250YWluZXItdGl0bGUtc2hvcnQiOiJKLiBUcmFuc3AuIEhlYWx0aCIsIkRPSSI6IjEwLjEwMTYvai5qdGguMjAyNS4xMDIxNjEiLCJJU1NOIjoiMjIxNDE0MTMiLCJpc3N1ZWQiOnsiZGF0ZS1wYXJ0cyI6W1syMDI1LDEwLDFdXX0sImFic3RyYWN0IjoiSW50cm9kdWN0aW9uOiBQaHlzaWNhbCBhY3Rpdml0eSBpcyBlc3NlbnRpYWwgZm9yIG1haW50YWluaW5nIG1lbnRhbCBhbmQgcGh5c2ljYWwgaGVhbHRoLiBEZXNwaXRlIGl0cyBiZW5lZml0cywgb2xkZXIgYWR1bHRzIGZhbGwgc2hvcnQgb2YgdGhlIHJlY29tbWVuZGVkIHBoeXNpY2FsIGFjdGl2aXR5IGxldmVscy4gV2Fsa2luZywgaW4gcGFydGljdWxhciwgb2ZmZXJzIHNpZ25pZmljYW50IGFkdmFudGFnZXMgZm9yIG9sZGVyIGFkdWx0cyBiZWNhdXNlIG9mIGl0cyBsb3ctaW1wYWN0IG5hdHVyZSBhbmQgbG93ZXIgbGlrZWxpaG9vZCBvZiBzZXJpb3VzIGluanVyaWVzLiBUaGlzIHBhcGVyIGV4YW1pbmVzIHRocmVlIGtleSBkaW1lbnNpb25zIG9mIHdhbGtpbmcgYmVoYXZpb3IgYW1vbmcgYWR1bHRzIGFnZWQgNTAgYW5kIG9sZGVyOiBmcmVxdWVuY3ksIGR1cmF0aW9uLCBhbmQgc29jaWFsIGNvbXBhbmlvbnNoaXAgKFNDKS4gTWV0aG9kczogVXRpbGl6aW5nIGRhdGEgZnJvbSB0aGUgMjAyMiBBbWVyaWNhbiBBc3NvY2lhdGlvbiBvZiBSZXRpcmVkIFBlcnNvbnMgKEFBUlApIFdhbGtpbmcgU3VydmV5LCBhbmQgZW1wbG95aW5nIGEgam9pbnQgbW9kZWxpbmcgYXBwcm9hY2gsIHdlIGlkZW50aWZ5IHRoZSBmYWN0b3JzIGluZmx1ZW5jaW5nIGVhY2ggb2YgdGhlIHRocmVlIGRpbWVuc2lvbnMgb2Ygd2Fsa2luZyBiZWhhdmlvci4gUmVzdWx0czogT3VyIGZpbmRpbmdzIHN1Z2dlc3QgdGhhdCBvbGRlciB1bmVtcGxveWVkIGFkdWx0cyBmcm9tIGxvdy1pbmNvbWUvbWlub3JpdHkgaG91c2Vob2xkcywgd29tZW4sIGFuZCBpbmRpdmlkdWFscyBpbiBob3VzZWhvbGRzIHdpdGggY2hpbGRyZW4gdGVuZCB0byB3YWxrIGxlc3MgZnJlcXVlbnRseSBhbmQgZm9yIHNob3J0ZXIgZHVyYXRpb25zLiBIYXZpbmcgc29jaWFsIGNvbXBhbnkgb24gd2Fsa3MgaGFzIHRoZSBoaWdoZXN0IHBvc2l0aXZlIGVmZmVjdCBvbiBib3RoIHdhbGtpbmcgZnJlcXVlbmN5IGFuZCBkdXJhdGlvbiwgZG9taW5hdGluZyBvdmVyIG90aGVyIHNvY2lvZGVtb2dyYXBoaWMgZmFjdG9ycy4gVGhlIHJlc3VsdHMgYWxzbyBwb2ludCB0byBzcGVjaWZpYyBwb3B1bGF0aW9uIHNlZ21lbnRzOiBzcGVjaWZpY2FsbHkgQmxhY2sgaW5kaXZpZHVhbHMsIHRob3NlIGVtcGxveWVkLCBhbmQgc2luZ2xlIGFkdWx0cywgd2FsayBsZXNzIGluIGdyb3Vwcywgd2hpbGUgdGhvc2UgaW4gaG91c2Vob2xkcyB3aXRoIGNoaWxkcmVuIHdhbGsgbW9yZSBpbiBncm91cHMuIENvbmNsdXNpb25zOiBUaGUgZmluZGluZ3MgaGlnaGxpZ2h0IHRoZSBpbXBvcnRhbmNlIG9mIGNvbnNpZGVyaW5nIHNvY2lhbCBhc3BlY3RzIGluIHVuZGVyc3RhbmRpbmcgd2Fsa2luZyBiZWhhdmlvciwgYW5kIGNhbGwgZm9yIHBvbGljaWVzIHRoYXQgZm9zdGVyIGdyb3VwIHdhbGtpbmcgcHJvZ3JhbXMsIGVuaGFuY2Ugc2FmZSBhbmQgYWdlLWZyaWVuZGx5IHdhbGtpbmcgZW52aXJvbm1lbnRzLCBhbmQgaW1wbGVtZW50IGN1c3RvbWl6ZWQgYXdhcmVuZXNzL2luY2VudGl2ZSBpbml0aWF0aXZlcyB0byBpbmNyZWFzZSBwaHlzaWNhbCBhY3Rpdml0eSBhbmQgcHJvdmlkZSBlcXVpdGFibGUgYWNjZXNzIHRvIHRoZSBtYW55IGhlYWx0aCBiZW5lZml0cyBvZiB3YWxraW5nLiIsInB1Ymxpc2hlciI6IkVsc2V2aWVyIEx0ZCIsInZvbHVtZSI6IjQ0In0sImlzVGVtcG9yYXJ5IjpmYWxzZSwic3VwcHJlc3MtYXV0aG9yIjpmYWxzZSwiY29tcG9zaXRlIjpmYWxzZSwiYXV0aG9yLW9ubHkiOmZhbHNlfV19&quot;,&quot;citationItems&quot;:[{&quot;id&quot;:&quot;197f3298-118f-3f1a-a6f0-1d2a2569c4ba&quot;,&quot;itemData&quot;:{&quot;type&quot;:&quot;article-journal&quot;,&quot;id&quot;:&quot;197f3298-118f-3f1a-a6f0-1d2a2569c4ba&quot;,&quot;title&quot;:&quot;Multivariate analysis of frequency, duration and companionship in walking behaviors among adults over 50&quot;,&quot;author&quot;:[{&quot;family&quot;:&quot;Hwang&quot;,&quot;given&quot;:&quot;Hyunjun&quot;,&quot;parse-names&quot;:false,&quot;dropping-particle&quot;:&quot;&quot;,&quot;non-dropping-particle&quot;:&quot;&quot;},{&quot;family&quot;:&quot;Haddad&quot;,&quot;given&quot;:&quot;Angela J.&quot;,&quot;parse-names&quot;:false,&quot;dropping-particle&quot;:&quot;&quot;,&quot;non-dropping-particle&quot;:&quot;&quot;},{&quot;family&quot;:&quot;Bhat&quot;,&quot;given&quot;:&quot;Chandra R.&quot;,&quot;parse-names&quot;:false,&quot;dropping-particle&quot;:&quot;&quot;,&quot;non-dropping-particle&quot;:&quot;&quot;}],&quot;container-title&quot;:&quot;Journal of Transport and Health&quot;,&quot;container-title-short&quot;:&quot;J. Transp. Health&quot;,&quot;DOI&quot;:&quot;10.1016/j.jth.2025.102161&quot;,&quot;ISSN&quot;:&quot;22141413&quot;,&quot;issued&quot;:{&quot;date-parts&quot;:[[2025,10,1]]},&quot;abstract&quot;:&quot;Introduction: Physical activity is essential for maintaining mental and physical health. Despite its benefits, older adults fall short of the recommended physical activity levels. Walking, in particular, offers significant advantages for older adults because of its low-impact nature and lower likelihood of serious injuries. This paper examines three key dimensions of walking behavior among adults aged 50 and older: frequency, duration, and social companionship (SC). Methods: Utilizing data from the 2022 American Association of Retired Persons (AARP) Walking Survey, and employing a joint modeling approach, we identify the factors influencing each of the three dimensions of walking behavior. Results: Our findings suggest that older unemployed adults from low-income/minority households, women, and individuals in households with children tend to walk less frequently and for shorter durations. Having social company on walks has the highest positive effect on both walking frequency and duration, dominating over other sociodemographic factors. The results also point to specific population segments: specifically Black individuals, those employed, and single adults, walk less in groups, while those in households with children walk more in groups. Conclusions: The findings highlight the importance of considering social aspects in understanding walking behavior, and call for policies that foster group walking programs, enhance safe and age-friendly walking environments, and implement customized awareness/incentive initiatives to increase physical activity and provide equitable access to the many health benefits of walking.&quot;,&quot;publisher&quot;:&quot;Elsevier Ltd&quot;,&quot;volume&quot;:&quot;44&quot;},&quot;isTemporary&quot;:false,&quot;suppress-author&quot;:false,&quot;composite&quot;:false,&quot;author-only&quot;:false}]},{&quot;citationID&quot;:&quot;MENDELEY_CITATION_3ada1a4e-84cd-45d3-99a3-0386dbc59676&quot;,&quot;properties&quot;:{&quot;noteIndex&quot;:0},&quot;isEdited&quot;:false,&quot;manualOverride&quot;:{&quot;isManuallyOverridden&quot;:false,&quot;citeprocText&quot;:&quot;(Mwaka et al., 2026)&quot;,&quot;manualOverrideText&quot;:&quot;&quot;},&quot;citationTag&quot;:&quot;MENDELEY_CITATION_v3_eyJjaXRhdGlvbklEIjoiTUVOREVMRVlfQ0lUQVRJT05fM2FkYTFhNGUtODRjZC00NWQzLTk5YTMtMDM4NmRiYzU5Njc2IiwicHJvcGVydGllcyI6eyJub3RlSW5kZXgiOjB9LCJpc0VkaXRlZCI6ZmFsc2UsIm1hbnVhbE92ZXJyaWRlIjp7ImlzTWFudWFsbHlPdmVycmlkZGVuIjpmYWxzZSwiY2l0ZXByb2NUZXh0IjoiKE13YWthIGV0IGFsLiwgMjAyNikiLCJtYW51YWxPdmVycmlkZVRleHQiOiIifSwiY2l0YXRpb25JdGVtcyI6W3siaWQiOiIzYzFiZTU3My1mMWI0LTNiNDktYmYzNC0wNjMyYjNhNmMxYjEiLCJpdGVtRGF0YSI6eyJ0eXBlIjoiYXJ0aWNsZSIsImlkIjoiM2MxYmU1NzMtZjFiNC0zYjQ5LWJmMzQtMDYzMmIzYTZjMWIxIiwidGl0bGUiOiJUcmF2ZWwgdHJhaW5pbmcgcHJvZ3JhbSBhbW9uZyBhZHVsdHMgd2l0aCBkaXNhYmlsaXRpZXM6IEEgc3lzdGVtYXRpYyByZXZpZXciLCJhdXRob3IiOlt7ImZhbWlseSI6Ik13YWthIiwiZ2l2ZW4iOiJDbGF1ZGVsIFIuIiwicGFyc2UtbmFtZXMiOmZhbHNlLCJkcm9wcGluZy1wYXJ0aWNsZSI6IiIsIm5vbi1kcm9wcGluZy1wYXJ0aWNsZSI6IiJ9LHsiZmFtaWx5IjoiQmVzdCIsImdpdmVuIjoiS3Jpc3RhIEwuIiwicGFyc2UtbmFtZXMiOmZhbHNlLCJkcm9wcGluZy1wYXJ0aWNsZSI6IiIsIm5vbi1kcm9wcGluZy1wYXJ0aWNsZSI6IiJ9LHsiZmFtaWx5IjoiQ2hhbmciLCJnaXZlbiI6Ik5hdGhhbiIsInBhcnNlLW5hbWVzIjpmYWxzZSwiZHJvcHBpbmctcGFydGljbGUiOiIiLCJub24tZHJvcHBpbmctcGFydGljbGUiOiIifSx7ImZhbWlseSI6IkdhZ25vbiIsImdpdmVuIjoiTWFydGluZSIsInBhcnNlLW5hbWVzIjpmYWxzZSwiZHJvcHBpbmctcGFydGljbGUiOiIiLCJub24tZHJvcHBpbmctcGFydGljbGUiOiIifSx7ImZhbWlseSI6IlJvdXRoaWVyIiwiZ2l2ZW4iOiJGcmFuw6dvaXMiLCJwYXJzZS1uYW1lcyI6ZmFsc2UsImRyb3BwaW5nLXBhcnRpY2xlIjoiIiwibm9uLWRyb3BwaW5nLXBhcnRpY2xlIjoiIn1dLCJjb250YWluZXItdGl0bGUiOiJUcmFuc3BvcnRhdGlvbiBSZXNlYXJjaCBJbnRlcmRpc2NpcGxpbmFyeSBQZXJzcGVjdGl2ZXMiLCJjb250YWluZXItdGl0bGUtc2hvcnQiOiJUcmFuc3AuIFJlcy4gSW50ZXJkaXNjaXAuIFBlcnNwZWN0LiIsIkRPSSI6IjEwLjEwMTYvai50cmlwLjIwMjUuMTAxODI1IiwiSVNTTiI6IjI1OTAxOTgyIiwiaXNzdWVkIjp7ImRhdGUtcGFydHMiOltbMjAyNiwzLDFdXX0sImFic3RyYWN0IjoiUHVibGljIHRyYW5zcG9ydCBpcyBvbmUgb2YgdGhlIG1vc3QgYWZmb3JkYWJsZSBmb3JtcyBvZiBwYXNzaXZlIHRyYW5zcG9ydCwgc3VwcG9ydGluZyB0aGUgbGlmZSBoYWJpdHMgc3VjaCBhcyBhY3Rpdml0aWVzIG9mIGRhaWx5IGxpdmluZyBhbmQgc29jaWFsIHJvbGVzLiBEZXNwaXRlIHRoZSBwb3RlbnRpYWwgYmVuZWZpdHMgb2YgcHVibGljIHRyYW5zaXQsIGFkdWx0cyB3aXRoIGRpc2FiaWxpdGllcyBoYXZlIHJlc3RyaWN0ZWQgYWNjZXNzIHRvIHRoaXMgbW9kZSBvZiB0cmFuc3BvcnRhdGlvbiBkdWUgdG8gZmFjdG9ycyBzdWNoIGFzIGxpbWl0ZWQga25vd2xlZGdlIG9mIHRoZSB0cmFuc2l0IHN5c3RlbSwgdHJhdmVsIHNraWxscyBhbmQgc2VsZi1lZmZpY2FjeSwgZm9yIHdoaWNoIHRyYXZlbCB0cmFpbmluZyBjYW4gYmUgaW1wbGVtZW50ZWQuIFRoaXMgc3lzdGVtYXRpYyByZXZpZXcgZXhhbWluZWQgdGhlIGluZmx1ZW5jZSBvZiB0cmF2ZWwgdHJhaW5pbmcgcHJvZ3JhbXMgb24ga25vd2xlZGdlLCBzZWxmLWVmZmljYWN5LCB0cmF2ZWwgc2tpbGxzIGFuZCBwdWJsaWMgdHJhbnNwb3J0YXRpb24gdXNlIGFtb25nIGFkdWx0cyB3aXRoIGRpc2FiaWxpdGllcyBhbmQgZGVzY3JpYmVkIHRoZWlyIHJlc3BlY3RpdmUgY29tcG9uZW50cy4gVGhlIHNlYXJjaCB3YXMgY2FycmllZCBvdXQgaW4gVHJhbnNwb3J0IERhdGFiYXNlLCBNRURMSU5FLCBQc3ljSU5GTywgRW1iYXNlIGFuZCBXZWIgb2Ygc2NpZW5jZSBmcm9tIEphbnVhcnkgMTk5MCB0byBEZWNlbWJlciAyMDIzICh1cGRhdGUgcGVyZm9ybWVkIDA5LzIwMjQpLiBDb3ZpZGVuY2Ugc29mdHdhcmUgd2FzIHVzZWQgZm9yIGFydGljbGUgc2VsZWN0aW9uIGFuZCBkYXRhIGV4dHJhY3Rpb24sIHBlcmZvcm1lZCBpbmRlcGVuZGVudGx5IGJ5IHR3byByZXZpZXdlcnMuIFRoZSBUZW1wbGF0ZSBmb3IgSW50ZXJ2ZW50aW9uIERlc2NyaXB0aW9uIGFuZCBSZXBsaWNhdGlvbiAoVGlkaWVyKSBhbmQgTWl4ZWQgTWV0aG9kcyBBcHByYWlzYWwgVG9vbCAoTU1BVCkgd2VyZSByZXNwZWN0aXZlbHkgdXNlZCB0byBleHRyYWN0IGludGVydmVudGlvbiBkZXRhaWxzIGFuZCB0byBhc3Nlc3MgbWV0aG9kb2xvZ2ljYWwgcXVhbGl0eS4gV2UgdXNlZCB0aGUgUHJlZmVycmVkIFJlcG9ydGluZyBJdGVtcyBmb3IgU3lzdGVtYXRpYyBSZXZpZXcgYW5kIE1ldGEtQW5hbHlzaXMgKFBSSVNNQSkgZ3VpZGVsaW5lcyB0byByZXBvcnQgcmVzdWx0cy4gT2YgNSwxMDQgY2l0YXRpb25zIHJldHJpZXZlZCwgMTIgd2VyZSBpbmNsdWRlZCBpbiB0aGlzIHJldmlldy4gUmVnYXJkbGVzcyB0aGUgY29tcG9uZW50IHVzZWQgKGNvbWJpbmVkIGRpZGFjdGljIGFuZCBwcmFjdGljYWwsIHNpbmdsZSBoYW5kcy1vbiBhcHByb2FjaCwgYW5kIGFzc2lzdGl2ZSB0ZWNobm9sb2dpZXMgd2l0aC93aXRob3V0IHNpbXVsYXRpb24pLCBhbGwgaW5jbHVkZWQgc3R1ZGllcyByZXBvcnRlZCBpbXByb3ZlbWVudHMgaW4gb3V0Y29tZXMgKGUuZy4sIGtub3dsZWRnZSwgdHJhdmVsIHNraWxscywgc2VsZi1lZmZpY2FjeSwgZnJlcXVlbmN5IG9mIHRoZSBwdWJsaWMgdHJhbnNwb3J0IHVzZSkgYWZ0ZXIgdHJhdmVsIHRyYWluaW5nIGludGVydmVudGlvbnMuIEFsdGhvdWdoIGZpbmRpbmdzIHN1Z2dlc3QgdHJhdmVsIHRyYWluaW5nIGlzIHByb21pc2luZywgb25seSBvbmUgc3R1ZHkgZGVtb25zdHJhdGVkIGNhdXNhbCBlZmZlY3QgaW4gcmFuZG9taXplZCBjb250cm9sbGVkIHRyaWFsLiBUaGVyZWZvcmUsIGZpbmRpbmdzIHNob3VsZCBiZSBpbnRlcnByZXRlZCB3aXRoIGNhdXRpb24uIiwicHVibGlzaGVyIjoiRWxzZXZpZXIgTHRkIiwidm9sdW1lIjoiMzYifSwiaXNUZW1wb3JhcnkiOmZhbHNlLCJzdXBwcmVzcy1hdXRob3IiOmZhbHNlLCJjb21wb3NpdGUiOmZhbHNlLCJhdXRob3Itb25seSI6ZmFsc2V9XX0=&quot;,&quot;citationItems&quot;:[{&quot;id&quot;:&quot;3c1be573-f1b4-3b49-bf34-0632b3a6c1b1&quot;,&quot;itemData&quot;:{&quot;type&quot;:&quot;article&quot;,&quot;id&quot;:&quot;3c1be573-f1b4-3b49-bf34-0632b3a6c1b1&quot;,&quot;title&quot;:&quot;Travel training program among adults with disabilities: A systematic review&quot;,&quot;author&quot;:[{&quot;family&quot;:&quot;Mwaka&quot;,&quot;given&quot;:&quot;Claudel R.&quot;,&quot;parse-names&quot;:false,&quot;dropping-particle&quot;:&quot;&quot;,&quot;non-dropping-particle&quot;:&quot;&quot;},{&quot;family&quot;:&quot;Best&quot;,&quot;given&quot;:&quot;Krista L.&quot;,&quot;parse-names&quot;:false,&quot;dropping-particle&quot;:&quot;&quot;,&quot;non-dropping-particle&quot;:&quot;&quot;},{&quot;family&quot;:&quot;Chang&quot;,&quot;given&quot;:&quot;Nathan&quot;,&quot;parse-names&quot;:false,&quot;dropping-particle&quot;:&quot;&quot;,&quot;non-dropping-particle&quot;:&quot;&quot;},{&quot;family&quot;:&quot;Gagnon&quot;,&quot;given&quot;:&quot;Martine&quot;,&quot;parse-names&quot;:false,&quot;dropping-particle&quot;:&quot;&quot;,&quot;non-dropping-particle&quot;:&quot;&quot;},{&quot;family&quot;:&quot;Routhier&quot;,&quot;given&quot;:&quot;François&quot;,&quot;parse-names&quot;:false,&quot;dropping-particle&quot;:&quot;&quot;,&quot;non-dropping-particle&quot;:&quot;&quot;}],&quot;container-title&quot;:&quot;Transportation Research Interdisciplinary Perspectives&quot;,&quot;container-title-short&quot;:&quot;Transp. Res. Interdiscip. Perspect.&quot;,&quot;DOI&quot;:&quot;10.1016/j.trip.2025.101825&quot;,&quot;ISSN&quot;:&quot;25901982&quot;,&quot;issued&quot;:{&quot;date-parts&quot;:[[2026,3,1]]},&quot;abstract&quot;:&quot;Public transport is one of the most affordable forms of passive transport, supporting the life habits such as activities of daily living and social roles. Despite the potential benefits of public transit, adults with disabilities have restricted access to this mode of transportation due to factors such as limited knowledge of the transit system, travel skills and self-efficacy, for which travel training can be implemented. This systematic review examined the influence of travel training programs on knowledge, self-efficacy, travel skills and public transportation use among adults with disabilities and described their respective components. The search was carried out in Transport Database, MEDLINE, PsycINFO, Embase and Web of science from January 1990 to December 2023 (update performed 09/2024). Covidence software was used for article selection and data extraction, performed independently by two reviewers. The Template for Intervention Description and Replication (Tidier) and Mixed Methods Appraisal Tool (MMAT) were respectively used to extract intervention details and to assess methodological quality. We used the Preferred Reporting Items for Systematic Review and Meta-Analysis (PRISMA) guidelines to report results. Of 5,104 citations retrieved, 12 were included in this review. Regardless the component used (combined didactic and practical, single hands-on approach, and assistive technologies with/without simulation), all included studies reported improvements in outcomes (e.g., knowledge, travel skills, self-efficacy, frequency of the public transport use) after travel training interventions. Although findings suggest travel training is promising, only one study demonstrated causal effect in randomized controlled trial. Therefore, findings should be interpreted with caution.&quot;,&quot;publisher&quot;:&quot;Elsevier Ltd&quot;,&quot;volume&quot;:&quot;36&quot;},&quot;isTemporary&quot;:false,&quot;suppress-author&quot;:false,&quot;composite&quot;:false,&quot;author-only&quot;:false}]},{&quot;citationID&quot;:&quot;MENDELEY_CITATION_6250c5ac-2c7e-43e0-9c88-34db6ef21e4e&quot;,&quot;properties&quot;:{&quot;noteIndex&quot;:0},&quot;isEdited&quot;:false,&quot;manualOverride&quot;:{&quot;isManuallyOverridden&quot;:true,&quot;citeprocText&quot;:&quot;(Forsyth &amp;#38; Lyu, 2024)&quot;,&quot;manualOverrideText&quot;:&quot;(Forsyth and Lyu, 2024)&quot;},&quot;citationTag&quot;:&quot;MENDELEY_CITATION_v3_eyJjaXRhdGlvbklEIjoiTUVOREVMRVlfQ0lUQVRJT05fNjI1MGM1YWMtMmM3ZS00M2UwLTljODgtMzRkYjZlZjIxZTRlIiwicHJvcGVydGllcyI6eyJub3RlSW5kZXgiOjB9LCJpc0VkaXRlZCI6ZmFsc2UsIm1hbnVhbE92ZXJyaWRlIjp7ImlzTWFudWFsbHlPdmVycmlkZGVuIjp0cnVlLCJjaXRlcHJvY1RleHQiOiIoRm9yc3l0aCAmIzM4OyBMeXUsIDIwMjQpIiwibWFudWFsT3ZlcnJpZGVUZXh0IjoiKEZvcnN5dGggYW5kIEx5dSwgMjAyNCkifSwiY2l0YXRpb25JdGVtcyI6W3siaWQiOiIwNDNmNDYxMC01NGMwLTM5MzUtOWVlYS1iMDMzZDQ5OGIyNGUiLCJpdGVtRGF0YSI6eyJ0eXBlIjoiYXJ0aWNsZS1qb3VybmFsIiwiaWQiOiIwNDNmNDYxMC01NGMwLTM5MzUtOWVlYS1iMDMzZDQ5OGIyNGUiLCJ0aXRsZSI6Ik1ha2luZyBDb21tdW5pdGllcyBBZ2UtRnJpZW5kbHk6IExlc3NvbnMgRnJvbSBJbXBsZW1lbnRlZCBQcm9ncmFtcyIsImF1dGhvciI6W3siZmFtaWx5IjoiRm9yc3l0aCIsImdpdmVuIjoiQW5uIiwicGFyc2UtbmFtZXMiOmZhbHNlLCJkcm9wcGluZy1wYXJ0aWNsZSI6IiIsIm5vbi1kcm9wcGluZy1wYXJ0aWNsZSI6IiJ9LHsiZmFtaWx5IjoiTHl1IiwiZ2l2ZW4iOiJZaW5neWluZyIsInBhcnNlLW5hbWVzIjpmYWxzZSwiZHJvcHBpbmctcGFydGljbGUiOiIiLCJub24tZHJvcHBpbmctcGFydGljbGUiOiIifV0sImNvbnRhaW5lci10aXRsZSI6IkpvdXJuYWwgb2YgUGxhbm5pbmcgTGl0ZXJhdHVyZSIsImNvbnRhaW5lci10aXRsZS1zaG9ydCI6IkouIFBsYW4uIExpdC4iLCJET0kiOiIxMC4xMTc3LzA4ODU0MTIyMjMxMTYwNzk2IiwiSVNTTiI6IjE1NTI2NTkzIiwiaXNzdWVkIjp7ImRhdGUtcGFydHMiOltbMjAyNCwyLDFdXX0sInBhZ2UiOiIzLTI0IiwiYWJzdHJhY3QiOiJBIGdyb3dpbmcgbnVtYmVyIG9mIHByb2dyYW1zIHByb21vdGVkIGJ5IHBsYW5uZXJzIGFuZCBvdGhlcnMgaGF2ZSBhaW1lZCB0byBmb3N0ZXIgY29tbXVuaXRpZXMgdGhhdCBzdXBwb3J0IG9sZGVyIHBlb3BsZS4gRG8gc3VjaCBwcm9ncmFtcyBtYWtlIGEgc3Vic3RhbnRpYWwgZGlmZmVyZW5jZT8gVGhyb3VnaCBhIHNjb3BpbmcgcmV2aWV3IG9mIHJlc2VhcmNoIGV2YWx1YXRpbmcgV0hPLXN0eWxlIGFnZS1mcmllbmRseSBjb21tdW5pdHkgaW5pdGlhdGl2ZXMgKEFGQ0lzKSwgd2UgaW52ZXN0aWdhdGUgd2hhdCBraW5kIG9mIG91dGNvbWVzIHN1Y2ggaW5pdGlhdGl2ZXMgaGF2ZSBhY2hpZXZlZCBhbmQgZmFjdG9ycyBmYWNpbGl0YXRpbmcgb3IgaGluZGVyaW5nIHRoZW0uIEVsZW1lbnRzIGFmZmVjdGluZyBpbXBsZW1lbnRhdGlvbiB2YXJpZWQgYnkgZ2VvZ3JhcGhpZXMuIFRoZXkgaW5jbHVkZWQgZXh0ZXJuYWwgcmVzb3VyY2VzIChlLmcuLCBnb3Zlcm5tZW50IHN1cHBvcnQsIGZ1bmRpbmcsIGNvbnN1bHRhbnRzKSwgbG9jYWwgcmVzb3VyY2VzIChlLmcuLCBjb21tdW5pdHkgc2l6ZSwgZGVtb2dyYXBoaWNzLCBzdGFmZiwgaW5mcmFzdHJ1Y3R1cmUpLCBlbmdhZ2VkIGxvY2FsIHBhcnRpY2lwYW50cyAoZS5nLiwgcGFydG5lcnNoaXBzLCBjaGFtcGlvbnMsIG9sZGVyIHBlb3BsZSksIGFuZCBlZmZlY3RpdmUgc3RyYXRlZ2llcyB0byBidWlsZCBzdXBwb3J0IChlLmcuLCBxdWljayB3aW5zLCBhd2FyZW5lc3MgYnVpbGRpbmcsIGN1bHR1cmFsIHNlbnNpdGl2aXR5KS4iLCJwdWJsaXNoZXIiOiJTQUdFIFB1YmxpY2F0aW9ucyBJbmMuIiwiaXNzdWUiOiIxIiwidm9sdW1lIjoiMzkifSwiaXNUZW1wb3JhcnkiOmZhbHNlLCJzdXBwcmVzcy1hdXRob3IiOmZhbHNlLCJjb21wb3NpdGUiOmZhbHNlLCJhdXRob3Itb25seSI6ZmFsc2V9XX0=&quot;,&quot;citationItems&quot;:[{&quot;id&quot;:&quot;043f4610-54c0-3935-9eea-b033d498b24e&quot;,&quot;itemData&quot;:{&quot;type&quot;:&quot;article-journal&quot;,&quot;id&quot;:&quot;043f4610-54c0-3935-9eea-b033d498b24e&quot;,&quot;title&quot;:&quot;Making Communities Age-Friendly: Lessons From Implemented Programs&quot;,&quot;author&quot;:[{&quot;family&quot;:&quot;Forsyth&quot;,&quot;given&quot;:&quot;Ann&quot;,&quot;parse-names&quot;:false,&quot;dropping-particle&quot;:&quot;&quot;,&quot;non-dropping-particle&quot;:&quot;&quot;},{&quot;family&quot;:&quot;Lyu&quot;,&quot;given&quot;:&quot;Yingying&quot;,&quot;parse-names&quot;:false,&quot;dropping-particle&quot;:&quot;&quot;,&quot;non-dropping-particle&quot;:&quot;&quot;}],&quot;container-title&quot;:&quot;Journal of Planning Literature&quot;,&quot;container-title-short&quot;:&quot;J. Plan. Lit.&quot;,&quot;DOI&quot;:&quot;10.1177/08854122231160796&quot;,&quot;ISSN&quot;:&quot;15526593&quot;,&quot;issued&quot;:{&quot;date-parts&quot;:[[2024,2,1]]},&quot;page&quot;:&quot;3-24&quot;,&quot;abstract&quot;:&quot;A growing number of programs promoted by planners and others have aimed to foster communities that support older people. Do such programs make a substantial difference? Through a scoping review of research evaluating WHO-style age-friendly community initiatives (AFCIs), we investigate what kind of outcomes such initiatives have achieved and factors facilitating or hindering them. Elements affecting implementation varied by geographies. They included external resources (e.g., government support, funding, consultants), local resources (e.g., community size, demographics, staff, infrastructure), engaged local participants (e.g., partnerships, champions, older people), and effective strategies to build support (e.g., quick wins, awareness building, cultural sensitivity).&quot;,&quot;publisher&quot;:&quot;SAGE Publications Inc.&quot;,&quot;issue&quot;:&quot;1&quot;,&quot;volume&quot;:&quot;39&quot;},&quot;isTemporary&quot;:false,&quot;suppress-author&quot;:false,&quot;composite&quot;:false,&quot;author-only&quot;:false}]},{&quot;citationID&quot;:&quot;MENDELEY_CITATION_b5cf88c8-cf07-4fa0-a738-08927d2ecf89&quot;,&quot;properties&quot;:{&quot;noteIndex&quot;:0,&quot;mode&quot;:&quot;composite&quot;},&quot;isEdited&quot;:false,&quot;manualOverride&quot;:{&quot;isManuallyOverridden&quot;:false,&quot;citeprocText&quot;:&quot;Chapman et al. (2021)&quot;,&quot;manualOverrideText&quot;:&quot;&quot;},&quot;citationTag&quot;:&quot;MENDELEY_CITATION_v3_eyJjaXRhdGlvbklEIjoiTUVOREVMRVlfQ0lUQVRJT05fYjVjZjg4YzgtY2YwNy00ZmEwLWE3MzgtMDg5MjdkMmVjZjg5IiwicHJvcGVydGllcyI6eyJub3RlSW5kZXgiOjAsIm1vZGUiOiJjb21wb3NpdGUifSwiaXNFZGl0ZWQiOmZhbHNlLCJtYW51YWxPdmVycmlkZSI6eyJpc01hbnVhbGx5T3ZlcnJpZGRlbiI6ZmFsc2UsImNpdGVwcm9jVGV4dCI6IkNoYXBtYW4gZXQgYWwuICg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mRpc3BsYXlBcyI6ImNvbXBvc2l0ZSIsInN1cHByZXNzLWF1dGhvciI6ZmFsc2UsImNvbXBvc2l0ZSI6dHJ1ZSwiYXV0aG9yLW9ubHkiOmZhbHNlfV19&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displayAs&quot;:&quot;composite&quot;,&quot;suppress-author&quot;:false,&quot;composite&quot;:true,&quot;author-only&quot;:false}]},{&quot;citationID&quot;:&quot;MENDELEY_CITATION_dc1764ce-1cdc-4b35-9504-55f105a69e5f&quot;,&quot;properties&quot;:{&quot;noteIndex&quot;:0,&quot;mode&quot;:&quot;composite&quot;},&quot;isEdited&quot;:false,&quot;manualOverride&quot;:{&quot;isManuallyOverridden&quot;:true,&quot;citeprocText&quot;:&quot;Chapman et al. (2021)&quot;,&quot;manualOverrideText&quot;:&quot;Chapman et al., 2021&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displayAs&quot;:&quot;composite&quot;,&quot;suppress-author&quot;:false,&quot;composite&quot;:true,&quot;author-only&quot;:false}],&quot;citationTag&quot;:&quot;MENDELEY_CITATION_v3_eyJjaXRhdGlvbklEIjoiTUVOREVMRVlfQ0lUQVRJT05fZGMxNzY0Y2UtMWNkYy00YjM1LTk1MDQtNTVmMTA1YTY5ZTVmIiwicHJvcGVydGllcyI6eyJub3RlSW5kZXgiOjAsIm1vZGUiOiJjb21wb3NpdGUifSwiaXNFZGl0ZWQiOmZhbHNlLCJtYW51YWxPdmVycmlkZSI6eyJpc01hbnVhbGx5T3ZlcnJpZGRlbiI6dHJ1ZSwiY2l0ZXByb2NUZXh0IjoiQ2hhcG1hbiBldCBhbC4gKDIwMjEpIiwibWFudWFsT3ZlcnJpZGVUZXh0IjoiQ2hhcG1hbiBldCBhbC4sIDIwMjEifSwiY2l0YXRpb25JdGVtcyI6W3siaWQiOiI1ODY3YzcwZi05MTRjLTM3NWMtYWI3OC01OTBiMThmYzQ0OTUiLCJpdGVtRGF0YSI6eyJ0eXBlIjoicmVwb3J0IiwiaWQiOiI1ODY3YzcwZi05MTRjLTM3NWMtYWI3OC01OTBiMThmYzQ0OTUiLCJ0aXRsZSI6IlNtYXJ0IExvY2F0aW9uIERhdGFiYXNlIFRlY2huaWNhbFxuRG9jdW1lbnRhdGlvbiBhbmQgVXNlciBHdWlkZSBWZXJzaW9uIDMuMC4gVS5TLiBFbnZpcm9ubWVudGFsIFByb3RlY3Rpb24gQWdlbmN5LiIsImF1dGhvciI6W3siZmFtaWx5IjoiQ2hhcG1hbiIsImdpdmVuIjoiSmltIiwicGFyc2UtbmFtZXMiOmZhbHNlLCJkcm9wcGluZy1wYXJ0aWNsZSI6IiIsIm5vbi1kcm9wcGluZy1wYXJ0aWNsZSI6IiJ9LHsiZmFtaWx5IjoiRm94IiwiZ2l2ZW4iOiJFcmljIiwicGFyc2UtbmFtZXMiOmZhbHNlLCJkcm9wcGluZy1wYXJ0aWNsZSI6IiIsIm5vbi1kcm9wcGluZy1wYXJ0aWNsZSI6IiJ9LHsiZmFtaWx5IjoiQmFjaG1hbiIsImdpdmVuIjoiV2lsbGlhbSIsInBhcnNlLW5hbWVzIjpmYWxzZSwiZHJvcHBpbmctcGFydGljbGUiOiIiLCJub24tZHJvcHBpbmctcGFydGljbGUiOiIifSx7ImZhbWlseSI6IkZyYW5rIiwiZ2l2ZW4iOiJMYXdyZW5jZSIsInBhcnNlLW5hbWVzIjpmYWxzZSwiZHJvcHBpbmctcGFydGljbGUiOiIiLCJub24tZHJvcHBpbmctcGFydGljbGUiOiIifV0sImFjY2Vzc2VkIjp7ImRhdGUtcGFydHMiOltbMjAyNiw1LDI3XV19LCJpc3N1ZWQiOnsiZGF0ZS1wYXJ0cyI6W1syMDIxXV19LCJjb250YWluZXItdGl0bGUtc2hvcnQiOiIifSwiaXNUZW1wb3JhcnkiOmZhbHNlLCJkaXNwbGF5QXMiOiJjb21wb3NpdGUiLCJzdXBwcmVzcy1hdXRob3IiOmZhbHNlLCJjb21wb3NpdGUiOnRydWUsImF1dGhvci1vbmx5IjpmYWxzZX1dfQ==&quot;},{&quot;citationID&quot;:&quot;MENDELEY_CITATION_d00f0736-998a-4c69-b379-5ec9d8799140&quot;,&quot;properties&quot;:{&quot;noteIndex&quot;:0,&quot;mode&quot;:&quot;composite&quot;},&quot;isEdited&quot;:false,&quot;manualOverride&quot;:{&quot;isManuallyOverridden&quot;:true,&quot;citeprocText&quot;:&quot;Chapman et al. (2021)&quot;,&quot;manualOverrideText&quot;:&quot;Chapman et al., 2021&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displayAs&quot;:&quot;composite&quot;,&quot;suppress-author&quot;:false,&quot;composite&quot;:true,&quot;author-only&quot;:false}],&quot;citationTag&quot;:&quot;MENDELEY_CITATION_v3_eyJjaXRhdGlvbklEIjoiTUVOREVMRVlfQ0lUQVRJT05fZDAwZjA3MzYtOTk4YS00YzY5LWIzNzktNWVjOWQ4Nzk5MTQwIiwicHJvcGVydGllcyI6eyJub3RlSW5kZXgiOjAsIm1vZGUiOiJjb21wb3NpdGUifSwiaXNFZGl0ZWQiOmZhbHNlLCJtYW51YWxPdmVycmlkZSI6eyJpc01hbnVhbGx5T3ZlcnJpZGRlbiI6dHJ1ZSwiY2l0ZXByb2NUZXh0IjoiQ2hhcG1hbiBldCBhbC4gKDIwMjEpIiwibWFudWFsT3ZlcnJpZGVUZXh0IjoiQ2hhcG1hbiBldCBhbC4sIDIwMjEifSwiY2l0YXRpb25JdGVtcyI6W3siaWQiOiI1ODY3YzcwZi05MTRjLTM3NWMtYWI3OC01OTBiMThmYzQ0OTUiLCJpdGVtRGF0YSI6eyJ0eXBlIjoicmVwb3J0IiwiaWQiOiI1ODY3YzcwZi05MTRjLTM3NWMtYWI3OC01OTBiMThmYzQ0OTUiLCJ0aXRsZSI6IlNtYXJ0IExvY2F0aW9uIERhdGFiYXNlIFRlY2huaWNhbFxuRG9jdW1lbnRhdGlvbiBhbmQgVXNlciBHdWlkZSBWZXJzaW9uIDMuMC4gVS5TLiBFbnZpcm9ubWVudGFsIFByb3RlY3Rpb24gQWdlbmN5LiIsImF1dGhvciI6W3siZmFtaWx5IjoiQ2hhcG1hbiIsImdpdmVuIjoiSmltIiwicGFyc2UtbmFtZXMiOmZhbHNlLCJkcm9wcGluZy1wYXJ0aWNsZSI6IiIsIm5vbi1kcm9wcGluZy1wYXJ0aWNsZSI6IiJ9LHsiZmFtaWx5IjoiRm94IiwiZ2l2ZW4iOiJFcmljIiwicGFyc2UtbmFtZXMiOmZhbHNlLCJkcm9wcGluZy1wYXJ0aWNsZSI6IiIsIm5vbi1kcm9wcGluZy1wYXJ0aWNsZSI6IiJ9LHsiZmFtaWx5IjoiQmFjaG1hbiIsImdpdmVuIjoiV2lsbGlhbSIsInBhcnNlLW5hbWVzIjpmYWxzZSwiZHJvcHBpbmctcGFydGljbGUiOiIiLCJub24tZHJvcHBpbmctcGFydGljbGUiOiIifSx7ImZhbWlseSI6IkZyYW5rIiwiZ2l2ZW4iOiJMYXdyZW5jZSIsInBhcnNlLW5hbWVzIjpmYWxzZSwiZHJvcHBpbmctcGFydGljbGUiOiIiLCJub24tZHJvcHBpbmctcGFydGljbGUiOiIifV0sImFjY2Vzc2VkIjp7ImRhdGUtcGFydHMiOltbMjAyNiw1LDI3XV19LCJpc3N1ZWQiOnsiZGF0ZS1wYXJ0cyI6W1syMDIxXV19LCJjb250YWluZXItdGl0bGUtc2hvcnQiOiIifSwiaXNUZW1wb3JhcnkiOmZhbHNlLCJkaXNwbGF5QXMiOiJjb21wb3NpdGUiLCJzdXBwcmVzcy1hdXRob3IiOmZhbHNlLCJjb21wb3NpdGUiOnRydWUsImF1dGhvci1vbmx5IjpmYWxzZX1dfQ==&quot;},{&quot;citationID&quot;:&quot;MENDELEY_CITATION_97d3b065-d6a8-48b9-94f6-bce3e065f374&quot;,&quot;properties&quot;:{&quot;noteIndex&quot;:0},&quot;isEdited&quot;:false,&quot;manualOverride&quot;:{&quot;isManuallyOverridden&quot;:true,&quot;citeprocText&quot;:&quot;(Wasserstein et al., 2019; Wasserstein &amp;#38; Lazar, 2016)&quot;,&quot;manualOverrideText&quot;:&quot;(Wasserstein and Lazar, 2016; Wasserstein et al., 2019)&quot;},&quot;citationTag&quot;:&quot;MENDELEY_CITATION_v3_eyJjaXRhdGlvbklEIjoiTUVOREVMRVlfQ0lUQVRJT05fOTdkM2IwNjUtZDZhOC00OGI5LTk0ZjYtYmNlM2UwNjVmMzc0IiwicHJvcGVydGllcyI6eyJub3RlSW5kZXgiOjB9LCJpc0VkaXRlZCI6ZmFsc2UsIm1hbnVhbE92ZXJyaWRlIjp7ImlzTWFudWFsbHlPdmVycmlkZGVuIjp0cnVlLCJjaXRlcHJvY1RleHQiOiIoV2Fzc2Vyc3RlaW4gZXQgYWwuLCAyMDE5OyBXYXNzZXJzdGVpbiAmIzM4OyBMYXphciwgMjAxNikiLCJtYW51YWxPdmVycmlkZVRleHQiOiIoV2Fzc2Vyc3RlaW4gYW5kIExhemFyLCAyMDE2OyBXYXNzZXJzdGVpbiBldCBhbC4sIDIwMTkpIn0sImNpdGF0aW9uSXRlbXMiOlt7ImlkIjoiZWE5OWQ0NWYtNTljOC0zNWQ0LWE2MTUtZjRjOTdhNjdlZGRiIiwiaXRlbURhdGEiOnsidHlwZSI6ImFydGljbGUtam91cm5hbCIsImlkIjoiZWE5OWQ0NWYtNTljOC0zNWQ0LWE2MTUtZjRjOTdhNjdlZGRiIiwidGl0bGUiOiJUaGUgQVNBIFN0YXRlbWVudCBvbiBwLVZhbHVlczogQ29udGV4dCwgUHJvY2VzcywgYW5kIFB1cnBvc2UiLCJhdXRob3IiOlt7ImZhbWlseSI6Ildhc3NlcnN0ZWluIiwiZ2l2ZW4iOiJSb25hbGQgTC4iLCJwYXJzZS1uYW1lcyI6ZmFsc2UsImRyb3BwaW5nLXBhcnRpY2xlIjoiIiwibm9uLWRyb3BwaW5nLXBhcnRpY2xlIjoiIn0seyJmYW1pbHkiOiJMYXphciIsImdpdmVuIjoiTmljb2xlIEEuIiwicGFyc2UtbmFtZXMiOmZhbHNlLCJkcm9wcGluZy1wYXJ0aWNsZSI6IiIsIm5vbi1kcm9wcGluZy1wYXJ0aWNsZSI6IiJ9XSwiY29udGFpbmVyLXRpdGxlIjoiVGhlIEFtZXJpY2FuIFN0YXRpc3RpY2lhbiIsImNvbnRhaW5lci10aXRsZS1zaG9ydCI6IkFtLiBTdGF0LiIsImFjY2Vzc2VkIjp7ImRhdGUtcGFydHMiOltbMjAyNiw3LDFdXX0sIkRPSSI6IjEwLjEwODAvMDAwMzEzMDUuMjAxNi4xMTU0MTA4IiwiSVNTTiI6IjE1MzcyNzMxIiwiVVJMIjoiaHR0cHM6Ly93d3cudGFuZGZvbmxpbmUuY29tL2RvaS9wZGYvMTAuMTA4MC8wMDAzMTMwNS4yMDE2LjExNTQxMDgiLCJpc3N1ZWQiOnsiZGF0ZS1wYXJ0cyI6W1syMDE2LDQsMl1dfSwicGFnZSI6IjEyOS0xMzMiLCJwdWJsaXNoZXIiOiJUYXlsb3IgJiBGcmFuY2lzIiwiaXNzdWUiOiIyIiwidm9sdW1lIjoiNzAifSwiaXNUZW1wb3JhcnkiOmZhbHNlfSx7ImlkIjoiZWZjMGJjZDUtMGEzZS0zMmY4LWE4ZmItOTQzZjQ4ZDI5OGI1IiwiaXRlbURhdGEiOnsidHlwZSI6ImFydGljbGUtam91cm5hbCIsImlkIjoiZWZjMGJjZDUtMGEzZS0zMmY4LWE4ZmItOTQzZjQ4ZDI5OGI1IiwidGl0bGUiOiJNb3ZpbmcgdG8gYSBXb3JsZCBCZXlvbmQg4oCccOKAiTzigIkwLjA14oCdIiwiYXV0aG9yIjpbeyJmYW1pbHkiOiJXYXNzZXJzdGVpbiIsImdpdmVuIjoiUm9uYWxkIEwuIiwicGFyc2UtbmFtZXMiOmZhbHNlLCJkcm9wcGluZy1wYXJ0aWNsZSI6IiIsIm5vbi1kcm9wcGluZy1wYXJ0aWNsZSI6IiJ9LHsiZmFtaWx5IjoiU2NoaXJtIiwiZ2l2ZW4iOiJBbGxlbiBMLiIsInBhcnNlLW5hbWVzIjpmYWxzZSwiZHJvcHBpbmctcGFydGljbGUiOiIiLCJub24tZHJvcHBpbmctcGFydGljbGUiOiIifSx7ImZhbWlseSI6IkxhemFyIiwiZ2l2ZW4iOiJOaWNvbGUgQS4iLCJwYXJzZS1uYW1lcyI6ZmFsc2UsImRyb3BwaW5nLXBhcnRpY2xlIjoiIiwibm9uLWRyb3BwaW5nLXBhcnRpY2xlIjoiIn1dLCJjb250YWluZXItdGl0bGUiOiJUaGUgQW1lcmljYW4gU3RhdGlzdGljaWFuIiwiY29udGFpbmVyLXRpdGxlLXNob3J0IjoiQW0uIFN0YXQuIiwiYWNjZXNzZWQiOnsiZGF0ZS1wYXJ0cyI6W1syMDI2LDcsMV1dfSwiRE9JIjoiMTAuMTA4MC8wMDAzMTMwNS4yMDE5LjE1ODM5MTMiLCJJU1NOIjoiMTUzNzI3MzEiLCJVUkwiOiJodHRwczovL3d3dy50YW5kZm9ubGluZS5jb20vZG9pL3BkZi8xMC4xMDgwLzAwMDMxMzA1LjIwMTkuMTU4MzkxMyIsImlzc3VlZCI6eyJkYXRlLXBhcnRzIjpbWzIwMTksMywyOV1dfSwicGFnZSI6IjEtMTkiLCJhYnN0cmFjdCI6IkVESVRPUklBTDogVGhlIGVkaXRvcmlhbCB3YXMgd3JpdHRlbiBieSB0aGUgdGhyZWUgZWRpdG9ycyBhY3RpbmcgYXMgaW5kaXZpZHVhbHMgYW5kIHJlZmxlY3RzIHRoZWlyIHNjaWVudGlmaWMgdmlld3Mgbm90IGFuIGVuZG9yc2VkIHBvc2l0aW9uIG9mIHRoZSBBbWVyaWNhbiBTdGF0aXN0aWNhbCBBc3NvY2lhdGlvbi5Tb21lIG9mIHlvdSBleHBsLi4uIiwicHVibGlzaGVyIjoiVGF5bG9yICYgRnJhbmNpcyIsImlzc3VlIjoic3VwMSIsInZvbHVtZSI6IjczIn0sImlzVGVtcG9yYXJ5IjpmYWxzZX1dfQ==&quot;,&quot;citationItems&quot;:[{&quot;id&quot;:&quot;ea99d45f-59c8-35d4-a615-f4c97a67eddb&quot;,&quot;itemData&quot;:{&quot;type&quot;:&quot;article-journal&quot;,&quot;id&quot;:&quot;ea99d45f-59c8-35d4-a615-f4c97a67eddb&quot;,&quot;title&quot;:&quot;The ASA Statement on p-Values: Context, Process, and Purpose&quot;,&quot;author&quot;:[{&quot;family&quot;:&quot;Wasserstein&quot;,&quot;given&quot;:&quot;Ronald L.&quot;,&quot;parse-names&quot;:false,&quot;dropping-particle&quot;:&quot;&quot;,&quot;non-dropping-particle&quot;:&quot;&quot;},{&quot;family&quot;:&quot;Lazar&quot;,&quot;given&quot;:&quot;Nicole A.&quot;,&quot;parse-names&quot;:false,&quot;dropping-particle&quot;:&quot;&quot;,&quot;non-dropping-particle&quot;:&quot;&quot;}],&quot;container-title&quot;:&quot;The American Statistician&quot;,&quot;container-title-short&quot;:&quot;Am. Stat.&quot;,&quot;accessed&quot;:{&quot;date-parts&quot;:[[2026,7,1]]},&quot;DOI&quot;:&quot;10.1080/00031305.2016.1154108&quot;,&quot;ISSN&quot;:&quot;15372731&quot;,&quot;URL&quot;:&quot;https://www.tandfonline.com/doi/pdf/10.1080/00031305.2016.1154108&quot;,&quot;issued&quot;:{&quot;date-parts&quot;:[[2016,4,2]]},&quot;page&quot;:&quot;129-133&quot;,&quot;publisher&quot;:&quot;Taylor &amp; Francis&quot;,&quot;issue&quot;:&quot;2&quot;,&quot;volume&quot;:&quot;70&quot;},&quot;isTemporary&quot;:false},{&quot;id&quot;:&quot;efc0bcd5-0a3e-32f8-a8fb-943f48d298b5&quot;,&quot;itemData&quot;:{&quot;type&quot;:&quot;article-journal&quot;,&quot;id&quot;:&quot;efc0bcd5-0a3e-32f8-a8fb-943f48d298b5&quot;,&quot;title&quot;:&quot;Moving to a World Beyond “p &lt; 0.05”&quot;,&quot;author&quot;:[{&quot;family&quot;:&quot;Wasserstein&quot;,&quot;given&quot;:&quot;Ronald L.&quot;,&quot;parse-names&quot;:false,&quot;dropping-particle&quot;:&quot;&quot;,&quot;non-dropping-particle&quot;:&quot;&quot;},{&quot;family&quot;:&quot;Schirm&quot;,&quot;given&quot;:&quot;Allen L.&quot;,&quot;parse-names&quot;:false,&quot;dropping-particle&quot;:&quot;&quot;,&quot;non-dropping-particle&quot;:&quot;&quot;},{&quot;family&quot;:&quot;Lazar&quot;,&quot;given&quot;:&quot;Nicole A.&quot;,&quot;parse-names&quot;:false,&quot;dropping-particle&quot;:&quot;&quot;,&quot;non-dropping-particle&quot;:&quot;&quot;}],&quot;container-title&quot;:&quot;The American Statistician&quot;,&quot;container-title-short&quot;:&quot;Am. Stat.&quot;,&quot;accessed&quot;:{&quot;date-parts&quot;:[[2026,7,1]]},&quot;DOI&quot;:&quot;10.1080/00031305.2019.1583913&quot;,&quot;ISSN&quot;:&quot;15372731&quot;,&quot;URL&quot;:&quot;https://www.tandfonline.com/doi/pdf/10.1080/00031305.2019.1583913&quot;,&quot;issued&quot;:{&quot;date-parts&quot;:[[2019,3,29]]},&quot;page&quot;:&quot;1-19&quot;,&quot;abstract&quot;:&quot;EDITORIAL: The editorial was written by the three editors acting as individuals and reflects their scientific views not an endorsed position of the American Statistical Association.Some of you expl...&quot;,&quot;publisher&quot;:&quot;Taylor &amp; Francis&quot;,&quot;issue&quot;:&quot;sup1&quot;,&quot;volume&quot;:&quot;73&quot;},&quot;isTemporary&quot;:false}]},{&quot;citationID&quot;:&quot;MENDELEY_CITATION_76d0b1c3-00f0-4760-ad32-08b44c6ed824&quot;,&quot;properties&quot;:{&quot;noteIndex&quot;:0},&quot;isEdited&quot;:false,&quot;manualOverride&quot;:{&quot;isManuallyOverridden&quot;:true,&quot;citeprocText&quot;:&quot;(Brennan et al., 2021; Lu &amp;#38; White, 2014; Srivastava et al., 2018)&quot;,&quot;manualOverrideText&quot;:&quot;(Lu and White, 2014; Srivastava et al., 2018; Brennan et al., 2021)&quot;},&quot;citationTag&quot;:&quot;MENDELEY_CITATION_v3_eyJjaXRhdGlvbklEIjoiTUVOREVMRVlfQ0lUQVRJT05fNzZkMGIxYzMtMDBmMC00NzYwLWFkMzItMDhiNDRjNmVkODI0IiwicHJvcGVydGllcyI6eyJub3RlSW5kZXgiOjB9LCJpc0VkaXRlZCI6ZmFsc2UsIm1hbnVhbE92ZXJyaWRlIjp7ImlzTWFudWFsbHlPdmVycmlkZGVuIjp0cnVlLCJjaXRlcHJvY1RleHQiOiIoQnJlbm5hbiBldCBhbC4sIDIwMjE7IEx1ICYjMzg7IFdoaXRlLCAyMDE0OyBTcml2YXN0YXZhIGV0IGFsLiwgMjAxOCkiLCJtYW51YWxPdmVycmlkZVRleHQiOiIoTHUgYW5kIFdoaXRlLCAyMDE0OyBTcml2YXN0YXZhIGV0IGFsLiwgMjAxODsgQnJlbm5hbiBldCBhbC4sIDIwMjEpIn0sImNpdGF0aW9uSXRlbXMiOlt7ImlkIjoiMTAxMTc5ZjItZDdmYi0zNjNmLTkyODAtZjZhZWExY2ZjNDg0IiwiaXRlbURhdGEiOnsidHlwZSI6ImFydGljbGUtam91cm5hbCIsImlkIjoiMTAxMTc5ZjItZDdmYi0zNjNmLTkyODAtZjZhZWExY2ZjNDg0IiwidGl0bGUiOiJSb2J1c3RuZXNzIGNoZWNrcyBhbmQgcm9idXN0bmVzcyB0ZXN0cyBpbiBhcHBsaWVkIGVjb25vbWljcyIsImF1dGhvciI6W3siZmFtaWx5IjoiTHUiLCJnaXZlbiI6Ilh1biIsInBhcnNlLW5hbWVzIjpmYWxzZSwiZHJvcHBpbmctcGFydGljbGUiOiIiLCJub24tZHJvcHBpbmctcGFydGljbGUiOiIifSx7ImZhbWlseSI6IldoaXRlIiwiZ2l2ZW4iOiJIYWxiZXJ0IiwicGFyc2UtbmFtZXMiOmZhbHNlLCJkcm9wcGluZy1wYXJ0aWNsZSI6IiIsIm5vbi1kcm9wcGluZy1wYXJ0aWNsZSI6IiJ9XSwiY29udGFpbmVyLXRpdGxlIjoiSm91cm5hbCBvZiBFY29ub21ldHJpY3MiLCJjb250YWluZXItdGl0bGUtc2hvcnQiOiJKLiBFY29ub20uIiwiYWNjZXNzZWQiOnsiZGF0ZS1wYXJ0cyI6W1syMDI2LDcsMV1dfSwiRE9JIjoiMTAuMTAxNi9qLmplY29ub20uMjAxMy4wOC4wMTYiLCJJU1NOIjoiMDMwNC00MDc2IiwiVVJMIjoiaHR0cHM6Ly93d3cuc2NpZW5jZWRpcmVjdC5jb20vc2NpZW5jZS9hcnRpY2xlL2Ficy9waWkvUzAzMDQ0MDc2MTMwMDE2Njg/dmlhJTNEaWh1YiIsImlzc3VlZCI6eyJkYXRlLXBhcnRzIjpbWzIwMTQsMSwxXV19LCJwYWdlIjoiMTk0LTIwNiIsImFic3RyYWN0IjoiQSBjb21tb24gZXhlcmNpc2UgaW4gZW1waXJpY2FsIHN0dWRpZXMgaXMgYSBcInJvYnVzdG5lc3MgY2hlY2tcIiwgd2hlcmUgdGhlIHJlc2VhcmNoZXIgZXhhbWluZXMgaG93IGNlcnRhaW4gXCJjb3JlXCIgcmVncmVzc2lvbiBjb2VmZmljaWVudCBlc3RpbWF0ZXMgYmVoYXZlIHdoZW4gdGhlIHJlZ3Jlc3Npb24gc3BlY2lmaWNhdGlvbiBpcyBtb2RpZmllZCBieSBhZGRpbmcgb3IgcmVtb3ZpbmcgcmVncmVzc29ycy4gSWYgdGhlIGNvZWZmaWNpZW50cyBhcmUgcGxhdXNpYmxlIGFuZCByb2J1c3QsIHRoaXMgaXMgY29tbW9ubHkgaW50ZXJwcmV0ZWQgYXMgZXZpZGVuY2Ugb2Ygc3RydWN0dXJhbCB2YWxpZGl0eS4gSGVyZSwgd2Ugc3R1ZHkgd2hlbiBhbmQgaG93IG9uZSBjYW4gaW5mZXIgc3RydWN0dXJhbCB2YWxpZGl0eSBmcm9tIGNvZWZmaWNpZW50IHJvYnVzdG5lc3MgYW5kIHBsYXVzaWJpbGl0eS4gQXMgd2Ugc2hvdywgdGhlcmUgYXJlIG51bWVyb3VzIHBpdGZhbGxzLCBhcyBjb21tb25seSBpbXBsZW1lbnRlZCByb2J1c3RuZXNzIGNoZWNrcyBnaXZlIG5laXRoZXIgbmVjZXNzYXJ5IG5vciBzdWZmaWNpZW50IGV2aWRlbmNlIGZvciBzdHJ1Y3R1cmFsIHZhbGlkaXR5LiBJbmRlZWQsIGlmIG5vdCBjb25kdWN0ZWQgcHJvcGVybHksIHJvYnVzdG5lc3MgY2hlY2tzIGNhbiBiZSBjb21wbGV0ZWx5IHVuaW5mb3JtYXRpdmUgb3IgZW50aXJlbHkgbWlzbGVhZGluZy4gV2UgZGlzY3VzcyBob3cgY3JpdGljYWwgYW5kIG5vbi1jcml0aWNhbCBjb3JlIHZhcmlhYmxlcyBjYW4gYmUgcHJvcGVybHkgc3BlY2lmaWVkIGFuZCBob3cgbm9uLWNvcmUgdmFyaWFibGVzIGZvciB0aGUgY29tcGFyaXNvbiByZWdyZXNzaW9uIGNhbiBiZSBjaG9zZW4gdG8gZW5zdXJlIHRoYXQgcm9idXN0bmVzcyBjaGVja3MgYXJlIGluZGVlZCBzdHJ1Y3R1cmFsbHkgaW5mb3JtYXRpdmUuIFdlIHByb3ZpZGUgYSBzdHJhaWdodGZvcndhcmQgbmV3IEhhdXNtYW4gKDE5NzgpIHR5cGUgdGVzdCBvZiByb2J1c3RuZXNzIGZvciB0aGUgY3JpdGljYWwgY29yZSBjb2VmZmljaWVudHMsIGFkZGl0aW9uYWwgZGlhZ25vc3RpY3MgdGhhdCBjYW4gaGVscCBleHBsYWluIHdoeSByb2J1c3RuZXNzIHRlc3QgcmVqZWN0aW9uIG9jY3VycywgYW5kIGEgbmV3IGVzdGltYXRvciwgdGhlIEZlYXNpYmxlIE9wdGltYWxseSBjb21iaW5lZCBHTFMgKEZPR0xlU3MpIGVzdGltYXRvciwgdGhhdCBtYWtlcyByZWxhdGl2ZWx5IGVmZmljaWVudCB1c2Ugb2YgdGhlIHJvYnVzdG5lc3MgY2hlY2sgcmVncmVzc2lvbnMuIEEgbmV3IHByb2NlZHVyZSBmb3IgTWF0bGFiLCB0ZXN0cm9iLCBlbWJvZGllcyB0aGVzZSBtZXRob2RzLiIsInB1Ymxpc2hlciI6Ik5vcnRoLUhvbGxhbmQiLCJpc3N1ZSI6IlBBUlQgMSIsInZvbHVtZSI6IjE3OCJ9LCJpc1RlbXBvcmFyeSI6ZmFsc2V9LHsiaWQiOiI3Y2VmNDU5Yy04MTNmLTMyZGEtODE2Yi0xYzM5OWQyMjc1NzciLCJpdGVtRGF0YSI6eyJ0eXBlIjoiYXJ0aWNsZS1qb3VybmFsIiwiaWQiOiI3Y2VmNDU5Yy04MTNmLTMyZGEtODE2Yi0xYzM5OWQyMjc1NzciLCJ0aXRsZSI6IkFzc2Vzc2luZyB0aGUgc3VjY2VzcyBvZiBlbGVjdHJpY2l0eSBkZW1hbmQgcmVzcG9uc2UgcHJvZ3JhbXM6IEEgbWV0YS1hbmFseXNpcyIsImF1dGhvciI6W3siZmFtaWx5IjoiU3JpdmFzdGF2YSIsImdpdmVuIjoiQW1hbiIsInBhcnNlLW5hbWVzIjpmYWxzZSwiZHJvcHBpbmctcGFydGljbGUiOiIiLCJub24tZHJvcHBpbmctcGFydGljbGUiOiIifSx7ImZhbWlseSI6IlBhc3NlbCIsImdpdmVuIjoiU3RldmVuIiwicGFyc2UtbmFtZXMiOmZhbHNlLCJkcm9wcGluZy1wYXJ0aWNsZSI6IiIsIm5vbi1kcm9wcGluZy1wYXJ0aWNsZSI6IlZhbiJ9LHsiZmFtaWx5IjoiTGFlcyIsImdpdmVuIjoiRXJpayIsInBhcnNlLW5hbWVzIjpmYWxzZSwiZHJvcHBpbmctcGFydGljbGUiOiIiLCJub24tZHJvcHBpbmctcGFydGljbGUiOiIifV0sImNvbnRhaW5lci10aXRsZSI6IkVuZXJneSBSZXNlYXJjaCAmIFNvY2lhbCBTY2llbmNlIiwiY29udGFpbmVyLXRpdGxlLXNob3J0IjoiRW5lcmd5IFJlcy4gU29jLiBTY2kuIiwiYWNjZXNzZWQiOnsiZGF0ZS1wYXJ0cyI6W1syMDI2LDcsMV1dfSwiRE9JIjoiMTAuMTAxNi9qLmVyc3MuMjAxNy4xMi4wMDUiLCJJU1NOIjoiMjIxNC02Mjk2IiwiVVJMIjoiaHR0cHM6Ly93d3cuc2NpZW5jZWRpcmVjdC5jb20vc2NpZW5jZS9hcnRpY2xlL2Ficy9waWkvUzIyMTQ2Mjk2MTczMDQ1MTY/dmlhJTNEaWh1YiIsImlzc3VlZCI6eyJkYXRlLXBhcnRzIjpbWzIwMTgsNiwxXV19LCJwYWdlIjoiMTEwLTExNyIsImFic3RyYWN0IjoiVGhpcyBwYXBlciBjb25kdWN0cyBhIG1ldGEtYW5hbHlzaXMgb2YgMzIgZWxlY3RyaWNpdHkgZGVtYW5kIHJlc3BvbnNlIHByb2dyYW1zIGluIHRoZSByZXNpZGVudGlhbCBzZWN0b3IgdG8gdW5kZXJzdGFuZCB3aGV0aGVyIHRoZWlyIHN1Y2Nlc3MgaXMgZGVwZW5kZW50IG9uIHNwZWNpZmljIGNoYXJhY3RlcmlzdGljcy4gVGhlIHBhcGVyIGFuYWx5c2VzIHNldmVyYWwgcmVncmVzc2lvbiBtb2RlbHMgdXNpbmcgdmFyaW91cyBjb21iaW5hdGlvbnMgb2YgdmFyaWFibGVzIHRoYXQgY2FwdHVyZSB0aGUgZGVzaWducyBvZiB0aGUgcHJvZ3JhbXMgYW5kIHRoZSBzb2Npby1lY29ub21pYyBjb25kaXRpb25zIGluIHdoaWNoIHRoZSBwcm9ncmFtcyBhcmUgaW1wbGVtZW50ZWQuIFRoZSBhbmFseXNpcyByZXZlYWxzIHRoYXQgZGVtYW5kIHJlc3BvbnNlIHByb2dyYW1zIGFyZSBtb3JlIGxpa2VseSB0byBzdWNjZWVkIGluIGhpZ2hseSB1cmJhbml6ZWQgYXJlYXMsIGluIGFyZWFzIHdoZXJlIGVjb25vbWljIGdyb3d0aCByYXRlcyBhcmUgaGlnaCwgYW5kIGluIGFyZWFzIHdoZXJlIHRoZSByZW5ld2FibGUgZW5lcmd5IHBvbGljeSBpcyBmYXZvcmFibGUuIFRoZXNlIGZpbmRpbmdzIHByb3ZpZGUgdXNlZnVsIGd1aWRhbmNlIGluIGRldGVybWluaW5nIHdoZXJlIGFuZCBob3cgdG8gaW1wbGVtZW50IGZ1dHVyZSBkZW1hbmQgcmVzcG9uc2UgcHJvZ3JhbXMuIiwicHVibGlzaGVyIjoiRWxzZXZpZXIiLCJ2b2x1bWUiOiI0MCJ9LCJpc1RlbXBvcmFyeSI6ZmFsc2V9LHsiaWQiOiI4OThiOGNkMS04MTFmLTM4OGMtODYxYS1mZmQ1OTJiZTc1NzAiLCJpdGVtRGF0YSI6eyJ0eXBlIjoiYXJ0aWNsZS1qb3VybmFsIiwiaWQiOiI4OThiOGNkMS04MTFmLTM4OGMtODYxYS1mZmQ1OTJiZTc1NzAiLCJ0aXRsZSI6IlBvdGVudGlhbCBlZmZlY3RzIG9mIG1pbmltdW0gdW5pdCBwcmljaW5nIGF0IGxvY2FsIGF1dGhvcml0eSBsZXZlbCBvbiBhbGNvaG9sLWF0dHJpYnV0ZWQgaGFybXMgaW4gTm9ydGggV2VzdCBhbmQgTm9ydGggRWFzdCBFbmdsYW5kOiBhIG1vZGVsbGluZyBzdHVkeSIsImF1dGhvciI6W3siZmFtaWx5IjoiQnJlbm5hbiIsImdpdmVuIjoiQWxhbiIsInBhcnNlLW5hbWVzIjpmYWxzZSwiZHJvcHBpbmctcGFydGljbGUiOiIiLCJub24tZHJvcHBpbmctcGFydGljbGUiOiIifSx7ImZhbWlseSI6IkFuZ3VzIiwiZ2l2ZW4iOiJDb2xpbiIsInBhcnNlLW5hbWVzIjpmYWxzZSwiZHJvcHBpbmctcGFydGljbGUiOiIiLCJub24tZHJvcHBpbmctcGFydGljbGUiOiIifSx7ImZhbWlseSI6IlByeWNlIiwiZ2l2ZW4iOiJSb2JlcnQiLCJwYXJzZS1uYW1lcyI6ZmFsc2UsImRyb3BwaW5nLXBhcnRpY2xlIjoiIiwibm9uLWRyb3BwaW5nLXBhcnRpY2xlIjoiIn0seyJmYW1pbHkiOiJCdXlreCIsImdpdmVuIjoiUGVubnkiLCJwYXJzZS1uYW1lcyI6ZmFsc2UsImRyb3BwaW5nLXBhcnRpY2xlIjoiIiwibm9uLWRyb3BwaW5nLXBhcnRpY2xlIjoiIn0seyJmYW1pbHkiOiJIZW5uZXkiLCJnaXZlbiI6Ik1hZGVsZWluZSIsInBhcnNlLW5hbWVzIjpmYWxzZSwiZHJvcHBpbmctcGFydGljbGUiOiIiLCJub24tZHJvcHBpbmctcGFydGljbGUiOiIifSx7ImZhbWlseSI6IkdpbGxlc3BpZSIsImdpdmVuIjoiRHVuY2FuIiwicGFyc2UtbmFtZXMiOmZhbHNlLCJkcm9wcGluZy1wYXJ0aWNsZSI6IiIsIm5vbi1kcm9wcGluZy1wYXJ0aWNsZSI6IiJ9LHsiZmFtaWx5IjoiSG9sbWVzIiwiZ2l2ZW4iOiJKb2huIiwicGFyc2UtbmFtZXMiOmZhbHNlLCJkcm9wcGluZy1wYXJ0aWNsZSI6IiIsIm5vbi1kcm9wcGluZy1wYXJ0aWNsZSI6IiJ9LHsiZmFtaWx5IjoiTWVpZXIiLCJnaXZlbiI6IlBldHJhIFMiLCJwYXJzZS1uYW1lcyI6ZmFsc2UsImRyb3BwaW5nLXBhcnRpY2xlIjoiIiwibm9uLWRyb3BwaW5nLXBhcnRpY2xlIjoiIn1dLCJjb250YWluZXItdGl0bGUiOiJQdWJsaWMgSGVhbHRoIFJlc2VhcmNoIiwiYWNjZXNzZWQiOnsiZGF0ZS1wYXJ0cyI6W1syMDI2LDcsMV1dfSwiRE9JIjoiMTAuMzMxMC9waHIwOTA0MCIsIklTU04iOiJJU1NOOiAyMDUwLTQzOVgiLCJpc3N1ZWQiOnsiZGF0ZS1wYXJ0cyI6W1syMDIxLDMsMjNdXX0sInBhZ2UiOiIxLTEwNiIsImFic3RyYWN0IjoiQmFja2dyb3VuZCBJbiAyMDE4LCBTY290bGFuZCBpbXBsZW1lbnRlZCBhIDUwcC1wZXItdW5pdCBtaW5pbXVtIHVuaXQgcHJpY2UgZm9yIGFsY29ob2wuIFByZXZpb3VzIG1vZGVsbGluZyBlc3RpbWF0ZWQgdGhlIGltcGFjdCBvZiBtaW5pbXVtIHVuaXQgcHJpY2luZyBmb3IgRW5nbGFuZCwgU2NvdGxhbmQsIFdhbGVzIGFuZCBOb3J0aGVybiBJcmVsYW5kLiBEZWNpc2lvbi1tYWtlcnMgd2FudCB0byBrbm93IHRoZSBwb3RlbnRpYWwgZWZmZWN0cyBvZiBtaW5pbXVtIHVuaXQgcHJpY2luZyBmb3IgbG9jYWwgYXV0aG9yaXRpZXMgaW4gRW5nbGFuZDsgdGhlIHByZW1pc2Ugb2YgdGhpcyBzdHVkeSBpcyB0aGF0IGVzdGltYXRlZCBlZmZlY3RzIG9mIG1pbmltdW0gdW5pdCBwcmljaW5nIHdvdWxkIHZhcnkgYnkgbG9jYWxpdHkuIE9iamVjdGl2ZSBUaGUgb2JqZWN0aXZlIHdhcyB0byBlc3RpbWF0ZSB0aGUgcG90ZW50aWFsIGVmZmVjdHMgb24gbW9ydGFsaXR5LCBob3NwaXRhbGlzYXRpb25zIGFuZCBjcmltZSBvZiB0aGUgaW1wbGVtZW50YXRpb24gb2YgbWluaW11bSB1bml0IHByaWNpbmcgZm9yIGFsY29ob2wgYXQgbG9jYWwgYXV0aG9yaXR5IGxldmVsIGluIEVuZ2xhbmQuIERlc2lnbiBUaGlzIHdhcyBhbiBldmlkZW5jZSBzeW50aGVzaXMsIGFuZCB1c2VkIGNvbXB1dGVyIG1vZGVsbGluZyB1c2luZyB0aGUgU2hlZmZpZWxkIEFsY29ob2wgUG9saWN5IE1vZGVsIChsb2NhbCBhdXRob3JpdHkgdmVyc2lvbiA0LjApLiBUaGlzIHN0dWR5IGdhdGhlcmVkIGV2aWRlbmNlIG9uIGxvY2FsIGNvbnN1bXB0aW9uIG9mIGFsY29ob2wgZnJvbSB0aGUgSGVhbHRoIFN1cnZleSBmb3IgRW5nbGFuZCwgYW5kIGdhdGhlcmVkIGRhdGEgb24gbG9jYWwgcHJpY2VzIHBhaWQgZnJvbSB0aGUgTGl2aW5nIENvc3RzIGFuZCBGb29kIFN1cnZleSBhbmQgZnJvbSBtYXJrZXQgcmVzZWFyY2ggY29tcGFuaWVz4oCZIGFjdHVhbCBzYWxlcyBkYXRhLiBUaGVzZSBkYXRhIHdlcmUgbGlua2VkIHdpdGggbG9jYWwgaGFybXMgaW4gdGVybXMgb2YgYm90aCBhbGNvaG9sLWF0dHJpYnV0YWJsZSBtb3J0YWxpdHkgKGZyb20gdGhlIE9mZmljZSBmb3IgTmF0aW9uYWwgU3RhdGlzdGljcykgYW5kIGFsY29ob2wtYXR0cmlidXRhYmxlIGhvc3BpdGFsaXNhdGlvbnMgKGZyb20gSG9zcGl0YWwgRXBpc29kZSBTdGF0aXN0aWNzKSBmb3IgNDUgY29uZGl0aW9ucyBkZWZpbmVkIGJ5IHRoZSBJbnRlcm5hdGlvbmFsIFN0YXRpc3RpY2FsIENsYXNzaWZpY2F0aW9uIG9mIERpc2Vhc2VzIGFuZCBSZWxhdGVkIEhlYWx0aCBQcm9ibGVtcywgVGVudGggUmV2aXNpb24uIFRoZXNlIGRhdGEgd2VyZSBleGFtaW5lZCBmb3IgZWlnaHQgYWdl4oCTc2V4IGdyb3VwcyBzcGxpdCBieSBmaXZlIEluZGV4IG9mIE11bHRpcGxlIERlcHJpdmF0aW9uIHF1aW50aWxlcy4gQWxjb2hvbC1hdHRyaWJ1dGFibGUgY3JpbWUgZGF0YSAoT2ZmaWNlIGZvciBOYXRpb25hbCBTdGF0aXN0aWNzIHBvbGljZS1yZWNvcmRlZCBjcmltZXMgYW5kIHVwbGlmdHMgZm9yIHVucmVjb3JkZWQgb2ZmZW5jZXMpIHdlcmUgYWxzbyBhbmFseXNlZC4gU2V0dGluZyBUaGlzIHN0dWR5IHdhcyBzZXQgaW4gMjMgdXBwZXItdGllciBsb2NhbCBhdXRob3JpdGllcyBpbiBOb3J0aCBXZXN0IEVuZ2xhbmQsIDEyIHVwcGVyLXRpZXIgbG9jYWwgYXV0aG9yaXRpZXMgaW4gdGhlIE5vcnRoIEVhc3QgcmVnaW9uIGFuZCBuaW5lIGdvdmVybm1lbnQgb2ZmaWNlIHJlZ2lvbnMsIGFuZCBhIG5hdGlvbmFsIHN1bW1hcnkgd2FzIGNvbmR1Y3RlZC4gUGFydGljaXBhbnRzIFRoZSBwYXJ0aWNpcGFudHMgd2VyZSB0aGUgcG9wdWxhdGlvbiBvZiBFbmdsYW5kIGFnZWQg4oml4oCJMTggeWVhcnMuIEludGVydmVudGlvbiBUaGUgaW50ZXJ2ZW50aW9uIHdhcyBzZXR0aW5nIGEgbG9jYWwgbWluaW11bSB1bml0IHByaWNlLiBUaGUgYmFzZSBjYXNlIGlzIDUwcCBwZXIgdW5pdCBvZiBhbGNvaG9sLiBTZW5zaXRpdml0eSBhbmFseXNlcyB3ZXJlIHVuZGVydGFrZW4gdXNpbmcgbWluaW11bSB1bml0IHByaWNlcyBvZiAzMHAsIDQwcCwgNjBwIGFuZCA3MHAgcGVyIHVuaXQgb2YgYWxjb2hvbC4gTWFpbiBvdXRjb21lIG1lYXN1cmVzIFRoZSBtYWluIG91dGNvbWUgbWVhc3VyZXMgd2VyZSBjaGFuZ2VzIGluIGFsY29ob2wtYXR0cmlidXRhYmxlIGRlYXRocywgaG9zcGl0YWxpc2F0aW9ucyBhbmQgY3JpbWUuIFNhdmluZ3MgaW4gTkhTIGNvc3RzLCBjaGFuZ2VzIGluIGFsY29ob2wgcHVyY2hhc2luZyBhbmQgY29uc3VtcHRpb24sIGNoYW5nZXMgaW4gcmV2ZW51ZSB0byBvZmYtdHJhZGUgYW5kIG9uLXRyYWRlIHJldGFpbGVycyBhbmQgY2hhbmdlcyBpbiB0aGUgc2xvcGUgaW5kZXggb2YgaW5lcXVhbGl0eSBiZXR3ZWVuIG1vc3QgYW5kIGxlYXN0IGRlcHJpdmVkIGFyZWFzIHdlcmUgYWxzbyBleGFtaW5lZC4gUmVzdWx0cyBUaGUgbW9kZWxsaW5nIGhhcyBwcm92ZWQgZmVhc2libGUgYXQgdGhlIHVwcGVyLXRpZXIgbG9jYWwgYXV0aG9yaXR5IGxldmVsLiBUaGUgcmVzdWx0aW5nIGVzdGltYXRlcyBzdWdnZXN0IHRoYXQgbWluaW11bSB1bml0IHByaWNpbmcgZm9yIGFsY29ob2wgYXQgbG9jYWwgYXV0aG9yaXR5IGxldmVsIGNvdWxkIGJlIGVmZmVjdGl2ZSBpbiByZWR1Y2luZyBhbGNvaG9sLWF0dHJpYnV0YWJsZSBkZWF0aHMsIGhvc3BpdGFsaXNhdGlvbnMsIE5IUyBjb3N0cyBhbmQgY3JpbWUuIEEgNTBwIG1pbmltdW0gdW5pdCBwcmljZSBmb3IgYWxjb2hvbCBhdCBsb2NhbCBhdXRob3JpdHkgbGV2ZWwgaXMgZXN0aW1hdGVkIHRvIHJlZHVjZSBhbm51YWwgYWxjb2hvbC1yZWxhdGVkIGRlYXRocyBpbiB0aGUgTm9ydGggV2VzdCByZWdpb24gYnkgMjA1LCBob3NwaXRhbGlzYXRpb25zIGJ5IDU5NTYgKOKAkzUuNSUpIGFuZCBjcmltZXMgYnkgODUyOCAo4oCTMi41JSkuIFRoZXNlIGVzdGltYXRlZCByZWR1Y3Rpb25zIGFyZSBtb3N0bHkgZHVlIHRvIHRoZSA1JSBvZiBwZW9wbGUgZHJpbmtpbmcgYXQgaGlnaC1yaXNrIGxldmVscyAoZS5nLiBtZW4gZHJpbmtpbmcgPuKAiTI1IHBpbnRzIG9mIGJlZXIgb3IgZml2ZSBib3R0bGVzIG9mIHdpbmUgcGVyIHdlZWssIHdvbWVuIGRyaW5raW5nID7igIkxNyBwaW50cyBvZiBiZWVyIG9yIDMuNSBib3R0bGVzIG9mIHdpbmUgcGVyIHdlZWssIGFuZCB3aG8gc3BlbmQgYXJvdW5kIMKjMjUwMCBwZXIgeWVhciBjdXJyZW50bHkgb24gYWxjb2hvbCkuIE1vZGVsIGVzdGltYXRlcyBvZiBpbXBhY3QgYXJlIGJpZ2dlciBpbiB0aGUgTm9ydGggV2VzdCBhbmQgTm9ydGggRWFzdCByZWdpb25zIHRoYW4gbmF0aW9uYWxseSBiZWNhdXNlLCBjdXJyZW50bHksIG1vcmUgY2hlYXAgYWxjb2hvbCBpcyBjb25zdW1lZCBpbiB0aGVzZSByZWdpb25zIGFuZCBiZWNhdXNlIHRoZXJlIGFyZSBtb3JlIGFsY29ob2wtcmVsYXRlZCBkZWF0aHMgYW5kIGhvc3BpdGFsaXNhdGlvbnMgaW4gdGhlc2UgYXJlYXMuIEEgMzBwIG1pbmltdW0gdW5pdCBwcmljZSBoYXMgZXN0aW1hdGVkIGVmZmVjdHMgdGhhdCBhcmUg4omI4oCJOTAlIGxvd2VyIHRoYW4gdGhvc2Ugb2YgYSA1MHAgbWluaW11bSB1bml0IHByaWNlLCBhbmQgYSA0MHAgbWluaW11bSB1bml0IHByaWNlIGhhcyBlc3RpbWF0ZWQgZWZmZWN0cyB0aGF0IGFyZSDiiYjigIk1MCUgbG93ZXIuIEhlYWx0aCBpbmVxdWFsaXRpZXMgYXJlIGVzdGltYXRlZCB0byByZWR1Y2Ugd2l0aCBncmVhdGVyIGhlYWx0aCBnYWlucyBpbiB0aGUgZGVwcml2ZWQgYXJlYXMsIHdoZXJlIG1vcmUgY2hlYXAgYWxjb2hvbCBpcyBwdXJjaGFzZWQgYW5kIHdoZXJlIHRoZXJlIGFyZSBoaWdoZXIgYmFzZWxpbmUgaGFybXMuIExpbWl0YXRpb25zIFRoZSBhcHByb2FjaCByZXF1aXJlcyBzeW50aGVzaXMgb2YgZXZpZGVuY2UgZnJvbSBtdWx0aXBsZSBzb3VyY2VzIG9uIGFsY29ob2wgY29uc3VtcHRpb247IHByaWNlcyBwYWlkOyBhbmQgaW5jaWRlbmNlIG9mIGRpc2Vhc2VzLCBtb3J0YWxpdHkgYW5kIGNyaW1lLiBQcmljZSBlbGFzdGljaXRpZXMgdXNlZCBhcmUgZnJvbSBwcmV2aW91cyBVSyBhbmFseXNpcyBvZiBwcmljZSByZXNwb25zaXZlbmVzcyByYXRoZXIgdGhhbiBzcGVjaWZpYyB0byBsb2NhbCBhcmVhcy4gVGhlIHN0dWR5IGhhcyBub3QgZXN0aW1hdGVkIOKAmGNyb3NzLWJvcmRlciBlZmZlY3Rz4oCZLCBuYW1lbHkgdHJhdmVsbGluZyB0byBzaG9wcyBvdXRzaWRlIHRoZSByZWdpb24uIENvbmNsdXNpb25zIFRoZSBtb2RlbGxpbmcgZXN0aW1hdGVzIHN1Z2dlc3QgdGhhdCBtaW5pbXVtIHVuaXQgcHJpY2luZyBmb3IgYWxjb2hvbCBhdCBsb2NhbCBhdXRob3JpdHkgbGV2ZWwgd291bGQgYmUgYW4gZWZmZWN0aXZlIGFuZCB3ZWxsLXRhcmdldGVkIHBvbGljeSwgcmVkdWNpbmcgaW5lcXVhbGl0aWVzLiBGdXR1cmUgd29yayBUaGUgU2hlZmZpZWxkIEFsY29ob2wgUG9saWN5IE1vZGVsIGZvciBMb2NhbCBBdXRob3JpdGllcyBmcmFtZXdvcmsgY291bGQgYmUgZnVydGhlciB1dGlsaXNlZCB0byBleGFtaW5lIHRoZSBsb2NhbCBpbXBhY3Qgb2YgbmF0aW9uYWwgcG9saWNpZXMgKGUuZy4gdGF4IGNoYW5nZXMpIG9yIGxvY2FsIHBvbGljaWVzIChlLmcuIGxpY2Vuc2luZyBvciBpZGVudGlmaWNhdGlvbiBhbmQgYnJpZWYgYWR2aWNlKS4gQXMgZXZpZGVuY2UgZW1lcmdlcyBmcm9tIHRoZSBTY290dGlzaCBtaW5pbXVtIHVuaXQgcHJpY2UgaW1wbGVtZW50YXRpb24sIHRoaXMgd2lsbCBmdXJ0aGVyIGluZm9ybSBlc3RpbWF0ZXMgb2YgaW1wYWN0IGluIEVuZ2xpc2ggbG9jYWxpdGllcy4gVGhlIG1ldGhvZHMgdXNlZCB0byBlc3RpbWF0ZSBkcmlua2luZyBhbmQgcHVyY2hhc2luZyBwYXR0ZXJucyBpbiBlYWNoIGxvY2FsIGF1dGhvcml0eSBjb3VsZCBhbHNvIGJlIHVzZWQgZm9yIG90aGVyIHRvcGljcyBpbnZvbHZpbmcgdW5oZWFsdGh5IHByb2R1Y3RzIGFmZmVjdGluZyBwdWJsaWMgaGVhbHRoLCBmb3IgZXhhbXBsZSB0byBlc3RpbWF0ZSBsb2NhbCBzbW9raW5nIG9yIGhpZ2gtZmF0LCBoaWdoLXNhbHQgZm9vZCBjb25zdW1wdGlvbiBwYXR0ZXJucy4gRnVuZGluZyBUaGlzIHByb2plY3Qgd2FzIGZ1bmRlZCBieSB0aGUgTmF0aW9uYWwgSW5zdGl0dXRlIGZvciBIZWFsdGggUmVzZWFyY2ggKE5JSFIpIFB1YmxpYyBIZWFsdGggUmVzZWFyY2ggcHJvZ3JhbW1lIGFuZCB3aWxsIGJlIHB1Ymxpc2hlZCBpbiBmdWxsIGluIFB1YmxpYyBIZWFsdGggUmVzZWFyY2g7IFZvbC4gOSwgTm8uIDQuIFNlZSB0aGUgTklIUiBKb3VybmFscyBMaWJyYXJ5IHdlYnNpdGUgZm9yIGZ1cnRoZXIgcHJvamVjdCBpbmZvcm1hdGlvbi4iLCJwdWJsaXNoZXIiOiJOYXRpb25hbCBJbnN0aXR1dGUgZm9yIEhlYWx0aCBhbmQgQ2FyZSBSZXNlYXJjaCIsImlzc3VlIjoiNCIsInZvbHVtZSI6IjkiLCJjb250YWluZXItdGl0bGUtc2hvcnQiOiIifSwiaXNUZW1wb3JhcnkiOmZhbHNlfV19&quot;,&quot;citationItems&quot;:[{&quot;id&quot;:&quot;101179f2-d7fb-363f-9280-f6aea1cfc484&quot;,&quot;itemData&quot;:{&quot;type&quot;:&quot;article-journal&quot;,&quot;id&quot;:&quot;101179f2-d7fb-363f-9280-f6aea1cfc484&quot;,&quot;title&quot;:&quot;Robustness checks and robustness tests in applied economics&quot;,&quot;author&quot;:[{&quot;family&quot;:&quot;Lu&quot;,&quot;given&quot;:&quot;Xun&quot;,&quot;parse-names&quot;:false,&quot;dropping-particle&quot;:&quot;&quot;,&quot;non-dropping-particle&quot;:&quot;&quot;},{&quot;family&quot;:&quot;White&quot;,&quot;given&quot;:&quot;Halbert&quot;,&quot;parse-names&quot;:false,&quot;dropping-particle&quot;:&quot;&quot;,&quot;non-dropping-particle&quot;:&quot;&quot;}],&quot;container-title&quot;:&quot;Journal of Econometrics&quot;,&quot;container-title-short&quot;:&quot;J. Econom.&quot;,&quot;accessed&quot;:{&quot;date-parts&quot;:[[2026,7,1]]},&quot;DOI&quot;:&quot;10.1016/j.jeconom.2013.08.016&quot;,&quot;ISSN&quot;:&quot;0304-4076&quot;,&quot;URL&quot;:&quot;https://www.sciencedirect.com/science/article/abs/pii/S0304407613001668?via%3Dihub&quot;,&quot;issued&quot;:{&quot;date-parts&quot;:[[2014,1,1]]},&quot;page&quot;:&quot;194-206&quot;,&quot;abstract&quot;:&quot;A common exercise in empirical studies is a \&quot;robustness check\&quot;, where the researcher examines how certain \&quot;core\&quot; regression coefficient estimates behave when the regression specification is modified by adding or removing regressors. If the coefficients are plausible and robust, this is commonly interpreted as evidence of structural validity. Here, we study when and how one can infer structural validity from coefficient robustness and plausibility. As we show, there are numerous pitfalls, as commonly implemented robustness checks give neither necessary nor sufficient evidence for structural validity. Indeed, if not conducted properly, robustness checks can be completely uninformative or entirely misleading. We discuss how critical and non-critical core variables can be properly specified and how non-core variables for the comparison regression can be chosen to ensure that robustness checks are indeed structurally informative. We provide a straightforward new Hausman (1978) type test of robustness for the critical core coefficients, additional diagnostics that can help explain why robustness test rejection occurs, and a new estimator, the Feasible Optimally combined GLS (FOGLeSs) estimator, that makes relatively efficient use of the robustness check regressions. A new procedure for Matlab, testrob, embodies these methods.&quot;,&quot;publisher&quot;:&quot;North-Holland&quot;,&quot;issue&quot;:&quot;PART 1&quot;,&quot;volume&quot;:&quot;178&quot;},&quot;isTemporary&quot;:false},{&quot;id&quot;:&quot;7cef459c-813f-32da-816b-1c399d227577&quot;,&quot;itemData&quot;:{&quot;type&quot;:&quot;article-journal&quot;,&quot;id&quot;:&quot;7cef459c-813f-32da-816b-1c399d227577&quot;,&quot;title&quot;:&quot;Assessing the success of electricity demand response programs: A meta-analysis&quot;,&quot;author&quot;:[{&quot;family&quot;:&quot;Srivastava&quot;,&quot;given&quot;:&quot;Aman&quot;,&quot;parse-names&quot;:false,&quot;dropping-particle&quot;:&quot;&quot;,&quot;non-dropping-particle&quot;:&quot;&quot;},{&quot;family&quot;:&quot;Passel&quot;,&quot;given&quot;:&quot;Steven&quot;,&quot;parse-names&quot;:false,&quot;dropping-particle&quot;:&quot;&quot;,&quot;non-dropping-particle&quot;:&quot;Van&quot;},{&quot;family&quot;:&quot;Laes&quot;,&quot;given&quot;:&quot;Erik&quot;,&quot;parse-names&quot;:false,&quot;dropping-particle&quot;:&quot;&quot;,&quot;non-dropping-particle&quot;:&quot;&quot;}],&quot;container-title&quot;:&quot;Energy Research &amp; Social Science&quot;,&quot;container-title-short&quot;:&quot;Energy Res. Soc. Sci.&quot;,&quot;accessed&quot;:{&quot;date-parts&quot;:[[2026,7,1]]},&quot;DOI&quot;:&quot;10.1016/j.erss.2017.12.005&quot;,&quot;ISSN&quot;:&quot;2214-6296&quot;,&quot;URL&quot;:&quot;https://www.sciencedirect.com/science/article/abs/pii/S2214629617304516?via%3Dihub&quot;,&quot;issued&quot;:{&quot;date-parts&quot;:[[2018,6,1]]},&quot;page&quot;:&quot;110-117&quot;,&quot;abstract&quot;:&quot;This paper conducts a meta-analysis of 32 electricity demand response programs in the residential sector to understand whether their success is dependent on specific characteristics. The paper analyses several regression models using various combinations of variables that capture the designs of the programs and the socio-economic conditions in which the programs are implemented. The analysis reveals that demand response programs are more likely to succeed in highly urbanized areas, in areas where economic growth rates are high, and in areas where the renewable energy policy is favorable. These findings provide useful guidance in determining where and how to implement future demand response programs.&quot;,&quot;publisher&quot;:&quot;Elsevier&quot;,&quot;volume&quot;:&quot;40&quot;},&quot;isTemporary&quot;:false},{&quot;id&quot;:&quot;898b8cd1-811f-388c-861a-ffd592be7570&quot;,&quot;itemData&quot;:{&quot;type&quot;:&quot;article-journal&quot;,&quot;id&quot;:&quot;898b8cd1-811f-388c-861a-ffd592be7570&quot;,&quot;title&quot;:&quot;Potential effects of minimum unit pricing at local authority level on alcohol-attributed harms in North West and North East England: a modelling study&quot;,&quot;author&quot;:[{&quot;family&quot;:&quot;Brennan&quot;,&quot;given&quot;:&quot;Alan&quot;,&quot;parse-names&quot;:false,&quot;dropping-particle&quot;:&quot;&quot;,&quot;non-dropping-particle&quot;:&quot;&quot;},{&quot;family&quot;:&quot;Angus&quot;,&quot;given&quot;:&quot;Colin&quot;,&quot;parse-names&quot;:false,&quot;dropping-particle&quot;:&quot;&quot;,&quot;non-dropping-particle&quot;:&quot;&quot;},{&quot;family&quot;:&quot;Pryce&quot;,&quot;given&quot;:&quot;Robert&quot;,&quot;parse-names&quot;:false,&quot;dropping-particle&quot;:&quot;&quot;,&quot;non-dropping-particle&quot;:&quot;&quot;},{&quot;family&quot;:&quot;Buykx&quot;,&quot;given&quot;:&quot;Penny&quot;,&quot;parse-names&quot;:false,&quot;dropping-particle&quot;:&quot;&quot;,&quot;non-dropping-particle&quot;:&quot;&quot;},{&quot;family&quot;:&quot;Henney&quot;,&quot;given&quot;:&quot;Madeleine&quot;,&quot;parse-names&quot;:false,&quot;dropping-particle&quot;:&quot;&quot;,&quot;non-dropping-particle&quot;:&quot;&quot;},{&quot;family&quot;:&quot;Gillespie&quot;,&quot;given&quot;:&quot;Duncan&quot;,&quot;parse-names&quot;:false,&quot;dropping-particle&quot;:&quot;&quot;,&quot;non-dropping-particle&quot;:&quot;&quot;},{&quot;family&quot;:&quot;Holmes&quot;,&quot;given&quot;:&quot;John&quot;,&quot;parse-names&quot;:false,&quot;dropping-particle&quot;:&quot;&quot;,&quot;non-dropping-particle&quot;:&quot;&quot;},{&quot;family&quot;:&quot;Meier&quot;,&quot;given&quot;:&quot;Petra S&quot;,&quot;parse-names&quot;:false,&quot;dropping-particle&quot;:&quot;&quot;,&quot;non-dropping-particle&quot;:&quot;&quot;}],&quot;container-title&quot;:&quot;Public Health Research&quot;,&quot;accessed&quot;:{&quot;date-parts&quot;:[[2026,7,1]]},&quot;DOI&quot;:&quot;10.3310/phr09040&quot;,&quot;ISSN&quot;:&quot;ISSN: 2050-439X&quot;,&quot;issued&quot;:{&quot;date-parts&quot;:[[2021,3,23]]},&quot;page&quot;:&quot;1-106&quot;,&quot;abstract&quot;:&quot;Background In 2018, Scotland implemented a 50p-per-unit minimum unit price for alcohol. Previous modelling estimated the impact of minimum unit pricing for England, Scotland, Wales and Northern Ireland. Decision-makers want to know the potential effects of minimum unit pricing for local authorities in England; the premise of this study is that estimated effects of minimum unit pricing would vary by locality. Objective The objective was to estimate the potential effects on mortality, hospitalisations and crime of the implementation of minimum unit pricing for alcohol at local authority level in England. Design This was an evidence synthesis, and used computer modelling using the Sheffield Alcohol Policy Model (local authority version 4.0). This study gathered evidence on local consumption of alcohol from the Health Survey for England, and gathered data on local prices paid from the Living Costs and Food Survey and from market research companies’ actual sales data. These data were linked with local harms in terms of both alcohol-attributable mortality (from the Office for National Statistics) and alcohol-attributable hospitalisations (from Hospital Episode Statistics) for 45 conditions defined by the International Statistical Classification of Diseases and Related Health Problems, Tenth Revision. These data were examined for eight age–sex groups split by five Index of Multiple Deprivation quintiles. Alcohol-attributable crime data (Office for National Statistics police-recorded crimes and uplifts for unrecorded offences) were also analysed. Setting This study was set in 23 upper-tier local authorities in North West England, 12 upper-tier local authorities in the North East region and nine government office regions, and a national summary was conducted. Participants The participants were the population of England aged ≥ 18 years. Intervention The intervention was setting a local minimum unit price. The base case is 50p per unit of alcohol. Sensitivity analyses were undertaken using minimum unit prices of 30p, 40p, 60p and 70p per unit of alcohol. Main outcome measures The main outcome measures were changes in alcohol-attributable deaths, hospitalisations and crime. Savings in NHS costs, changes in alcohol purchasing and consumption, changes in revenue to off-trade and on-trade retailers and changes in the slope index of inequality between most and least deprived areas were also examined. Results The modelling has proved feasible at the upper-tier local authority level. The resulting estimates suggest that minimum unit pricing for alcohol at local authority level could be effective in reducing alcohol-attributable deaths, hospitalisations, NHS costs and crime. A 50p minimum unit price for alcohol at local authority level is estimated to reduce annual alcohol-related deaths in the North West region by 205, hospitalisations by 5956 (–5.5%) and crimes by 8528 (–2.5%). These estimated reductions are mostly due to the 5% of people drinking at high-risk levels (e.g. men drinking &gt; 25 pints of beer or five bottles of wine per week, women drinking &gt; 17 pints of beer or 3.5 bottles of wine per week, and who spend around £2500 per year currently on alcohol). Model estimates of impact are bigger in the North West and North East regions than nationally because, currently, more cheap alcohol is consumed in these regions and because there are more alcohol-related deaths and hospitalisations in these areas. A 30p minimum unit price has estimated effects that are ≈ 90% lower than those of a 50p minimum unit price, and a 40p minimum unit price has estimated effects that are ≈ 50% lower. Health inequalities are estimated to reduce with greater health gains in the deprived areas, where more cheap alcohol is purchased and where there are higher baseline harms. Limitations The approach requires synthesis of evidence from multiple sources on alcohol consumption; prices paid; and incidence of diseases, mortality and crime. Price elasticities used are from previous UK analysis of price responsiveness rather than specific to local areas. The study has not estimated ‘cross-border effects’, namely travelling to shops outside the region. Conclusions The modelling estimates suggest that minimum unit pricing for alcohol at local authority level would be an effective and well-targeted policy, reducing inequalities. Future work The Sheffield Alcohol Policy Model for Local Authorities framework could be further utilised to examine the local impact of national policies (e.g. tax changes) or local policies (e.g. licensing or identification and brief advice). As evidence emerges from the Scottish minimum unit price implementation, this will further inform estimates of impact in English localities. The methods used to estimate drinking and purchasing patterns in each local authority could also be used for other topics involving unhealthy products affecting public health, for example to estimate local smoking or high-fat, high-salt food consumption patterns. Funding This project was funded by the National Institute for Health Research (NIHR) Public Health Research programme and will be published in full in Public Health Research; Vol. 9, No. 4. See the NIHR Journals Library website for further project information.&quot;,&quot;publisher&quot;:&quot;National Institute for Health and Care Research&quot;,&quot;issue&quot;:&quot;4&quot;,&quot;volume&quot;:&quot;9&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43CF5-4C5C-4193-9EEE-6DB1F0CF6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15944</Words>
  <Characters>90885</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Macias, Lisa J</cp:lastModifiedBy>
  <cp:revision>3</cp:revision>
  <cp:lastPrinted>2026-07-29T11:08:00Z</cp:lastPrinted>
  <dcterms:created xsi:type="dcterms:W3CDTF">2026-09-25T20:21:00Z</dcterms:created>
  <dcterms:modified xsi:type="dcterms:W3CDTF">2026-09-25T20:22:00Z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UseMTPrefs">
    <vt:lpwstr>1</vt:lpwstr>
  </property>
  <property fmtid="{D5CDD505-2E9C-101B-9397-08002B2CF9AE}" pid="3" name="MTWinEqns">
    <vt:bool>true</vt:bool>
  </property>
  <property fmtid="{D5CDD505-2E9C-101B-9397-08002B2CF9AE}" pid="4" name="MTEquationSection">
    <vt:lpwstr>1</vt:lpwstr>
  </property>
  <property fmtid="{D5CDD505-2E9C-101B-9397-08002B2CF9AE}" pid="5" name="MTEquationNumber2">
    <vt:lpwstr>(A.3)</vt:lpwstr>
  </property>
  <property fmtid="{D5CDD505-2E9C-101B-9397-08002B2CF9AE}" pid="6" name="MTCustomEquationNumber">
    <vt:lpwstr>1</vt:lpwstr>
  </property>
</Properties>
</file>