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B04C0" w14:textId="77777777" w:rsidR="00FC32C9" w:rsidRDefault="00FC32C9" w:rsidP="007B293E">
      <w:pPr>
        <w:spacing w:after="0" w:line="240" w:lineRule="auto"/>
        <w:rPr>
          <w:b/>
          <w:bCs/>
        </w:rPr>
      </w:pPr>
    </w:p>
    <w:p w14:paraId="684D948E" w14:textId="77777777" w:rsidR="00FC32C9" w:rsidRDefault="00FC32C9" w:rsidP="007B293E">
      <w:pPr>
        <w:spacing w:after="0" w:line="240" w:lineRule="auto"/>
        <w:rPr>
          <w:b/>
          <w:bCs/>
        </w:rPr>
      </w:pPr>
    </w:p>
    <w:p w14:paraId="211D1B2C" w14:textId="77777777" w:rsidR="00FC32C9" w:rsidRDefault="00FC32C9" w:rsidP="007B293E">
      <w:pPr>
        <w:spacing w:after="0" w:line="240" w:lineRule="auto"/>
        <w:rPr>
          <w:b/>
          <w:bCs/>
        </w:rPr>
      </w:pPr>
    </w:p>
    <w:p w14:paraId="0117CB39" w14:textId="56592808" w:rsidR="001D161D" w:rsidRPr="00677CE8" w:rsidRDefault="0084074C" w:rsidP="00FC32C9">
      <w:pPr>
        <w:spacing w:after="0" w:line="240" w:lineRule="auto"/>
        <w:jc w:val="center"/>
      </w:pPr>
      <w:r w:rsidRPr="00677CE8">
        <w:rPr>
          <w:b/>
          <w:bCs/>
        </w:rPr>
        <w:fldChar w:fldCharType="begin"/>
      </w:r>
      <w:r w:rsidRPr="00677CE8">
        <w:rPr>
          <w:b/>
          <w:bCs/>
        </w:rPr>
        <w:instrText xml:space="preserve"> MACROBUTTON MTEditEquationSection2 </w:instrText>
      </w:r>
      <w:r w:rsidRPr="00677CE8">
        <w:rPr>
          <w:rStyle w:val="MTEquationSection"/>
        </w:rPr>
        <w:instrText>Equation Chapter 1 Section 1</w:instrText>
      </w:r>
      <w:r w:rsidRPr="00677CE8">
        <w:rPr>
          <w:b/>
          <w:bCs/>
        </w:rPr>
        <w:fldChar w:fldCharType="begin"/>
      </w:r>
      <w:r w:rsidRPr="00677CE8">
        <w:rPr>
          <w:b/>
          <w:bCs/>
        </w:rPr>
        <w:instrText xml:space="preserve"> SEQ MTEqn \r \h \* MERGEFORMAT </w:instrText>
      </w:r>
      <w:r w:rsidRPr="00677CE8">
        <w:rPr>
          <w:b/>
          <w:bCs/>
        </w:rPr>
        <w:fldChar w:fldCharType="end"/>
      </w:r>
      <w:r w:rsidRPr="00677CE8">
        <w:rPr>
          <w:b/>
          <w:bCs/>
        </w:rPr>
        <w:fldChar w:fldCharType="begin"/>
      </w:r>
      <w:r w:rsidRPr="00677CE8">
        <w:rPr>
          <w:b/>
          <w:bCs/>
        </w:rPr>
        <w:instrText xml:space="preserve"> SEQ MTSec \r 1 \h \* MERGEFORMAT </w:instrText>
      </w:r>
      <w:r w:rsidRPr="00677CE8">
        <w:rPr>
          <w:b/>
          <w:bCs/>
        </w:rPr>
        <w:fldChar w:fldCharType="end"/>
      </w:r>
      <w:r w:rsidRPr="00677CE8">
        <w:rPr>
          <w:b/>
          <w:bCs/>
        </w:rPr>
        <w:fldChar w:fldCharType="begin"/>
      </w:r>
      <w:r w:rsidRPr="00677CE8">
        <w:rPr>
          <w:b/>
          <w:bCs/>
        </w:rPr>
        <w:instrText xml:space="preserve"> SEQ MTChap \r 1 \h \* MERGEFORMAT </w:instrText>
      </w:r>
      <w:r w:rsidRPr="00677CE8">
        <w:rPr>
          <w:b/>
          <w:bCs/>
        </w:rPr>
        <w:fldChar w:fldCharType="end"/>
      </w:r>
      <w:r w:rsidRPr="00677CE8">
        <w:rPr>
          <w:b/>
          <w:bCs/>
        </w:rPr>
        <w:fldChar w:fldCharType="end"/>
      </w:r>
      <w:r w:rsidR="001D161D" w:rsidRPr="00677CE8">
        <w:rPr>
          <w:b/>
          <w:bCs/>
        </w:rPr>
        <w:t>Heterogeneous Preferences for Air Metro and Air Taxi Services: A Sociotechnical Analysis of Urban Air Mobility Adoption Intentions</w:t>
      </w:r>
    </w:p>
    <w:p w14:paraId="50FDF6BB" w14:textId="77777777" w:rsidR="001D161D" w:rsidRPr="00677CE8" w:rsidRDefault="001D161D" w:rsidP="007B293E">
      <w:pPr>
        <w:spacing w:after="0" w:line="240" w:lineRule="auto"/>
      </w:pPr>
    </w:p>
    <w:p w14:paraId="7EBBD5E1" w14:textId="77777777" w:rsidR="00243135" w:rsidRPr="00677CE8" w:rsidRDefault="00243135" w:rsidP="007B293E">
      <w:pPr>
        <w:spacing w:after="0" w:line="240" w:lineRule="auto"/>
      </w:pPr>
    </w:p>
    <w:p w14:paraId="51B96EE7" w14:textId="77777777" w:rsidR="007B293E" w:rsidRPr="00677CE8" w:rsidRDefault="007B293E" w:rsidP="007B293E">
      <w:pPr>
        <w:spacing w:after="0" w:line="240" w:lineRule="auto"/>
      </w:pPr>
    </w:p>
    <w:p w14:paraId="2B01D017" w14:textId="77777777" w:rsidR="007B293E" w:rsidRPr="00677CE8" w:rsidRDefault="007B293E" w:rsidP="007B293E">
      <w:pPr>
        <w:spacing w:after="0" w:line="240" w:lineRule="auto"/>
      </w:pPr>
    </w:p>
    <w:p w14:paraId="03C0DF49" w14:textId="74A839DB" w:rsidR="00243135" w:rsidRDefault="00243135" w:rsidP="007B293E">
      <w:pPr>
        <w:spacing w:after="0" w:line="240" w:lineRule="auto"/>
      </w:pPr>
    </w:p>
    <w:p w14:paraId="74C0735A" w14:textId="77777777" w:rsidR="00FC32C9" w:rsidRPr="00677CE8" w:rsidRDefault="00FC32C9" w:rsidP="007B293E">
      <w:pPr>
        <w:spacing w:after="0" w:line="240" w:lineRule="auto"/>
      </w:pPr>
    </w:p>
    <w:p w14:paraId="39EF35AE" w14:textId="77777777" w:rsidR="001D161D" w:rsidRPr="00677CE8" w:rsidRDefault="001D161D" w:rsidP="007B293E">
      <w:pPr>
        <w:spacing w:after="0" w:line="240" w:lineRule="auto"/>
        <w:rPr>
          <w:b/>
          <w:bCs/>
        </w:rPr>
      </w:pPr>
      <w:r w:rsidRPr="00677CE8">
        <w:rPr>
          <w:b/>
          <w:bCs/>
        </w:rPr>
        <w:t>Anna Beliveau</w:t>
      </w:r>
    </w:p>
    <w:p w14:paraId="28EB3492" w14:textId="77777777" w:rsidR="001D161D" w:rsidRPr="00677CE8" w:rsidRDefault="001D161D" w:rsidP="007B293E">
      <w:pPr>
        <w:spacing w:after="0" w:line="240" w:lineRule="auto"/>
      </w:pPr>
      <w:r w:rsidRPr="00677CE8">
        <w:t xml:space="preserve">The University of Texas </w:t>
      </w:r>
      <w:proofErr w:type="gramStart"/>
      <w:r w:rsidRPr="00677CE8">
        <w:t>at</w:t>
      </w:r>
      <w:proofErr w:type="gramEnd"/>
      <w:r w:rsidRPr="00677CE8">
        <w:t xml:space="preserve"> Austin </w:t>
      </w:r>
    </w:p>
    <w:p w14:paraId="624C8F24" w14:textId="77777777" w:rsidR="001D161D" w:rsidRPr="00677CE8" w:rsidRDefault="001D161D" w:rsidP="007B293E">
      <w:pPr>
        <w:spacing w:after="0" w:line="240" w:lineRule="auto"/>
      </w:pPr>
      <w:r w:rsidRPr="00677CE8">
        <w:t xml:space="preserve">Department of Civil, Architectural and Environmental Engineering </w:t>
      </w:r>
    </w:p>
    <w:p w14:paraId="2E1C4A92" w14:textId="77777777" w:rsidR="001D161D" w:rsidRPr="00677CE8" w:rsidRDefault="001D161D" w:rsidP="007B293E">
      <w:pPr>
        <w:spacing w:after="0" w:line="240" w:lineRule="auto"/>
      </w:pPr>
      <w:r w:rsidRPr="00677CE8">
        <w:t xml:space="preserve">301 E. Dean Keeton St. Stop C1761, Austin TX 78712, USA </w:t>
      </w:r>
    </w:p>
    <w:p w14:paraId="0E658B80" w14:textId="77777777" w:rsidR="001D161D" w:rsidRPr="00677CE8" w:rsidRDefault="001D161D" w:rsidP="007B293E">
      <w:pPr>
        <w:spacing w:after="0" w:line="240" w:lineRule="auto"/>
      </w:pPr>
      <w:r w:rsidRPr="00677CE8">
        <w:t xml:space="preserve">Email: annabeliveau@utexas.edu </w:t>
      </w:r>
    </w:p>
    <w:p w14:paraId="12C76B10" w14:textId="77777777" w:rsidR="001D161D" w:rsidRPr="00677CE8" w:rsidRDefault="001D161D" w:rsidP="007B293E">
      <w:pPr>
        <w:spacing w:after="0" w:line="240" w:lineRule="auto"/>
      </w:pPr>
    </w:p>
    <w:p w14:paraId="0762ED81" w14:textId="77777777" w:rsidR="001D161D" w:rsidRPr="00677CE8" w:rsidRDefault="001D161D" w:rsidP="007B293E">
      <w:pPr>
        <w:spacing w:after="0" w:line="240" w:lineRule="auto"/>
        <w:rPr>
          <w:b/>
          <w:bCs/>
        </w:rPr>
      </w:pPr>
      <w:r w:rsidRPr="00677CE8">
        <w:rPr>
          <w:b/>
          <w:bCs/>
        </w:rPr>
        <w:t xml:space="preserve">Dale Robbennolt </w:t>
      </w:r>
    </w:p>
    <w:p w14:paraId="793E132D" w14:textId="77777777" w:rsidR="001D161D" w:rsidRPr="00677CE8" w:rsidRDefault="001D161D" w:rsidP="007B293E">
      <w:pPr>
        <w:spacing w:after="0" w:line="240" w:lineRule="auto"/>
      </w:pPr>
      <w:r w:rsidRPr="00677CE8">
        <w:t xml:space="preserve">The University of Texas </w:t>
      </w:r>
      <w:proofErr w:type="gramStart"/>
      <w:r w:rsidRPr="00677CE8">
        <w:t>at</w:t>
      </w:r>
      <w:proofErr w:type="gramEnd"/>
      <w:r w:rsidRPr="00677CE8">
        <w:t xml:space="preserve"> Austin </w:t>
      </w:r>
    </w:p>
    <w:p w14:paraId="5D7290B8" w14:textId="77777777" w:rsidR="001D161D" w:rsidRPr="00677CE8" w:rsidRDefault="001D161D" w:rsidP="007B293E">
      <w:pPr>
        <w:spacing w:after="0" w:line="240" w:lineRule="auto"/>
      </w:pPr>
      <w:r w:rsidRPr="00677CE8">
        <w:t xml:space="preserve">Department of Civil, Architectural and Environmental Engineering </w:t>
      </w:r>
    </w:p>
    <w:p w14:paraId="0F26C7ED" w14:textId="77777777" w:rsidR="001D161D" w:rsidRPr="00677CE8" w:rsidRDefault="001D161D" w:rsidP="007B293E">
      <w:pPr>
        <w:spacing w:after="0" w:line="240" w:lineRule="auto"/>
      </w:pPr>
      <w:r w:rsidRPr="00677CE8">
        <w:t xml:space="preserve">301 E. Dean Keeton St. Stop C1761, Austin TX 78712, USA </w:t>
      </w:r>
    </w:p>
    <w:p w14:paraId="206661EC" w14:textId="235EF0E1" w:rsidR="001D161D" w:rsidRPr="00677CE8" w:rsidRDefault="001D161D" w:rsidP="007B293E">
      <w:pPr>
        <w:spacing w:after="0" w:line="240" w:lineRule="auto"/>
      </w:pPr>
      <w:r w:rsidRPr="00677CE8">
        <w:t xml:space="preserve">Email: dar4836@utexas.edu </w:t>
      </w:r>
    </w:p>
    <w:p w14:paraId="68A55369" w14:textId="77777777" w:rsidR="001D161D" w:rsidRPr="00677CE8" w:rsidRDefault="001D161D" w:rsidP="007B293E">
      <w:pPr>
        <w:spacing w:after="0" w:line="240" w:lineRule="auto"/>
      </w:pPr>
    </w:p>
    <w:p w14:paraId="297DDFE7" w14:textId="77777777" w:rsidR="001D161D" w:rsidRPr="00677CE8" w:rsidRDefault="001D161D" w:rsidP="007B293E">
      <w:pPr>
        <w:spacing w:after="0" w:line="240" w:lineRule="auto"/>
      </w:pPr>
      <w:r w:rsidRPr="00677CE8">
        <w:rPr>
          <w:b/>
          <w:bCs/>
        </w:rPr>
        <w:t>Chandra R. Bhat (corresponding author)</w:t>
      </w:r>
      <w:r w:rsidRPr="00677CE8">
        <w:t xml:space="preserve"> </w:t>
      </w:r>
    </w:p>
    <w:p w14:paraId="5D0364F4" w14:textId="77777777" w:rsidR="001D161D" w:rsidRPr="00677CE8" w:rsidRDefault="001D161D" w:rsidP="007B293E">
      <w:pPr>
        <w:spacing w:after="0" w:line="240" w:lineRule="auto"/>
      </w:pPr>
      <w:r w:rsidRPr="00677CE8">
        <w:t xml:space="preserve">The University of Texas </w:t>
      </w:r>
      <w:proofErr w:type="gramStart"/>
      <w:r w:rsidRPr="00677CE8">
        <w:t>at</w:t>
      </w:r>
      <w:proofErr w:type="gramEnd"/>
      <w:r w:rsidRPr="00677CE8">
        <w:t xml:space="preserve"> Austin </w:t>
      </w:r>
    </w:p>
    <w:p w14:paraId="6644BBC8" w14:textId="77777777" w:rsidR="001D161D" w:rsidRPr="00677CE8" w:rsidRDefault="001D161D" w:rsidP="007B293E">
      <w:pPr>
        <w:spacing w:after="0" w:line="240" w:lineRule="auto"/>
      </w:pPr>
      <w:r w:rsidRPr="00677CE8">
        <w:t xml:space="preserve">Department of Civil, Architectural and Environmental Engineering </w:t>
      </w:r>
    </w:p>
    <w:p w14:paraId="75E4CB02" w14:textId="77777777" w:rsidR="001D161D" w:rsidRPr="00677CE8" w:rsidRDefault="001D161D" w:rsidP="007B293E">
      <w:pPr>
        <w:spacing w:after="0" w:line="240" w:lineRule="auto"/>
      </w:pPr>
      <w:r w:rsidRPr="00677CE8">
        <w:t xml:space="preserve">301 E. Dean Keeton St. Stop C1761, Austin TX 78712, USA </w:t>
      </w:r>
    </w:p>
    <w:p w14:paraId="220AF0E5" w14:textId="1BE94F1B" w:rsidR="001D161D" w:rsidRPr="00677CE8" w:rsidRDefault="001D161D" w:rsidP="007B293E">
      <w:pPr>
        <w:spacing w:after="0" w:line="240" w:lineRule="auto"/>
      </w:pPr>
      <w:r w:rsidRPr="00677CE8">
        <w:t xml:space="preserve">Tel: +1-512-471-4535; Email: bhat@mail.utexas.edu </w:t>
      </w:r>
    </w:p>
    <w:p w14:paraId="1B717AE3" w14:textId="2BCC261D" w:rsidR="001D161D" w:rsidRPr="00677CE8" w:rsidRDefault="001D161D" w:rsidP="007B293E">
      <w:pPr>
        <w:spacing w:line="240" w:lineRule="auto"/>
        <w:rPr>
          <w:b/>
          <w:bCs/>
        </w:rPr>
      </w:pPr>
      <w:r w:rsidRPr="00677CE8">
        <w:br w:type="page"/>
      </w:r>
    </w:p>
    <w:p w14:paraId="09394D40" w14:textId="4746E1C1" w:rsidR="00C22080" w:rsidRPr="00C22080" w:rsidRDefault="00C22080" w:rsidP="00F41CCC">
      <w:pPr>
        <w:spacing w:after="0" w:line="240" w:lineRule="auto"/>
        <w:rPr>
          <w:b/>
          <w:bCs/>
        </w:rPr>
      </w:pPr>
      <w:r w:rsidRPr="00C22080">
        <w:rPr>
          <w:b/>
          <w:bCs/>
        </w:rPr>
        <w:lastRenderedPageBreak/>
        <w:t>ABSTRACT</w:t>
      </w:r>
    </w:p>
    <w:p w14:paraId="31AD02B3" w14:textId="3C5DFB65" w:rsidR="00C22080" w:rsidRPr="00AF23DB" w:rsidRDefault="00C22080" w:rsidP="00F41CCC">
      <w:pPr>
        <w:spacing w:after="0" w:line="240" w:lineRule="auto"/>
        <w:jc w:val="both"/>
      </w:pPr>
      <w:r w:rsidRPr="00AF23DB">
        <w:t>Urban air mobility (UAM) promises a</w:t>
      </w:r>
      <w:r w:rsidR="00FD78FF" w:rsidRPr="00AF23DB">
        <w:t>n efficient,</w:t>
      </w:r>
      <w:r w:rsidRPr="00AF23DB">
        <w:t xml:space="preserve"> sustainable</w:t>
      </w:r>
      <w:r w:rsidR="00FD78FF" w:rsidRPr="00AF23DB">
        <w:t>, and safe</w:t>
      </w:r>
      <w:r w:rsidRPr="00AF23DB">
        <w:t xml:space="preserve"> alternative to </w:t>
      </w:r>
      <w:r w:rsidR="00FD78FF" w:rsidRPr="00AF23DB">
        <w:t xml:space="preserve">ground-based </w:t>
      </w:r>
      <w:r w:rsidRPr="00AF23DB">
        <w:t>transportation, yet relatively little is known about the preferences</w:t>
      </w:r>
      <w:r w:rsidR="001073E6" w:rsidRPr="00AF23DB">
        <w:t xml:space="preserve"> and characteristics</w:t>
      </w:r>
      <w:r w:rsidRPr="00AF23DB">
        <w:t xml:space="preserve"> of potential users. This study examines preferences for air </w:t>
      </w:r>
      <w:proofErr w:type="gramStart"/>
      <w:r w:rsidRPr="00AF23DB">
        <w:t>taxi</w:t>
      </w:r>
      <w:proofErr w:type="gramEnd"/>
      <w:r w:rsidRPr="00AF23DB">
        <w:t xml:space="preserve"> (an on-demand private mode) and air metro (a fixed-route</w:t>
      </w:r>
      <w:r w:rsidR="00AF23DB" w:rsidRPr="00AF23DB">
        <w:t xml:space="preserve"> </w:t>
      </w:r>
      <w:r w:rsidRPr="00AF23DB">
        <w:t xml:space="preserve">public transportation mode) </w:t>
      </w:r>
      <w:r w:rsidR="001073E6" w:rsidRPr="00AF23DB">
        <w:t>alongside comparable ground-based alternatives</w:t>
      </w:r>
      <w:r w:rsidRPr="00AF23DB">
        <w:t>, employing a comprehensive set of contextual characteristics (service and trip attributes) and individual-level characteristics</w:t>
      </w:r>
      <w:r w:rsidR="001073E6" w:rsidRPr="00AF23DB">
        <w:t xml:space="preserve"> (</w:t>
      </w:r>
      <w:r w:rsidRPr="00AF23DB">
        <w:t xml:space="preserve">attitudes and </w:t>
      </w:r>
      <w:r w:rsidR="001073E6" w:rsidRPr="00AF23DB">
        <w:t>demographics)</w:t>
      </w:r>
      <w:r w:rsidRPr="00AF23DB">
        <w:t xml:space="preserve"> as determinants of adoption. We employ a rank-ordered stated preference </w:t>
      </w:r>
      <w:r w:rsidR="00AF23DB" w:rsidRPr="00AF23DB">
        <w:t>survey</w:t>
      </w:r>
      <w:r w:rsidR="001073E6" w:rsidRPr="00AF23DB">
        <w:t xml:space="preserve"> with a blocked </w:t>
      </w:r>
      <w:r w:rsidR="00AF23DB" w:rsidRPr="00AF23DB">
        <w:t>structure and</w:t>
      </w:r>
      <w:r w:rsidRPr="00AF23DB">
        <w:t xml:space="preserve"> </w:t>
      </w:r>
      <w:r w:rsidR="001073E6" w:rsidRPr="00AF23DB">
        <w:t xml:space="preserve">estimate </w:t>
      </w:r>
      <w:r w:rsidRPr="00AF23DB">
        <w:t>a corresponding rank-ordered probit (ROP) model</w:t>
      </w:r>
      <w:r w:rsidR="001073E6" w:rsidRPr="00AF23DB">
        <w:t>. A two-stage</w:t>
      </w:r>
      <w:r w:rsidRPr="00AF23DB">
        <w:t xml:space="preserve"> </w:t>
      </w:r>
      <w:r w:rsidR="001073E6" w:rsidRPr="00AF23DB">
        <w:t xml:space="preserve">analytic framework </w:t>
      </w:r>
      <w:r w:rsidRPr="00AF23DB">
        <w:t>jointly capture</w:t>
      </w:r>
      <w:r w:rsidR="00AF23DB" w:rsidRPr="00AF23DB">
        <w:t>s</w:t>
      </w:r>
      <w:r w:rsidRPr="00AF23DB">
        <w:t xml:space="preserve"> </w:t>
      </w:r>
      <w:r w:rsidR="001073E6" w:rsidRPr="00AF23DB">
        <w:t xml:space="preserve">the effects of contextual characteristics, latent </w:t>
      </w:r>
      <w:r w:rsidRPr="00AF23DB">
        <w:t>attitud</w:t>
      </w:r>
      <w:r w:rsidR="00FD78FF" w:rsidRPr="00AF23DB">
        <w:t>inal constructs</w:t>
      </w:r>
      <w:r w:rsidR="001073E6" w:rsidRPr="00AF23DB">
        <w:t>, and demographics</w:t>
      </w:r>
      <w:r w:rsidRPr="00AF23DB">
        <w:t xml:space="preserve"> while accounting for unobserved heterogeneity. Results </w:t>
      </w:r>
      <w:r w:rsidR="00FD78FF" w:rsidRPr="00AF23DB">
        <w:t>indicate</w:t>
      </w:r>
      <w:r w:rsidRPr="00AF23DB">
        <w:t xml:space="preserve"> that adoption depends heavily on service attributes, particularly convenience and travel </w:t>
      </w:r>
      <w:r w:rsidR="001073E6" w:rsidRPr="00AF23DB">
        <w:t>quality</w:t>
      </w:r>
      <w:r w:rsidR="00FD78FF" w:rsidRPr="00AF23DB">
        <w:t>. A</w:t>
      </w:r>
      <w:r w:rsidRPr="00AF23DB">
        <w:t xml:space="preserve">erial modes are </w:t>
      </w:r>
      <w:r w:rsidR="00AF23DB" w:rsidRPr="00AF23DB">
        <w:t>especially</w:t>
      </w:r>
      <w:r w:rsidRPr="00AF23DB">
        <w:t xml:space="preserve"> </w:t>
      </w:r>
      <w:r w:rsidR="001073E6" w:rsidRPr="00AF23DB">
        <w:t>well-suited</w:t>
      </w:r>
      <w:r w:rsidRPr="00AF23DB">
        <w:t xml:space="preserve"> for long-distance inter-city </w:t>
      </w:r>
      <w:r w:rsidR="00FD78FF" w:rsidRPr="00AF23DB">
        <w:t>trips</w:t>
      </w:r>
      <w:r w:rsidRPr="00AF23DB">
        <w:t xml:space="preserve"> and time-sensitive medical transport. Attitudes toward technology and travel directly shape UAM preferences, </w:t>
      </w:r>
      <w:r w:rsidR="001073E6" w:rsidRPr="00AF23DB">
        <w:t xml:space="preserve">while </w:t>
      </w:r>
      <w:r w:rsidR="00FD78FF" w:rsidRPr="00AF23DB">
        <w:t xml:space="preserve">UAM </w:t>
      </w:r>
      <w:r w:rsidR="001073E6" w:rsidRPr="00AF23DB">
        <w:t xml:space="preserve">noise sensitivity </w:t>
      </w:r>
      <w:r w:rsidR="00FD78FF" w:rsidRPr="00AF23DB">
        <w:t xml:space="preserve">influences adoption through interactions with </w:t>
      </w:r>
      <w:r w:rsidR="00DA0202">
        <w:t>UAM noise levels</w:t>
      </w:r>
      <w:r w:rsidR="001073E6" w:rsidRPr="00AF23DB">
        <w:t xml:space="preserve">. </w:t>
      </w:r>
      <w:r w:rsidR="00AF23DB" w:rsidRPr="00AF23DB">
        <w:t>A</w:t>
      </w:r>
      <w:r w:rsidRPr="00AF23DB">
        <w:t xml:space="preserve">doption patterns vary </w:t>
      </w:r>
      <w:r w:rsidR="00AF23DB" w:rsidRPr="00AF23DB">
        <w:t>substantially</w:t>
      </w:r>
      <w:r w:rsidRPr="00AF23DB">
        <w:t xml:space="preserve"> across user groups</w:t>
      </w:r>
      <w:r w:rsidR="001073E6" w:rsidRPr="00AF23DB">
        <w:t xml:space="preserve"> and modes</w:t>
      </w:r>
      <w:r w:rsidRPr="00AF23DB">
        <w:t xml:space="preserve">, </w:t>
      </w:r>
      <w:r w:rsidR="00AF23DB" w:rsidRPr="00AF23DB">
        <w:t xml:space="preserve">with demand for air metro concentrated among a </w:t>
      </w:r>
      <w:r w:rsidR="00DA0202">
        <w:t xml:space="preserve">distinct </w:t>
      </w:r>
      <w:r w:rsidR="00AF23DB" w:rsidRPr="00AF23DB">
        <w:t>market segment from the more commonly studied air taxi.</w:t>
      </w:r>
      <w:r w:rsidR="00FD78FF" w:rsidRPr="00AF23DB">
        <w:t xml:space="preserve"> The findings provide</w:t>
      </w:r>
      <w:r w:rsidRPr="00AF23DB">
        <w:t xml:space="preserve"> important </w:t>
      </w:r>
      <w:r w:rsidR="00FD78FF" w:rsidRPr="00AF23DB">
        <w:t>insights</w:t>
      </w:r>
      <w:r w:rsidRPr="00AF23DB">
        <w:t xml:space="preserve"> for UAM service design, vertiport placement, and positioning strategies.</w:t>
      </w:r>
    </w:p>
    <w:p w14:paraId="5540293E" w14:textId="77777777" w:rsidR="00C22080" w:rsidRDefault="00C22080" w:rsidP="00F41CCC">
      <w:pPr>
        <w:spacing w:after="0" w:line="240" w:lineRule="auto"/>
      </w:pPr>
    </w:p>
    <w:p w14:paraId="24561617" w14:textId="73771D9A" w:rsidR="00C22080" w:rsidRDefault="00C22080" w:rsidP="00F41CCC">
      <w:pPr>
        <w:spacing w:after="0" w:line="240" w:lineRule="auto"/>
      </w:pPr>
      <w:r w:rsidRPr="00C22080">
        <w:rPr>
          <w:b/>
          <w:bCs/>
        </w:rPr>
        <w:t>Keywords:</w:t>
      </w:r>
      <w:r>
        <w:t xml:space="preserve"> </w:t>
      </w:r>
      <w:r w:rsidR="00FD78FF">
        <w:t>Urban Air Mobility</w:t>
      </w:r>
      <w:r w:rsidR="00AF23DB">
        <w:t xml:space="preserve"> (UAM)</w:t>
      </w:r>
      <w:r w:rsidR="00FD78FF">
        <w:t xml:space="preserve">, </w:t>
      </w:r>
      <w:r w:rsidR="00C3038B">
        <w:t>Air Taxi</w:t>
      </w:r>
      <w:r w:rsidR="00FD78FF">
        <w:t xml:space="preserve">, </w:t>
      </w:r>
      <w:r w:rsidR="00C3038B">
        <w:t>Air Metro</w:t>
      </w:r>
      <w:r w:rsidR="00FD78FF">
        <w:t xml:space="preserve">, Stated Preference, Ranked Choice, </w:t>
      </w:r>
      <w:r w:rsidR="00C3038B">
        <w:t>Transportation Technology Adoption</w:t>
      </w:r>
    </w:p>
    <w:p w14:paraId="3BB7A038" w14:textId="77777777" w:rsidR="00FC32C9" w:rsidRDefault="00FC32C9" w:rsidP="00F41CCC">
      <w:pPr>
        <w:spacing w:after="0" w:line="240" w:lineRule="auto"/>
      </w:pPr>
    </w:p>
    <w:p w14:paraId="6B192A04" w14:textId="77777777" w:rsidR="00FC32C9" w:rsidRDefault="00FC32C9" w:rsidP="00FC32C9">
      <w:pPr>
        <w:pStyle w:val="Heading1"/>
        <w:numPr>
          <w:ilvl w:val="0"/>
          <w:numId w:val="2"/>
        </w:numPr>
        <w:tabs>
          <w:tab w:val="left" w:pos="270"/>
        </w:tabs>
        <w:spacing w:after="0" w:line="240" w:lineRule="auto"/>
        <w:jc w:val="both"/>
        <w:sectPr w:rsidR="00FC32C9" w:rsidSect="008C54C0">
          <w:footerReference w:type="default" r:id="rId11"/>
          <w:pgSz w:w="12240" w:h="15840"/>
          <w:pgMar w:top="1440" w:right="1440" w:bottom="1440" w:left="1440" w:header="720" w:footer="720" w:gutter="0"/>
          <w:cols w:space="720"/>
          <w:docGrid w:linePitch="360"/>
        </w:sectPr>
      </w:pPr>
    </w:p>
    <w:p w14:paraId="32090455" w14:textId="1010AF13" w:rsidR="004318FC" w:rsidRPr="00677CE8" w:rsidRDefault="00FC32C9" w:rsidP="00FC32C9">
      <w:pPr>
        <w:pStyle w:val="Heading1"/>
        <w:numPr>
          <w:ilvl w:val="0"/>
          <w:numId w:val="2"/>
        </w:numPr>
        <w:tabs>
          <w:tab w:val="left" w:pos="270"/>
        </w:tabs>
        <w:spacing w:after="0" w:line="240" w:lineRule="auto"/>
        <w:jc w:val="both"/>
      </w:pPr>
      <w:r>
        <w:lastRenderedPageBreak/>
        <w:t xml:space="preserve"> </w:t>
      </w:r>
      <w:r w:rsidR="00994620" w:rsidRPr="00677CE8">
        <w:t>INTRODUCTION</w:t>
      </w:r>
    </w:p>
    <w:p w14:paraId="6607017F" w14:textId="0995A501" w:rsidR="0070190A" w:rsidRPr="00677CE8" w:rsidRDefault="00615F27" w:rsidP="007B293E">
      <w:pPr>
        <w:spacing w:after="0" w:line="240" w:lineRule="auto"/>
        <w:jc w:val="both"/>
      </w:pPr>
      <w:r w:rsidRPr="00677CE8">
        <w:t xml:space="preserve">The image of the </w:t>
      </w:r>
      <w:r w:rsidR="00D35358" w:rsidRPr="00677CE8">
        <w:t>“</w:t>
      </w:r>
      <w:r w:rsidRPr="00677CE8">
        <w:t>flying car</w:t>
      </w:r>
      <w:r w:rsidR="00D35358" w:rsidRPr="00677CE8">
        <w:t>”</w:t>
      </w:r>
      <w:r w:rsidRPr="00677CE8">
        <w:t xml:space="preserve"> has </w:t>
      </w:r>
      <w:r w:rsidR="00DF6986" w:rsidRPr="00677CE8">
        <w:t xml:space="preserve">captured </w:t>
      </w:r>
      <w:r w:rsidRPr="00677CE8">
        <w:t xml:space="preserve">the </w:t>
      </w:r>
      <w:r w:rsidR="00DF6986" w:rsidRPr="00677CE8">
        <w:t xml:space="preserve">public </w:t>
      </w:r>
      <w:r w:rsidRPr="00677CE8">
        <w:t>imagina</w:t>
      </w:r>
      <w:r w:rsidR="00DF6986" w:rsidRPr="00677CE8">
        <w:t>tion</w:t>
      </w:r>
      <w:r w:rsidRPr="00677CE8">
        <w:t xml:space="preserve"> for decades, </w:t>
      </w:r>
      <w:r w:rsidR="00D35358" w:rsidRPr="00677CE8">
        <w:t xml:space="preserve">symbolizing futuristic progress and the </w:t>
      </w:r>
      <w:r w:rsidR="00F013F4" w:rsidRPr="00677CE8">
        <w:t>potential</w:t>
      </w:r>
      <w:r w:rsidR="00D35358" w:rsidRPr="00677CE8">
        <w:t xml:space="preserve"> to revolutionize</w:t>
      </w:r>
      <w:r w:rsidR="00F013F4" w:rsidRPr="00677CE8">
        <w:t xml:space="preserve"> </w:t>
      </w:r>
      <w:r w:rsidR="00D35358" w:rsidRPr="00677CE8">
        <w:t>tra</w:t>
      </w:r>
      <w:r w:rsidR="00DF6986" w:rsidRPr="00677CE8">
        <w:t>vel</w:t>
      </w:r>
      <w:r w:rsidR="00C15D27" w:rsidRPr="00677CE8">
        <w:t xml:space="preserve"> </w:t>
      </w:r>
      <w:r w:rsidR="00C15D27" w:rsidRPr="00677CE8">
        <w:fldChar w:fldCharType="begin"/>
      </w:r>
      <w:r w:rsidR="00771E36" w:rsidRPr="00677CE8">
        <w:instrText xml:space="preserve"> ADDIN ZOTERO_ITEM CSL_CITATION {"citationID":"mECwdeEq","properties":{"formattedCitation":"(Anders et al., 1994; Branch, 1964; Cwerner, 2006; Pan &amp; Alouini, 2021)","plainCitation":"(Anders et al., 1994; Branch, 1964; Cwerner, 2006; Pan &amp; Alouini, 2021)","dontUpdate":true,"noteIndex":0},"citationItems":[{"id":1559,"uris":["http://zotero.org/groups/6194892/items/QT3THRU9"],"itemData":{"id":1559,"type":"report","language":"en","number":"Technical Memorandum 109174","publisher":"NASA","source":"Zotero","title":"The Personal Aircraft--Status and Issues","URL":"https://ntrs.nasa.gov/api/citations/19950014271/downloads/19950014271.pdf","author":[{"family":"Anders","given":"G"},{"family":"Asbury","given":"C"},{"family":"Brentner","given":"S"},{"family":"Bushnell","given":"M"},{"family":"Glass","given":"E"},{"family":"Hodges","given":"T"},{"family":"Morris","given":"J"},{"family":"Scott","given":"A"}],"issued":{"date-parts":[["1994"]]}}},{"id":1554,"uris":["http://zotero.org/groups/6194892/items/B9JKVWYF"],"itemData":{"id":1554,"type":"article-journal","abstract":"Use of commercial helicopters in cities is expanding rapidly. Continued growth in this use and the development of other means of aerial travel could create a new set of city planning problems. Advance analysis of the complex questions involved in widespread urban air traffic would reduce its potentially disruptive effects and possibly prevent a period of serious metropolitan confusion. It would provide a better basis for the decisions relating to urban air travel made by city planning commissions today and for those likely to arise in the future.","container-title":"Journal of the American Institute of Planners","DOI":"10.1080/01944366408978083","ISSN":"0002-8991","issue":"1","note":"_eprint: https://doi.org/10.1080/01944366408978083","page":"2-9","publisher":"Routledge","source":"Taylor and Francis+NEJM","title":"Urban Planning and the New Mobility","volume":"30","author":[{"family":"Branch","given":"Melville C."}],"issued":{"date-parts":[["1964",2,1]]}}},{"id":1560,"uris":["http://zotero.org/groups/6194892/items/B47IEHRY"],"itemData":{"id":1560,"type":"article-journal","abstract":"This article discusses the actual and potential impact of helicopter travel on urban mobility. Vertical flight has long promised a world of unhindered mobility, especially due to the versatility of the helicopter as a means of transportation. Some of the major utopias of mobility in the modern age have centred on the various capabilities of vertical flight, especially with regards to dense urban spaces. In this article I briefly uncover this modern desire for door‐to‐door air travel and situate contemporary uses of the helicopter in relation to historical fantasies of vertical flight. I then analyse a distinctive phenomenon in the contemporary world of vertical flight: the rise of helicopter travel in São Paulo, Brazil. By focusing on the various infrastructures that enable urban air travel and the needs and uses for helicopters in a major global city, this article investigates a relatively unknown but very significant development in contemporary urban mobility. The article also suggests a conceptual framework for understanding the emergence and effects of urban air travel in São Paulo, therefore seeking to contribute to developing theories of mobilities.","container-title":"Mobilities","DOI":"10.1080/17450100600726589","ISSN":"1745-0101","issue":"2","note":"_eprint: https://doi.org/10.1080/17450100600726589","page":"191-215","publisher":"Routledge","source":"Taylor and Francis+NEJM","title":"Vertical Flight and Urban Mobilities: the Promise and Reality of Helicopter Travel1","title-short":"Vertical Flight and Urban Mobilities","volume":"1","author":[{"family":"Cwerner","given":"Saulo B."}],"issued":{"date-parts":[["2006",6,1]]}}},{"id":1552,"uris":["http://zotero.org/groups/6194892/items/4J5YEDH7"],"itemData":{"id":1552,"type":"article-journal","abstract":"Since the development of transport systems, humans have exploited ground-level, below-ground, and high-altitude spaces for transportation purposes. However, with the increasing burden of expanding populations and rapid urbanization in recent decades, public transportation systems and freight traffic are suffering huge pressure, plaguing local governments and straining economies. Engineers and researchers have started to re-examine, propose, and develop the underused near-ground spaces (NGS) for transportation purposes. For instance, flying cars, which are not a totally novel idea, aim at solving the traffic congestion problem and releasing the strains on existing city transport networks by utilizing unoccupied NGS. Flying cars differ from traditional grounded transportation systems that are entirely limited by their physical space, such as trains on tracks or automobiles on roads. Flying cars do not occupy or compete for high-altitude spaces used by air traffic for long-distance transfer. As there is limited specific literature on flying cars and flying car transportation systems (FCTS), this paper aims to describe the modern advances, techniques, and challenges of FCTS. We explore the inherent nature of NGS transportation and devise useful proposals to facilitate the construction and commercialization of FCTS. We begin with an introduction to the increasing need for NGS transportation and we address the advantages of using flying cars. Next, we present a brief overview of the history of the development of flying cars in terms of the historic timeline and technique development. Then, we discuss and compare the state of the art in the design of flying cars, including the take-off &amp; landing (TOL) modes, pilot modes, operation modes, and power types, which are related to the adaptability, flexibility &amp; comfort, stability &amp; complexity, and environmental friendliness of flying cars, respectively. Additionally, since large-scale operations of flying cars can improve current transportation problems, we also introduce different facets of the various designs of FCTS, including path and trajectory planning, supporting facilities, and commercial designs. Finally, we discuss the challenges that might arise while developing and commercializing FCTS in terms of safety issues, commercial issues, and ethical issues.","container-title":"IEEE Access","DOI":"10.1109/ACCESS.2021.3056798","ISSN":"2169-3536","page":"24586-24603","source":"IEEE Xplore","title":"Flying Car Transportation System: Advances, Techniques, and Challenges","title-short":"Flying Car Transportation System","volume":"9","author":[{"family":"Pan","given":"Gaofeng"},{"family":"Alouini","given":"Mohamed-Slim"}],"issued":{"date-parts":[["2021"]]}}}],"schema":"https://github.com/citation-style-language/schema/raw/master/csl-citation.json"} </w:instrText>
      </w:r>
      <w:r w:rsidR="00C15D27" w:rsidRPr="00677CE8">
        <w:fldChar w:fldCharType="separate"/>
      </w:r>
      <w:r w:rsidR="004F6F26" w:rsidRPr="00677CE8">
        <w:t>(</w:t>
      </w:r>
      <w:r w:rsidR="00DC5014" w:rsidRPr="00677CE8">
        <w:t xml:space="preserve">Branch, 1964; </w:t>
      </w:r>
      <w:r w:rsidR="004F6F26" w:rsidRPr="00677CE8">
        <w:t xml:space="preserve">Anders et al., 1994; Cwerner, 2006; Pan </w:t>
      </w:r>
      <w:r w:rsidR="00663609" w:rsidRPr="00677CE8">
        <w:t>and</w:t>
      </w:r>
      <w:r w:rsidR="004F6F26" w:rsidRPr="00677CE8">
        <w:t xml:space="preserve"> Alouini, 2021)</w:t>
      </w:r>
      <w:r w:rsidR="00C15D27" w:rsidRPr="00677CE8">
        <w:fldChar w:fldCharType="end"/>
      </w:r>
      <w:r w:rsidRPr="00677CE8">
        <w:t xml:space="preserve">. Recent advancements in battery technology have </w:t>
      </w:r>
      <w:r w:rsidR="00D35358" w:rsidRPr="00677CE8">
        <w:t xml:space="preserve">brought this </w:t>
      </w:r>
      <w:r w:rsidR="005209F3" w:rsidRPr="00677CE8">
        <w:t>long-standing</w:t>
      </w:r>
      <w:r w:rsidR="00D35358" w:rsidRPr="00677CE8">
        <w:t xml:space="preserve"> </w:t>
      </w:r>
      <w:r w:rsidR="00DF6986" w:rsidRPr="00677CE8">
        <w:t xml:space="preserve">“dream” </w:t>
      </w:r>
      <w:r w:rsidR="00D35358" w:rsidRPr="00677CE8">
        <w:t xml:space="preserve">into the realm of </w:t>
      </w:r>
      <w:r w:rsidR="00DF6986" w:rsidRPr="00677CE8">
        <w:t>possibility</w:t>
      </w:r>
      <w:r w:rsidRPr="00677CE8">
        <w:t xml:space="preserve"> </w:t>
      </w:r>
      <w:r w:rsidR="00DF6986" w:rsidRPr="00677CE8">
        <w:t xml:space="preserve">through </w:t>
      </w:r>
      <w:r w:rsidRPr="00677CE8">
        <w:t>the development of vertical take-off and landing (eVTOL) aircraft</w:t>
      </w:r>
      <w:r w:rsidR="00DF6986" w:rsidRPr="00677CE8">
        <w:t xml:space="preserve"> technology</w:t>
      </w:r>
      <w:r w:rsidR="00D35358" w:rsidRPr="00677CE8">
        <w:t xml:space="preserve">. </w:t>
      </w:r>
      <w:r w:rsidR="00637674" w:rsidRPr="00677CE8">
        <w:t>Indeed, a</w:t>
      </w:r>
      <w:r w:rsidR="00EF39A4" w:rsidRPr="00677CE8">
        <w:t xml:space="preserve"> growing number of companies are actively developing and testing </w:t>
      </w:r>
      <w:r w:rsidR="00DF6986" w:rsidRPr="00677CE8">
        <w:t xml:space="preserve">such eVTOL </w:t>
      </w:r>
      <w:r w:rsidR="00EF39A4" w:rsidRPr="00677CE8">
        <w:t xml:space="preserve">technologies with near-term rollout plans, including intentions for </w:t>
      </w:r>
      <w:r w:rsidR="00D35358" w:rsidRPr="00677CE8">
        <w:t xml:space="preserve">commercial service </w:t>
      </w:r>
      <w:r w:rsidR="00EF39A4" w:rsidRPr="00677CE8">
        <w:t>during</w:t>
      </w:r>
      <w:r w:rsidR="00D35358" w:rsidRPr="00677CE8">
        <w:t xml:space="preserve"> the</w:t>
      </w:r>
      <w:r w:rsidR="003569D9" w:rsidRPr="00677CE8">
        <w:t xml:space="preserve"> 2028 Los Angeles Olympic and Paralympic games </w:t>
      </w:r>
      <w:r w:rsidR="003569D9" w:rsidRPr="00677CE8">
        <w:fldChar w:fldCharType="begin"/>
      </w:r>
      <w:r w:rsidR="00B7697D" w:rsidRPr="00677CE8">
        <w:instrText xml:space="preserve"> ADDIN ZOTERO_ITEM CSL_CITATION {"citationID":"kGc6Dfoe","properties":{"formattedCitation":"({\\i{}LA28 Olympics}, 2025)","plainCitation":"(LA28 Olympics, 2025)","noteIndex":0},"citationItems":[{"id":1486,"uris":["http://zotero.org/groups/6194892/items/A4G24X5P"],"itemData":{"id":1486,"type":"webpage","abstract":"Archer announced that it has been selected as the Official Air Taxi Provider of the LA28 Olympic and Paralympic Games.","language":"en","title":"Archer Selected as the Official Air Taxi Provider of the LA28 Olympic and Paralympic Games","title-short":"LA28 Olympics","URL":"https://la28.org/en/newsroom/archer-selected-as-official-air-taxi-provider-of-la28-games.html","accessed":{"date-parts":[["2026",2,27]]},"issued":{"date-parts":[["2025",5]]}}}],"schema":"https://github.com/citation-style-language/schema/raw/master/csl-citation.json"} </w:instrText>
      </w:r>
      <w:r w:rsidR="003569D9" w:rsidRPr="00677CE8">
        <w:fldChar w:fldCharType="separate"/>
      </w:r>
      <w:r w:rsidR="00561EC0" w:rsidRPr="00903823">
        <w:rPr>
          <w:kern w:val="0"/>
        </w:rPr>
        <w:t>(LA28 Olympics</w:t>
      </w:r>
      <w:r w:rsidR="00561EC0" w:rsidRPr="00677CE8">
        <w:rPr>
          <w:kern w:val="0"/>
        </w:rPr>
        <w:t>, 2025)</w:t>
      </w:r>
      <w:r w:rsidR="003569D9" w:rsidRPr="00677CE8">
        <w:fldChar w:fldCharType="end"/>
      </w:r>
      <w:r w:rsidR="00D35358" w:rsidRPr="00677CE8">
        <w:t>.</w:t>
      </w:r>
      <w:r w:rsidR="003569D9" w:rsidRPr="00677CE8">
        <w:t xml:space="preserve"> </w:t>
      </w:r>
      <w:r w:rsidR="00DF6986" w:rsidRPr="00677CE8">
        <w:t xml:space="preserve">In particular, </w:t>
      </w:r>
      <w:r w:rsidR="003569D9" w:rsidRPr="00677CE8">
        <w:t>Archer, the air</w:t>
      </w:r>
      <w:r w:rsidR="009F68AB" w:rsidRPr="00677CE8">
        <w:t xml:space="preserve"> </w:t>
      </w:r>
      <w:r w:rsidR="003569D9" w:rsidRPr="00677CE8">
        <w:t xml:space="preserve">taxi partner of Team USA, </w:t>
      </w:r>
      <w:r w:rsidR="00D35358" w:rsidRPr="00677CE8">
        <w:t>plans</w:t>
      </w:r>
      <w:r w:rsidR="003569D9" w:rsidRPr="00677CE8">
        <w:t xml:space="preserve"> to provide urban air mobility (UAM) services </w:t>
      </w:r>
      <w:r w:rsidR="00D35358" w:rsidRPr="00677CE8">
        <w:t xml:space="preserve">during the event </w:t>
      </w:r>
      <w:r w:rsidR="003569D9" w:rsidRPr="00677CE8">
        <w:t>with safety levels rivaling those of commercial airlines</w:t>
      </w:r>
      <w:r w:rsidR="005209F3" w:rsidRPr="00677CE8">
        <w:t xml:space="preserve"> </w:t>
      </w:r>
      <w:r w:rsidR="003569D9" w:rsidRPr="00677CE8">
        <w:t xml:space="preserve">while </w:t>
      </w:r>
      <w:r w:rsidR="00431207" w:rsidRPr="00677CE8">
        <w:t>producing</w:t>
      </w:r>
      <w:r w:rsidR="003569D9" w:rsidRPr="00677CE8">
        <w:t xml:space="preserve"> less noise and emissions than traditional helicopter</w:t>
      </w:r>
      <w:r w:rsidR="00D35358" w:rsidRPr="00677CE8">
        <w:t>s</w:t>
      </w:r>
      <w:r w:rsidR="003569D9" w:rsidRPr="00677CE8">
        <w:t xml:space="preserve"> </w:t>
      </w:r>
      <w:r w:rsidR="003569D9" w:rsidRPr="00677CE8">
        <w:fldChar w:fldCharType="begin"/>
      </w:r>
      <w:r w:rsidR="00B7697D" w:rsidRPr="00677CE8">
        <w:instrText xml:space="preserve"> ADDIN ZOTERO_ITEM CSL_CITATION {"citationID":"Es4SOMXF","properties":{"formattedCitation":"({\\i{}LA28 Olympics}, 2025)","plainCitation":"(LA28 Olympics, 2025)","noteIndex":0},"citationItems":[{"id":1486,"uris":["http://zotero.org/groups/6194892/items/A4G24X5P"],"itemData":{"id":1486,"type":"webpage","abstract":"Archer announced that it has been selected as the Official Air Taxi Provider of the LA28 Olympic and Paralympic Games.","language":"en","title":"Archer Selected as the Official Air Taxi Provider of the LA28 Olympic and Paralympic Games","title-short":"LA28 Olympics","URL":"https://la28.org/en/newsroom/archer-selected-as-official-air-taxi-provider-of-la28-games.html","accessed":{"date-parts":[["2026",2,27]]},"issued":{"date-parts":[["2025",5]]}}}],"schema":"https://github.com/citation-style-language/schema/raw/master/csl-citation.json"} </w:instrText>
      </w:r>
      <w:r w:rsidR="003569D9" w:rsidRPr="00677CE8">
        <w:fldChar w:fldCharType="separate"/>
      </w:r>
      <w:r w:rsidR="00561EC0" w:rsidRPr="00677CE8">
        <w:rPr>
          <w:kern w:val="0"/>
        </w:rPr>
        <w:t>(</w:t>
      </w:r>
      <w:r w:rsidR="00561EC0" w:rsidRPr="00903823">
        <w:rPr>
          <w:kern w:val="0"/>
        </w:rPr>
        <w:t>LA28 Olympics</w:t>
      </w:r>
      <w:r w:rsidR="00561EC0" w:rsidRPr="00677CE8">
        <w:rPr>
          <w:kern w:val="0"/>
        </w:rPr>
        <w:t>, 2025)</w:t>
      </w:r>
      <w:r w:rsidR="003569D9" w:rsidRPr="00677CE8">
        <w:fldChar w:fldCharType="end"/>
      </w:r>
      <w:r w:rsidR="003569D9" w:rsidRPr="00677CE8">
        <w:t xml:space="preserve">. </w:t>
      </w:r>
      <w:r w:rsidR="00F013F4" w:rsidRPr="00677CE8">
        <w:t>Beyond the Olympic</w:t>
      </w:r>
      <w:r w:rsidR="000C14E4" w:rsidRPr="00677CE8">
        <w:t>s</w:t>
      </w:r>
      <w:r w:rsidR="00F013F4" w:rsidRPr="00677CE8">
        <w:t>, a</w:t>
      </w:r>
      <w:r w:rsidR="005209F3" w:rsidRPr="00677CE8">
        <w:t xml:space="preserve"> wide range of </w:t>
      </w:r>
      <w:r w:rsidR="002463F9" w:rsidRPr="00677CE8">
        <w:t>aerial</w:t>
      </w:r>
      <w:r w:rsidR="005209F3" w:rsidRPr="00677CE8">
        <w:t xml:space="preserve"> human mobility options are in development, promising to </w:t>
      </w:r>
      <w:r w:rsidR="00423517" w:rsidRPr="00677CE8">
        <w:t>expand the scope of urban transportation beyond surface-level movement</w:t>
      </w:r>
      <w:r w:rsidR="008D42BC" w:rsidRPr="00677CE8">
        <w:t xml:space="preserve"> and provide </w:t>
      </w:r>
      <w:r w:rsidR="00403073" w:rsidRPr="00677CE8">
        <w:t xml:space="preserve">a </w:t>
      </w:r>
      <w:r w:rsidR="00DF6986" w:rsidRPr="00677CE8">
        <w:t xml:space="preserve">potentially </w:t>
      </w:r>
      <w:r w:rsidR="00403073" w:rsidRPr="00677CE8">
        <w:t xml:space="preserve">safe, efficient, and sustainable alternative to the milieu of surface options already available </w:t>
      </w:r>
      <w:r w:rsidR="00423517" w:rsidRPr="00677CE8">
        <w:fldChar w:fldCharType="begin"/>
      </w:r>
      <w:r w:rsidR="00B7697D" w:rsidRPr="00677CE8">
        <w:instrText xml:space="preserve"> ADDIN ZOTERO_ITEM CSL_CITATION {"citationID":"pz1bABxc","properties":{"formattedCitation":"(Federal Aviation Administration, 2023; Garrow et al., 2021)","plainCitation":"(Federal Aviation Administration, 2023; Garrow et al., 2021)","dontUpdate":true,"noteIndex":0},"citationItems":[{"id":588,"uris":["http://zotero.org/groups/6194892/items/QF7P3VJP"],"itemData":{"id":588,"type":"article-journal","abstract":"Urban air mobility (UAM), if successful, will disrupt urban transportation. UAM is not the first disruptive technology in transportation, with recent examples including electric ground vehicles (EVs), autonomous ground vehicles (AVs), and sharing services. In this paper, we conduct a meta-analysis of about 800 articles in the UAM, EV, and AV areas that have been published from January 2015 to June 2020, and compare and contrast research thrusts in order to inform future UAM research. Alongside this effort, we conduct an in-depth review of articles related to demand modeling, operations, and integration with existing infrastructure. We use insights from the meta-analysis and comprehensive review to inform future UAM research directions. Some of the potential research directions we identify include: (1) developing more refined demand models that incorporate the timing of when individuals will adopt UAM; (2) developing high-fidelity simulation models for UAM operations that capture interactions among vertiport locations, vertiport topology, demand, pricing, dispatching, and airspace restrictions; (3) explicitly considering one-way demand and parking constraints in demand and operational models; and (4) developing more realistic time-of-day energy profiles for UAM vehicles in order to assess whether the current electrical grid can support UAM operations.","container-title":"Transportation Research Part C: Emerging Technologies","DOI":"10.1016/j.trc.2021.103377","ISSN":"0968-090X","journalAbbreviation":"Transportation Research Part C: Emerging Technologies","page":"103377","source":"ScienceDirect","title":"Urban air mobility: A comprehensive review and comparative analysis with autonomous and electric ground transportation for informing future research","title-short":"Urban air mobility","volume":"132","author":[{"family":"Garrow","given":"Laurie A."},{"family":"German","given":"Brian J."},{"family":"Leonard","given":"Caroline E."}],"issued":{"date-parts":[["2021",11,1]]}}},{"id":592,"uris":["http://zotero.org/groups/6194892/items/4I5EGTM2"],"itemData":{"id":592,"type":"report","publisher":"Federal Aviation Administration NextGen Office","title":"Urban Air Mobility (UAM) Concept of Operations (No. Version 2.0","URL":"https://www.faa.gov/sites/faa.gov/files/Urban-Air-Mobility-Concept-of-Operations-2.0.pdf","author":[{"family":"Federal Aviation Administration","given":""}],"issued":{"date-parts":[["2023"]]}}}],"schema":"https://github.com/citation-style-language/schema/raw/master/csl-citation.json"} </w:instrText>
      </w:r>
      <w:r w:rsidR="00423517" w:rsidRPr="00677CE8">
        <w:fldChar w:fldCharType="separate"/>
      </w:r>
      <w:r w:rsidR="00561EC0" w:rsidRPr="00677CE8">
        <w:t>(</w:t>
      </w:r>
      <w:r w:rsidR="00DC5014" w:rsidRPr="00677CE8">
        <w:t xml:space="preserve">Garrow et al., 2021; </w:t>
      </w:r>
      <w:r w:rsidR="00561EC0" w:rsidRPr="00677CE8">
        <w:t>Federal Aviation Administration, 2023)</w:t>
      </w:r>
      <w:r w:rsidR="00423517" w:rsidRPr="00677CE8">
        <w:fldChar w:fldCharType="end"/>
      </w:r>
      <w:r w:rsidR="00423517" w:rsidRPr="00677CE8">
        <w:t>.</w:t>
      </w:r>
      <w:r w:rsidR="00A40096" w:rsidRPr="00677CE8">
        <w:t xml:space="preserve"> </w:t>
      </w:r>
      <w:r w:rsidR="008D42BC" w:rsidRPr="00677CE8">
        <w:t>While eVTOL aircraft currently constitute the dominant technological platform enabling UAM services, the broader UAM ecosystem encompasses multiple service concepts most notably on-demand air taxi services and fixed-route, shared air metro systems. These service concepts are distinguished by their operational characteristics rather than underlying vehicle technology.</w:t>
      </w:r>
    </w:p>
    <w:p w14:paraId="5A311136" w14:textId="1D78B559" w:rsidR="00611427" w:rsidRPr="00677CE8" w:rsidRDefault="00047F87" w:rsidP="007B293E">
      <w:pPr>
        <w:spacing w:after="0" w:line="240" w:lineRule="auto"/>
        <w:ind w:firstLine="720"/>
        <w:jc w:val="both"/>
      </w:pPr>
      <w:r w:rsidRPr="00677CE8">
        <w:t>Even though</w:t>
      </w:r>
      <w:r w:rsidR="00DF6986" w:rsidRPr="00677CE8">
        <w:t xml:space="preserve"> the development of </w:t>
      </w:r>
      <w:r w:rsidR="00A40096" w:rsidRPr="00677CE8">
        <w:t xml:space="preserve">UAM human mobility </w:t>
      </w:r>
      <w:r w:rsidR="00DF6986" w:rsidRPr="00677CE8">
        <w:t xml:space="preserve">technology has </w:t>
      </w:r>
      <w:r w:rsidR="00A40096" w:rsidRPr="00677CE8">
        <w:t>seen substantial progress in recent years</w:t>
      </w:r>
      <w:r w:rsidR="00DF6986" w:rsidRPr="00677CE8">
        <w:t xml:space="preserve">, </w:t>
      </w:r>
      <w:r w:rsidR="0069655E" w:rsidRPr="00677CE8">
        <w:t xml:space="preserve">comparatively </w:t>
      </w:r>
      <w:r w:rsidR="00DF6986" w:rsidRPr="00677CE8">
        <w:t xml:space="preserve">less </w:t>
      </w:r>
      <w:r w:rsidR="00A40096" w:rsidRPr="00677CE8">
        <w:t xml:space="preserve">effort has been </w:t>
      </w:r>
      <w:r w:rsidR="00637674" w:rsidRPr="00677CE8">
        <w:t xml:space="preserve">devoted to </w:t>
      </w:r>
      <w:r w:rsidR="0069655E" w:rsidRPr="00677CE8">
        <w:t>understanding the preferences</w:t>
      </w:r>
      <w:r w:rsidR="00A51A77" w:rsidRPr="00677CE8">
        <w:t xml:space="preserve"> and characteristics</w:t>
      </w:r>
      <w:r w:rsidR="0069655E" w:rsidRPr="00677CE8">
        <w:t xml:space="preserve"> of potential users of such services</w:t>
      </w:r>
      <w:r w:rsidR="00A40096" w:rsidRPr="00677CE8">
        <w:t>.</w:t>
      </w:r>
      <w:r w:rsidR="0069655E" w:rsidRPr="00677CE8">
        <w:t xml:space="preserve"> I</w:t>
      </w:r>
      <w:r w:rsidR="00A40096" w:rsidRPr="00677CE8">
        <w:t>t is generally accepted that, just as for surface modes, i</w:t>
      </w:r>
      <w:r w:rsidR="00C37CCE" w:rsidRPr="00677CE8">
        <w:t xml:space="preserve">ndividual-level adoption decisions </w:t>
      </w:r>
      <w:r w:rsidR="00A40096" w:rsidRPr="00677CE8">
        <w:t xml:space="preserve">of UAM services will </w:t>
      </w:r>
      <w:r w:rsidR="00BD6105" w:rsidRPr="00677CE8">
        <w:t>reflect</w:t>
      </w:r>
      <w:r w:rsidR="005209F3" w:rsidRPr="00677CE8">
        <w:t xml:space="preserve"> a complex interaction of service attributes, trip characteristics, and individual attitudes.</w:t>
      </w:r>
      <w:r w:rsidR="0006796B" w:rsidRPr="00677CE8">
        <w:t xml:space="preserve"> </w:t>
      </w:r>
      <w:r w:rsidR="00A40096" w:rsidRPr="00677CE8">
        <w:t xml:space="preserve">Accordingly, </w:t>
      </w:r>
      <w:r w:rsidR="0069655E" w:rsidRPr="00677CE8">
        <w:t xml:space="preserve">a growing body of research has begun to examine the influence of selected factors on potential users’ adoption intentions </w:t>
      </w:r>
      <w:r w:rsidR="000E2176" w:rsidRPr="00677CE8">
        <w:t>(see, for example</w:t>
      </w:r>
      <w:r w:rsidR="009F68AB" w:rsidRPr="00677CE8">
        <w:t xml:space="preserve"> </w:t>
      </w:r>
      <w:r w:rsidR="009F68AB" w:rsidRPr="00677CE8">
        <w:fldChar w:fldCharType="begin"/>
      </w:r>
      <w:r w:rsidR="00B7697D" w:rsidRPr="00677CE8">
        <w:instrText xml:space="preserve"> ADDIN ZOTERO_ITEM CSL_CITATION {"citationID":"hxNNEtzE","properties":{"formattedCitation":"(Al Haddad et al., 2020; Hwang &amp; Hong, 2023; Karami et al., 2024; Lee et al., 2023)","plainCitation":"(Al Haddad et al., 2020; Hwang &amp; Hong, 2023; Karami et al., 2024; Lee et al., 2023)","dontUpdate":true,"noteIndex":0},"citationItems":[{"id":484,"uris":["http://zotero.org/groups/6194892/items/ZS2ZU8K2"],"itemData":{"id":484,"type":"article-journal","abstract":"Technological advances have recently led to the development of urban air mobility (UAM), an alternative transportation mode with several concepts including vehicles operated by on-demand fully-automated vertical take-off and landing aircraft (VTOL) for intra-city passenger transportation. However, despite a growing interest in UAM, understanding users’ perceptions to it remains limited. This research aims to identify and quantify the factors affecting the adoption and use of UAM, based on relevant tools from the literature, such as recurring factors in studies on aerial vehicle concepts, ground autonomous vehicles, but also acceptance models, such as the Technology Acceptance Model by Davis et al. (1989). A stated-preference survey was developed to assess the perception of users in terms of adoption time horizon, including options such as the first six years of the service’s implementation, “unsure”, and “never”. The obtained results were evaluated using exploratory factor analyses, and the specification and estimation of suitable discrete choice models, multinomial logit models (MNLs) and ordered logit models (OLMs), with adoption time horizon as dependent variable. Findings revealed the importance of safety and trust, affinity to automation, data concerns, social attitude, and socio-demographics for adoption. Factors, such as the value of time savings, the perception of automation costs, and service reliability, were also found to be highly influential. There was also an indication that skeptical respondents, i.e. answering “unsure”, had a behavior similar to late and non-adopters, i.e. adoption time horizon higher than six years or answering “never”. The summarized results were represented in an extended Technology Acceptance Model for urban air mobility, and provided insights for policymakers and industrial stakeholders.","container-title":"Transportation Research Part A: Policy and Practice","DOI":"10.1016/j.tra.2019.12.020","ISSN":"0965-8564","page":"696-712","source":"ScienceDirect","title":"Factors Affecting the Adoption and Use of Urban Air Mobility","volume":"132","author":[{"family":"Al Haddad","given":"Christelle"},{"family":"Chaniotakis","given":"Emmanouil"},{"family":"Straubinger","given":"Anna"},{"family":"Plötner","given":"Kay"},{"family":"Antoniou","given":"Constantinos"}],"issued":{"date-parts":[["2020",2,1]]}}},{"id":488,"uris":["http://zotero.org/groups/6194892/items/JMT46ABB"],"itemData":{"id":488,"type":"article-journal","abstract":"This study analyzed commuters’ intention to use urban air mobility (UAM) and the future demand for UAM based on its service characteristics and the personal characteristics of the potential users. The Seoul Metropolitan Area (SMA) was selected as the study area as it is expected to have the highest demand for UAM in South Korea. Three UAM operation scenarios were set: short-distance intra-city trips, long-distance intra-city trips, and inter-city trips. Five alternatives were assumed for the stated preference (SP) survey: bus, subway, taxi, private car, and UAM. Six alternative-specific variables were selected: access time, waiting time, boarding time, cost, autonomous mode, and the presence of other passengers. An online survey of 300 residents of SMA was conducted with 100 residents for each scenario. The residents were briefed on the modes of transportation and service characteristic of alternatives. The analysis results were as follows: (1) cost and access time significantly influenced the intention to use UAM in all scenarios. However, the effects of waiting time, boarding time, and autonomous driving on intention to use UAM differed based on the scenarios; (2) the individual characteristics of potential users had varying effects on their preference for UAM depending on the scenarios and the means of transportation, which was a counterpart to UAM. (3) The probability of choosing UAM for commuting was expected to be 10–20%, with the highest modal split for long-distance intra-city trips and the lowest modal split for short-distance intra-city trips. Among the six alternative-specific variables, autonomous driving and cost had the most significant effect on the change of the probability for using UAM. The results of this study are expected to be used as basic data for designing an effective strategy for the introduction of UAM in South Korea.","container-title":"Journal of Air Transport Management","DOI":"10.1016/j.jairtraman.2023.102467","ISSN":"0969-6997","source":"ScienceDirect","title":"A Study on the Factors Influencing the Adoption of Urban Air Mobility and the Future Demand: Using the Stated Preference Survey for Three UAM Operational Scenarios in South Korea","URL":"https://www.sciencedirect.com/science/article/pii/S0969699723001102","volume":"112","author":[{"family":"Hwang","given":"Ji-Hyon"},{"family":"Hong","given":"Sungjo"}],"accessed":{"date-parts":[["2023",9,22]]},"issued":{"date-parts":[["2023",9,1]]}}},{"id":492,"uris":["http://zotero.org/groups/6194892/items/ANB97BVJ"],"itemData":{"id":492,"type":"article-journal","abstract":"The integration of shared, autonomous, electric, and on-demand mobility services introduces urban air mobility (UAM) as an emerging intra-city transportation service operated by vertical take-off and landing aircraft. Despite the potential benefits of UAM limited literature exists on the end user's perception and the challenges to its societal acceptance, especially in developing economies. This paper addresses this gap in the literature by investigating the factors influencing UAM usage intention in Tehran, a developing country capital. Within the framework of the extended technology acceptance model, the study collected 828 valid questionnaires through a face-to-face survey. Structural equation modeling is employed to highlight the effects of a wide range of factors associated with individual differences, system characteristics, and social influence. The findings indicate that attitude, subjective norms, trust, perceived usefulness, perceived enjoyment, personal innovativeness, ecological awareness, and price evaluation are positively associated with UAM usage intention, while perceived safety correlates with the attitude toward UAM negatively. These findings provide valuable insights for policymakers and industry stakeholders, fostering a deeper understanding of end-user perspectives in developing countries, and prudently promising the potential for its targeted implementation. The study suggests that although its widespread adoption in developing countries is unlikely to occur in the near future, UAM should be regarded as a viable early and timely solution to persistent issues such as chronic congestion in metropolitan areas of the global south.","container-title":"Transport Policy","DOI":"10.1016/j.tranpol.2023.10.010","ISSN":"0967-070X","page":"74-84","source":"ScienceDirect","title":"Unraveling Behavioral Factors Influencing the Adoption of Urban Air Mobility from the End User's Perspective in Tehran – A Developing Country Outlook","volume":"145","author":[{"family":"Karami","given":"Hossein"},{"family":"Abbasi","given":"Mohammadhossein"},{"family":"Samadzad","given":"Mahdi"},{"family":"Karami","given":"Ali"}],"issued":{"date-parts":[["2024",1,1]]}}},{"id":489,"uris":["http://zotero.org/groups/6194892/items/62LUHJVM"],"itemData":{"id":489,"type":"article-journal","abstract":"Urban air mobility (UAM) is regarded as a sustainable alternative for intercity and intracity passenger transportation. The objective of this study is to identify the psychological and attitudinal factors that predict behavioral intentions to adopt UAM. This study integrates the unified theory of acceptance and use of technology with the initial trust model to explain the adoption intention among potential users of UAM. Results show that social influence and initial trust are the most significant predictor of the usage intention, which, together with performance expectancy, facilitating conditions, and structural assurance, lead to positive attitudes toward UAM. Initial trust was dependent on all six antecedents considered, but most largely on structural assurance. These findings emphasize the role of institutional safety nets, including regulations and legal resources, in increasing initial trust and promoting initial diffusion of UAM. They also offer guidance for designing interventions to improve the societal acceptance of UAM.","container-title":"Technological Forecasting and Social Change","DOI":"10.1016/j.techfore.2023.122807","ISSN":"0040-1625","source":"ScienceDirect","title":"Societal Acceptance of Urban Air Mobility Based on the Technology Adoption Framework","URL":"https://www.sciencedirect.com/science/article/pii/S0040162523004924","volume":"196","author":[{"family":"Lee","given":"Changju"},{"family":"Bae","given":"Bumjoon"},{"family":"Lee","given":"Yu Lim"},{"family":"Pak","given":"Tae-Young"}],"accessed":{"date-parts":[["2023",9,22]]},"issued":{"date-parts":[["2023",11,1]]}}}],"schema":"https://github.com/citation-style-language/schema/raw/master/csl-citation.json"} </w:instrText>
      </w:r>
      <w:r w:rsidR="009F68AB" w:rsidRPr="00677CE8">
        <w:fldChar w:fldCharType="separate"/>
      </w:r>
      <w:r w:rsidR="0086117E" w:rsidRPr="00677CE8">
        <w:t xml:space="preserve">Al Haddad et al., 2020; Hwang </w:t>
      </w:r>
      <w:r w:rsidR="00663609" w:rsidRPr="00677CE8">
        <w:t>and</w:t>
      </w:r>
      <w:r w:rsidR="0086117E" w:rsidRPr="00677CE8">
        <w:t xml:space="preserve"> Hong, 2023;</w:t>
      </w:r>
      <w:r w:rsidR="00DC5014" w:rsidRPr="00677CE8">
        <w:t xml:space="preserve"> Lee et al., 2023;</w:t>
      </w:r>
      <w:r w:rsidR="0086117E" w:rsidRPr="00677CE8">
        <w:t xml:space="preserve"> Karami et al., 2024)</w:t>
      </w:r>
      <w:r w:rsidR="009F68AB" w:rsidRPr="00677CE8">
        <w:fldChar w:fldCharType="end"/>
      </w:r>
      <w:r w:rsidR="0069655E" w:rsidRPr="00677CE8">
        <w:t xml:space="preserve">. </w:t>
      </w:r>
      <w:r w:rsidR="0094565E" w:rsidRPr="00677CE8">
        <w:t>Much of this work, however, focuses on a limited subset of UAM service attributes, and is often restricted to specific applications such as on-demand air taxi services</w:t>
      </w:r>
      <w:r w:rsidR="0069655E" w:rsidRPr="00677CE8">
        <w:t xml:space="preserve"> </w:t>
      </w:r>
      <w:r w:rsidR="0016277D" w:rsidRPr="00677CE8">
        <w:t>(see</w:t>
      </w:r>
      <w:r w:rsidR="000000A1" w:rsidRPr="00677CE8">
        <w:t xml:space="preserve"> </w:t>
      </w:r>
      <w:r w:rsidR="00DC5014" w:rsidRPr="00677CE8">
        <w:t xml:space="preserve">Zaps and Chankov, 2022; </w:t>
      </w:r>
      <w:r w:rsidR="000000A1" w:rsidRPr="00677CE8">
        <w:fldChar w:fldCharType="begin"/>
      </w:r>
      <w:r w:rsidR="00B7697D" w:rsidRPr="00677CE8">
        <w:instrText xml:space="preserve"> ADDIN ZOTERO_ITEM CSL_CITATION {"citationID":"NrEP8KDI","properties":{"formattedCitation":"(Boddupalli et al., 2024; Karimi et al., 2024; Zaps &amp; Chankov, 2022)","plainCitation":"(Boddupalli et al., 2024; Karimi et al., 2024; Zaps &amp; Chankov, 2022)","dontUpdate":true,"noteIndex":0},"citationItems":[{"id":1351,"uris":["http://zotero.org/groups/6194892/items/VKQN9M68"],"itemData":{"id":1351,"type":"article-journal","abstract":"In this study, a stated choice experiment was conducted to better understand individuals’ preferences for an air taxi commute service. Random taste parameter models with panel effects were used to model the choice among: (1) traditional auto, (2) transit, and (3) air taxi. We find that individuals who are male and are frequent ridesharing users are more likely to select the air taxi. A non-trader analysis of individuals who always selected the same mode across our eight stated choice scenarios showed that air taxi preferences are heterogeneous and polarized, with 14 percent always selecting air taxi and 14 percent never selecting air taxi. Among the traders, significant variation across individuals’ value of time (VOT) was observed. Results based on a negative lognormal distribution show the median in-vehicle VOTs for the air taxi mode was about 25 USD/hour, but 10 percent had VOTs higher than 64 USD/hour. Our results highlight the need for future studies of potential market demand for eVTOL aircraft to incorporate the percentage of the population who will likely never consider using an air taxi, as well as the distribution of VOTs for those who will consider using this new mode.","container-title":"Transportation Research Part A: Policy and Practice","DOI":"10.1016/j.tra.2024.104000","ISSN":"0965-8564","journalAbbreviation":"Transportation Research Part A: Policy and Practice","page":"104000","source":"ScienceDirect","title":"Mode choice modeling for an electric vertical takeoff and landing (eVTOL) air taxi commuting service","volume":"181","author":[{"family":"Boddupalli","given":"Sreekar-Shashank"},{"family":"Garrow","given":"Laurie A."},{"family":"German","given":"Brian J."},{"family":"Newman","given":"Jeffrey P."}],"issued":{"date-parts":[["2024",3,1]]}}},{"id":493,"uris":["http://zotero.org/groups/6194892/items/H3TRCYG2"],"itemData":{"id":493,"type":"article-journal","abstract":"Urban air mobility (UAM) is a new mode of transportation which has the potential to curb congestion in urban areas by providing a fast alternative that bypasses surface-level traffic by employing low altitude urban airspace. However, the successful adoption of this innovation among other modes of transportation remains a critical challenge, as public acceptance plays a pivotal role in the uptake of any emerging technology or service. To transcend traditional ground transportation, it is imperative to investigate the factors that drive a transition from current modes, particularly private cars, to the utilization of urban air taxis (UATs). While prior research has explored different aspects of UAM adoption, there is a notable dearth of studies examining the influence of travel satisfaction and attitudes towards travel modes on the preference for UAM. Notably, existing transportation literature has established that both satisfaction and attitudes significantly shape travel behavior. To achieve this, a stated preference survey was conducted in the Tehran metropolitan area, and a multinomial logit model incorporating latent variables was developed to assess the influence of socio-demographic and psychological factors on UAM adoption in hypothetical scenarios with predetermined travel times and costs. The findings highlight the pivotal role of service cost and affordability, with individuals of higher incomes exhibiting a significant inclination toward UAT adoption. The adoption of UAT is significantly higher when the cost is comparable to the existing modes. Moreover, satisfaction components, specifically enjoyment and time-saving benefits, exert a significant influence on UAT preference. Unfavorable perceptions towards private cars and ride-hailing services positively contribute to the likelihood of preferring UAT, with a greater impact observed for negative attitudes towards ride-hailing. The study explicitly underscores the influence of travel satisfaction and attitudes towards conventional modes of transportation on the adoption of innovative alternatives such as air taxis within the context of mode choice scenarios.","container-title":"Transportation Research Part A: Policy and Practice","DOI":"10.1016/j.tra.2023.103885","ISSN":"0965-8564","source":"ScienceDirect","title":"The Role of Travel Satisfaction and Attitudes Toward Travel Modes in the Prospect of Adoption of Urban Air Taxis: Evidence from a Stated Preference Survey in Tehran","URL":"https://www.sciencedirect.com/science/article/pii/S0965856423003051","volume":"179","author":[{"family":"Karimi","given":"Sina"},{"family":"Karami","given":"Hossein"},{"family":"Samadzad","given":"Mahdi"}],"accessed":{"date-parts":[["2024",12,17]]},"issued":{"date-parts":[["2024",1,1]]}}},{"id":564,"uris":["http://zotero.org/groups/6194892/items/S97V5A4I"],"itemData":{"id":564,"type":"paper-conference","abstract":"Increased urbanization leads to urban traffic challenges such as increased congestion, longer travel times and more transport emissions. Electric Vertical Take-Off and Landing (eVTOL) aircrafts may offer the answer to these challenges as they can act as flying taxis and transport passengers in a fast and eco-friendly way. However, it is still unclear under what conditions consumers will prefer flying taxis over traditional transport modes. Hence, the purpose of this paper is to compare consumer preferences for eVTOLs, public transport and taxis across different travel scenarios. Thus, we perform a choice-based conjoint analysis with travelers in Germany considering price, travel time and CO2 emissions. Conducting conditional logistic regressions, we show that consumers prefer eVTOLs over traditional taxis, and also over public transport for time-sensitive trips.","container-title":"2022 IEEE International Conference on Industrial Engineering and Engineering Management (IEEM)","DOI":"10.1109/IEEM55944.2022.9989956","event-title":"2022 IEEE International Conference on Industrial Engineering and Engineering Management (IEEM)","page":"1337-1341","source":"IEEE Xplore","title":"Are Consumers Ready for Flying Taxis? A Choice-based Conjoint Analysis of eVTOLs in Germany","title-short":"Are Consumers Ready for Flying Taxis?","URL":"https://ieeexplore.ieee.org/abstract/document/9989956","author":[{"family":"Zaps","given":"R."},{"family":"Chankov","given":"S. M."}],"accessed":{"date-parts":[["2025",9,27]]},"issued":{"date-parts":[["2022",12]]}}}],"schema":"https://github.com/citation-style-language/schema/raw/master/csl-citation.json"} </w:instrText>
      </w:r>
      <w:r w:rsidR="000000A1" w:rsidRPr="00677CE8">
        <w:fldChar w:fldCharType="separate"/>
      </w:r>
      <w:r w:rsidR="000000A1" w:rsidRPr="00677CE8">
        <w:t>Boddupalli et al., 2024; Karimi et al., 2024)</w:t>
      </w:r>
      <w:r w:rsidR="000000A1" w:rsidRPr="00677CE8">
        <w:fldChar w:fldCharType="end"/>
      </w:r>
      <w:r w:rsidR="004B49B5" w:rsidRPr="00677CE8">
        <w:t>.</w:t>
      </w:r>
      <w:r w:rsidR="00EB2D94" w:rsidRPr="00677CE8">
        <w:t xml:space="preserve"> </w:t>
      </w:r>
    </w:p>
    <w:p w14:paraId="799E0A0F" w14:textId="57DB36BE" w:rsidR="0094565E" w:rsidRPr="00677CE8" w:rsidRDefault="0094565E" w:rsidP="0094565E">
      <w:pPr>
        <w:spacing w:after="0" w:line="240" w:lineRule="auto"/>
        <w:ind w:firstLine="720"/>
        <w:jc w:val="both"/>
      </w:pPr>
      <w:r w:rsidRPr="00677CE8">
        <w:t>In this study, we further contribute to the extant literature on UAM adoption by employing a comprehensive set of contextual characteristics (service and trip attributes) and individual-level characteristics</w:t>
      </w:r>
      <w:r w:rsidR="00A51A77" w:rsidRPr="00677CE8">
        <w:t xml:space="preserve"> </w:t>
      </w:r>
      <w:r w:rsidRPr="00677CE8">
        <w:t xml:space="preserve">as potential determinants of UAM adoption. Among individual-level characteristics, we consider not only demographic </w:t>
      </w:r>
      <w:r w:rsidR="00CE0B85" w:rsidRPr="00677CE8">
        <w:t>variables but</w:t>
      </w:r>
      <w:r w:rsidRPr="00677CE8">
        <w:t xml:space="preserve"> also accommodate the impact of individual attitudes and lifestyle preferences. In doing so, </w:t>
      </w:r>
      <w:r w:rsidR="00666E80" w:rsidRPr="00677CE8">
        <w:t xml:space="preserve">and </w:t>
      </w:r>
      <w:r w:rsidRPr="00677CE8">
        <w:t xml:space="preserve">based on well-established Theory of Planned Behavior (TPB) and Technology Acceptance Model (TAM) frameworks </w:t>
      </w:r>
      <w:r w:rsidR="00CE0B85" w:rsidRPr="00677CE8">
        <w:fldChar w:fldCharType="begin"/>
      </w:r>
      <w:r w:rsidR="00B7697D" w:rsidRPr="00677CE8">
        <w:instrText xml:space="preserve"> ADDIN ZOTERO_ITEM CSL_CITATION {"citationID":"CdfPaI5P","properties":{"formattedCitation":"(Ajzen, 1991; Davis, 1989; Vankatesh &amp; Davis, 2000)","plainCitation":"(Ajzen, 1991; Davis, 1989; Vankatesh &amp; Davis, 2000)","dontUpdate":true,"noteIndex":0},"citationItems":[{"id":1663,"uris":["http://zotero.org/groups/6194892/items/CG68BC6U"],"itemData":{"id":1663,"type":"article-journal","container-title":"Management Science","DOI":"https://doi.org/10.1287/mnsc.46.2.186.11926","title":"A Theoretical Extension of the Technology Acceptance Model: Four Longitudinal Field Studies","URL":"https://pubsonline.informs.org/doi/abs/10.1287/mnsc.46.2.186.11926","volume":"12","author":[{"family":"Vankatesh","given":"Viswanath"},{"family":"Davis","given":"Fred D."}],"accessed":{"date-parts":[["2026",4,29]]},"issued":{"date-parts":[["2000"]]}}},{"id":1648,"uris":["http://zotero.org/groups/6194892/items/J5AWBS7C"],"itemData":{"id":1648,"type":"article-journal","abstract":"Research dealing with various aspects of the theory of planned behavior (Ajzen, 1985, Ajzen, 1987) is reviewed, and some unresolved issues are discussed. In broad terms, the theory is found to be well supported by empirical evidence. Intentions to perform behaviors of different kinds can be predicted with high accuracy from attitudes toward the behavior, subjective norms, and perceived behavioral control; and these intentions, together with perceptions of behavioral control, account for considerable variance in actual behavior. Attitudes, subjective norms, and perceived behavioral control are shown to be related to appropriate sets of salient behavioral, normative, and control beliefs about the behavior, but the exact nature of these relations is still uncertain. Expectancy-value formulations are found to be only partly successful in dealing with these relations. Optimal rescaling of expectancy and value measures is offered as a means of dealing with measurement limitations. Finally, inclusion of past behavior in the prediction equation is shown to provide a means of testing the theory's sufficiency, another issue that remains unresolved. The limited available evidence concerning this question shows that the theory is predicting behavior quite well in comparison to the ceiling imposed by behavioral reliability.","collection-title":"Theories of Cognitive Self-Regulation","container-title":"Organizational Behavior and Human Decision Processes","DOI":"10.1016/0749-5978(91)90020-T","ISSN":"0749-5978","issue":"2","journalAbbreviation":"Organizational Behavior and Human Decision Processes","page":"179-211","source":"ScienceDirect","title":"The theory of planned behavior","volume":"50","author":[{"family":"Ajzen","given":"Icek"}],"issued":{"date-parts":[["1991",12,1]]}}},{"id":1662,"uris":["http://zotero.org/groups/6194892/items/H78P2KIY"],"itemData":{"id":1662,"type":"article-journal","abstract":"Valid measurement scales for predicting user acceptance of computers are in short supply. Most subjective measures used in practice are unvalidated, and th","container-title":"MIS Quarterly","DOI":"https://dx.doi.org/10.2307/249008","issue":"3","language":"en","page":"319-340","source":"misq.umn.edu","title":"Perceived Usefulness, Perceived Ease of Use, and User Acceptance of Information Technology","volume":"13","author":[{"family":"Davis","given":"Fred D."}],"issued":{"date-parts":[["1989"]]}}}],"schema":"https://github.com/citation-style-language/schema/raw/master/csl-citation.json"} </w:instrText>
      </w:r>
      <w:r w:rsidR="00CE0B85" w:rsidRPr="00677CE8">
        <w:fldChar w:fldCharType="separate"/>
      </w:r>
      <w:r w:rsidR="00CE0B85" w:rsidRPr="00677CE8">
        <w:t>(</w:t>
      </w:r>
      <w:r w:rsidR="00DC5014" w:rsidRPr="00677CE8">
        <w:t xml:space="preserve">Davis, 1989; </w:t>
      </w:r>
      <w:r w:rsidR="00CE0B85" w:rsidRPr="00677CE8">
        <w:t>Ajzen, 1991; V</w:t>
      </w:r>
      <w:r w:rsidR="005F032A">
        <w:t>e</w:t>
      </w:r>
      <w:r w:rsidR="00CE0B85" w:rsidRPr="00677CE8">
        <w:t>nkatesh and Davis, 2000)</w:t>
      </w:r>
      <w:r w:rsidR="00CE0B85" w:rsidRPr="00677CE8">
        <w:fldChar w:fldCharType="end"/>
      </w:r>
      <w:r w:rsidR="00CE0B85" w:rsidRPr="00677CE8">
        <w:t xml:space="preserve">, </w:t>
      </w:r>
      <w:r w:rsidRPr="00677CE8">
        <w:t xml:space="preserve">we expressly recognize that the adoption of emerging and unfamiliar technologies such as UAM are substantially shaped by individual attitudes and intrinsic life preferences. In addition, we expand the examination of UAM adoption beyond air taxi </w:t>
      </w:r>
      <w:r w:rsidR="00666E80" w:rsidRPr="00677CE8">
        <w:t xml:space="preserve">(an </w:t>
      </w:r>
      <w:r w:rsidR="00767FAB" w:rsidRPr="00677CE8">
        <w:t>o</w:t>
      </w:r>
      <w:r w:rsidR="00666E80" w:rsidRPr="00677CE8">
        <w:t xml:space="preserve">n-demand </w:t>
      </w:r>
      <w:r w:rsidR="00767FAB" w:rsidRPr="00677CE8">
        <w:t>private</w:t>
      </w:r>
      <w:r w:rsidR="00666E80" w:rsidRPr="00677CE8">
        <w:t xml:space="preserve"> mode) </w:t>
      </w:r>
      <w:r w:rsidRPr="00677CE8">
        <w:t>to include air metro services</w:t>
      </w:r>
      <w:r w:rsidR="00666E80" w:rsidRPr="00677CE8">
        <w:t xml:space="preserve"> (a fixed-route public transportation mode)</w:t>
      </w:r>
      <w:r w:rsidRPr="00677CE8">
        <w:t xml:space="preserve">, quantifying stated preferences for </w:t>
      </w:r>
      <w:proofErr w:type="gramStart"/>
      <w:r w:rsidRPr="00677CE8">
        <w:t xml:space="preserve">both </w:t>
      </w:r>
      <w:r w:rsidR="00CE0B85" w:rsidRPr="00677CE8">
        <w:t xml:space="preserve">of </w:t>
      </w:r>
      <w:r w:rsidRPr="00677CE8">
        <w:t>these</w:t>
      </w:r>
      <w:proofErr w:type="gramEnd"/>
      <w:r w:rsidRPr="00677CE8">
        <w:t xml:space="preserve"> distinct UAM services when presented alongside surface travel modes. Methodologically, we employ a rank-ordered stated </w:t>
      </w:r>
      <w:r w:rsidR="00CE0B85" w:rsidRPr="00677CE8">
        <w:t>preference</w:t>
      </w:r>
      <w:r w:rsidRPr="00677CE8">
        <w:t xml:space="preserve"> data collection approach and a corresponding rank-ordered probit analysis framework, enabling the efficient econometric estimation of the effects of </w:t>
      </w:r>
      <w:r w:rsidR="00CE0B85" w:rsidRPr="00677CE8">
        <w:t>a</w:t>
      </w:r>
      <w:r w:rsidRPr="00677CE8">
        <w:t xml:space="preserve"> comprehensive set of determinant factors. Overall, our study of UAM adoption provides important insights </w:t>
      </w:r>
      <w:proofErr w:type="gramStart"/>
      <w:r w:rsidRPr="00677CE8">
        <w:t>for</w:t>
      </w:r>
      <w:proofErr w:type="gramEnd"/>
      <w:r w:rsidRPr="00677CE8">
        <w:t xml:space="preserve"> UAM service design (including placement of vertical take-off and landing sites, or </w:t>
      </w:r>
      <w:proofErr w:type="gramStart"/>
      <w:r w:rsidRPr="00677CE8">
        <w:t>vertiports</w:t>
      </w:r>
      <w:proofErr w:type="gramEnd"/>
      <w:r w:rsidRPr="00677CE8">
        <w:t>) and UAM positioning strategies.</w:t>
      </w:r>
    </w:p>
    <w:p w14:paraId="2598E149" w14:textId="04E54769" w:rsidR="00041046" w:rsidRPr="00677CE8" w:rsidRDefault="00991B10" w:rsidP="007B293E">
      <w:pPr>
        <w:spacing w:after="0" w:line="240" w:lineRule="auto"/>
        <w:ind w:firstLine="720"/>
        <w:jc w:val="both"/>
      </w:pPr>
      <w:r w:rsidRPr="00677CE8">
        <w:lastRenderedPageBreak/>
        <w:t xml:space="preserve">The </w:t>
      </w:r>
      <w:r w:rsidR="00637674" w:rsidRPr="00677CE8">
        <w:t xml:space="preserve">rest of this paper is structured as follows. The next </w:t>
      </w:r>
      <w:r w:rsidRPr="00677CE8">
        <w:t xml:space="preserve">section provides an overview of the existing literature on UAM adoption patterns. Section 3 </w:t>
      </w:r>
      <w:r w:rsidR="00637674" w:rsidRPr="00677CE8">
        <w:t>presents</w:t>
      </w:r>
      <w:r w:rsidRPr="00677CE8">
        <w:t xml:space="preserve"> </w:t>
      </w:r>
      <w:r w:rsidR="00BF623F" w:rsidRPr="00677CE8">
        <w:t>the analytic</w:t>
      </w:r>
      <w:r w:rsidRPr="00677CE8">
        <w:t xml:space="preserve"> approach</w:t>
      </w:r>
      <w:r w:rsidR="0069528C" w:rsidRPr="00677CE8">
        <w:t xml:space="preserve"> and mathematical formulation</w:t>
      </w:r>
      <w:r w:rsidRPr="00677CE8">
        <w:t xml:space="preserve"> used to </w:t>
      </w:r>
      <w:r w:rsidR="00637674" w:rsidRPr="00677CE8">
        <w:t xml:space="preserve">analyze UAM </w:t>
      </w:r>
      <w:r w:rsidRPr="00677CE8">
        <w:t>adoption</w:t>
      </w:r>
      <w:r w:rsidR="00DB520E" w:rsidRPr="00677CE8">
        <w:t xml:space="preserve">. Section 4 </w:t>
      </w:r>
      <w:r w:rsidR="00637674" w:rsidRPr="00677CE8">
        <w:t xml:space="preserve">discusses </w:t>
      </w:r>
      <w:r w:rsidR="005E0A76" w:rsidRPr="00677CE8">
        <w:t>data</w:t>
      </w:r>
      <w:r w:rsidR="00637674" w:rsidRPr="00677CE8">
        <w:t xml:space="preserve"> collection and sample characteristics. </w:t>
      </w:r>
      <w:r w:rsidRPr="00677CE8">
        <w:t xml:space="preserve">Section </w:t>
      </w:r>
      <w:r w:rsidR="00DB520E" w:rsidRPr="00677CE8">
        <w:t>5</w:t>
      </w:r>
      <w:r w:rsidRPr="00677CE8">
        <w:t xml:space="preserve"> </w:t>
      </w:r>
      <w:r w:rsidR="00B167AC" w:rsidRPr="00677CE8">
        <w:t>presents the</w:t>
      </w:r>
      <w:r w:rsidR="00DB520E" w:rsidRPr="00677CE8">
        <w:t xml:space="preserve"> </w:t>
      </w:r>
      <w:r w:rsidR="00047F87" w:rsidRPr="00677CE8">
        <w:t xml:space="preserve">model estimation results </w:t>
      </w:r>
      <w:r w:rsidR="00B167AC" w:rsidRPr="00677CE8">
        <w:t xml:space="preserve">and interpretations, discusses model </w:t>
      </w:r>
      <w:proofErr w:type="gramStart"/>
      <w:r w:rsidR="00B167AC" w:rsidRPr="00677CE8">
        <w:t>fit</w:t>
      </w:r>
      <w:proofErr w:type="gramEnd"/>
      <w:r w:rsidR="00B167AC" w:rsidRPr="00677CE8">
        <w:t>, and outlines the method used to compute expected modal shares associated with shifts in explanatory variables. Section 6</w:t>
      </w:r>
      <w:r w:rsidR="0072540C" w:rsidRPr="00677CE8">
        <w:t xml:space="preserve"> discusses the planning and policy implications of the results. Finally, Section 7 concludes by summarizing the findings and presenting potential directions for future work.</w:t>
      </w:r>
    </w:p>
    <w:p w14:paraId="51EFF849" w14:textId="4CFB6F22" w:rsidR="00054395" w:rsidRPr="00677CE8" w:rsidRDefault="00054395" w:rsidP="007B293E">
      <w:pPr>
        <w:spacing w:after="0" w:line="240" w:lineRule="auto"/>
        <w:jc w:val="both"/>
      </w:pPr>
    </w:p>
    <w:p w14:paraId="72354126" w14:textId="2FDDB5C4" w:rsidR="00247EA4" w:rsidRPr="00677CE8" w:rsidRDefault="005611A4">
      <w:pPr>
        <w:pStyle w:val="Heading1"/>
        <w:numPr>
          <w:ilvl w:val="0"/>
          <w:numId w:val="2"/>
        </w:numPr>
        <w:tabs>
          <w:tab w:val="left" w:pos="270"/>
        </w:tabs>
        <w:spacing w:after="0" w:line="240" w:lineRule="auto"/>
        <w:jc w:val="both"/>
      </w:pPr>
      <w:r w:rsidRPr="00677CE8">
        <w:t>L</w:t>
      </w:r>
      <w:r w:rsidR="00994620" w:rsidRPr="00677CE8">
        <w:t>ITERATURE OVERVIEW</w:t>
      </w:r>
    </w:p>
    <w:p w14:paraId="3F53210F" w14:textId="3ECDE3BE" w:rsidR="0094565E" w:rsidRPr="00677CE8" w:rsidRDefault="0094565E" w:rsidP="0094565E">
      <w:pPr>
        <w:spacing w:after="0" w:line="240" w:lineRule="auto"/>
        <w:jc w:val="both"/>
      </w:pPr>
      <w:r w:rsidRPr="00677CE8">
        <w:t xml:space="preserve">As just discussed, previous studies of UAM adoption have examined the influence of two main types of variables influencing UAM perceptions and adoption: (1) contextual characteristics (including the service attributes of each modal alternative and the trip context) and (2) individual-level characteristics (including demographics and attitudes). Contextual characteristics correspond to the operational and experiential conditions that may be encountered during UAM trips, while individual-level characteristics shape how travelers perceive and evaluate service attributes to inform their mode choice decisions. A summary of the contextual </w:t>
      </w:r>
      <w:r w:rsidR="00431207" w:rsidRPr="00677CE8">
        <w:t xml:space="preserve">characteristics </w:t>
      </w:r>
      <w:r w:rsidRPr="00677CE8">
        <w:t xml:space="preserve">(service </w:t>
      </w:r>
      <w:r w:rsidR="00431207" w:rsidRPr="00677CE8">
        <w:t xml:space="preserve">attributes </w:t>
      </w:r>
      <w:r w:rsidRPr="00677CE8">
        <w:t>and trip context) and attitudinal factors considered in prior stated preference studies of UAM adoption is provided in Table 1 (we do not include demographic characteristics in this table for presentation conciseness, though we discuss these in Section 2.2).</w:t>
      </w:r>
      <w:r w:rsidR="00D2250B" w:rsidRPr="00677CE8">
        <w:t xml:space="preserve"> </w:t>
      </w:r>
      <w:r w:rsidR="00232E26" w:rsidRPr="00677CE8">
        <w:t xml:space="preserve">The upper panel of Table 1 summarizes studies examining </w:t>
      </w:r>
      <w:r w:rsidRPr="00677CE8">
        <w:t>general UAM adoption intentions</w:t>
      </w:r>
      <w:r w:rsidR="00232E26" w:rsidRPr="00677CE8">
        <w:t>, while the lower panel presents studies that employ</w:t>
      </w:r>
      <w:r w:rsidRPr="00677CE8">
        <w:t xml:space="preserve"> specific stated preference</w:t>
      </w:r>
      <w:r w:rsidR="008E7E86" w:rsidRPr="00677CE8">
        <w:t xml:space="preserve"> (SP)</w:t>
      </w:r>
      <w:r w:rsidRPr="00677CE8">
        <w:t xml:space="preserve"> experiments to model mode choices between multiple competing alternatives.</w:t>
      </w:r>
      <w:r w:rsidR="002D4864" w:rsidRPr="00C91D5B">
        <w:rPr>
          <w:rStyle w:val="FootnoteReference"/>
        </w:rPr>
        <w:footnoteReference w:id="1"/>
      </w:r>
      <w:r w:rsidR="00D2250B" w:rsidRPr="00677CE8">
        <w:t xml:space="preserve"> </w:t>
      </w:r>
    </w:p>
    <w:p w14:paraId="2F2C98B9" w14:textId="77777777" w:rsidR="00FF417D" w:rsidRPr="00677CE8" w:rsidRDefault="00FF417D" w:rsidP="00FF417D">
      <w:pPr>
        <w:spacing w:after="0" w:line="240" w:lineRule="auto"/>
        <w:jc w:val="both"/>
      </w:pPr>
    </w:p>
    <w:p w14:paraId="5CEBC02E" w14:textId="77777777" w:rsidR="00FF417D" w:rsidRPr="00677CE8" w:rsidRDefault="00FF417D">
      <w:pPr>
        <w:pStyle w:val="Heading2"/>
        <w:numPr>
          <w:ilvl w:val="1"/>
          <w:numId w:val="2"/>
        </w:numPr>
        <w:spacing w:after="0" w:line="240" w:lineRule="auto"/>
        <w:jc w:val="both"/>
      </w:pPr>
      <w:r w:rsidRPr="00677CE8">
        <w:t>Contextual Characteristics</w:t>
      </w:r>
    </w:p>
    <w:p w14:paraId="6CD72B79" w14:textId="267C9B4C" w:rsidR="00FF417D" w:rsidRPr="00677CE8" w:rsidRDefault="000C5A54" w:rsidP="00FF417D">
      <w:pPr>
        <w:pStyle w:val="ListParagraph"/>
        <w:spacing w:after="0" w:line="240" w:lineRule="auto"/>
        <w:ind w:left="0"/>
        <w:jc w:val="both"/>
      </w:pPr>
      <w:r w:rsidRPr="00677CE8">
        <w:t>Many</w:t>
      </w:r>
      <w:r w:rsidR="00FF417D" w:rsidRPr="00677CE8">
        <w:t xml:space="preserve"> UAM adoption studies </w:t>
      </w:r>
      <w:r w:rsidR="005130EB" w:rsidRPr="00677CE8">
        <w:t>consider</w:t>
      </w:r>
      <w:r w:rsidR="00FF417D" w:rsidRPr="00677CE8">
        <w:t xml:space="preserve"> the impacts of “traditional” travel attributes, consistent with well-established findings for</w:t>
      </w:r>
      <w:r w:rsidRPr="00677CE8">
        <w:t xml:space="preserve"> ground-based (GB)</w:t>
      </w:r>
      <w:r w:rsidR="00FF417D" w:rsidRPr="00677CE8">
        <w:t xml:space="preserve"> mode choice behavior. As shown in Table 1, service attributes such as travel time, </w:t>
      </w:r>
      <w:r w:rsidR="0072540C" w:rsidRPr="00677CE8">
        <w:t>waiting time</w:t>
      </w:r>
      <w:r w:rsidR="00FF417D" w:rsidRPr="00677CE8">
        <w:t xml:space="preserve">, </w:t>
      </w:r>
      <w:r w:rsidR="00F132EE" w:rsidRPr="00677CE8">
        <w:t xml:space="preserve">distance to </w:t>
      </w:r>
      <w:r w:rsidRPr="00677CE8">
        <w:t>pick-up</w:t>
      </w:r>
      <w:r w:rsidR="00F132EE" w:rsidRPr="00677CE8">
        <w:t>/</w:t>
      </w:r>
      <w:r w:rsidRPr="00677CE8">
        <w:t>drop-off locations</w:t>
      </w:r>
      <w:r w:rsidR="002B0711" w:rsidRPr="00677CE8">
        <w:t>, and cost</w:t>
      </w:r>
      <w:r w:rsidRPr="00677CE8">
        <w:t xml:space="preserve">, </w:t>
      </w:r>
      <w:r w:rsidR="00FF417D" w:rsidRPr="00677CE8">
        <w:t xml:space="preserve">have been widely examined in prior </w:t>
      </w:r>
      <w:r w:rsidR="00EA3E17" w:rsidRPr="00677CE8">
        <w:t>SP</w:t>
      </w:r>
      <w:r w:rsidR="00FF417D" w:rsidRPr="00677CE8">
        <w:t xml:space="preserve"> surveys, with adoption increasing when UAM offers benefits over existing surface modes. Among these attributes, </w:t>
      </w:r>
      <w:r w:rsidR="00CA12B2" w:rsidRPr="00677CE8">
        <w:t xml:space="preserve">in-vehicle </w:t>
      </w:r>
      <w:r w:rsidR="00FF417D" w:rsidRPr="00677CE8">
        <w:t>travel time</w:t>
      </w:r>
      <w:r w:rsidR="00666E80" w:rsidRPr="00677CE8">
        <w:t xml:space="preserve"> </w:t>
      </w:r>
      <w:r w:rsidR="00FF417D" w:rsidRPr="00677CE8">
        <w:t>is a primary determinant of</w:t>
      </w:r>
      <w:r w:rsidR="00AF0356" w:rsidRPr="00677CE8">
        <w:t xml:space="preserve"> UAM</w:t>
      </w:r>
      <w:r w:rsidR="00FF417D" w:rsidRPr="00677CE8">
        <w:t xml:space="preserve"> </w:t>
      </w:r>
      <w:r w:rsidR="00CA12B2" w:rsidRPr="00677CE8">
        <w:t xml:space="preserve">adoption intentions and </w:t>
      </w:r>
      <w:r w:rsidR="00FF417D" w:rsidRPr="00677CE8">
        <w:t>preferences</w:t>
      </w:r>
      <w:r w:rsidR="00AF0356" w:rsidRPr="00677CE8">
        <w:t xml:space="preserve"> </w:t>
      </w:r>
      <w:r w:rsidR="00AF0356" w:rsidRPr="00677CE8">
        <w:fldChar w:fldCharType="begin"/>
      </w:r>
      <w:r w:rsidR="00B7697D" w:rsidRPr="00677CE8">
        <w:instrText xml:space="preserve"> ADDIN ZOTERO_ITEM CSL_CITATION {"citationID":"rrGDhbZS","properties":{"formattedCitation":"(Al Haddad et al., 2020; Cho &amp; Kim, 2022; M. Fu et al., 2019; Hwang &amp; Hong, 2023)","plainCitation":"(Al Haddad et al., 2020; Cho &amp; Kim, 2022; M. Fu et al., 2019; Hwang &amp; Hong, 2023)","dontUpdate":true,"noteIndex":0},"citationItems":[{"id":484,"uris":["http://zotero.org/groups/6194892/items/ZS2ZU8K2"],"itemData":{"id":484,"type":"article-journal","abstract":"Technological advances have recently led to the development of urban air mobility (UAM), an alternative transportation mode with several concepts including vehicles operated by on-demand fully-automated vertical take-off and landing aircraft (VTOL) for intra-city passenger transportation. However, despite a growing interest in UAM, understanding users’ perceptions to it remains limited. This research aims to identify and quantify the factors affecting the adoption and use of UAM, based on relevant tools from the literature, such as recurring factors in studies on aerial vehicle concepts, ground autonomous vehicles, but also acceptance models, such as the Technology Acceptance Model by Davis et al. (1989). A stated-preference survey was developed to assess the perception of users in terms of adoption time horizon, including options such as the first six years of the service’s implementation, “unsure”, and “never”. The obtained results were evaluated using exploratory factor analyses, and the specification and estimation of suitable discrete choice models, multinomial logit models (MNLs) and ordered logit models (OLMs), with adoption time horizon as dependent variable. Findings revealed the importance of safety and trust, affinity to automation, data concerns, social attitude, and socio-demographics for adoption. Factors, such as the value of time savings, the perception of automation costs, and service reliability, were also found to be highly influential. There was also an indication that skeptical respondents, i.e. answering “unsure”, had a behavior similar to late and non-adopters, i.e. adoption time horizon higher than six years or answering “never”. The summarized results were represented in an extended Technology Acceptance Model for urban air mobility, and provided insights for policymakers and industrial stakeholders.","container-title":"Transportation Research Part A: Policy and Practice","DOI":"10.1016/j.tra.2019.12.020","ISSN":"0965-8564","page":"696-712","source":"ScienceDirect","title":"Factors Affecting the Adoption and Use of Urban Air Mobility","volume":"132","author":[{"family":"Al Haddad","given":"Christelle"},{"family":"Chaniotakis","given":"Emmanouil"},{"family":"Straubinger","given":"Anna"},{"family":"Plötner","given":"Kay"},{"family":"Antoniou","given":"Constantinos"}],"issued":{"date-parts":[["2020",2,1]]}}},{"id":566,"uris":["http://zotero.org/groups/6194892/items/ZEA76TL3"],"itemData":{"id":566,"type":"article-journal","abstract":"Urban air mobility (UAM) is expected to be a new alternative future transportation system to overcome the limitations of infrastructure investment and resolve traffic congestion cost issues in urban areas. This study aims to estimate the parameters of the mode choice model incorporating the cleaner transportation mode and evaluate the environmental impact by calculating the reduction of greenhouse gas emissions from ground traffic. A stated preference survey is employed to estimate the parameters for each travel mode, including the emerging travel mode. The awareness and experience of the air travel modes remove the hesitation concerning travel mode choice having positive values, but concerns about taking new types of air mobility reduce the probability of choosing urban air mobility. The macroscopic travel demand forecasting program simulates the travel demand of urban air mobility to calculate the reduction of CO2 emissions between before and after the introduction. While about 30 thousand of urban air mobility travel demand are generated after the introduction of urban air mobility in the urban area, it reduces about 90 thousand tons of CO2 emissions from the ground traffic. The introduction of urban air mobility causes modal shifts from ground traffic, reducing climate change and global warming. Policymakers should evaluate the feasibility of introducing urban air mobility, including environmental impact assessment, and an appropriate transit fare policy is required for the proliferation of urban air mobility.","container-title":"Journal of Cleaner Production","DOI":"10.1016/j.jclepro.2022.132139","ISSN":"0959-6526","journalAbbreviation":"Journal of Cleaner Production","page":"132139","source":"ScienceDirect","title":"Assessment of the environmental impact and policy responses for urban air mobility: A case study of Seoul metropolitan area","title-short":"Assessment of the environmental impact and policy responses for urban air mobility","volume":"360","author":[{"family":"Cho","given":"Shin-Hyung"},{"family":"Kim","given":"Myeonghyeon"}],"issued":{"date-parts":[["2022",8,1]]}}},{"id":482,"uris":["http://zotero.org/groups/6194892/items/97M5RJ6T"],"itemData":{"id":482,"type":"article-journal","abstract":"Urban Air Mobility (UAM) is a recent mobility concept with the potential to reduce travel time and change travel patterns. When evaluating the introduction of UAM, understanding the potential users’ choice behavior regarding current available urban transportation modes and autonomous transportation services is essential to demand estimation. This preliminary research intends to gain insight into the travel behavior impacts of autonomous transportation modes, especially UAM, by deriving measures for transportation service attributes and identifying characteristics of potential users who might adopt autonomous transportation services, particularly the services of UAM. Thus, a stated preference questionnaire was designed and distributed in Munich metropolitan region. A main mode choice multinomial logit model and several sub-models, based on market segmentation, were estimated regarding four transportation alternatives: private car, public transportation, autonomous taxi, and autonomous flying taxi. The results indicate that travel time, travel cost, and safety may be critical determinants in autonomous transportation mode adoption. The potential consumers may be willing to pay more for using autonomous transportation modes, especially the service of UAM. Among different market segments, younger individuals, as well as older individuals with high household income, are more likely to adopt UAM. In addition, during the market entry stage, potential travelers may favor UAM particularly for performing non-commuting trips.","container-title":"Transportation Research Record","DOI":"10.1177/0361198119843858","ISSN":"0361-1981","issue":"10","language":"en","page":"427-442","publisher":"SAGE Publications Inc","source":"SAGE Journals","title":"Exploring Preferences for Transportation Modes in an Urban Air Mobility Environment: Munich Case Study","volume":"2673","author":[{"family":"Fu","given":"Mengying"},{"family":"Rothfeld","given":"Raoul"},{"family":"Antoniou","given":"Constantinos"}],"issued":{"date-parts":[["2019",10,1]]}}},{"id":488,"uris":["http://zotero.org/groups/6194892/items/JMT46ABB"],"itemData":{"id":488,"type":"article-journal","abstract":"This study analyzed commuters’ intention to use urban air mobility (UAM) and the future demand for UAM based on its service characteristics and the personal characteristics of the potential users. The Seoul Metropolitan Area (SMA) was selected as the study area as it is expected to have the highest demand for UAM in South Korea. Three UAM operation scenarios were set: short-distance intra-city trips, long-distance intra-city trips, and inter-city trips. Five alternatives were assumed for the stated preference (SP) survey: bus, subway, taxi, private car, and UAM. Six alternative-specific variables were selected: access time, waiting time, boarding time, cost, autonomous mode, and the presence of other passengers. An online survey of 300 residents of SMA was conducted with 100 residents for each scenario. The residents were briefed on the modes of transportation and service characteristic of alternatives. The analysis results were as follows: (1) cost and access time significantly influenced the intention to use UAM in all scenarios. However, the effects of waiting time, boarding time, and autonomous driving on intention to use UAM differed based on the scenarios; (2) the individual characteristics of potential users had varying effects on their preference for UAM depending on the scenarios and the means of transportation, which was a counterpart to UAM. (3) The probability of choosing UAM for commuting was expected to be 10–20%, with the highest modal split for long-distance intra-city trips and the lowest modal split for short-distance intra-city trips. Among the six alternative-specific variables, autonomous driving and cost had the most significant effect on the change of the probability for using UAM. The results of this study are expected to be used as basic data for designing an effective strategy for the introduction of UAM in South Korea.","container-title":"Journal of Air Transport Management","DOI":"10.1016/j.jairtraman.2023.102467","ISSN":"0969-6997","source":"ScienceDirect","title":"A Study on the Factors Influencing the Adoption of Urban Air Mobility and the Future Demand: Using the Stated Preference Survey for Three UAM Operational Scenarios in South Korea","URL":"https://www.sciencedirect.com/science/article/pii/S0969699723001102","volume":"112","author":[{"family":"Hwang","given":"Ji-Hyon"},{"family":"Hong","given":"Sungjo"}],"accessed":{"date-parts":[["2023",9,22]]},"issued":{"date-parts":[["2023",9,1]]}}}],"schema":"https://github.com/citation-style-language/schema/raw/master/csl-citation.json"} </w:instrText>
      </w:r>
      <w:r w:rsidR="00AF0356" w:rsidRPr="00677CE8">
        <w:fldChar w:fldCharType="separate"/>
      </w:r>
      <w:r w:rsidR="00CA12B2" w:rsidRPr="00677CE8">
        <w:t xml:space="preserve">(for example, see </w:t>
      </w:r>
      <w:r w:rsidR="00DC5014" w:rsidRPr="00677CE8">
        <w:t>Fu et al., 201</w:t>
      </w:r>
      <w:r w:rsidR="002E3E33">
        <w:t>9</w:t>
      </w:r>
      <w:r w:rsidR="00DC5014" w:rsidRPr="00677CE8">
        <w:t xml:space="preserve">; </w:t>
      </w:r>
      <w:r w:rsidR="00AF0356" w:rsidRPr="00677CE8">
        <w:t>Al Haddad et al., 2020; Cho and Kim, 2022; Hwang and Hong, 2023</w:t>
      </w:r>
      <w:r w:rsidR="00CA12B2" w:rsidRPr="00677CE8">
        <w:t>; Qu et al., 2024</w:t>
      </w:r>
      <w:r w:rsidR="00AF0356" w:rsidRPr="00677CE8">
        <w:t>)</w:t>
      </w:r>
      <w:r w:rsidR="00AF0356" w:rsidRPr="00677CE8">
        <w:fldChar w:fldCharType="end"/>
      </w:r>
      <w:r w:rsidR="00FF417D" w:rsidRPr="00677CE8">
        <w:t xml:space="preserve">, consistent with widespread findings in the GB literature </w:t>
      </w:r>
      <w:r w:rsidR="00FF417D" w:rsidRPr="00677CE8">
        <w:fldChar w:fldCharType="begin"/>
      </w:r>
      <w:r w:rsidR="00FF417D" w:rsidRPr="00677CE8">
        <w:instrText xml:space="preserve"> ADDIN ZOTERO_ITEM CSL_CITATION {"citationID":"0IsV0f2e","properties":{"formattedCitation":"(Bhat &amp; Sardesai, 2006; Frank et al., 2008; Ranjan &amp; Sinha, 2025)","plainCitation":"(Bhat &amp; Sardesai, 2006; Frank et al., 2008; Ranjan &amp; Sinha, 2025)","dontUpdate":true,"noteIndex":0},"citationItems":[{"id":1617,"uris":["http://zotero.org/groups/6194892/items/IA9A8WEF"],"itemData":{"id":1617,"type":"article-journal","abstract":"This paper uses revealed preference and stated preference data collected from a web-based commuter survey in Austin, Texas, to estimate a commute mode choice model. This model accommodates weekly and daily commute and midday stop-making behavior, as well as travel time reliability. A mixed logit framework is used in estimation. The results emphasize the effects of commute and midday stop-making on commute mode choice. The results also indicate that travel time reliability is an important variable in commute mode choice decisions. The paper applies the estimated model to predict the potential mode usage of a proposed commuter rail option as well as to examine the impact of highway tolls. More generally, the mode choice model can be used to examine a whole range of travel mode-related policy actions for the Austin metropolitan region.","container-title":"Transportation Research Part B: Methodological","DOI":"10.1016/j.trb.2005.09.008","ISSN":"0191-2615","issue":"9","journalAbbreviation":"Transportation Research Part B: Methodological","page":"709-730","source":"ScienceDirect","title":"The impact of stop-making and travel time reliability on commute mode choice","volume":"40","author":[{"family":"Bhat","given":"Chandra R."},{"family":"Sardesai","given":"Rupali"}],"issued":{"date-parts":[["2006",11,1]]}}},{"id":1613,"uris":["http://zotero.org/groups/6194892/items/ZWEU4ZXN"],"itemData":{"id":1613,"type":"article-journal","abstract":"The primary purpose of this study was to investigate how relative associations between travel time, costs, and land use patterns where people live and work impact modal choice and trip chaining patterns in the Central Puget Sound (Seattle) region. By using a tour-based modeling framework and highly detailed land use and travel data, this study attempts to add detail on the specific land use changes necessary to address different types of travel, and to develop a comparative framework by which the relative impact of travel time and urban form changes can be assessed. A discrete choice modeling framework adjusted for demographic factors and assessed the relative effect of travel time, costs, and urban form on mode choice and trip chaining characteristics for the three tour types. The tour based modeling approach increased the ability to understand the relative contribution of urban form, time, and costs in explaining mode choice and tour complexity for home and work related travel. Urban form at residential and employment locations, and travel time and cost were significant predictors of travel choice. Travel time was the strongest predictor of mode choice while urban form the strongest predictor of the number of stops within a tour. Results show that reductions in highway travel time are associated with less transit use and walking. Land use patterns where respondents work predicted mode choice for mid day and journey to work travel.","container-title":"Transportation","DOI":"10.1007/s11116-007-9136-6","ISSN":"1572-9435","issue":"1","journalAbbreviation":"Transportation","language":"en","page":"37-54","source":"Springer Link","title":"Urban form, travel time, and cost relationships with tour complexity and mode choice","volume":"35","author":[{"family":"Frank","given":"Lawrence"},{"family":"Bradley","given":"Mark"},{"family":"Kavage","given":"Sarah"},{"family":"Chapman","given":"James"},{"family":"Lawton","given":"T. Keith"}],"issued":{"date-parts":[["2008",1,1]]}}},{"id":1615,"uris":["http://zotero.org/groups/6194892/items/3EL9Q2R2"],"itemData":{"id":1615,"type":"article-journal","abstract":"Understanding urban mode choice behavior is critical for designing inclusive, efficient, and sustainable public transportation systems. This study presents a systematic literature review (SLR) of 290 peer-reviewed journal articles published between 2010 and March 2025, aimed at identifying and synthesizing the key determinants that influence individuals’ decisions to use public transport. The analysis organizes these determinants into four primary domains: demographic and socio-economic attributes, trip-specific characteristics, transportation system performance, and environmental and contextual factors. Variables such as income, gender, age, education level, vehicle ownership, trip purpose, travel duration, service reliability, affordability, accessibility, and land-use patterns consistently emerge as influential. The synthesis reveals notable regional variations: in Asia, trip-related and system-level factors predominate, whereas in North America, socio-economic attributes and infrastructural conditions play a more significant role. The findings also highlight the growing relevance of emerging mobility trends, including shared transportation services, real-time transit information applications, and autonomous vehicle technologies. Despite the extensive body of literature, substantial research gaps remain, particularly in the creation of integrated frameworks that capture the interactions among demographic, infrastructural, and behavioral variables. Moreover, critical factors such as traffic congestion, weather conditions, social structures, and post-pandemic behavioral shifts are insufficiently addressed, especially in underrepresented regions such as Africa and South America. By consolidating fragmented insights from global studies, this review underscores the multidimensional and context-dependent nature of public transport mode choice. The results provide actionable guidance for policymakers and transportation planners, emphasizing the need for context-sensitive, user-centered strategies that address both regional priorities and global sustainability objectives. Through this synthesis, the study contribute a comprehensive evidence base to support informed decision-making and strategic initiatives aimed at increasing public transport ridership and advancing sustainable urban mobility.","container-title":"Discover Cities","DOI":"10.1007/s44327-025-00138-3","ISSN":"3004-8311","issue":"1","journalAbbreviation":"Discov Cities","language":"en","page":"98","source":"Springer Link","title":"A systematic review of mode choice behavior in urban transportation with emphasis on individual preferences and influencing factor","volume":"2","author":[{"family":"Ranjan","given":"Rajesh"},{"family":"Sinha","given":"Sanjeev"}],"issued":{"date-parts":[["2025",10,13]]}}}],"schema":"https://github.com/citation-style-language/schema/raw/master/csl-citation.json"} </w:instrText>
      </w:r>
      <w:r w:rsidR="00FF417D" w:rsidRPr="00677CE8">
        <w:fldChar w:fldCharType="separate"/>
      </w:r>
      <w:r w:rsidR="00FF417D" w:rsidRPr="00677CE8">
        <w:t>(Bhat and Sardesai, 2006; Frank et al., 2008; Ranjan and Sinha, 2025)</w:t>
      </w:r>
      <w:r w:rsidR="00FF417D" w:rsidRPr="00677CE8">
        <w:fldChar w:fldCharType="end"/>
      </w:r>
      <w:r w:rsidR="00FF417D" w:rsidRPr="00677CE8">
        <w:t>.</w:t>
      </w:r>
      <w:r w:rsidR="00AF0356" w:rsidRPr="00677CE8">
        <w:t xml:space="preserve"> </w:t>
      </w:r>
      <w:r w:rsidR="00FF417D" w:rsidRPr="00677CE8">
        <w:t xml:space="preserve">In particular, given relatively higher speeds of UAM compared with GB modes, the reduction in in-vehicle travel time is one of the principal advantages of UAM </w:t>
      </w:r>
      <w:r w:rsidR="00FF417D" w:rsidRPr="00677CE8">
        <w:fldChar w:fldCharType="begin"/>
      </w:r>
      <w:r w:rsidR="00B7697D" w:rsidRPr="00677CE8">
        <w:instrText xml:space="preserve"> ADDIN ZOTERO_ITEM CSL_CITATION {"citationID":"BPA2i0GB","properties":{"unsorted":false,"formattedCitation":"(Adamidis et al., 2025; Fu et al., 2019; Kim et al., 2023)","plainCitation":"(Adamidis et al., 2025; Fu et al., 2019; Kim et al., 2023)","dontUpdate":true,"noteIndex":0},"citationItems":[{"id":560,"uris":["http://zotero.org/groups/6194892/items/MKSZW5M8"],"itemData":{"id":560,"type":"article-journal","abstract":"The increasing use of commercial aviation in the last decades has urged us to reconsider landside airport accessibility to meet the evolving demand. At the same time, the third (vertical) dimension in urban and suburban areas – i.e. the lower airspace up to 500 m above the ground – has yet to be substantially exploited for transportation. Soon, technological advances in electric vertical take-off and landing (eVTOL) aircraft could enable the commercial use of Urban Air Mobility (UAM) for airport access. Through a case study in Bavaria, Germany, and Austria, this research aims to investigate the potential users’ willingness to pay for a novel UAM AirShuttle service, which could connect the airport of Munich with important points in its catchment area, and to analyse their transportation mode choices when accessing the airport. A stated preference mode choice survey was disseminated through an online panel during March 2023 in the catchment area of the airport to assess the current travel behaviour of the population, including the ownership of mobility instruments, the current state of airport accessibility and the satisfaction of the respondents (N=218) with the currently available modes. Furthermore, the survey investigated directly how much the respondents were willing to pay to use the AirShuttle and their sociodemographic background. The results were evaluated using descriptive statistical analyses and discrete choice modelling. The findings reveal that most respondents were satisfied with the current access modes and found their pricing reasonable. On the other hand, their willingness to pay for UAM services was lower than expected. This study yields important implications for the industrial stakeholders of UAM and for policymakers; by analysing the results, it was concluded that the expectations of the industry and potential customers regarding UAM pricing in the short term could be different and that its benefits and implications for society should be carefully weighed by policymakers.","container-title":"Transport Policy","DOI":"10.1016/j.tranpol.2025.07.027","ISSN":"0967-070X","journalAbbreviation":"Transport Policy","page":"1025-1040","source":"ScienceDirect","title":"Urban air mobility for airport access: Mode choice preferences and pricing considerations","title-short":"Urban air mobility for airport access","volume":"171","author":[{"family":"Adamidis","given":"Filippos"},{"family":"Ditta","given":"Chiara Caterina"},{"family":"Wu","given":"Hao"},{"family":"Postorino","given":"Maria Nadia"},{"family":"Antoniou","given":"Constantinos"}],"issued":{"date-parts":[["2025",9,1]]}}},{"id":482,"uris":["http://zotero.org/groups/6194892/items/97M5RJ6T"],"itemData":{"id":482,"type":"article-journal","abstract":"Urban Air Mobility (UAM) is a recent mobility concept with the potential to reduce travel time and change travel patterns. When evaluating the introduction of UAM, understanding the potential users’ choice behavior regarding current available urban transportation modes and autonomous transportation services is essential to demand estimation. This preliminary research intends to gain insight into the travel behavior impacts of autonomous transportation modes, especially UAM, by deriving measures for transportation service attributes and identifying characteristics of potential users who might adopt autonomous transportation services, particularly the services of UAM. Thus, a stated preference questionnaire was designed and distributed in Munich metropolitan region. A main mode choice multinomial logit model and several sub-models, based on market segmentation, were estimated regarding four transportation alternatives: private car, public transportation, autonomous taxi, and autonomous flying taxi. The results indicate that travel time, travel cost, and safety may be critical determinants in autonomous transportation mode adoption. The potential consumers may be willing to pay more for using autonomous transportation modes, especially the service of UAM. Among different market segments, younger individuals, as well as older individuals with high household income, are more likely to adopt UAM. In addition, during the market entry stage, potential travelers may favor UAM particularly for performing non-commuting trips.","container-title":"Transportation Research Record","DOI":"10.1177/0361198119843858","ISSN":"0361-1981","issue":"10","language":"en","page":"427-442","publisher":"SAGE Publications Inc","source":"SAGE Journals","title":"Exploring Preferences for Transportation Modes in an Urban Air Mobility Environment: Munich Case Study","volume":"2673","author":[{"family":"Fu","given":"Mengying"},{"family":"Rothfeld","given":"Raoul"},{"family":"Antoniou","given":"Constantinos"}],"issued":{"date-parts":[["2019",10,1]]}}},{"id":568,"uris":["http://zotero.org/groups/6194892/items/2H3QGUJX"],"itemData":{"id":568,"type":"article-journal","abstract":"The purpose of this study is to explore how trust in and the service quality of urban air mobility (UAM) relate to the user acceptance of UAM. We hypothesized that trust directly influences the att...","archive_location":"world","container-title":"International Journal of Human–Computer Interaction","ISSN":"1044-7318","language":"EN","license":"© 2022 Taylor &amp; Francis Group, LLC","publisher":"Taylor &amp; Francis","source":"www.tandfonline.com","title":"Exploring the User Acceptance of Urban Air Mobility: Extending the Technology Acceptance Model with Trust and Service Quality Factors","title-short":"Exploring the User Acceptance of Urban Air Mobility","URL":"https://www.tandfonline.com/doi/abs/10.1080/10447318.2022.2087662","author":[{"family":"Kim","given":"Young Woo"},{"family":"Lim","given":"Cherin"},{"family":"Ji","given":"Yong Gu"}],"accessed":{"date-parts":[["2025",10,1]]},"issued":{"date-parts":[["2023",8,27]]}}}],"schema":"https://github.com/citation-style-language/schema/raw/master/csl-citation.json"} </w:instrText>
      </w:r>
      <w:r w:rsidR="00FF417D" w:rsidRPr="00677CE8">
        <w:fldChar w:fldCharType="separate"/>
      </w:r>
      <w:r w:rsidR="00D2250B" w:rsidRPr="00677CE8">
        <w:t>(Fu et al., 2019; Kim et al., 2023</w:t>
      </w:r>
      <w:r w:rsidR="00DC5014" w:rsidRPr="00677CE8">
        <w:t>; Adamidis et al., 2025</w:t>
      </w:r>
      <w:r w:rsidR="00D2250B" w:rsidRPr="00677CE8">
        <w:t>)</w:t>
      </w:r>
      <w:r w:rsidR="00FF417D" w:rsidRPr="00677CE8">
        <w:fldChar w:fldCharType="end"/>
      </w:r>
      <w:r w:rsidR="00FF417D" w:rsidRPr="00677CE8">
        <w:t>. Also consistent with mode choice among GB modes</w:t>
      </w:r>
      <w:r w:rsidR="0047421A" w:rsidRPr="00677CE8">
        <w:t xml:space="preserve">, previous findings indicate that both waiting times </w:t>
      </w:r>
      <w:r w:rsidR="00CA12B2" w:rsidRPr="00677CE8">
        <w:t xml:space="preserve">due to infrequent service </w:t>
      </w:r>
      <w:r w:rsidR="0047421A" w:rsidRPr="00677CE8">
        <w:t>and</w:t>
      </w:r>
      <w:r w:rsidR="00767FAB" w:rsidRPr="00677CE8">
        <w:t xml:space="preserve"> long</w:t>
      </w:r>
      <w:r w:rsidR="0047421A" w:rsidRPr="00677CE8">
        <w:t xml:space="preserve"> distance</w:t>
      </w:r>
      <w:r w:rsidR="00F132EE" w:rsidRPr="00677CE8">
        <w:t xml:space="preserve">s to </w:t>
      </w:r>
      <w:r w:rsidR="00CA12B2" w:rsidRPr="00677CE8">
        <w:t xml:space="preserve">vertiport </w:t>
      </w:r>
      <w:r w:rsidR="00F132EE" w:rsidRPr="00677CE8">
        <w:t>pick-up/drop-off locations</w:t>
      </w:r>
      <w:r w:rsidR="0047421A" w:rsidRPr="00677CE8">
        <w:t xml:space="preserve"> negatively impact UAM adoption</w:t>
      </w:r>
      <w:r w:rsidR="00FF417D" w:rsidRPr="00677CE8">
        <w:t xml:space="preserve"> </w:t>
      </w:r>
      <w:r w:rsidR="00FF417D" w:rsidRPr="00677CE8">
        <w:fldChar w:fldCharType="begin"/>
      </w:r>
      <w:r w:rsidR="00B7697D" w:rsidRPr="00677CE8">
        <w:instrText xml:space="preserve"> ADDIN ZOTERO_ITEM CSL_CITATION {"citationID":"Gm8cmpZO","properties":{"formattedCitation":"(Adamidis et al., 2025; Hwang &amp; Hong, 2023; Lotz et al., 2023)","plainCitation":"(Adamidis et al., 2025; Hwang &amp; Hong, 2023; Lotz et al., 2023)","dontUpdate":true,"noteIndex":0},"citationItems":[{"id":560,"uris":["http://zotero.org/groups/6194892/items/MKSZW5M8"],"itemData":{"id":560,"type":"article-journal","abstract":"The increasing use of commercial aviation in the last decades has urged us to reconsider landside airport accessibility to meet the evolving demand. At the same time, the third (vertical) dimension in urban and suburban areas – i.e. the lower airspace up to 500 m above the ground – has yet to be substantially exploited for transportation. Soon, technological advances in electric vertical take-off and landing (eVTOL) aircraft could enable the commercial use of Urban Air Mobility (UAM) for airport access. Through a case study in Bavaria, Germany, and Austria, this research aims to investigate the potential users’ willingness to pay for a novel UAM AirShuttle service, which could connect the airport of Munich with important points in its catchment area, and to analyse their transportation mode choices when accessing the airport. A stated preference mode choice survey was disseminated through an online panel during March 2023 in the catchment area of the airport to assess the current travel behaviour of the population, including the ownership of mobility instruments, the current state of airport accessibility and the satisfaction of the respondents (N=218) with the currently available modes. Furthermore, the survey investigated directly how much the respondents were willing to pay to use the AirShuttle and their sociodemographic background. The results were evaluated using descriptive statistical analyses and discrete choice modelling. The findings reveal that most respondents were satisfied with the current access modes and found their pricing reasonable. On the other hand, their willingness to pay for UAM services was lower than expected. This study yields important implications for the industrial stakeholders of UAM and for policymakers; by analysing the results, it was concluded that the expectations of the industry and potential customers regarding UAM pricing in the short term could be different and that its benefits and implications for society should be carefully weighed by policymakers.","container-title":"Transport Policy","DOI":"10.1016/j.tranpol.2025.07.027","ISSN":"0967-070X","journalAbbreviation":"Transport Policy","page":"1025-1040","source":"ScienceDirect","title":"Urban air mobility for airport access: Mode choice preferences and pricing considerations","title-short":"Urban air mobility for airport access","volume":"171","author":[{"family":"Adamidis","given":"Filippos"},{"family":"Ditta","given":"Chiara Caterina"},{"family":"Wu","given":"Hao"},{"family":"Postorino","given":"Maria Nadia"},{"family":"Antoniou","given":"Constantinos"}],"issued":{"date-parts":[["2025",9,1]]}}},{"id":488,"uris":["http://zotero.org/groups/6194892/items/JMT46ABB"],"itemData":{"id":488,"type":"article-journal","abstract":"This study analyzed commuters’ intention to use urban air mobility (UAM) and the future demand for UAM based on its service characteristics and the personal characteristics of the potential users. The Seoul Metropolitan Area (SMA) was selected as the study area as it is expected to have the highest demand for UAM in South Korea. Three UAM operation scenarios were set: short-distance intra-city trips, long-distance intra-city trips, and inter-city trips. Five alternatives were assumed for the stated preference (SP) survey: bus, subway, taxi, private car, and UAM. Six alternative-specific variables were selected: access time, waiting time, boarding time, cost, autonomous mode, and the presence of other passengers. An online survey of 300 residents of SMA was conducted with 100 residents for each scenario. The residents were briefed on the modes of transportation and service characteristic of alternatives. The analysis results were as follows: (1) cost and access time significantly influenced the intention to use UAM in all scenarios. However, the effects of waiting time, boarding time, and autonomous driving on intention to use UAM differed based on the scenarios; (2) the individual characteristics of potential users had varying effects on their preference for UAM depending on the scenarios and the means of transportation, which was a counterpart to UAM. (3) The probability of choosing UAM for commuting was expected to be 10–20%, with the highest modal split for long-distance intra-city trips and the lowest modal split for short-distance intra-city trips. Among the six alternative-specific variables, autonomous driving and cost had the most significant effect on the change of the probability for using UAM. The results of this study are expected to be used as basic data for designing an effective strategy for the introduction of UAM in South Korea.","container-title":"Journal of Air Transport Management","DOI":"10.1016/j.jairtraman.2023.102467","ISSN":"0969-6997","source":"ScienceDirect","title":"A Study on the Factors Influencing the Adoption of Urban Air Mobility and the Future Demand: Using the Stated Preference Survey for Three UAM Operational Scenarios in South Korea","URL":"https://www.sciencedirect.com/science/article/pii/S0969699723001102","volume":"112","author":[{"family":"Hwang","given":"Ji-Hyon"},{"family":"Hong","given":"Sungjo"}],"accessed":{"date-parts":[["2023",9,22]]},"issued":{"date-parts":[["2023",9,1]]}}},{"id":558,"uris":["http://zotero.org/groups/6194892/items/GBFUCQFB"],"itemData":{"id":558,"type":"paper-conference","abstract":"Urban air mobility (UAM) has gained increased attention as a promising new solution to tackle issues such as traffic congestion. This study aims to assess users’ perception and usage intentions and identify and weigh success-critical acceptance factors against each other. Further, user-related differences in the underlying decision patterns are analyzed. A mixed-methods approach was employed, including a prior interview study with laypeople and experts (N = 16), calculations of feasible prices via agent-based símulations, and the main survey study (N = 135) – a Choice-Based Conjoint (CBC) with the attributes: environmental impact, costs, placement of take-off and landing stations (vertiports), automation level, and onboard benefits. Results indicated that environmental impact, costs, and vertiport placement were the top three factors influencing user acceptance. The relative importance of these attributes differed, however, depending on the user group. Based on the results, three user segments were identified: automation-skeptical users, environmentally-conscious users, and cost-conscious users. The findings provide valuable insights for UAM providers and policymakers to understand the attitudes and needs of potential users and to design effective strategies for promoting the adoption of UAM.","container-title":"HCI in Mobility, Transport, and Automotive Systems","DOI":"10.1007/978-3-031-35678-0_20","ISBN":"978-3-031-35678-0","language":"en","page":"296-315","publisher":"Springer Nature Switzerland","publisher-place":"Cham","source":"Springer Link","title":"User Acceptance of Urban Air Mobility (UAM) for Passenger Transport: A Choice-Based Conjoint Study","title-short":"User Acceptance of Urban Air Mobility (UAM) for Passenger Transport","author":[{"family":"Lotz","given":"Vivian"},{"family":"Kirste","given":"Ansgar"},{"family":"Lidynia","given":"Chantal"},{"family":"Stumpf","given":"Eike"},{"family":"Ziefle","given":"Martina"}],"editor":[{"family":"Krömker","given":"Heidi"}],"issued":{"date-parts":[["2023"]]}}}],"schema":"https://github.com/citation-style-language/schema/raw/master/csl-citation.json"} </w:instrText>
      </w:r>
      <w:r w:rsidR="00FF417D" w:rsidRPr="00677CE8">
        <w:fldChar w:fldCharType="separate"/>
      </w:r>
      <w:r w:rsidR="00FF417D" w:rsidRPr="00677CE8">
        <w:t>(</w:t>
      </w:r>
      <w:r w:rsidR="00CA12B2" w:rsidRPr="00677CE8">
        <w:t xml:space="preserve">for example, see </w:t>
      </w:r>
      <w:r w:rsidR="00FF417D" w:rsidRPr="00677CE8">
        <w:t>Hwang and Hong, 2023; Lotz et al., 2023</w:t>
      </w:r>
      <w:r w:rsidR="00DC5014" w:rsidRPr="00677CE8">
        <w:t>; Adamidis et al., 2025</w:t>
      </w:r>
      <w:r w:rsidR="00FF417D" w:rsidRPr="00677CE8">
        <w:t>)</w:t>
      </w:r>
      <w:r w:rsidR="00FF417D" w:rsidRPr="00677CE8">
        <w:fldChar w:fldCharType="end"/>
      </w:r>
      <w:r w:rsidR="00FF417D" w:rsidRPr="00677CE8">
        <w:t xml:space="preserve">. Similarly, regarding cost, studies consistently show that higher prices </w:t>
      </w:r>
      <w:r w:rsidR="00431207" w:rsidRPr="00677CE8">
        <w:t>are associated</w:t>
      </w:r>
      <w:r w:rsidR="00FF417D" w:rsidRPr="00677CE8">
        <w:t xml:space="preserve"> with lower projected usage rates</w:t>
      </w:r>
      <w:r w:rsidR="00431207" w:rsidRPr="00677CE8">
        <w:t xml:space="preserve"> </w:t>
      </w:r>
      <w:r w:rsidR="00431207" w:rsidRPr="00677CE8">
        <w:fldChar w:fldCharType="begin"/>
      </w:r>
      <w:r w:rsidR="00431207" w:rsidRPr="00677CE8">
        <w:instrText xml:space="preserve"> ADDIN ZOTERO_ITEM CSL_CITATION {"citationID":"X7GqKDpu","properties":{"formattedCitation":"(Al Haddad et al., 2020; M. Fu et al., 2019; Hwang &amp; Hong, 2023; Jang et al., 2025; Karimi et al., 2024; Lotz et al., 2023)","plainCitation":"(Al Haddad et al., 2020; M. Fu et al., 2019; Hwang &amp; Hong, 2023; Jang et al., 2025; Karimi et al., 2024; Lotz et al., 2023)","dontUpdate":true,"noteIndex":0},"citationItems":[{"id":484,"uris":["http://zotero.org/groups/6194892/items/ZS2ZU8K2"],"itemData":{"id":484,"type":"article-journal","abstract":"Technological advances have recently led to the development of urban air mobility (UAM), an alternative transportation mode with several concepts including vehicles operated by on-demand fully-automated vertical take-off and landing aircraft (VTOL) for intra-city passenger transportation. However, despite a growing interest in UAM, understanding users’ perceptions to it remains limited. This research aims to identify and quantify the factors affecting the adoption and use of UAM, based on relevant tools from the literature, such as recurring factors in studies on aerial vehicle concepts, ground autonomous vehicles, but also acceptance models, such as the Technology Acceptance Model by Davis et al. (1989). A stated-preference survey was developed to assess the perception of users in terms of adoption time horizon, including options such as the first six years of the service’s implementation, “unsure”, and “never”. The obtained results were evaluated using exploratory factor analyses, and the specification and estimation of suitable discrete choice models, multinomial logit models (MNLs) and ordered logit models (OLMs), with adoption time horizon as dependent variable. Findings revealed the importance of safety and trust, affinity to automation, data concerns, social attitude, and socio-demographics for adoption. Factors, such as the value of time savings, the perception of automation costs, and service reliability, were also found to be highly influential. There was also an indication that skeptical respondents, i.e. answering “unsure”, had a behavior similar to late and non-adopters, i.e. adoption time horizon higher than six years or answering “never”. The summarized results were represented in an extended Technology Acceptance Model for urban air mobility, and provided insights for policymakers and industrial stakeholders.","container-title":"Transportation Research Part A: Policy and Practice","DOI":"10.1016/j.tra.2019.12.020","ISSN":"0965-8564","page":"696-712","source":"ScienceDirect","title":"Factors Affecting the Adoption and Use of Urban Air Mobility","volume":"132","author":[{"family":"Al Haddad","given":"Christelle"},{"family":"Chaniotakis","given":"Emmanouil"},{"family":"Straubinger","given":"Anna"},{"family":"Plötner","given":"Kay"},{"family":"Antoniou","given":"Constantinos"}],"issued":{"date-parts":[["2020",2,1]]}}},{"id":482,"uris":["http://zotero.org/groups/6194892/items/97M5RJ6T"],"itemData":{"id":482,"type":"article-journal","abstract":"Urban Air Mobility (UAM) is a recent mobility concept with the potential to reduce travel time and change travel patterns. When evaluating the introduction of UAM, understanding the potential users’ choice behavior regarding current available urban transportation modes and autonomous transportation services is essential to demand estimation. This preliminary research intends to gain insight into the travel behavior impacts of autonomous transportation modes, especially UAM, by deriving measures for transportation service attributes and identifying characteristics of potential users who might adopt autonomous transportation services, particularly the services of UAM. Thus, a stated preference questionnaire was designed and distributed in Munich metropolitan region. A main mode choice multinomial logit model and several sub-models, based on market segmentation, were estimated regarding four transportation alternatives: private car, public transportation, autonomous taxi, and autonomous flying taxi. The results indicate that travel time, travel cost, and safety may be critical determinants in autonomous transportation mode adoption. The potential consumers may be willing to pay more for using autonomous transportation modes, especially the service of UAM. Among different market segments, younger individuals, as well as older individuals with high household income, are more likely to adopt UAM. In addition, during the market entry stage, potential travelers may favor UAM particularly for performing non-commuting trips.","container-title":"Transportation Research Record","DOI":"10.1177/0361198119843858","ISSN":"0361-1981","issue":"10","language":"en","page":"427-442","publisher":"SAGE Publications Inc","source":"SAGE Journals","title":"Exploring Preferences for Transportation Modes in an Urban Air Mobility Environment: Munich Case Study","volume":"2673","author":[{"family":"Fu","given":"Mengying"},{"family":"Rothfeld","given":"Raoul"},{"family":"Antoniou","given":"Constantinos"}],"issued":{"date-parts":[["2019",10,1]]}}},{"id":488,"uris":["http://zotero.org/groups/6194892/items/JMT46ABB"],"itemData":{"id":488,"type":"article-journal","abstract":"This study analyzed commuters’ intention to use urban air mobility (UAM) and the future demand for UAM based on its service characteristics and the personal characteristics of the potential users. The Seoul Metropolitan Area (SMA) was selected as the study area as it is expected to have the highest demand for UAM in South Korea. Three UAM operation scenarios were set: short-distance intra-city trips, long-distance intra-city trips, and inter-city trips. Five alternatives were assumed for the stated preference (SP) survey: bus, subway, taxi, private car, and UAM. Six alternative-specific variables were selected: access time, waiting time, boarding time, cost, autonomous mode, and the presence of other passengers. An online survey of 300 residents of SMA was conducted with 100 residents for each scenario. The residents were briefed on the modes of transportation and service characteristic of alternatives. The analysis results were as follows: (1) cost and access time significantly influenced the intention to use UAM in all scenarios. However, the effects of waiting time, boarding time, and autonomous driving on intention to use UAM differed based on the scenarios; (2) the individual characteristics of potential users had varying effects on their preference for UAM depending on the scenarios and the means of transportation, which was a counterpart to UAM. (3) The probability of choosing UAM for commuting was expected to be 10–20%, with the highest modal split for long-distance intra-city trips and the lowest modal split for short-distance intra-city trips. Among the six alternative-specific variables, autonomous driving and cost had the most significant effect on the change of the probability for using UAM. The results of this study are expected to be used as basic data for designing an effective strategy for the introduction of UAM in South Korea.","container-title":"Journal of Air Transport Management","DOI":"10.1016/j.jairtraman.2023.102467","ISSN":"0969-6997","source":"ScienceDirect","title":"A Study on the Factors Influencing the Adoption of Urban Air Mobility and the Future Demand: Using the Stated Preference Survey for Three UAM Operational Scenarios in South Korea","URL":"https://www.sciencedirect.com/science/article/pii/S0969699723001102","volume":"112","author":[{"family":"Hwang","given":"Ji-Hyon"},{"family":"Hong","given":"Sungjo"}],"accessed":{"date-parts":[["2023",9,22]]},"issued":{"date-parts":[["2023",9,1]]}}},{"id":1354,"uris":["http://zotero.org/groups/6194892/items/7DNV8AWP"],"itemData":{"id":1354,"type":"article-journal","abstract":"This study examined mode choice preference for airport access given the introduction of Urban Air Mobility (UAM) airport shuttle service and its associations with socioeconomic status and airport usage behavior. We designed the stated preference survey targeting Incheon International Airport in South Korea and collected data from 2604 respondents. We provided six scenarios composed of a combination of experimental attributes (travel time, travel cost, and transfer frequency) for five alternative transport modes (airport train, airport bus, taxi, passenger car, and UAM) to each respondent and asked them to choose one most preferred mode in each scenario. A mixed multinomial logit model was used to consider the underlying characteristics of the collected data. The modeling result confirms that the preference for taking UAM varies by people's socioeconomic status and airport usage behavior. People who have higher incomes, frequently use taxis, and want to arrive at airports quickly before boarding are more likely to take UAM for airport access. The findings imply that UAM may be able to become a kind of taxi service operating in the sky, but its expensive fares may discourage its popularization. The findings extend previous studies of airport-oriented UAM service as one of the first studies to consider airport usage behavior. This study provides policymakers with insight into feasible strategies to make UAM service a practical transportation mode for the public.","container-title":"Journal of Air Transport Management","DOI":"10.1016/j.jairtraman.2024.102719","ISSN":"0969-6997","journalAbbreviation":"Journal of Air Transport Management","page":"102719","source":"ScienceDirect","title":"Urban air mobility for airport access: Mode choice preference associated with socioeconomic status and airport usage behavior","title-short":"Urban air mobility for airport access","volume":"124","author":[{"family":"Jang","given":"Hyeokjun"},{"family":"Kwon","given":"Yeongmin"},{"family":"Jang","given":"Kitae"},{"family":"Kim","given":"Suji"}],"issued":{"date-parts":[["2025",4,1]]}}},{"id":493,"uris":["http://zotero.org/groups/6194892/items/H3TRCYG2"],"itemData":{"id":493,"type":"article-journal","abstract":"Urban air mobility (UAM) is a new mode of transportation which has the potential to curb congestion in urban areas by providing a fast alternative that bypasses surface-level traffic by employing low altitude urban airspace. However, the successful adoption of this innovation among other modes of transportation remains a critical challenge, as public acceptance plays a pivotal role in the uptake of any emerging technology or service. To transcend traditional ground transportation, it is imperative to investigate the factors that drive a transition from current modes, particularly private cars, to the utilization of urban air taxis (UATs). While prior research has explored different aspects of UAM adoption, there is a notable dearth of studies examining the influence of travel satisfaction and attitudes towards travel modes on the preference for UAM. Notably, existing transportation literature has established that both satisfaction and attitudes significantly shape travel behavior. To achieve this, a stated preference survey was conducted in the Tehran metropolitan area, and a multinomial logit model incorporating latent variables was developed to assess the influence of socio-demographic and psychological factors on UAM adoption in hypothetical scenarios with predetermined travel times and costs. The findings highlight the pivotal role of service cost and affordability, with individuals of higher incomes exhibiting a significant inclination toward UAT adoption. The adoption of UAT is significantly higher when the cost is comparable to the existing modes. Moreover, satisfaction components, specifically enjoyment and time-saving benefits, exert a significant influence on UAT preference. Unfavorable perceptions towards private cars and ride-hailing services positively contribute to the likelihood of preferring UAT, with a greater impact observed for negative attitudes towards ride-hailing. The study explicitly underscores the influence of travel satisfaction and attitudes towards conventional modes of transportation on the adoption of innovative alternatives such as air taxis within the context of mode choice scenarios.","container-title":"Transportation Research Part A: Policy and Practice","DOI":"10.1016/j.tra.2023.103885","ISSN":"0965-8564","source":"ScienceDirect","title":"The Role of Travel Satisfaction and Attitudes Toward Travel Modes in the Prospect of Adoption of Urban Air Taxis: Evidence from a Stated Preference Survey in Tehran","URL":"https://www.sciencedirect.com/science/article/pii/S0965856423003051","volume":"179","author":[{"family":"Karimi","given":"Sina"},{"family":"Karami","given":"Hossein"},{"family":"Samadzad","given":"Mahdi"}],"accessed":{"date-parts":[["2024",12,17]]},"issued":{"date-parts":[["2024",1,1]]}}},{"id":558,"uris":["http://zotero.org/groups/6194892/items/GBFUCQFB"],"itemData":{"id":558,"type":"paper-conference","abstract":"Urban air mobility (UAM) has gained increased attention as a promising new solution to tackle issues such as traffic congestion. This study aims to assess users’ perception and usage intentions and identify and weigh success-critical acceptance factors against each other. Further, user-related differences in the underlying decision patterns are analyzed. A mixed-methods approach was employed, including a prior interview study with laypeople and experts (N = 16), calculations of feasible prices via agent-based símulations, and the main survey study (N = 135) – a Choice-Based Conjoint (CBC) with the attributes: environmental impact, costs, placement of take-off and landing stations (vertiports), automation level, and onboard benefits. Results indicated that environmental impact, costs, and vertiport placement were the top three factors influencing user acceptance. The relative importance of these attributes differed, however, depending on the user group. Based on the results, three user segments were identified: automation-skeptical users, environmentally-conscious users, and cost-conscious users. The findings provide valuable insights for UAM providers and policymakers to understand the attitudes and needs of potential users and to design effective strategies for promoting the adoption of UAM.","container-title":"HCI in Mobility, Transport, and Automotive Systems","DOI":"10.1007/978-3-031-35678-0_20","ISBN":"978-3-031-35678-0","language":"en","page":"296-315","publisher":"Springer Nature Switzerland","publisher-place":"Cham","source":"Springer Link","title":"User Acceptance of Urban Air Mobility (UAM) for Passenger Transport: A Choice-Based Conjoint Study","title-short":"User Acceptance of Urban Air Mobility (UAM) for Passenger Transport","author":[{"family":"Lotz","given":"Vivian"},{"family":"Kirste","given":"Ansgar"},{"family":"Lidynia","given":"Chantal"},{"family":"Stumpf","given":"Eike"},{"family":"Ziefle","given":"Martina"}],"editor":[{"family":"Krömker","given":"Heidi"}],"issued":{"date-parts":[["2023"]]}}}],"schema":"https://github.com/citation-style-language/schema/raw/master/csl-citation.json"} </w:instrText>
      </w:r>
      <w:r w:rsidR="00431207" w:rsidRPr="00677CE8">
        <w:fldChar w:fldCharType="separate"/>
      </w:r>
      <w:r w:rsidR="00431207" w:rsidRPr="00677CE8">
        <w:t xml:space="preserve">(Fu et al., 2019; Al Haddad et </w:t>
      </w:r>
      <w:r w:rsidR="00431207" w:rsidRPr="00677CE8">
        <w:lastRenderedPageBreak/>
        <w:t xml:space="preserve">al., 2020; Hwang </w:t>
      </w:r>
      <w:r w:rsidR="00963916" w:rsidRPr="00677CE8">
        <w:t>and</w:t>
      </w:r>
      <w:r w:rsidR="00431207" w:rsidRPr="00677CE8">
        <w:t xml:space="preserve"> Hong, 2023; Lotz et al., 2023)</w:t>
      </w:r>
      <w:r w:rsidR="00431207" w:rsidRPr="00677CE8">
        <w:fldChar w:fldCharType="end"/>
      </w:r>
      <w:r w:rsidR="00CA12B2" w:rsidRPr="00677CE8">
        <w:t xml:space="preserve">. Among these traditional service attributes, almost all earlier studies have considered in-vehicle time and cost, though fewer have considered </w:t>
      </w:r>
      <w:r w:rsidR="005F032A" w:rsidRPr="00677CE8">
        <w:t>waiting</w:t>
      </w:r>
      <w:r w:rsidR="00CA12B2" w:rsidRPr="00677CE8">
        <w:t xml:space="preserve"> times </w:t>
      </w:r>
      <w:r w:rsidR="00AE5316" w:rsidRPr="00677CE8">
        <w:t>and distance to drop-off locations, as ma</w:t>
      </w:r>
      <w:r w:rsidR="00767FAB" w:rsidRPr="00677CE8">
        <w:t>y</w:t>
      </w:r>
      <w:r w:rsidR="00AE5316" w:rsidRPr="00677CE8">
        <w:t xml:space="preserve"> be clearly observed from Table 1.</w:t>
      </w:r>
    </w:p>
    <w:p w14:paraId="392CF384" w14:textId="0239CE5F" w:rsidR="00FF417D" w:rsidRPr="00677CE8" w:rsidRDefault="00AE5316" w:rsidP="00710444">
      <w:pPr>
        <w:spacing w:after="0" w:line="240" w:lineRule="auto"/>
        <w:ind w:firstLine="720"/>
        <w:jc w:val="both"/>
      </w:pPr>
      <w:r w:rsidRPr="00677CE8">
        <w:t xml:space="preserve">Interestingly, as may be observed from Table 1, while traditional travel measures </w:t>
      </w:r>
      <w:r w:rsidR="005F032A">
        <w:t>(including in-vehicle travel time, waiting time, distance to pick-up/drop-off location, and cost)</w:t>
      </w:r>
      <w:r w:rsidRPr="00677CE8">
        <w:t xml:space="preserve"> have been more prevalent in SP experiments of mode choice, the more salient attributes in the UAM context have been more prevalent in UAM adoption intention studies. The first such attribute listed in Table 1 is UAM flight altitude, which, to our knowledge, has not been considered in </w:t>
      </w:r>
      <w:proofErr w:type="gramStart"/>
      <w:r w:rsidRPr="00677CE8">
        <w:t>the literature</w:t>
      </w:r>
      <w:proofErr w:type="gramEnd"/>
      <w:r w:rsidRPr="00677CE8">
        <w:t xml:space="preserve"> until the current study. </w:t>
      </w:r>
      <w:r w:rsidR="00710444" w:rsidRPr="00677CE8">
        <w:t xml:space="preserve">In terms of </w:t>
      </w:r>
      <w:r w:rsidR="00A51A77" w:rsidRPr="00677CE8">
        <w:t xml:space="preserve">UAM </w:t>
      </w:r>
      <w:r w:rsidR="00710444" w:rsidRPr="00677CE8">
        <w:t xml:space="preserve">availability, </w:t>
      </w:r>
      <w:r w:rsidRPr="00677CE8">
        <w:t>a</w:t>
      </w:r>
      <w:r w:rsidR="0047421A" w:rsidRPr="00677CE8">
        <w:t>erial s</w:t>
      </w:r>
      <w:r w:rsidR="00710444" w:rsidRPr="00677CE8">
        <w:t xml:space="preserve">ervices that continue to operate in adverse weather garner increased trust from some potential users </w:t>
      </w:r>
      <w:r w:rsidR="006B1F11" w:rsidRPr="00677CE8">
        <w:fldChar w:fldCharType="begin"/>
      </w:r>
      <w:r w:rsidR="00B7697D" w:rsidRPr="00677CE8">
        <w:instrText xml:space="preserve"> ADDIN ZOTERO_ITEM CSL_CITATION {"citationID":"64w3Qox5","properties":{"unsorted":false,"formattedCitation":"(Kim et al., 2023)","plainCitation":"(Kim et al., 2023)","noteIndex":0},"citationItems":[{"id":568,"uris":["http://zotero.org/groups/6194892/items/2H3QGUJX"],"itemData":{"id":568,"type":"article-journal","abstract":"The purpose of this study is to explore how trust in and the service quality of urban air mobility (UAM) relate to the user acceptance of UAM. We hypothesized that trust directly influences the att...","archive_location":"world","container-title":"International Journal of Human–Computer Interaction","ISSN":"1044-7318","language":"EN","license":"© 2022 Taylor &amp; Francis Group, LLC","publisher":"Taylor &amp; Francis","source":"www.tandfonline.com","title":"Exploring the User Acceptance of Urban Air Mobility: Extending the Technology Acceptance Model with Trust and Service Quality Factors","title-short":"Exploring the User Acceptance of Urban Air Mobility","URL":"https://www.tandfonline.com/doi/abs/10.1080/10447318.2022.2087662","author":[{"family":"Kim","given":"Young Woo"},{"family":"Lim","given":"Cherin"},{"family":"Ji","given":"Yong Gu"}],"accessed":{"date-parts":[["2025",10,1]]},"issued":{"date-parts":[["2023",8,27]]}}}],"schema":"https://github.com/citation-style-language/schema/raw/master/csl-citation.json"} </w:instrText>
      </w:r>
      <w:r w:rsidR="006B1F11" w:rsidRPr="00677CE8">
        <w:fldChar w:fldCharType="separate"/>
      </w:r>
      <w:r w:rsidR="006B1F11" w:rsidRPr="00677CE8">
        <w:t>(Kim et al., 2023)</w:t>
      </w:r>
      <w:r w:rsidR="006B1F11" w:rsidRPr="00677CE8">
        <w:fldChar w:fldCharType="end"/>
      </w:r>
      <w:r w:rsidR="006B1F11" w:rsidRPr="00677CE8">
        <w:t xml:space="preserve">, </w:t>
      </w:r>
      <w:r w:rsidR="00710444" w:rsidRPr="00677CE8">
        <w:t xml:space="preserve">while other individuals are less willing to fly in a UAM vehicle in rainy or inclement conditions </w:t>
      </w:r>
      <w:r w:rsidR="00710444" w:rsidRPr="00677CE8">
        <w:fldChar w:fldCharType="begin"/>
      </w:r>
      <w:r w:rsidR="00B7697D" w:rsidRPr="00677CE8">
        <w:instrText xml:space="preserve"> ADDIN ZOTERO_ITEM CSL_CITATION {"citationID":"oA35yEr1","properties":{"formattedCitation":"(Ragbir et al., 2020)","plainCitation":"(Ragbir et al., 2020)","dontUpdate":true,"noteIndex":0},"citationItems":[{"id":582,"uris":["http://zotero.org/groups/6194892/items/SSTJ2SKT"],"itemData":{"id":582,"type":"article-journal","abstract":"AbstractBackground: Many studies have investigated passengersâ€™ willingness to fly (WTF) or ride in autonomous aircrafts and vehicles. With the emergence of urban air mobility, it is important to consider consumer perceptions of autonomous air taxis and passengersâ€™ willingness to fly in various conditions. Therefore, the purpose of this study was to determine what external factors may influence consumersâ€™ willingness to fly on autonomous air taxis in various weather, time conditions, and geographical locations. Methods: Across two studies, 782 participants were presented with a definition of autonomous air taxis, and then, a hypothetical scenario involving an air taxi that included four variables: rain versus no rain (Weather), 5-minute flight versus 30-minute flight (Time), over land or water (Terrain), and over urban or rural terrain (Population Density). Results: The data from the study suggest that both American and Indian passengers were more willing to fly in good weather conditions versus rainy weather, over land versus over water, and on short flights versus longer flights. Conclusions: As urban air mobility becomes more well-known, it is important to understand consumer opinions and educate them on emerging technology. This in turn can aid industries in developing marketing strategies to help increase awareness of new technologies in the future.","container-title":"The Collegiate Aviation Review International","DOI":"10.22488/okstate.20.100205","ISSN":"1523-5955","issue":"1","language":"en","license":"Copyright (c) 2020 The Collegiate Aviation Review International","source":"ojs.library.okstate.edu","title":"How Weather, Distance, Flight Time, and Geography Affect Consumer Willingness to Fly in Autonomous Air Taxis","URL":"https://ojs.library.okstate.edu/osu/index.php/CARI/article/view/7962","volume":"38","author":[{"family":"Ragbir","given":"Nadine K."},{"family":"Rice","given":"Stephen"},{"family":"Winter","given":"Scott R."},{"family":"Choy","given":"Elaine C."},{"family":"Milner","given":"Mattie N."}],"accessed":{"date-parts":[["2025",10,1]]},"issued":{"date-parts":[["2020",2,18]]}}}],"schema":"https://github.com/citation-style-language/schema/raw/master/csl-citation.json"} </w:instrText>
      </w:r>
      <w:r w:rsidR="00710444" w:rsidRPr="00677CE8">
        <w:fldChar w:fldCharType="separate"/>
      </w:r>
      <w:r w:rsidR="00561EC0" w:rsidRPr="00677CE8">
        <w:t>(Ragbir et al., 2020)</w:t>
      </w:r>
      <w:r w:rsidR="00710444" w:rsidRPr="00677CE8">
        <w:fldChar w:fldCharType="end"/>
      </w:r>
      <w:r w:rsidR="00710444" w:rsidRPr="00677CE8">
        <w:t>.</w:t>
      </w:r>
      <w:r w:rsidR="00B7697D" w:rsidRPr="00677CE8">
        <w:t xml:space="preserve"> In addition, guaranteeing a GB backup option when UAM services are unavailable due to weather has been shown to increase adoption propensity </w:t>
      </w:r>
      <w:r w:rsidR="00B7697D" w:rsidRPr="00677CE8">
        <w:fldChar w:fldCharType="begin"/>
      </w:r>
      <w:r w:rsidR="00B7697D" w:rsidRPr="00677CE8">
        <w:instrText xml:space="preserve"> ADDIN ZOTERO_ITEM CSL_CITATION {"citationID":"WLFLPT56","properties":{"unsorted":false,"formattedCitation":"(Boddupalli et al., 2024)","plainCitation":"(Boddupalli et al., 2024)","noteIndex":0},"citationItems":[{"id":1351,"uris":["http://zotero.org/groups/6194892/items/VKQN9M68"],"itemData":{"id":1351,"type":"article-journal","abstract":"In this study, a stated choice experiment was conducted to better understand individuals’ preferences for an air taxi commute service. Random taste parameter models with panel effects were used to model the choice among: (1) traditional auto, (2) transit, and (3) air taxi. We find that individuals who are male and are frequent ridesharing users are more likely to select the air taxi. A non-trader analysis of individuals who always selected the same mode across our eight stated choice scenarios showed that air taxi preferences are heterogeneous and polarized, with 14 percent always selecting air taxi and 14 percent never selecting air taxi. Among the traders, significant variation across individuals’ value of time (VOT) was observed. Results based on a negative lognormal distribution show the median in-vehicle VOTs for the air taxi mode was about 25 USD/hour, but 10 percent had VOTs higher than 64 USD/hour. Our results highlight the need for future studies of potential market demand for eVTOL aircraft to incorporate the percentage of the population who will likely never consider using an air taxi, as well as the distribution of VOTs for those who will consider using this new mode.","container-title":"Transportation Research Part A: Policy and Practice","DOI":"10.1016/j.tra.2024.104000","ISSN":"0965-8564","journalAbbreviation":"Transportation Research Part A: Policy and Practice","page":"104000","source":"ScienceDirect","title":"Mode choice modeling for an electric vertical takeoff and landing (eVTOL) air taxi commuting service","volume":"181","author":[{"family":"Boddupalli","given":"Sreekar-Shashank"},{"family":"Garrow","given":"Laurie A."},{"family":"German","given":"Brian J."},{"family":"Newman","given":"Jeffrey P."}],"issued":{"date-parts":[["2024",3,1]]}}}],"schema":"https://github.com/citation-style-language/schema/raw/master/csl-citation.json"} </w:instrText>
      </w:r>
      <w:r w:rsidR="00B7697D" w:rsidRPr="00677CE8">
        <w:fldChar w:fldCharType="separate"/>
      </w:r>
      <w:r w:rsidR="00B7697D" w:rsidRPr="00677CE8">
        <w:t>(Boddupalli et al., 2024)</w:t>
      </w:r>
      <w:r w:rsidR="00B7697D" w:rsidRPr="00677CE8">
        <w:fldChar w:fldCharType="end"/>
      </w:r>
      <w:r w:rsidR="00B7697D" w:rsidRPr="00677CE8">
        <w:t>.</w:t>
      </w:r>
      <w:r w:rsidR="00710444" w:rsidRPr="00677CE8">
        <w:t xml:space="preserve"> </w:t>
      </w:r>
      <w:r w:rsidR="00FD34FC" w:rsidRPr="00677CE8">
        <w:t>Much of the existing literature on the next attribute, n</w:t>
      </w:r>
      <w:r w:rsidR="00FF417D" w:rsidRPr="00677CE8">
        <w:t>oise</w:t>
      </w:r>
      <w:r w:rsidR="00D2250B" w:rsidRPr="00677CE8">
        <w:t xml:space="preserve"> level</w:t>
      </w:r>
      <w:r w:rsidR="00FD34FC" w:rsidRPr="00677CE8">
        <w:t>,</w:t>
      </w:r>
      <w:r w:rsidR="00FF417D" w:rsidRPr="00677CE8">
        <w:t xml:space="preserve"> has focused on community-level perceptions of UAM-related noise, finding that higher noise levels and longer</w:t>
      </w:r>
      <w:r w:rsidR="00557875" w:rsidRPr="00677CE8">
        <w:t xml:space="preserve"> noise</w:t>
      </w:r>
      <w:r w:rsidR="00FF417D" w:rsidRPr="00677CE8">
        <w:t xml:space="preserve"> durations increase annoyance </w:t>
      </w:r>
      <w:r w:rsidR="00FF417D" w:rsidRPr="00677CE8">
        <w:fldChar w:fldCharType="begin"/>
      </w:r>
      <w:r w:rsidR="00B7697D" w:rsidRPr="00677CE8">
        <w:instrText xml:space="preserve"> ADDIN ZOTERO_ITEM CSL_CITATION {"citationID":"AbWq3ZG5","properties":{"formattedCitation":"(Connors, 2019; Mostofi et al., 2024; Yedavalli &amp; Mooberry, 2019)","plainCitation":"(Connors, 2019; Mostofi et al., 2024; Yedavalli &amp; Mooberry, 2019)","dontUpdate":true,"noteIndex":0},"citationItems":[{"id":1357,"uris":["http://zotero.org/groups/6194892/items/MY6V2L4Q"],"itemData":{"id":1357,"type":"report","abstract":"Noise has been identified as a major challenge to community acceptance of Urban Air Mobility Systems. The purpose of this paper is to assist designers, developers, and implementers in understanding the various factorsâ€“from the noise source itself to the conditions of the communityâ€“that influence how the community is likely to respond to the introduction of a new noise source. Particular consideration is given to the role of non-acoustical factors and suggestions are offered as to how future research could help advance the understanding of community acceptance of Urban Air Mobility and other emergent vehicle systems.","note":"NTRS Author Affiliations: NASA Ames Research Center\nNTRS Document ID: 20190032256\nNTRS Research Center: Ames Research Center (ARC)","number":"ARC-E-DAA-TN70489","source":"NASA NTRS","title":"Factors that Influence Community’s Acceptance of Noise: An Introduction for Urban Air Mobility","title-short":"Factors that Influence Community’s Acceptance of Noise","URL":"https://ntrs.nasa.gov/citations/20190032256","author":[{"family":"Connors","given":"Mary M."}],"accessed":{"date-parts":[["2026",2,13]]},"issued":{"date-parts":[["2019",7,1]]}}},{"id":1339,"uris":["http://zotero.org/groups/6194892/items/LX4YIDQF"],"itemData":{"id":1339,"type":"article-journal","abstract":"Urban air mobility (UAM) holds great promise as an expansion of the transportation system in cities. Despite the progress in UAM technology, there remains significant uncertainty surrounding how the public will accept and react to these mobility services. This study employed a structural equation model (SEM) to construct a comprehensive framework that delves into the factors influencing public attitudes toward air taxis. Data for the model is derived from a sequential exploratory mixed methods approach. The initial phase involved identifying acceptance factors towards air taxis through five focus groups, laying the foundation for the subsequent structural model development. A survey involving 819 participants was conducted in Germany in the next phase. The latent variables in this model are the expected benefits, expected risks, and the personal level of technophilia. The results show that rising stress levels through new air traffic flows, noise, and blocking sky views affect negative attitudes toward air taxis in public spaces. In contrast, the user expectation of avoiding traffic jams and achieving time savings contributes positively. Additionally, people who are more technophilic tend to have a more positive attitude toward air taxis. However, the perceived negative consequences of air taxis exert more substantial and stronger influences on public attitude than the expected benefits. By introducing the acceptance factors and relevant dimensions of a public attitude, this study provides insights to shape the design of UAM in accordance with the common good.","container-title":"Transportation Research Interdisciplinary Perspectives","DOI":"10.1016/j.trip.2024.101045","ISSN":"2590-1982","journalAbbreviation":"Transportation Research Interdisciplinary Perspectives","page":"101045","source":"ScienceDirect","title":"Modelling public attitude towards air taxis in Germany","volume":"24","author":[{"family":"Mostofi","given":"Hamid"},{"family":"Biehle","given":"Tobias"},{"family":"Kellermann","given":"Robin"},{"family":"Dienel","given":"Hans-Liudger"}],"issued":{"date-parts":[["2024",3,1]]}}},{"id":1338,"uris":["http://zotero.org/groups/6194892/items/J3Z69VX5"],"itemData":{"id":1338,"type":"report","DOI":"urban","publisher":"Airbus","title":"An Assesment of Public Perception of Urban Air Mobility (UAM)","URL":"https://www.airbus.com/sites/g/files/jlcbta136/files/2022-07/Airbus-UTM-public-perception-study%20-urban-air-mobility.pdf","author":[{"family":"Yedavalli","given":"Pavan"},{"family":"Mooberry","given":"Jessie"}],"issued":{"date-parts":[["2019"]]}}}],"schema":"https://github.com/citation-style-language/schema/raw/master/csl-citation.json"} </w:instrText>
      </w:r>
      <w:r w:rsidR="00FF417D" w:rsidRPr="00677CE8">
        <w:fldChar w:fldCharType="separate"/>
      </w:r>
      <w:r w:rsidR="00FF417D" w:rsidRPr="00677CE8">
        <w:t>(Connors, 2019;</w:t>
      </w:r>
      <w:r w:rsidR="00DC5014" w:rsidRPr="00677CE8">
        <w:t xml:space="preserve"> Yedavalli and Mooberry, 2019;</w:t>
      </w:r>
      <w:r w:rsidR="00FF417D" w:rsidRPr="00677CE8">
        <w:t xml:space="preserve"> Mostofi et al., 2024</w:t>
      </w:r>
      <w:r w:rsidR="00DC5014" w:rsidRPr="00677CE8">
        <w:t>)</w:t>
      </w:r>
      <w:r w:rsidR="00FF417D" w:rsidRPr="00677CE8">
        <w:fldChar w:fldCharType="end"/>
      </w:r>
      <w:r w:rsidR="00FF417D" w:rsidRPr="00677CE8">
        <w:t xml:space="preserve">. In contrast, </w:t>
      </w:r>
      <w:r w:rsidR="00FD34FC" w:rsidRPr="00677CE8">
        <w:t xml:space="preserve">we are not aware of any adoption intention or SP study that </w:t>
      </w:r>
      <w:r w:rsidR="00FF417D" w:rsidRPr="00677CE8">
        <w:t>consider</w:t>
      </w:r>
      <w:r w:rsidR="00FD34FC" w:rsidRPr="00677CE8">
        <w:t>s</w:t>
      </w:r>
      <w:r w:rsidR="00FF417D" w:rsidRPr="00677CE8">
        <w:t xml:space="preserve"> noise as a service attribute within </w:t>
      </w:r>
      <w:r w:rsidR="00557875" w:rsidRPr="00677CE8">
        <w:t xml:space="preserve">individual-level </w:t>
      </w:r>
      <w:r w:rsidR="00FF417D" w:rsidRPr="00677CE8">
        <w:t xml:space="preserve">models, although </w:t>
      </w:r>
      <w:r w:rsidR="00557875" w:rsidRPr="00677CE8">
        <w:t xml:space="preserve">aggregate-level </w:t>
      </w:r>
      <w:r w:rsidR="00FF417D" w:rsidRPr="00677CE8">
        <w:t xml:space="preserve">market research indicates that higher in-vehicle noise levels reduce the overall appeal of UAM services </w:t>
      </w:r>
      <w:r w:rsidR="00FF417D" w:rsidRPr="00677CE8">
        <w:fldChar w:fldCharType="begin"/>
      </w:r>
      <w:r w:rsidR="00B7697D" w:rsidRPr="00677CE8">
        <w:instrText xml:space="preserve"> ADDIN ZOTERO_ITEM CSL_CITATION {"citationID":"Ht4wBXtu","properties":{"formattedCitation":"(Reimer et al., 2025; Stolz et al., 2021)","plainCitation":"(Reimer et al., 2025; Stolz et al., 2021)","dontUpdate":true,"noteIndex":0},"citationItems":[{"id":1347,"uris":["http://zotero.org/groups/6194892/items/DVFEA7FG"],"itemData":{"id":1347,"type":"article-journal","abstract":"Design Thinking is essential for user-centered cabin design concepts in future transportation vehicles, as it facilitates the identification of user needs, creative problem-solving and iterative development to ensure optimal user experiences and satisfaction. In the exploration of future air taxi cabins, user acceptance is widely recognized as a critical factor. To ensure a high level of acceptance for such concepts, the direct involvement of potential user groups in the early design process through user-centered design approaches, offers a highly effective solution to provide a time efficient and requirement-based concept development process for novel transportation concepts. In the course of developing digital and future aviation cabin concepts at the German Aerospace Center, the exploration of user-centered and acceptance-enhancing methods plays a central role. The challenge here is to identify the flexible range of requirements of different user groups for a previously non-existent transport concept, to translate these into a concept and to generate a rapid evaluation process by the user groups. Therefore, this paper aims to demonstrate the application of the user-centered Design Thinking method in the design of cabin for future air taxis. Based on the Design Thinking approach and its iterative process steps, the direct implementation is described on the combined airport shuttle and intracity UAM concept. The main focus is on the identification of key user requirements by means of a focus group study and the evaluation of initial cabin designs and key ideas by means of an online survey. Consequently, the creative design process of a digital prototype will be presented. In addition to an increased awareness and acceptance among the population towards a novel mode of transportation, the application of the Design Thinking methodology offers a flexible and user centered approach for further testing and simulation scenarios.","container-title":"CEAS Aeronautical Journal","DOI":"10.1007/s13272-025-00821-6","ISSN":"1869-5590","issue":"3","journalAbbreviation":"CEAS Aeronaut J","language":"en","page":"957-972","source":"Springer Link","title":"Applied Design Thinking in urban air mobility: creating the airtaxi cabin design of the future from a user perspective","title-short":"Applied Design Thinking in urban air mobility","volume":"16","author":[{"family":"Reimer","given":"F."},{"family":"Herzig","given":"J."},{"family":"Winkler","given":"L."},{"family":"Biedermann","given":"J."},{"family":"Meller","given":"F."},{"family":"Nagel","given":"B."}],"issued":{"date-parts":[["2025",7,1]]}}},{"id":1349,"uris":["http://zotero.org/groups/6194892/items/UW4PNCYI"],"itemData":{"id":1349,"type":"paper-conference","abstract":"Various manufacturers express the vision of using air taxis for passenger transport in cities within a few years. However, current research shows that the society is still sceptical about air taxis. There are numerous factors influencing acceptance and willingness to use air taxis. One of them is a pleasant and comfortable cabin design. Within a user-centered-approach, this research investigates, what preferences people have on the interior design of future air taxis. For this purpose, a focus group study was conducted within the project HorizonUAM, including different demographic groups. On the one hand, a differentiation was made based on age, with a group of 18-39- year-olds and another of 40-65-year-olds participating. On the other hand, a distinction was made according to residential location in two additional groups. One group entailed small- and medium-town residents and the other group entailed metropolitans. In a first step, the participants were asked to name their requirements on vehicles and its cabin. In a second step, they were asked to develop a design concept for an air taxi cabin according to their preferences. The findings indicate, that the notion of air taxis meets the participants’ basic transportation requirements like flexibility and short travel times. In terms of cabin design, aspects that are significant to all participants have been discovered. These include noise, windows and room temperature. However, in the design concepts of the individual groups the main emphasis differs. The group of the 18-39-year-olds emphasizes modern technologies and eco-friendliness. The 40-65-year-olds prefer a modular cabin-set-up. Residents from small- and medium-towns favor a cabin design, which includes different groups of people such as families or cyclists. Finally, metropolitans put their focus on individuality. Consequently, future cabin design concepts of air taxis should consider the identified preferences and requirements.","container-title":"2021 IEEE/AIAA 40th Digital Avionics Systems Conference (DASC)","DOI":"10.1109/DASC52595.2021.9594438","event-title":"2021 IEEE/AIAA 40th Digital Avionics Systems Conference (DASC)","ISSN":"2155-7209","note":"ISSN: 2155-7209","page":"1-7","source":"IEEE Xplore","title":"A User-Centered Cabin Design Approach to Investigate Peoples Preferences on the Interior Design of Future Air Taxis","URL":"https://ieeexplore.ieee.org/abstract/document/9594438","author":[{"family":"Stolz","given":"Maria"},{"family":"Reimer","given":"Fabian"},{"family":"Moerland-Masic","given":"Ivana"},{"family":"Hardie","given":"Tom"}],"accessed":{"date-parts":[["2026",2,12]]},"issued":{"date-parts":[["2021",10]]}}}],"schema":"https://github.com/citation-style-language/schema/raw/master/csl-citation.json"} </w:instrText>
      </w:r>
      <w:r w:rsidR="00FF417D" w:rsidRPr="00677CE8">
        <w:fldChar w:fldCharType="separate"/>
      </w:r>
      <w:r w:rsidR="00561EC0" w:rsidRPr="00677CE8">
        <w:t>(</w:t>
      </w:r>
      <w:r w:rsidR="00DC5014" w:rsidRPr="00677CE8">
        <w:t xml:space="preserve">Stolz et al., 2021; </w:t>
      </w:r>
      <w:r w:rsidR="00561EC0" w:rsidRPr="00677CE8">
        <w:t>Reimer et al., 2025</w:t>
      </w:r>
      <w:r w:rsidR="00DC5014" w:rsidRPr="00677CE8">
        <w:t>)</w:t>
      </w:r>
      <w:r w:rsidR="00FF417D" w:rsidRPr="00677CE8">
        <w:fldChar w:fldCharType="end"/>
      </w:r>
      <w:r w:rsidR="00FF417D" w:rsidRPr="00677CE8">
        <w:t>.</w:t>
      </w:r>
      <w:r w:rsidR="00FD34FC" w:rsidRPr="00677CE8">
        <w:t xml:space="preserve"> </w:t>
      </w:r>
      <w:r w:rsidR="00557875" w:rsidRPr="00677CE8">
        <w:t>Conversely, a good</w:t>
      </w:r>
      <w:r w:rsidR="00767FAB" w:rsidRPr="00677CE8">
        <w:t xml:space="preserve"> UAM</w:t>
      </w:r>
      <w:r w:rsidR="00557875" w:rsidRPr="00677CE8">
        <w:t xml:space="preserve"> in</w:t>
      </w:r>
      <w:r w:rsidR="00621405" w:rsidRPr="00677CE8">
        <w:t>-</w:t>
      </w:r>
      <w:r w:rsidR="00557875" w:rsidRPr="00677CE8">
        <w:t>flight experience can encourage UAM usage</w:t>
      </w:r>
      <w:r w:rsidR="00FF417D" w:rsidRPr="00677CE8">
        <w:t>; previous studies correlate comfortable seating, wi-fi</w:t>
      </w:r>
      <w:r w:rsidR="00621405" w:rsidRPr="00677CE8">
        <w:t xml:space="preserve"> connectivity</w:t>
      </w:r>
      <w:r w:rsidR="00FF417D" w:rsidRPr="00677CE8">
        <w:t xml:space="preserve">, and space for luggage with favorable user perceptions and, in some studies, </w:t>
      </w:r>
      <w:r w:rsidR="00557875" w:rsidRPr="00677CE8">
        <w:t xml:space="preserve">these in-flight attributes have been shown to increase UAM adoption propensity </w:t>
      </w:r>
      <w:r w:rsidR="00FF417D" w:rsidRPr="00677CE8">
        <w:fldChar w:fldCharType="begin"/>
      </w:r>
      <w:r w:rsidR="00B7697D" w:rsidRPr="00677CE8">
        <w:instrText xml:space="preserve"> ADDIN ZOTERO_ITEM CSL_CITATION {"citationID":"xWj89v4m","properties":{"unsorted":false,"formattedCitation":"(Johnson et al., 2022; Kim et al., 2023; Lotz et al., 2023)","plainCitation":"(Johnson et al., 2022; Kim et al., 2023; Lotz et al., 2023)","noteIndex":0},"citationItems":[{"id":486,"uris":["http://zotero.org/groups/6194892/items/URXXIJNY"],"itemData":{"id":486,"type":"article-journal","container-title":"The International Journal of Aerospace Psychology","DOI":"10.1080/24721840.2022.2100394","ISSN":"2472-1840","issue":"4","note":"_eprint: https://www.tandfonline.com/doi/pdf/10.1080/24721840.2022.2100394","page":"240-253","publisher":"Routledge","source":"Taylor and Francis+NEJM","title":"Technology Adoption and Acceptance of Urban Air Mobility Systems: Identifying Public Perceptions and Integration Factors","volume":"32","author":[{"family":"Johnson","given":"Ricole A."},{"family":"Miller","given":"Erika E."},{"family":"Conrad","given":"Steven"}],"issued":{"date-parts":[["2022",10,2]]}}},{"id":568,"uris":["http://zotero.org/groups/6194892/items/2H3QGUJX"],"itemData":{"id":568,"type":"article-journal","abstract":"The purpose of this study is to explore how trust in and the service quality of urban air mobility (UAM) relate to the user acceptance of UAM. We hypothesized that trust directly influences the att...","archive_location":"world","container-title":"International Journal of Human–Computer Interaction","ISSN":"1044-7318","language":"EN","license":"© 2022 Taylor &amp; Francis Group, LLC","publisher":"Taylor &amp; Francis","source":"www.tandfonline.com","title":"Exploring the User Acceptance of Urban Air Mobility: Extending the Technology Acceptance Model with Trust and Service Quality Factors","title-short":"Exploring the User Acceptance of Urban Air Mobility","URL":"https://www.tandfonline.com/doi/abs/10.1080/10447318.2022.2087662","author":[{"family":"Kim","given":"Young Woo"},{"family":"Lim","given":"Cherin"},{"family":"Ji","given":"Yong Gu"}],"accessed":{"date-parts":[["2025",10,1]]},"issued":{"date-parts":[["2023",8,27]]}}},{"id":558,"uris":["http://zotero.org/groups/6194892/items/GBFUCQFB"],"itemData":{"id":558,"type":"paper-conference","abstract":"Urban air mobility (UAM) has gained increased attention as a promising new solution to tackle issues such as traffic congestion. This study aims to assess users’ perception and usage intentions and identify and weigh success-critical acceptance factors against each other. Further, user-related differences in the underlying decision patterns are analyzed. A mixed-methods approach was employed, including a prior interview study with laypeople and experts (N = 16), calculations of feasible prices via agent-based símulations, and the main survey study (N = 135) – a Choice-Based Conjoint (CBC) with the attributes: environmental impact, costs, placement of take-off and landing stations (vertiports), automation level, and onboard benefits. Results indicated that environmental impact, costs, and vertiport placement were the top three factors influencing user acceptance. The relative importance of these attributes differed, however, depending on the user group. Based on the results, three user segments were identified: automation-skeptical users, environmentally-conscious users, and cost-conscious users. The findings provide valuable insights for UAM providers and policymakers to understand the attitudes and needs of potential users and to design effective strategies for promoting the adoption of UAM.","container-title":"HCI in Mobility, Transport, and Automotive Systems","DOI":"10.1007/978-3-031-35678-0_20","ISBN":"978-3-031-35678-0","language":"en","page":"296-315","publisher":"Springer Nature Switzerland","publisher-place":"Cham","source":"Springer Link","title":"User Acceptance of Urban Air Mobility (UAM) for Passenger Transport: A Choice-Based Conjoint Study","title-short":"User Acceptance of Urban Air Mobility (UAM) for Passenger Transport","author":[{"family":"Lotz","given":"Vivian"},{"family":"Kirste","given":"Ansgar"},{"family":"Lidynia","given":"Chantal"},{"family":"Stumpf","given":"Eike"},{"family":"Ziefle","given":"Martina"}],"editor":[{"family":"Krömker","given":"Heidi"}],"issued":{"date-parts":[["2023"]]}}}],"schema":"https://github.com/citation-style-language/schema/raw/master/csl-citation.json"} </w:instrText>
      </w:r>
      <w:r w:rsidR="00FF417D" w:rsidRPr="00677CE8">
        <w:fldChar w:fldCharType="separate"/>
      </w:r>
      <w:r w:rsidR="00D2250B" w:rsidRPr="00677CE8">
        <w:t>(Johnson et al., 2022; Kim et al., 2023; Lotz et al., 2023)</w:t>
      </w:r>
      <w:r w:rsidR="00FF417D" w:rsidRPr="00677CE8">
        <w:fldChar w:fldCharType="end"/>
      </w:r>
      <w:r w:rsidR="00FF417D" w:rsidRPr="00677CE8">
        <w:t xml:space="preserve">. </w:t>
      </w:r>
      <w:r w:rsidR="007E7AED" w:rsidRPr="00677CE8">
        <w:t>Sharing a cabin</w:t>
      </w:r>
      <w:r w:rsidR="00FD34FC" w:rsidRPr="00677CE8">
        <w:t xml:space="preserve"> with other passengers, another attribute of UAM in-flight experience, </w:t>
      </w:r>
      <w:r w:rsidR="00FF417D" w:rsidRPr="00677CE8">
        <w:t>is not always</w:t>
      </w:r>
      <w:r w:rsidR="007E7AED" w:rsidRPr="00677CE8">
        <w:t xml:space="preserve"> a</w:t>
      </w:r>
      <w:r w:rsidR="00FF417D" w:rsidRPr="00677CE8">
        <w:t xml:space="preserve"> deterrent </w:t>
      </w:r>
      <w:r w:rsidR="00FF417D" w:rsidRPr="00677CE8">
        <w:fldChar w:fldCharType="begin"/>
      </w:r>
      <w:r w:rsidR="00B7697D" w:rsidRPr="00677CE8">
        <w:instrText xml:space="preserve"> ADDIN ZOTERO_ITEM CSL_CITATION {"citationID":"4Ms8uneC","properties":{"formattedCitation":"(Hwang &amp; Hong, 2023)","plainCitation":"(Hwang &amp; Hong, 2023)","dontUpdate":true,"noteIndex":0},"citationItems":[{"id":488,"uris":["http://zotero.org/groups/6194892/items/JMT46ABB"],"itemData":{"id":488,"type":"article-journal","abstract":"This study analyzed commuters’ intention to use urban air mobility (UAM) and the future demand for UAM based on its service characteristics and the personal characteristics of the potential users. The Seoul Metropolitan Area (SMA) was selected as the study area as it is expected to have the highest demand for UAM in South Korea. Three UAM operation scenarios were set: short-distance intra-city trips, long-distance intra-city trips, and inter-city trips. Five alternatives were assumed for the stated preference (SP) survey: bus, subway, taxi, private car, and UAM. Six alternative-specific variables were selected: access time, waiting time, boarding time, cost, autonomous mode, and the presence of other passengers. An online survey of 300 residents of SMA was conducted with 100 residents for each scenario. The residents were briefed on the modes of transportation and service characteristic of alternatives. The analysis results were as follows: (1) cost and access time significantly influenced the intention to use UAM in all scenarios. However, the effects of waiting time, boarding time, and autonomous driving on intention to use UAM differed based on the scenarios; (2) the individual characteristics of potential users had varying effects on their preference for UAM depending on the scenarios and the means of transportation, which was a counterpart to UAM. (3) The probability of choosing UAM for commuting was expected to be 10–20%, with the highest modal split for long-distance intra-city trips and the lowest modal split for short-distance intra-city trips. Among the six alternative-specific variables, autonomous driving and cost had the most significant effect on the change of the probability for using UAM. The results of this study are expected to be used as basic data for designing an effective strategy for the introduction of UAM in South Korea.","container-title":"Journal of Air Transport Management","DOI":"10.1016/j.jairtraman.2023.102467","ISSN":"0969-6997","source":"ScienceDirect","title":"A Study on the Factors Influencing the Adoption of Urban Air Mobility and the Future Demand: Using the Stated Preference Survey for Three UAM Operational Scenarios in South Korea","URL":"https://www.sciencedirect.com/science/article/pii/S0969699723001102","volume":"112","author":[{"family":"Hwang","given":"Ji-Hyon"},{"family":"Hong","given":"Sungjo"}],"accessed":{"date-parts":[["2023",9,22]]},"issued":{"date-parts":[["2023",9,1]]}}}],"schema":"https://github.com/citation-style-language/schema/raw/master/csl-citation.json"} </w:instrText>
      </w:r>
      <w:r w:rsidR="00FF417D" w:rsidRPr="00677CE8">
        <w:fldChar w:fldCharType="separate"/>
      </w:r>
      <w:r w:rsidR="00FF417D" w:rsidRPr="00677CE8">
        <w:t>(Hwang and Hong, 2023)</w:t>
      </w:r>
      <w:r w:rsidR="00FF417D" w:rsidRPr="00677CE8">
        <w:fldChar w:fldCharType="end"/>
      </w:r>
      <w:r w:rsidR="00FF417D" w:rsidRPr="00677CE8">
        <w:t xml:space="preserve">, </w:t>
      </w:r>
      <w:r w:rsidR="00557875" w:rsidRPr="00677CE8">
        <w:t>with</w:t>
      </w:r>
      <w:r w:rsidR="00FF417D" w:rsidRPr="00677CE8">
        <w:t xml:space="preserve"> some studies </w:t>
      </w:r>
      <w:r w:rsidR="00557875" w:rsidRPr="00677CE8">
        <w:t xml:space="preserve">finding that </w:t>
      </w:r>
      <w:r w:rsidR="00FF417D" w:rsidRPr="00677CE8">
        <w:t xml:space="preserve">shared services </w:t>
      </w:r>
      <w:r w:rsidR="00557875" w:rsidRPr="00677CE8">
        <w:t xml:space="preserve">are </w:t>
      </w:r>
      <w:r w:rsidR="00FF417D" w:rsidRPr="00677CE8">
        <w:t xml:space="preserve">preferred over private services, </w:t>
      </w:r>
      <w:r w:rsidR="00FD34FC" w:rsidRPr="00677CE8">
        <w:t xml:space="preserve">though whether this is a result of the positive security/safety benefits of being in company in an emerging aerial mode context or whether this is </w:t>
      </w:r>
      <w:r w:rsidR="00FF417D" w:rsidRPr="00677CE8">
        <w:t>due to lower prices</w:t>
      </w:r>
      <w:r w:rsidR="00FD34FC" w:rsidRPr="00677CE8">
        <w:t xml:space="preserve"> from sharing is still an open question</w:t>
      </w:r>
      <w:r w:rsidR="00FF417D" w:rsidRPr="00677CE8">
        <w:t xml:space="preserve"> </w:t>
      </w:r>
      <w:r w:rsidR="00FF417D" w:rsidRPr="00677CE8">
        <w:fldChar w:fldCharType="begin"/>
      </w:r>
      <w:r w:rsidR="00FF417D" w:rsidRPr="00677CE8">
        <w:instrText xml:space="preserve"> ADDIN ZOTERO_ITEM CSL_CITATION {"citationID":"xImboIHn","properties":{"formattedCitation":"(Brunelli et al., 2023; Qu et al., 2024; Riza et al., 2024)","plainCitation":"(Brunelli et al., 2023; Qu et al., 2024; Riza et al., 2024)","noteIndex":0},"citationItems":[{"id":557,"uris":["http://zotero.org/groups/6194892/items/GBHAFU7L"],"itemData":{"id":557,"type":"article-journal","abstract":"Electric vertical take-off and landing vehicles (eVTOL) are expected to be the key drivers for Urban Air Mobility (UAM) scenarios, by satisfying on-demand air travel needs in the short or mid-term. Despite the high number of eVTOL prototypes, nowadays only few studies have focused on UAM travel demand estimation, in particular Airport Shuttle demand estimation. The aim of this work is to use Stated Preference methods to collect data necessary to understand the main features of the potential UAM Airport Shuttle trip demand, also by calibrating some discrete choice models. Data were collected by both on-line surveys and face-to-face interviews, which captured mainly the Italian context. Three different Multinominal Logit models and a Mixed Logit model have been calibrated in order to identify the main variables driving people's choices for Airport Shuttle services. The results show the positive impact of income, air travel frequency and shared ride in increasing the willingness to use Airport Shuttle services. On the other hand, user that still prefers the ground transportation modes to reach the airport, high ratio between the number of cars and the driving licenses per family unit and the lack of experience with autonomous systems (i.e., driving assistance systems) seem to have a negative impact on people intention to use Airport Shuttle services.","container-title":"Transport Policy","DOI":"10.1016/j.tranpol.2023.07.019","ISSN":"0967-070X","journalAbbreviation":"Transport Policy","page":"129-139","source":"ScienceDirect","title":"SP surveys to estimate Airport Shuttle demand in an Urban Air Mobility context","volume":"141","author":[{"family":"Brunelli","given":"Matteo"},{"family":"Ditta","given":"Chiara Caterina"},{"family":"Postorino","given":"Maria Nadia"}],"issued":{"date-parts":[["2023",9,1]]}}},{"id":494,"uris":["http://zotero.org/groups/6194892/items/5FGXS3DU"],"itemData":{"id":494,"type":"article-journal","abstract":"The successful application of new technologies such as remotely piloted aircraft systems, distributed electric propulsion systems, and automatic control systems on electric vertical take-off and landing(eVTOL) aircraft has prompted Urban Air Mobility (UAM) to be mentioned frequently. UAM is a newly raised transport mode of using eVTOL aircraft to transport people and cargo in urban areas, which is thought to share some of the traffic on the ground. One of the prerequisites for UAM to operate on a regular basis is that its demand can support the operating costs, so forecasting UAM demand is necessary. We conduct UAM demand forecasting based on the four-step method, focusing on improving the third-step modal split, and propose a demand forecasting model based on the logit model. The model combines a nested logit (NL) model with a multinomial logit (MNL) model to solve the problem of non-existent UAM sharing rates. We use Chengdu, China as an example, and focus on forecasting the UAM traffic demand in 2030 with the help of the four-step method. The results show that UAM is suitable for shared operation during the early stages. With a fully shared operation, the UAM share rate increases by 0.73% for every kilometer increase in distance. Moreover, UAM is more competitive than other modes for delivery distances exceeding 15 ​km. Finally, using the distributions of the share rate and traffic flow pattern from the simulation, we propose the routes that can be prioritized for UAM operations in Chengdu.","container-title":"Green Energy and Intelligent Transportation","DOI":"10.1016/j.geits.2024.100173","ISSN":"2773-1537","issue":"3","page":"100173","source":"ScienceDirect","title":"A Demand Forecasting Model for Urban Air Mobility in Chengdu, China","volume":"3","author":[{"family":"Qu","given":"Wenqiu"},{"family":"Huang","given":"Jie"},{"family":"Li","given":"Chenglong"},{"family":"Liao","given":"Xiaohan"}],"issued":{"date-parts":[["2024",6,1]]}}},{"id":495,"uris":["http://zotero.org/groups/6194892/items/PQP2C5UL"],"itemData":{"id":495,"type":"article-journal","abstract":"Increasing urbanization has led to rising mobility and infrastructural challenges for cities and surrounding areas. Electrical vertical takeoff and landing aircrafts, also known as air taxis, enable the use of a new dimension, the skyscape. Air taxis provide a local, emission-free transport option and an infrastructure-conserving solution for the public transportation sector. While the technical implementation has already proved itself, user awareness is not yet widespread. Additionally, essential feasibility factors for public use, such as price, have received scant attention. Since user acceptance is necessary for successful implementation, and willingness to pay is another important indicator for future infrastructure planning, this study aims to investigate different urban transport scenarios. Within the framework of the study, societal acceptance, individual intention to use, and willingness to pay were investigated. Data collection took place in the greater Dresden area in Germany, with a final sample of 1,074 participants. The resulting data suggest an overall limited intention to use and societal acceptance. The scenario analysis revealed a “limousine-like” dial-a-ride scenario as a potential successful path to follow, in which a transitional path with initial dial-a-ride services and growing scheduled services over time is regarded as the most probable. Consumers’ willingness to pay was highest for the limousine scenario. Based on this research, governmental authorities and industry stakeholders may consider the findings to develop a human-centered approach for future mobility and ensure successful implementation in the mobility networks of the future.","container-title":"Transportation Research Interdisciplinary Perspectives","DOI":"10.1016/j.trip.2023.101001","ISSN":"2590-1982","page":"101001","source":"ScienceDirect","title":"Will Air Taxis Extend Public Transportation? A Scenario-Based Approach on User Acceptance in Different Urban Settings","volume":"23","author":[{"family":"Riza","given":"Laura"},{"family":"Bruehl","given":"Robert"},{"family":"Fricke","given":"Hartmut"},{"family":"Planing","given":"Patrick"}],"issued":{"date-parts":[["2024",1,1]]}}}],"schema":"https://github.com/citation-style-language/schema/raw/master/csl-citation.json"} </w:instrText>
      </w:r>
      <w:r w:rsidR="00FF417D" w:rsidRPr="00677CE8">
        <w:fldChar w:fldCharType="separate"/>
      </w:r>
      <w:r w:rsidR="00561EC0" w:rsidRPr="00677CE8">
        <w:t>(Brunelli et al., 2023; Qu et al., 2024; Riza et al., 2024)</w:t>
      </w:r>
      <w:r w:rsidR="00FF417D" w:rsidRPr="00677CE8">
        <w:fldChar w:fldCharType="end"/>
      </w:r>
      <w:r w:rsidR="00FF417D" w:rsidRPr="00677CE8">
        <w:t>.</w:t>
      </w:r>
    </w:p>
    <w:p w14:paraId="30B6CD50" w14:textId="50CA15E9" w:rsidR="00EA450F" w:rsidRPr="00677CE8" w:rsidRDefault="00EA450F" w:rsidP="00AC67FD">
      <w:pPr>
        <w:spacing w:after="0" w:line="240" w:lineRule="auto"/>
        <w:ind w:firstLine="720"/>
        <w:jc w:val="both"/>
      </w:pPr>
      <w:r w:rsidRPr="00677CE8">
        <w:t>Moving on to other attributes in Table 1, environmental sustainability ha</w:t>
      </w:r>
      <w:r w:rsidR="00D80FD8" w:rsidRPr="00677CE8">
        <w:t>s</w:t>
      </w:r>
      <w:r w:rsidRPr="00677CE8">
        <w:t xml:space="preserve"> also been shown to influence UAM adoption.</w:t>
      </w:r>
      <w:r w:rsidR="00FD34FC" w:rsidRPr="00677CE8">
        <w:t xml:space="preserve"> P</w:t>
      </w:r>
      <w:r w:rsidR="00D80FD8" w:rsidRPr="00677CE8">
        <w:t xml:space="preserve">revious studies </w:t>
      </w:r>
      <w:r w:rsidRPr="00677CE8">
        <w:t>have found that</w:t>
      </w:r>
      <w:r w:rsidR="00C678C7" w:rsidRPr="00677CE8">
        <w:t xml:space="preserve"> improvements in environmental performance relative to GB modes, such as</w:t>
      </w:r>
      <w:r w:rsidRPr="00677CE8">
        <w:t xml:space="preserve"> lower emissions</w:t>
      </w:r>
      <w:r w:rsidR="00FD34FC" w:rsidRPr="00677CE8">
        <w:t>,</w:t>
      </w:r>
      <w:r w:rsidRPr="00677CE8">
        <w:t xml:space="preserve"> increase </w:t>
      </w:r>
      <w:r w:rsidR="00C678C7" w:rsidRPr="00677CE8">
        <w:t>preferences for UAM</w:t>
      </w:r>
      <w:r w:rsidRPr="00677CE8">
        <w:t xml:space="preserve"> </w:t>
      </w:r>
      <w:r w:rsidRPr="00677CE8">
        <w:fldChar w:fldCharType="begin"/>
      </w:r>
      <w:r w:rsidR="00B7697D" w:rsidRPr="00677CE8">
        <w:instrText xml:space="preserve"> ADDIN ZOTERO_ITEM CSL_CITATION {"citationID":"Ux2yzr8J","properties":{"formattedCitation":"(Karami et al., 2024; Lotz et al., 2023)","plainCitation":"(Karami et al., 2024; Lotz et al., 2023)","dontUpdate":true,"noteIndex":0},"citationItems":[{"id":492,"uris":["http://zotero.org/groups/6194892/items/ANB97BVJ"],"itemData":{"id":492,"type":"article-journal","abstract":"The integration of shared, autonomous, electric, and on-demand mobility services introduces urban air mobility (UAM) as an emerging intra-city transportation service operated by vertical take-off and landing aircraft. Despite the potential benefits of UAM limited literature exists on the end user's perception and the challenges to its societal acceptance, especially in developing economies. This paper addresses this gap in the literature by investigating the factors influencing UAM usage intention in Tehran, a developing country capital. Within the framework of the extended technology acceptance model, the study collected 828 valid questionnaires through a face-to-face survey. Structural equation modeling is employed to highlight the effects of a wide range of factors associated with individual differences, system characteristics, and social influence. The findings indicate that attitude, subjective norms, trust, perceived usefulness, perceived enjoyment, personal innovativeness, ecological awareness, and price evaluation are positively associated with UAM usage intention, while perceived safety correlates with the attitude toward UAM negatively. These findings provide valuable insights for policymakers and industry stakeholders, fostering a deeper understanding of end-user perspectives in developing countries, and prudently promising the potential for its targeted implementation. The study suggests that although its widespread adoption in developing countries is unlikely to occur in the near future, UAM should be regarded as a viable early and timely solution to persistent issues such as chronic congestion in metropolitan areas of the global south.","container-title":"Transport Policy","DOI":"10.1016/j.tranpol.2023.10.010","ISSN":"0967-070X","page":"74-84","source":"ScienceDirect","title":"Unraveling Behavioral Factors Influencing the Adoption of Urban Air Mobility from the End User's Perspective in Tehran – A Developing Country Outlook","volume":"145","author":[{"family":"Karami","given":"Hossein"},{"family":"Abbasi","given":"Mohammadhossein"},{"family":"Samadzad","given":"Mahdi"},{"family":"Karami","given":"Ali"}],"issued":{"date-parts":[["2024",1,1]]}}},{"id":558,"uris":["http://zotero.org/groups/6194892/items/GBFUCQFB"],"itemData":{"id":558,"type":"paper-conference","abstract":"Urban air mobility (UAM) has gained increased attention as a promising new solution to tackle issues such as traffic congestion. This study aims to assess users’ perception and usage intentions and identify and weigh success-critical acceptance factors against each other. Further, user-related differences in the underlying decision patterns are analyzed. A mixed-methods approach was employed, including a prior interview study with laypeople and experts (N = 16), calculations of feasible prices via agent-based símulations, and the main survey study (N = 135) – a Choice-Based Conjoint (CBC) with the attributes: environmental impact, costs, placement of take-off and landing stations (vertiports), automation level, and onboard benefits. Results indicated that environmental impact, costs, and vertiport placement were the top three factors influencing user acceptance. The relative importance of these attributes differed, however, depending on the user group. Based on the results, three user segments were identified: automation-skeptical users, environmentally-conscious users, and cost-conscious users. The findings provide valuable insights for UAM providers and policymakers to understand the attitudes and needs of potential users and to design effective strategies for promoting the adoption of UAM.","container-title":"HCI in Mobility, Transport, and Automotive Systems","DOI":"10.1007/978-3-031-35678-0_20","ISBN":"978-3-031-35678-0","language":"en","page":"296-315","publisher":"Springer Nature Switzerland","publisher-place":"Cham","source":"Springer Link","title":"User Acceptance of Urban Air Mobility (UAM) for Passenger Transport: A Choice-Based Conjoint Study","title-short":"User Acceptance of Urban Air Mobility (UAM) for Passenger Transport","author":[{"family":"Lotz","given":"Vivian"},{"family":"Kirste","given":"Ansgar"},{"family":"Lidynia","given":"Chantal"},{"family":"Stumpf","given":"Eike"},{"family":"Ziefle","given":"Martina"}],"editor":[{"family":"Krömker","given":"Heidi"}],"issued":{"date-parts":[["2023"]]}}}],"schema":"https://github.com/citation-style-language/schema/raw/master/csl-citation.json"} </w:instrText>
      </w:r>
      <w:r w:rsidRPr="00677CE8">
        <w:fldChar w:fldCharType="separate"/>
      </w:r>
      <w:r w:rsidRPr="00677CE8">
        <w:t>(</w:t>
      </w:r>
      <w:r w:rsidR="00DC5014" w:rsidRPr="00677CE8">
        <w:t xml:space="preserve">Lotz et al., 2023; </w:t>
      </w:r>
      <w:r w:rsidRPr="00677CE8">
        <w:t>Karami et al., 2024)</w:t>
      </w:r>
      <w:r w:rsidRPr="00677CE8">
        <w:fldChar w:fldCharType="end"/>
      </w:r>
      <w:r w:rsidRPr="00677CE8">
        <w:t xml:space="preserve">. In contrast, other studies have found limited or no relationship between environmental </w:t>
      </w:r>
      <w:r w:rsidR="00431207" w:rsidRPr="00677CE8">
        <w:t>sustainability</w:t>
      </w:r>
      <w:r w:rsidRPr="00677CE8">
        <w:t xml:space="preserve"> and UAM adoption </w:t>
      </w:r>
      <w:r w:rsidRPr="00677CE8">
        <w:fldChar w:fldCharType="begin"/>
      </w:r>
      <w:r w:rsidR="00B7697D" w:rsidRPr="00677CE8">
        <w:instrText xml:space="preserve"> ADDIN ZOTERO_ITEM CSL_CITATION {"citationID":"YM07sSEj","properties":{"formattedCitation":"(Lee et al., 2023; Zaps &amp; Chankov, 2022)","plainCitation":"(Lee et al., 2023; Zaps &amp; Chankov, 2022)","dontUpdate":true,"noteIndex":0},"citationItems":[{"id":489,"uris":["http://zotero.org/groups/6194892/items/62LUHJVM"],"itemData":{"id":489,"type":"article-journal","abstract":"Urban air mobility (UAM) is regarded as a sustainable alternative for intercity and intracity passenger transportation. The objective of this study is to identify the psychological and attitudinal factors that predict behavioral intentions to adopt UAM. This study integrates the unified theory of acceptance and use of technology with the initial trust model to explain the adoption intention among potential users of UAM. Results show that social influence and initial trust are the most significant predictor of the usage intention, which, together with performance expectancy, facilitating conditions, and structural assurance, lead to positive attitudes toward UAM. Initial trust was dependent on all six antecedents considered, but most largely on structural assurance. These findings emphasize the role of institutional safety nets, including regulations and legal resources, in increasing initial trust and promoting initial diffusion of UAM. They also offer guidance for designing interventions to improve the societal acceptance of UAM.","container-title":"Technological Forecasting and Social Change","DOI":"10.1016/j.techfore.2023.122807","ISSN":"0040-1625","source":"ScienceDirect","title":"Societal Acceptance of Urban Air Mobility Based on the Technology Adoption Framework","URL":"https://www.sciencedirect.com/science/article/pii/S0040162523004924","volume":"196","author":[{"family":"Lee","given":"Changju"},{"family":"Bae","given":"Bumjoon"},{"family":"Lee","given":"Yu Lim"},{"family":"Pak","given":"Tae-Young"}],"accessed":{"date-parts":[["2023",9,22]]},"issued":{"date-parts":[["2023",11,1]]}}},{"id":564,"uris":["http://zotero.org/groups/6194892/items/S97V5A4I"],"itemData":{"id":564,"type":"paper-conference","abstract":"Increased urbanization leads to urban traffic challenges such as increased congestion, longer travel times and more transport emissions. Electric Vertical Take-Off and Landing (eVTOL) aircrafts may offer the answer to these challenges as they can act as flying taxis and transport passengers in a fast and eco-friendly way. However, it is still unclear under what conditions consumers will prefer flying taxis over traditional transport modes. Hence, the purpose of this paper is to compare consumer preferences for eVTOLs, public transport and taxis across different travel scenarios. Thus, we perform a choice-based conjoint analysis with travelers in Germany considering price, travel time and CO2 emissions. Conducting conditional logistic regressions, we show that consumers prefer eVTOLs over traditional taxis, and also over public transport for time-sensitive trips.","container-title":"2022 IEEE International Conference on Industrial Engineering and Engineering Management (IEEM)","DOI":"10.1109/IEEM55944.2022.9989956","event-title":"2022 IEEE International Conference on Industrial Engineering and Engineering Management (IEEM)","page":"1337-1341","source":"IEEE Xplore","title":"Are Consumers Ready for Flying Taxis? A Choice-based Conjoint Analysis of eVTOLs in Germany","title-short":"Are Consumers Ready for Flying Taxis?","URL":"https://ieeexplore.ieee.org/abstract/document/9989956","author":[{"family":"Zaps","given":"R."},{"family":"Chankov","given":"S. M."}],"accessed":{"date-parts":[["2025",9,27]]},"issued":{"date-parts":[["2022",12]]}}}],"schema":"https://github.com/citation-style-language/schema/raw/master/csl-citation.json"} </w:instrText>
      </w:r>
      <w:r w:rsidRPr="00677CE8">
        <w:fldChar w:fldCharType="separate"/>
      </w:r>
      <w:r w:rsidRPr="00677CE8">
        <w:t>(Zaps and Chankov, 2022</w:t>
      </w:r>
      <w:r w:rsidR="00DC5014" w:rsidRPr="00677CE8">
        <w:t>; Lee et al., 2023</w:t>
      </w:r>
      <w:r w:rsidRPr="00677CE8">
        <w:t>)</w:t>
      </w:r>
      <w:r w:rsidRPr="00677CE8">
        <w:fldChar w:fldCharType="end"/>
      </w:r>
      <w:r w:rsidRPr="00677CE8">
        <w:t xml:space="preserve">. These inconsistent results suggest that the role of environmental sustainability factors </w:t>
      </w:r>
      <w:r w:rsidR="00C678C7" w:rsidRPr="00677CE8">
        <w:t>is context dependent and warrants further investigation</w:t>
      </w:r>
      <w:r w:rsidRPr="00677CE8">
        <w:t>.</w:t>
      </w:r>
    </w:p>
    <w:p w14:paraId="259E1987" w14:textId="06E65D65" w:rsidR="00EA450F" w:rsidRPr="00677CE8" w:rsidRDefault="00EA450F" w:rsidP="0000054E">
      <w:pPr>
        <w:spacing w:after="0" w:line="240" w:lineRule="auto"/>
        <w:ind w:firstLine="720"/>
        <w:jc w:val="both"/>
      </w:pPr>
      <w:r w:rsidRPr="00677CE8">
        <w:t>Many existing studies have also identified</w:t>
      </w:r>
      <w:r w:rsidR="001859CD">
        <w:t xml:space="preserve"> UAM</w:t>
      </w:r>
      <w:r w:rsidRPr="00677CE8">
        <w:t xml:space="preserve"> </w:t>
      </w:r>
      <w:r w:rsidR="001859CD">
        <w:t xml:space="preserve">crash-related </w:t>
      </w:r>
      <w:r w:rsidRPr="00677CE8">
        <w:t>safety</w:t>
      </w:r>
      <w:r w:rsidR="001859CD">
        <w:t xml:space="preserve"> levels</w:t>
      </w:r>
      <w:r w:rsidRPr="00677CE8">
        <w:t xml:space="preserve"> as a critical factor for adoption</w:t>
      </w:r>
      <w:r w:rsidR="00CF454C" w:rsidRPr="00677CE8">
        <w:t xml:space="preserve">. </w:t>
      </w:r>
      <w:r w:rsidR="008752F4">
        <w:t>The impact of crash</w:t>
      </w:r>
      <w:r w:rsidR="00F3557E">
        <w:t>-related safety</w:t>
      </w:r>
      <w:r w:rsidR="00CF454C" w:rsidRPr="00677CE8">
        <w:t xml:space="preserve"> </w:t>
      </w:r>
      <w:r w:rsidR="008752F4">
        <w:t>is</w:t>
      </w:r>
      <w:r w:rsidR="00CF454C" w:rsidRPr="00677CE8">
        <w:t xml:space="preserve"> </w:t>
      </w:r>
      <w:proofErr w:type="gramStart"/>
      <w:r w:rsidR="00CF454C" w:rsidRPr="00677CE8">
        <w:t>most commonly examined</w:t>
      </w:r>
      <w:proofErr w:type="gramEnd"/>
      <w:r w:rsidR="00CF454C" w:rsidRPr="00677CE8">
        <w:t xml:space="preserve"> through respondents’ </w:t>
      </w:r>
      <w:r w:rsidR="001869FA">
        <w:t>safety perceptions</w:t>
      </w:r>
      <w:r w:rsidR="00CF454C" w:rsidRPr="00677CE8">
        <w:t xml:space="preserve">, measured by responses to subjective statements regarding </w:t>
      </w:r>
      <w:r w:rsidR="001869FA">
        <w:t>the crash risk</w:t>
      </w:r>
      <w:r w:rsidR="00CF454C" w:rsidRPr="00677CE8">
        <w:t xml:space="preserve"> of UAM vehicles. These studies consistently find that higher perceived </w:t>
      </w:r>
      <w:r w:rsidR="001859CD">
        <w:t xml:space="preserve">crash </w:t>
      </w:r>
      <w:r w:rsidR="00CF454C" w:rsidRPr="00677CE8">
        <w:t>risk reduces willingness to adopt UAM</w:t>
      </w:r>
      <w:r w:rsidRPr="00677CE8">
        <w:t xml:space="preserve"> </w:t>
      </w:r>
      <w:r w:rsidRPr="00677CE8">
        <w:fldChar w:fldCharType="begin"/>
      </w:r>
      <w:r w:rsidRPr="00677CE8">
        <w:instrText xml:space="preserve"> ADDIN ZOTERO_ITEM CSL_CITATION {"citationID":"UQgqoyL2","properties":{"unsorted":false,"formattedCitation":"(Al Haddad et al., 2020; Johnson et al., 2022; Karami et al., 2024)","plainCitation":"(Al Haddad et al., 2020; Johnson et al., 2022; Karami et al., 2024)","noteIndex":0},"citationItems":[{"id":484,"uris":["http://zotero.org/groups/6194892/items/ZS2ZU8K2"],"itemData":{"id":484,"type":"article-journal","abstract":"Technological advances have recently led to the development of urban air mobility (UAM), an alternative transportation mode with several concepts including vehicles operated by on-demand fully-automated vertical take-off and landing aircraft (VTOL) for intra-city passenger transportation. However, despite a growing interest in UAM, understanding users’ perceptions to it remains limited. This research aims to identify and quantify the factors affecting the adoption and use of UAM, based on relevant tools from the literature, such as recurring factors in studies on aerial vehicle concepts, ground autonomous vehicles, but also acceptance models, such as the Technology Acceptance Model by Davis et al. (1989). A stated-preference survey was developed to assess the perception of users in terms of adoption time horizon, including options such as the first six years of the service’s implementation, “unsure”, and “never”. The obtained results were evaluated using exploratory factor analyses, and the specification and estimation of suitable discrete choice models, multinomial logit models (MNLs) and ordered logit models (OLMs), with adoption time horizon as dependent variable. Findings revealed the importance of safety and trust, affinity to automation, data concerns, social attitude, and socio-demographics for adoption. Factors, such as the value of time savings, the perception of automation costs, and service reliability, were also found to be highly influential. There was also an indication that skeptical respondents, i.e. answering “unsure”, had a behavior similar to late and non-adopters, i.e. adoption time horizon higher than six years or answering “never”. The summarized results were represented in an extended Technology Acceptance Model for urban air mobility, and provided insights for policymakers and industrial stakeholders.","container-title":"Transportation Research Part A: Policy and Practice","DOI":"10.1016/j.tra.2019.12.020","ISSN":"0965-8564","page":"696-712","source":"ScienceDirect","title":"Factors Affecting the Adoption and Use of Urban Air Mobility","volume":"132","author":[{"family":"Al Haddad","given":"Christelle"},{"family":"Chaniotakis","given":"Emmanouil"},{"family":"Straubinger","given":"Anna"},{"family":"Plötner","given":"Kay"},{"family":"Antoniou","given":"Constantinos"}],"issued":{"date-parts":[["2020",2,1]]}}},{"id":486,"uris":["http://zotero.org/groups/6194892/items/URXXIJNY"],"itemData":{"id":486,"type":"article-journal","container-title":"The International Journal of Aerospace Psychology","DOI":"10.1080/24721840.2022.2100394","ISSN":"2472-1840","issue":"4","note":"_eprint: https://www.tandfonline.com/doi/pdf/10.1080/24721840.2022.2100394","page":"240-253","publisher":"Routledge","source":"Taylor and Francis+NEJM","title":"Technology Adoption and Acceptance of Urban Air Mobility Systems: Identifying Public Perceptions and Integration Factors","volume":"32","author":[{"family":"Johnson","given":"Ricole A."},{"family":"Miller","given":"Erika E."},{"family":"Conrad","given":"Steven"}],"issued":{"date-parts":[["2022",10,2]]}}},{"id":492,"uris":["http://zotero.org/groups/6194892/items/ANB97BVJ"],"itemData":{"id":492,"type":"article-journal","abstract":"The integration of shared, autonomous, electric, and on-demand mobility services introduces urban air mobility (UAM) as an emerging intra-city transportation service operated by vertical take-off and landing aircraft. Despite the potential benefits of UAM limited literature exists on the end user's perception and the challenges to its societal acceptance, especially in developing economies. This paper addresses this gap in the literature by investigating the factors influencing UAM usage intention in Tehran, a developing country capital. Within the framework of the extended technology acceptance model, the study collected 828 valid questionnaires through a face-to-face survey. Structural equation modeling is employed to highlight the effects of a wide range of factors associated</w:instrText>
      </w:r>
      <w:r w:rsidRPr="007806B4">
        <w:rPr>
          <w:lang w:val="es-MX"/>
        </w:rPr>
        <w:instrText xml:space="preserve"> with individual differences, system characteristics, and social influence. The findings indicate that attitude, subjective norms, trust, perceived usefulness, perceived enjoyment, personal innovativeness, ecological awareness, and price evaluation are positively associated with UAM usage intention, while perceived safety correlates with the attitude toward UAM negatively. These findings provide valuable insights for policymakers and industry stakeholders, fostering a deeper understanding of end-user perspectives in developing countries, and prudently promising the potential for its targeted implementation. The study suggests that although its widespread adoption in developing countries is unlikely to occur in the near future, UAM should be regarded as a viable early and timely solution to persistent issues such as chronic congestion in metropolitan areas of the global south.","container-title":"Transport Policy","DOI":"10.1016/j.tranpol.2023.10.010","ISSN":"0967-070X","page":"74-84","source":"ScienceDirect","title":"Unraveling Behavioral Factors Influencing the Adoption of Urban Air Mobility from the End User's Perspective in Tehran – A Developing Country Outlook","volume":"145","author":[{"family":"Karami","given":"Hossein"},{"family":"Abbasi","given":"Mohammadhossein"},{"family":"Samadzad","given":"Mahdi"},{"family":"Karami","given":"Ali"}],"issued":{"date-parts":[["2024",1,1]]}}}],"schema":"https://github.com/citation-style-language/schema/raw/master/csl-citation.json"} </w:instrText>
      </w:r>
      <w:r w:rsidRPr="00677CE8">
        <w:fldChar w:fldCharType="separate"/>
      </w:r>
      <w:r w:rsidRPr="007806B4">
        <w:rPr>
          <w:lang w:val="es-MX"/>
        </w:rPr>
        <w:t>(Al Haddad et al., 2020; Johnson et al., 2022; Karami et al., 2024)</w:t>
      </w:r>
      <w:r w:rsidRPr="00677CE8">
        <w:fldChar w:fldCharType="end"/>
      </w:r>
      <w:r w:rsidRPr="007806B4">
        <w:rPr>
          <w:lang w:val="es-MX"/>
        </w:rPr>
        <w:t xml:space="preserve">. </w:t>
      </w:r>
      <w:r w:rsidRPr="00677CE8">
        <w:t>Although less common</w:t>
      </w:r>
      <w:r w:rsidR="00CF454C" w:rsidRPr="00677CE8">
        <w:t>, some SP experiments incorporate</w:t>
      </w:r>
      <w:r w:rsidR="00C678C7" w:rsidRPr="00677CE8">
        <w:t xml:space="preserve"> UAM</w:t>
      </w:r>
      <w:r w:rsidRPr="00677CE8">
        <w:t xml:space="preserve"> </w:t>
      </w:r>
      <w:r w:rsidR="001859CD">
        <w:t xml:space="preserve">crash-related </w:t>
      </w:r>
      <w:r w:rsidR="00C678C7" w:rsidRPr="00677CE8">
        <w:t xml:space="preserve">safety levels </w:t>
      </w:r>
      <w:r w:rsidRPr="00677CE8">
        <w:t xml:space="preserve">explicitly defined </w:t>
      </w:r>
      <w:r w:rsidR="00C678C7" w:rsidRPr="00677CE8">
        <w:t>relative to familiar GB modes</w:t>
      </w:r>
      <w:r w:rsidR="00CF454C" w:rsidRPr="00677CE8">
        <w:t>,</w:t>
      </w:r>
      <w:r w:rsidRPr="00677CE8">
        <w:t xml:space="preserve"> </w:t>
      </w:r>
      <w:r w:rsidR="00CF454C" w:rsidRPr="00677CE8">
        <w:t xml:space="preserve">finding that decreased </w:t>
      </w:r>
      <w:r w:rsidR="001859CD">
        <w:t>crash</w:t>
      </w:r>
      <w:r w:rsidR="00D54D79">
        <w:t>-related</w:t>
      </w:r>
      <w:r w:rsidR="001859CD">
        <w:t xml:space="preserve"> </w:t>
      </w:r>
      <w:r w:rsidR="00CF454C" w:rsidRPr="00677CE8">
        <w:t>safety</w:t>
      </w:r>
      <w:r w:rsidRPr="00677CE8">
        <w:t xml:space="preserve"> </w:t>
      </w:r>
      <w:r w:rsidR="00CF454C" w:rsidRPr="00677CE8">
        <w:t>levels discourage</w:t>
      </w:r>
      <w:r w:rsidRPr="00677CE8">
        <w:t xml:space="preserve"> adoption in a similar manner </w:t>
      </w:r>
      <w:r w:rsidRPr="00677CE8">
        <w:fldChar w:fldCharType="begin"/>
      </w:r>
      <w:r w:rsidRPr="00677CE8">
        <w:instrText xml:space="preserve"> ADDIN ZOTERO_ITEM CSL_CITATION {"citationID":"PztYyNSH","properties":{"unsorted":false,"formattedCitation":"(Fu et al., 2019)","plainCitation":"(Fu et al., 2019)","noteIndex":0},"citationItems":[{"id":482,"uris":["http://zotero.org/groups/6194892/items/97M5RJ6T"],"itemData":{"id":482,"type":"article-journal","abstract":"Urban Air Mobility (UAM) is a recent mobility concept with the potential to reduce travel time and change travel patterns. When evaluating the introduction of UAM, understanding the potential users’ choice behavior regarding current available urban transportation modes and autonomous transportation services is essential to demand estimation. This preliminary research intends to gain insight into the travel behavior impacts of autonomous transportation modes, especially UAM, by deriving measures for transportation service attributes and identifying characteristics of potential users who might adopt autonomous transportation services, particularly the services of UAM. Thus, a stated preference questionnaire was designed and distributed in Munich metropolitan region. A main mode choice multinomial logit model and several sub-models, based on market segmentation, were estimated regarding four transportation alternatives: private car, public transportation, autonomous taxi, and autonomous flying taxi. The results indicate that travel time, travel cost, and safety may be critical determinants in autonomous transportation mode adoption. The potential consumers may be willing to pay more for using autonomous transportation modes, especially the service of UAM. Among different market segments, younger individuals, as well as older individuals with high household income, are more likely to adopt UAM. In addition, during the market entry stage, potential travelers may favor UAM particularly for performing non-commuting trips.","container-title":"Transportation Research Record","DOI":"10.1177/0361198119843858","ISSN":"0361-1981","issue":"10","language":"en","page":"427-442","publisher":"SAGE Publications Inc","source":"SAGE Journals","title":"Exploring Preferences for Transportation Modes in an Urban Air Mobility Environment: Munich Case Study","volume":"2673","author":[{"family":"Fu","given":"Mengying"},{"family":"Rothfeld","given":"Raoul"},{"family":"Antoniou","given":"Constantinos"}],"issued":{"date-parts":[["2019",10,1]]}}}],"schema":"https://github.com/citation-style-language/schema/raw/master/csl-citation.json"} </w:instrText>
      </w:r>
      <w:r w:rsidRPr="00677CE8">
        <w:fldChar w:fldCharType="separate"/>
      </w:r>
      <w:r w:rsidRPr="00677CE8">
        <w:t>(Fu et al., 2019)</w:t>
      </w:r>
      <w:r w:rsidRPr="00677CE8">
        <w:fldChar w:fldCharType="end"/>
      </w:r>
      <w:r w:rsidRPr="00677CE8">
        <w:t xml:space="preserve">. </w:t>
      </w:r>
      <w:r w:rsidR="00F3557E" w:rsidRPr="00F3557E">
        <w:t xml:space="preserve">Accordingly, Table 1 distinguishes between studies examining </w:t>
      </w:r>
      <w:r w:rsidR="00F3557E">
        <w:t>objective UAM</w:t>
      </w:r>
      <w:r w:rsidR="00F3557E" w:rsidRPr="00F3557E">
        <w:t xml:space="preserve"> crash-related safety levels as</w:t>
      </w:r>
      <w:r w:rsidR="00515A6F">
        <w:t xml:space="preserve"> a</w:t>
      </w:r>
      <w:r w:rsidR="00F3557E" w:rsidRPr="00F3557E">
        <w:t xml:space="preserve"> service attribute and those examining subjective safety perceptions as individual attitudes</w:t>
      </w:r>
      <w:r w:rsidR="00C3038B">
        <w:t xml:space="preserve"> (which are also discussed in more detail in the following subsection)</w:t>
      </w:r>
      <w:r w:rsidR="00F3557E" w:rsidRPr="00F3557E">
        <w:t>.</w:t>
      </w:r>
      <w:r w:rsidR="00F3557E">
        <w:t xml:space="preserve"> </w:t>
      </w:r>
      <w:r w:rsidR="0000054E" w:rsidRPr="00677CE8">
        <w:t xml:space="preserve">Additional </w:t>
      </w:r>
      <w:r w:rsidR="001859CD">
        <w:t>in-vehicle personal safety</w:t>
      </w:r>
      <w:r w:rsidR="0000054E" w:rsidRPr="00677CE8">
        <w:t xml:space="preserve"> measures</w:t>
      </w:r>
      <w:r w:rsidR="001859CD">
        <w:t xml:space="preserve"> (separate </w:t>
      </w:r>
      <w:r w:rsidR="001859CD">
        <w:lastRenderedPageBreak/>
        <w:t>from crash-related safety risk)</w:t>
      </w:r>
      <w:r w:rsidR="0000054E" w:rsidRPr="00677CE8">
        <w:t>, such as in-flight monitored cameras, regular communication of flight information, and restraining devices may also improve</w:t>
      </w:r>
      <w:r w:rsidR="00F3557E">
        <w:t xml:space="preserve"> personal</w:t>
      </w:r>
      <w:r w:rsidR="0000054E" w:rsidRPr="00677CE8">
        <w:t xml:space="preserve"> safety confidence </w:t>
      </w:r>
      <w:r w:rsidR="0000054E" w:rsidRPr="00677CE8">
        <w:fldChar w:fldCharType="begin"/>
      </w:r>
      <w:r w:rsidR="0000054E" w:rsidRPr="00677CE8">
        <w:instrText xml:space="preserve"> ADDIN ZOTERO_ITEM CSL_CITATION {"citationID":"7hZDrHEW","properties":{"unsorted":false,"formattedCitation":"(Al Haddad et al., 2020; Johnson et al., 2022)","plainCitation":"(Al Haddad et al., 2020; Johnson et al., 2022)","noteIndex":0},"citationItems":[{"id":484,"uris":["http://zotero.org/groups/6194892/items/ZS2ZU8K2"],"itemData":{"id":484,"type":"article-journal","abstract":"Technological advances have recently led to the development of urban air mobility (UAM), an alternative transportation mode with several concepts including vehicles operated by on-demand fully-automated vertical take-off and landing aircraft (VTOL) for intra-city passenger transportation. However, despite a growing interest in UAM, understanding users’ perceptions to it remains limited. This research aims to identify and quantify the factors affecting the adoption and use of UAM, based on relevant tools from the literature, such as recurring factors in studies on aerial vehicle concepts, ground autonomous vehicles, but also acceptance models, such as the Technology Acceptance Model by Davis et al. (1989). A stated-preference survey was developed to assess the perception of users in terms of adoption time horizon, including options such as the first six years of the service’s implementation, “unsure”, and “never”. The obtained results were evaluated using exploratory factor analyses, and the specification and estimation of suitable discrete choice models, multinomial logit models (MNLs) and ordered logit models (OLMs), with adoption time horizon as dependent variable. Findings revealed the importance of safety and trust, affinity to automation, data concerns, social attitude, and socio-demographics for adoption. Factors, such as the value of time savings, the perception of automation costs, and service reliability, were also found to be highly influential. There was also an indication that skeptical respondents, i.e. answering “unsure”, had a behavior similar to late and non-adopters, i.e. adoption time horizon higher than six years or answering “never”. The summarized results were represented in an extended Technology Acceptance Model for urban air mobility, and provided insights for policymakers and industrial stakeholders.","container-title":"Transportation Research Part A: Policy and Practice","DOI":"10.1016/j.tra.2019.12.020","ISSN":"0965-8564","page":"696-712","source":"ScienceDirect","title":"Factors Affecting the Adoption and Use of Urban Air Mobility","volume":"132","author":[{"family":"Al Haddad","given":"Christelle"},{"family":"Chaniotakis","given":"Emmanouil"},{"family":"Straubinger","given":"Anna"},{"family":"Plötner","given":"Kay"},{"family":"Antoniou","given":"Constantinos"}],"issued":{"date-parts":[["2020",2,1]]}}},{"id":486,"uris":["http://zotero.org/groups/6194892/items/URXXIJNY"],"itemData":{"id":486,"type":"article-journal","container-title":"The International Journal of Aerospace Psychology","DOI":"10.1080/24721840.2022.2100394","ISSN":"2472-1840","issue":"4","note":"_eprint: https://www.tandfonline.com/doi/pdf/10.1080/24721840.2022.2100394","page":"240-253","publisher":"Routledge","source":"Taylor and Francis+NEJM","title":"Technology Adoption and Acceptance of Urban Air Mobility Systems: Identifying Public Perceptions and Integration Factors","volume":"32","author":[{"family":"Johnson","given":"Ricole A."},{"family":"Miller","given":"Erika E."},{"family":"Conrad","given":"Steven"}],"issued":{"date-parts":[["2022",10,2]]}}}],"schema":"https://github.com/citation-style-language/schema/raw/master/csl-citation.json"} </w:instrText>
      </w:r>
      <w:r w:rsidR="0000054E" w:rsidRPr="00677CE8">
        <w:fldChar w:fldCharType="separate"/>
      </w:r>
      <w:r w:rsidR="0000054E" w:rsidRPr="00677CE8">
        <w:t>(Al Haddad et al., 2020; Johnson et al., 2022)</w:t>
      </w:r>
      <w:r w:rsidR="0000054E" w:rsidRPr="00677CE8">
        <w:fldChar w:fldCharType="end"/>
      </w:r>
      <w:r w:rsidR="0000054E" w:rsidRPr="00677CE8">
        <w:t xml:space="preserve">, though UAM pre-board security screenings (similar to those required for commercial air travel) appear to have only a relatively small positive effect </w:t>
      </w:r>
      <w:r w:rsidR="0000054E" w:rsidRPr="00677CE8">
        <w:fldChar w:fldCharType="begin"/>
      </w:r>
      <w:r w:rsidR="0000054E" w:rsidRPr="00677CE8">
        <w:instrText xml:space="preserve"> ADDIN ZOTERO_ITEM CSL_CITATION {"citationID":"WeSnkjIE","properties":{"formattedCitation":"(Kim et al., 2023)","plainCitation":"(Kim et al., 2023)","noteIndex":0},"citationItems":[{"id":568,"uris":["http://zotero.org/groups/6194892/items/2H3QGUJX"],"itemData":{"id":568,"type":"article-journal","abstract":"The purpose of this study is to explore how trust in and the service quality of urban air mobility (UAM) relate to the user acceptance of UAM. We hypothesized that trust directly influences the att...","archive_location":"world","container-title":"International Journal of Human–Computer Interaction","ISSN":"1044-7318","language":"EN","license":"© 2022 Taylor &amp; Francis Group, LLC","publisher":"Taylor &amp; Francis","source":"www.tandfonline.com","title":"Exploring the User Acceptance of Urban Air Mobility: Extending the Technology Acceptance Model with Trust and Service Quality Factors","title-short":"Exploring the User Acceptance of Urban Air Mobility","URL":"https://www.tandfonline.com/doi/abs/10.1080/10447318.2022.2087662","author":[{"family":"Kim","given":"Young Woo"},{"family":"Lim","given":"Cherin"},{"family":"Ji","given":"Yong Gu"}],"accessed":{"date-parts":[["2025",10,1]]},"issued":{"date-parts":[["2023",8,27]]}}}],"schema":"https://github.com/citation-style-language/schema/raw/master/csl-citation.json"} </w:instrText>
      </w:r>
      <w:r w:rsidR="0000054E" w:rsidRPr="00677CE8">
        <w:fldChar w:fldCharType="separate"/>
      </w:r>
      <w:r w:rsidR="0000054E" w:rsidRPr="00677CE8">
        <w:t>(Kim et al., 2023)</w:t>
      </w:r>
      <w:r w:rsidR="0000054E" w:rsidRPr="00677CE8">
        <w:fldChar w:fldCharType="end"/>
      </w:r>
      <w:r w:rsidR="0000054E" w:rsidRPr="00677CE8">
        <w:t xml:space="preserve">. </w:t>
      </w:r>
      <w:r w:rsidRPr="00677CE8">
        <w:t>Within this context, automation emerges as an important factor, influencing adoption patterns</w:t>
      </w:r>
      <w:r w:rsidR="00232E26" w:rsidRPr="00677CE8">
        <w:t xml:space="preserve"> both directly, as a service attribute </w:t>
      </w:r>
      <w:r w:rsidR="00274B64" w:rsidRPr="00677CE8">
        <w:t>that</w:t>
      </w:r>
      <w:r w:rsidR="00232E26" w:rsidRPr="00677CE8">
        <w:t xml:space="preserve"> shapes willingness to use UAM, and indirectly,</w:t>
      </w:r>
      <w:r w:rsidRPr="00677CE8">
        <w:t xml:space="preserve"> through</w:t>
      </w:r>
      <w:r w:rsidR="00274B64" w:rsidRPr="00677CE8">
        <w:t xml:space="preserve"> its effect on</w:t>
      </w:r>
      <w:r w:rsidRPr="00677CE8">
        <w:t xml:space="preserve"> </w:t>
      </w:r>
      <w:r w:rsidR="00F3557E">
        <w:t xml:space="preserve">crash-related </w:t>
      </w:r>
      <w:r w:rsidRPr="00677CE8">
        <w:t xml:space="preserve">safety perceptions. For instance, some earlier studies have indicated that full autonomy may </w:t>
      </w:r>
      <w:r w:rsidR="00D54D79">
        <w:t>improve</w:t>
      </w:r>
      <w:r w:rsidRPr="00677CE8">
        <w:t xml:space="preserve"> </w:t>
      </w:r>
      <w:r w:rsidR="00D54D79">
        <w:t xml:space="preserve">crash-related </w:t>
      </w:r>
      <w:r w:rsidRPr="00677CE8">
        <w:t xml:space="preserve">safety perceptions and increase UAM adoption </w:t>
      </w:r>
      <w:r w:rsidRPr="00677CE8">
        <w:fldChar w:fldCharType="begin"/>
      </w:r>
      <w:r w:rsidR="00B7697D" w:rsidRPr="00677CE8">
        <w:instrText xml:space="preserve"> ADDIN ZOTERO_ITEM CSL_CITATION {"citationID":"pHEbUBGk","properties":{"formattedCitation":"(T. Fu et al., 2022; Hwang &amp; Hong, 2023)","plainCitation":"(T. Fu et al., 2022; Hwang &amp; Hong, 2023)","dontUpdate":true,"noteIndex":0},"citationItems":[{"id":86,"uris":["http://zotero.org/groups/5885221/items/KQINRWRT"],"itemData":{"id":86,"type":"article-journal","abstract":"Investigating pedestrian crossing and driver yielding decisions should be an important focus considering the high risks of pedestrians in exposed to motorized traffic. Limitations, however, exist in previous studies – variables considered previously have been limited; how their behavior affect each other (defined as interactive impacts) were not sufficiently considered. This paper aims to provide a methodological approach for pedestrian crossing and driver yielding decisions during their interactions, considering of different variable types including interactive impact variables, traffic condition variables, road design variables, and environment variables. A Distance-Velocity (DV) framework proposed in an earlier study is introduced for definitions and concepts in studying pedestrian-vehicle interactions. Logistic regression, support vector machines, neural networks and random forests, are introduced as candidate models. A case study involving six crosswalk locations is conducted, focusing on interactions between pedestrians and right-turn vehicles. The proposed methodological approach is applied, with the performance of the four machine learning methods compared in terms of model generalization and confusion matrix. The model with the best performance is further compared to the typical gap-based model. Results show that random forest and logistic regression models performed the best in modeling pedestrian crossing and driver yielding decisions respective, in terms of model generalization. Besides, the DV-based modeling method (average accuracy of over 90% for pedestrians and 80% for drivers) outperformed the traditional gap-based method in all test seeds. As a key finding, interactive impacts from each other (the pedestrian and the driver) act as a key contributing variable on their decisions.","container-title":"Transportation Research Part F: Traffic Psychology and Behaviour","DOI":"10.1016/j.trf.2022.05.005","ISSN":"1369-8478","journalAbbreviation":"Transportation Research Part F: Traffic Psychology and Behaviour","page":"37-53","source":"ScienceDirect","title":"A method in modeling interactive pedestrian crossing and driver yielding decisions during their interactions at intersections","volume":"88","author":[{"family":"Fu","given":"Ting"},{"family":"Yu","given":"Xiaochen"},{"family":"Xiong","given":"Binglei"},{"family":"Jiang","given":"Chaozhe"},{"family":"Wang","given":"Junhua"},{"family":"Shangguan","given":"Qiangqiang"},{"family":"Xu","given":"Wenxiang"}],"issued":{"date-parts":[["2022",7,1]]}}},{"id":488,"uris":["http://zotero.org/groups/6194892/items/JMT46ABB"],"itemData":{"id":488,"type":"article-journal","abstract":"This study analyzed commuters’ intention to use urban air mobility (UAM) and the future demand for UAM based on its service characteristics and the personal characteristics of the potential users. The Seoul Metropolitan Area (SMA) was selected as the study area as it is expected to have the highest demand for UAM in South Korea. Three UAM operation scenarios were set: short-distance intra-city trips, long-distance intra-city trips, and inter-city trips. Five alternatives were assumed for the stated preference (SP) survey: bus, subway, taxi, private car, and UAM. Six alternative-specific variables were selected: access time, waiting time, boarding time, cost, autonomous mode, and the presence of other passengers. An online survey of 300 residents of SMA was conducted with 100 residents for each scenario. The residents were briefed on the modes of transportation and service characteristic of alternatives. The analysis results were as follows: (1) cost and access time significantly influenced the intention to use UAM in all scenarios. However, the effects of waiting time, boarding time, and autonomous driving on intention to use UAM differed based on the scenarios; (2) the individual characteristics of potential users had varying effects on their preference for UAM depending on the scenarios and the means of transportation, which was a counterpart to UAM. (3) The probability of choosing UAM for commuting was expected to be 10–20%, with the highest modal split for long-distance intra-city trips and the lowest modal split for short-distance intra-city trips. Among the six alternative-specific variables, autonomous driving and cost had the most significant effect on the change of the probability for using UAM. The results of this study are expected to be used as basic data for designing an effective strategy for the introduction of UAM in South Korea.","container-title":"Journal of Air Transport Management","DOI":"10.1016/j.jairtraman.2023.102467","ISSN":"0969-6997","source":"ScienceDirect","title":"A Study on the Factors Influencing the Adoption of Urban Air Mobility and the Future Demand: Using the Stated Preference Survey for Three UAM Operational Scenarios in South Korea","URL":"https://www.sciencedirect.com/science/article/pii/S0969699723001102","volume":"112","author":[{"family":"Hwang","given":"Ji-Hyon"},{"family":"Hong","given":"Sungjo"}],"accessed":{"date-parts":[["2023",9,22]]},"issued":{"date-parts":[["2023",9,1]]}}}],"schema":"https://github.com/citation-style-language/schema/raw/master/csl-citation.json"} </w:instrText>
      </w:r>
      <w:r w:rsidRPr="00677CE8">
        <w:fldChar w:fldCharType="separate"/>
      </w:r>
      <w:r w:rsidRPr="00677CE8">
        <w:t>(Fu et al., 20</w:t>
      </w:r>
      <w:r w:rsidR="007806B4">
        <w:t>19</w:t>
      </w:r>
      <w:r w:rsidRPr="00677CE8">
        <w:t>; Hwang and Hong, 2023)</w:t>
      </w:r>
      <w:r w:rsidRPr="00677CE8">
        <w:fldChar w:fldCharType="end"/>
      </w:r>
      <w:r w:rsidRPr="00677CE8">
        <w:t xml:space="preserve">, with respondents exhibiting greater safety concern with GB autonomous vehicles than aerial autonomous services </w:t>
      </w:r>
      <w:r w:rsidRPr="00677CE8">
        <w:fldChar w:fldCharType="begin"/>
      </w:r>
      <w:r w:rsidRPr="00677CE8">
        <w:instrText xml:space="preserve"> ADDIN ZOTERO_ITEM CSL_CITATION {"citationID":"wESRdcEv","properties":{"formattedCitation":"(Fu et al., 2022; Yavuz, 2024)","plainCitation":"(Fu et al., 2022; Yavuz, 2024)","noteIndex":0},"citationItems":[{"id":86,"uris":["http://zotero.org/groups/5885221/items/KQINRWRT"],"itemData":{"id":86,"type":"article-journal","abstract":"Investigating pedestrian crossing and driver yielding decisions should be an important focus considering the high risks of pedestrians in exposed to motorized traffic. Limitations, however, exist in previous studies – variables considered previously have been limited; how their behavior affect each other (defined as interactive impacts) were not sufficiently considered. This paper aims to provide a methodological approach for pedestrian crossing and driver yielding decisions during their interactions, considering of different variable types including interactive impact variables, traffic condition variables, road design variables, and environment variables. A Distance-Velocity (DV) framework proposed in an earlier study is introduced for definitions and concepts in studying pedestrian-vehicle interactions. Logistic regression, support vector machines, neural networks and random forests, are introduced as candidate models. A case study involving six crosswalk locations is conducted, focusing on interactions between pedestrians and right-turn vehicles. The proposed methodological approach is applied, with the performance of the four machine learning methods compared in terms of model generalization and confusion matrix. The model with the best performance is further compared to the typical gap-based model. Results show that random forest and logistic regression models performed the best in modeling pedestrian crossing and driver yielding decisions respective, in terms of model generalization. Besides, the DV-based modeling method (average accuracy of over 90% for pedestrians and 80% for drivers) outperformed the traditional gap-based method in all test seeds. As a key finding, interactive impacts from each other (the pedestrian and the driver) act as a key contributing variable on their decisions.","container-title":"Transportation Research Part F: Traffic Psychology and Behaviour","DOI":"10.1016/j.trf.2022.05.005","ISSN":"1369-8478","journalAbbreviation":"Transportation Research Part F: Traffic Psychology and Behaviour","page":"37-53","source":"ScienceDirect","title":"A method in modeling interactive pedestrian crossing and driver yielding decisions during their interactions at intersections","volume":"88","author":[{"family":"Fu","given":"Ting"},{"family":"Yu","given":"Xiaochen"},{"family":"Xiong","given":"Binglei"},{"family":"Jiang","given":"Chaozhe"},{"family":"Wang","given":"Junhua"},{"family":"Shangguan","given":"Qiangqiang"},{"family":"Xu","given":"Wenxiang"}],"issued":{"date-parts":[["2022",7,1]]}}},{"id":496,"uris":["http://zotero.org/groups/6194892/items/6UYT4TZT"],"itemData":{"id":496,"type":"article-journal","abstract":"AVs and UAM will provide many benefits. However, lack of user acceptance is the predominant barrier to the adoption of automated transport technologies. Yet, little is known about AV and UAM acceptability in developing countries. To this end, this study investigates the factors affecting the acceptability of AVs and UAM in Türkiye. The sample was drawn from 369 university students. An extended UTAUT model was established with additional hedonic motivation, perceived safety, and personal innovativeness constructs. Findings revealed that perceived safety and performance expectancy were the strongest determinants of behavioral intention to use AVs. On the other hand, social influence and hedonic motivation were the main drivers of UAM acceptability. Furthermore, personal innovativeness was a strong factor when estimating the utilitarian value in both models. The findings could guide the politicians, scholars, and stakeholders of the AV and the UAM market.","container-title":"Journal of Air Transport Management","DOI":"10.1016/j.jairtraman.2024.102546","ISSN":"0969-6997","page":"102546","source":"ScienceDirect","title":"Exploring University Students’ Acceptability of Autonomous Vehicles and Urban Air Mobility","volume":"115","author":[{"family":"Yavuz","given":"Yigit Can"}],"issued":{"date-parts":[["2024",3,1]]}}}],"schema":"https://github.com/citation-style-language/schema/raw/master/csl-citation.json"} </w:instrText>
      </w:r>
      <w:r w:rsidRPr="00677CE8">
        <w:fldChar w:fldCharType="separate"/>
      </w:r>
      <w:r w:rsidRPr="00677CE8">
        <w:t>(Fu et al., 20</w:t>
      </w:r>
      <w:r w:rsidR="007806B4">
        <w:t>19</w:t>
      </w:r>
      <w:r w:rsidRPr="00677CE8">
        <w:t>; Yavuz, 2024)</w:t>
      </w:r>
      <w:r w:rsidRPr="00677CE8">
        <w:fldChar w:fldCharType="end"/>
      </w:r>
      <w:r w:rsidRPr="00677CE8">
        <w:t xml:space="preserve">. In contrast, </w:t>
      </w:r>
      <w:r w:rsidR="00C678C7" w:rsidRPr="00677CE8">
        <w:t>other</w:t>
      </w:r>
      <w:r w:rsidRPr="00677CE8">
        <w:t xml:space="preserve"> previous studies have found that potential users have limited trust in automated technology, especially in </w:t>
      </w:r>
      <w:r w:rsidR="00D2250B" w:rsidRPr="00677CE8">
        <w:t>aerial contexts</w:t>
      </w:r>
      <w:r w:rsidRPr="00677CE8">
        <w:t xml:space="preserve">, and so are hesitant to adopt automated UAM services. </w:t>
      </w:r>
      <w:r w:rsidR="00431207" w:rsidRPr="00677CE8">
        <w:t>In this case, t</w:t>
      </w:r>
      <w:r w:rsidRPr="00677CE8">
        <w:t xml:space="preserve">he physical presence of a pilot appears to improve confidence, leading to more widespread adoption </w:t>
      </w:r>
      <w:r w:rsidRPr="00677CE8">
        <w:fldChar w:fldCharType="begin"/>
      </w:r>
      <w:r w:rsidRPr="00677CE8">
        <w:instrText xml:space="preserve"> ADDIN ZOTERO_ITEM CSL_CITATION {"citationID":"0hokZpPA","properties":{"formattedCitation":"(Johnson et al., 2022; S. Kim &amp; Zhang, 2025; Lotz et al., 2023)","plainCitation":"(Johnson et al., 2022; S. Kim &amp; Zhang, 2025; Lotz et al., 2023)","dontUpdate":true,"noteIndex":0},"citationItems":[{"id":486,"uris":["http://zotero.org/groups/6194892/items/URXXIJNY"],"itemData":{"id":486,"type":"article-journal","container-title":"The International Journal of Aerospace Psychology","DOI":"10.1080/24721840.2022.2100394","ISSN":"2472-1840","issue":"4","note":"_eprint: https://www.tandfonline.com/doi/pdf/10.1080/24721840.2022.2100394","page":"240-253","publisher":"Routledge","source":"Taylor and Francis+NEJM","title":"Technology Adoption and Acceptance of Urban Air Mobility Systems: Identifying Public Perceptions and Integration Factors","volume":"32","author":[{"family":"Johnson","given":"Ricole A."},{"family":"Miller","given":"Erika E."},{"family":"Conrad","given":"Steven"}],"issued":{"date-parts":[["2022",10,2]]}}},{"id":1342,"uris":["http://zotero.org/groups/6194892/items/AN77YNQB"],"itemData":{"id":1342,"type":"article-journal","abstract":"Urban Air Mobility (UAM) is an emerging transportation solution aiming to alleviate congestion and enhance sustainability in urban areas. Automation capabilities are evolving from manned control to full autonomy, and at each stage of this progression, the willingness to use each system represents a behavioural intention toward adoption. This study investigates willingness to use UAM for airport shuttle services across three levels of automation: Manned control, Remotely piloted, and Fully autonomous. The study employed survey data from 1613 respondents in South Korea. Using ordered logit models, we examine how socio-demographic and current airport travel behaviour influence adoption. Results show that approximately 60% of respondents were willing to use manned control UAM, whereas only about 30% expressed willingness under remotely piloted or fully autonomous UAM. Adoption patterns and predictors of adoption vary depending on the level of automation. While current travel time to the airport and the primary purpose of airport use are prominent predictors of willingness to use UAM at the manned control level, demographic characteristics, particularly gender and age, become more significant at remotely piloted and fully autonomous UAM, as the level of automation increases. The frequency of international travel consistently predicts a higher willingness to adopt UAM, regardless of the level of automation. These findings highlight the need for level-specific adoption strategies and suggest that trust and risk perception need to be addressed as automation increases. This study contributes empirical evidence for policymakers, service operators, and urban planners informing differentiated communication and integration strategies tailored to user profiles and system maturity.","container-title":"Journal of Urban Mobility","DOI":"10.1016/j.urbmob.2025.100162","ISSN":"2667-0917","journalAbbreviation":"Journal of Urban Mobility","page":"100162","source":"ScienceDirect","title":"Willingness to use urban air mobility (UAM) as an airport shuttle across levels of automation","volume":"8","author":[{"family":"Kim","given":"Soyeon"},{"family":"Zhang","given":"Kaihan"}],"issued":{"date-parts":[["2025",12,1]]}}},{"id":558,"uris":["http://zotero.org/groups/6194892/items/GBFUCQFB"],"itemData":{"id":558,"type":"paper-conference","abstract":"Urban air mobility (UAM) has gained increased attention as a promising new solution to tackle issues such as traffic congestion. This study aims to assess users’ perception and usage intentions and identify and weigh success-critical acceptance factors against each other. Further, user-related differences in the underlying decision patterns are analyzed. A mixed-methods approach was employed, including a prior interview study with laypeople and experts (N = 16), calculations of feasible prices via agent-based símulations, and the main survey study (N = 135) – a Choice-Based Conjoint (CBC) with the attributes: environmental impact, costs, placement of take-off and landing stations (vertiports), automation level, and onboard benefits. Results indicated that environmental impact, costs, and vertiport placement were the top three factors influencing user acceptance. The relative importance of these attributes differed, however, depending on the user group. Based on the results, three user segments were identified: automation-skeptical users, environmentally-conscious users, and cost-conscious users. The findings provide valuable insights for UAM providers and policymakers to understand the attitudes and needs of potential users and to design effective strategies for promoting the adoption of UAM.","container-title":"HCI in Mobility, Transport, and Automotive Systems","DOI":"10.1007/978-3-031-35678-0_20","ISBN":"978-3-031-35678-0","language":"en","page":"296-315","publisher":"Springer Nature Switzerland","publisher-place":"Cham","source":"Springer Link","title":"User Acceptance of Urban Air Mobility (UAM) for Passenger Transport: A Choice-Based Conjoint Study","title-short":"User Acceptance of Urban Air Mobility (UAM) for Passenger Transport","author":[{"family":"Lotz","given":"Vivian"},{"family":"Kirste","given":"Ansgar"},{"family":"Lidynia","given":"Chantal"},{"family":"Stumpf","given":"Eike"},{"family":"Ziefle","given":"Martina"}],"editor":[{"family":"Krömker","given":"Heidi"}],"issued":{"date-parts":[["2023"]]}}}],"schema":"https://github.com/citation-style-language/schema/raw/master/csl-citation.json"} </w:instrText>
      </w:r>
      <w:r w:rsidRPr="00677CE8">
        <w:fldChar w:fldCharType="separate"/>
      </w:r>
      <w:r w:rsidRPr="00677CE8">
        <w:t>(Johnson et al., 2022;</w:t>
      </w:r>
      <w:r w:rsidR="00DC5014" w:rsidRPr="00677CE8">
        <w:t xml:space="preserve"> Lotz et al., 2023;</w:t>
      </w:r>
      <w:r w:rsidRPr="00677CE8">
        <w:t xml:space="preserve"> Kim and Zhang, 2025)</w:t>
      </w:r>
      <w:r w:rsidRPr="00677CE8">
        <w:fldChar w:fldCharType="end"/>
      </w:r>
      <w:r w:rsidRPr="00677CE8">
        <w:t>. Collectively, these results highlight the importance of perceived safety and trust of potential users shaping early UAM adoptio</w:t>
      </w:r>
      <w:r w:rsidR="005F032A">
        <w:t>n.</w:t>
      </w:r>
    </w:p>
    <w:p w14:paraId="7895B2DF" w14:textId="5E474418" w:rsidR="00EA450F" w:rsidRPr="00677CE8" w:rsidRDefault="00EA450F" w:rsidP="00EA450F">
      <w:pPr>
        <w:spacing w:after="0" w:line="240" w:lineRule="auto"/>
        <w:ind w:firstLine="720"/>
        <w:jc w:val="both"/>
      </w:pPr>
      <w:r w:rsidRPr="00677CE8">
        <w:t>Along with UAM service attributes, the trip context (</w:t>
      </w:r>
      <w:r w:rsidR="005F032A">
        <w:t xml:space="preserve">trip </w:t>
      </w:r>
      <w:r w:rsidRPr="00677CE8">
        <w:t xml:space="preserve">purpose and </w:t>
      </w:r>
      <w:r w:rsidR="005F032A">
        <w:t xml:space="preserve">trip </w:t>
      </w:r>
      <w:r w:rsidRPr="00677CE8">
        <w:t>distance) also plays a role in shaping UAM adoption patterns.</w:t>
      </w:r>
      <w:r w:rsidR="00C678C7" w:rsidRPr="00677CE8">
        <w:t xml:space="preserve"> P</w:t>
      </w:r>
      <w:r w:rsidRPr="00677CE8">
        <w:t xml:space="preserve">revious studies </w:t>
      </w:r>
      <w:r w:rsidR="00C678C7" w:rsidRPr="00677CE8">
        <w:t>find that preferences for aerial modes vary across trip purposes,</w:t>
      </w:r>
      <w:r w:rsidRPr="00677CE8">
        <w:t xml:space="preserve"> </w:t>
      </w:r>
      <w:r w:rsidR="00C678C7" w:rsidRPr="00677CE8">
        <w:t>observing</w:t>
      </w:r>
      <w:r w:rsidRPr="00677CE8">
        <w:t xml:space="preserve"> increases</w:t>
      </w:r>
      <w:r w:rsidR="00C678C7" w:rsidRPr="00677CE8">
        <w:t xml:space="preserve"> in adoption</w:t>
      </w:r>
      <w:r w:rsidRPr="00677CE8">
        <w:t xml:space="preserve"> for business</w:t>
      </w:r>
      <w:r w:rsidR="006C187A" w:rsidRPr="00677CE8">
        <w:t>,</w:t>
      </w:r>
      <w:r w:rsidRPr="00677CE8">
        <w:t xml:space="preserve"> leisure trips, and </w:t>
      </w:r>
      <w:r w:rsidR="006C187A" w:rsidRPr="00677CE8">
        <w:t>airport access</w:t>
      </w:r>
      <w:r w:rsidRPr="00677CE8">
        <w:t xml:space="preserve"> </w:t>
      </w:r>
      <w:r w:rsidRPr="00677CE8">
        <w:fldChar w:fldCharType="begin"/>
      </w:r>
      <w:r w:rsidR="00B7697D" w:rsidRPr="00677CE8">
        <w:instrText xml:space="preserve"> ADDIN ZOTERO_ITEM CSL_CITATION {"citationID":"JQvnYhcO","properties":{"unsorted":false,"formattedCitation":"(Coppola et al., 2024; Kim &amp; Zhang, 2025; Qu et al., 2024; Zaps &amp; Chankov, 2022)","plainCitation":"(Coppola et al., 2024; Kim &amp; Zhang, 2025; Qu et al., 2024; Zaps &amp; Chankov, 2022)","dontUpdate":true,"noteIndex":0},"citationItems":[{"id":533,"uris":["http://zotero.org/groups/6194892/items/Q7FVFA5M"],"itemData":{"id":533,"type":"article-journal","abstract":"In the last years, Urban Air Mobility (UAM) has been receiving increasing attention and even if the first services are expected to be launched shortly, there is still uncertainty about which type of commercial services (e.g., airport shuttles or city-taxis) will be implemented at an early stage, as well as which price point will be perceived as affordable by travelers. Based on data collected through a large-scale survey campaign in the Milan metropolitan area (Italy), in this paper passengers' value of travel time savings for different UAM services are estimated using advanced discrete choice modeling. Estimated mixed logit models allowed to comparatively analyze the differences between the two potential use cases, i.e., airport shuttle and city-taxi services. Results show a willingness to pay for UAM services from/to airports that is greater (in a range of 44%–57%) than for travelling within the metropolitan area, and greater (in a range of 31%–44%) for business travels than for other purposes, indicating that the most financially sustainable UAM services will potentially be available for airport-shuttle connections from/to central business districts.","container-title":"Transport Policy","DOI":"10.1016/j.tranpol.2024.03.003","ISSN":"0967-070X","journalAbbreviation":"Transport Policy","page":"24-34","source":"ScienceDirect","title":"Urban Air Mobility (UAM): Airport shuttles or city-taxis?","title-short":"Urban Air Mobility (UAM)","volume":"150","author":[{"family":"Coppola","given":"Pierluigi"},{"family":"De Fabiis","given":"Francesco"},{"family":"Silvestri","given":"Fulvio"}],"issued":{"date-parts":[["2024",5,1]]}}},{"id":1342,"uris":["http://zotero.org/groups/6194892/items/AN77YNQB"],"itemData":{"id":1342,"type":"article-journal","abstract":"Urban Air Mobility (UAM) is an emerging transportation solution aiming to alleviate congestion and enhance sustainability in urban areas. Automation capabilities are evolving from manned control to full autonomy, and at each stage of this progression, the willingness to use each system represents a behavioural intention toward adoption. This study investigates willingness to use UAM for airport shuttle services across three levels of automation: Manned control, Remotely piloted, and Fully autonomous. The study employed survey data from 1613 respondents in South Korea. Using ordered logit models, we examine how socio-demographic and current airport travel behaviour influence adoption. Results show that approximately 60% of respondents were willing to use manned control UAM, whereas only about 30% expressed willingness under remotely piloted or fully autonomous UAM. Adoption patterns and predictors of adoption vary depending on the level of automation. While current travel time to the airport and the primary purpose of airport use are prominent predictors of willingness to use UAM at the manned control level, demographic characteristics, particularly gender and age, become more significant at remotely piloted and fully autonomous UAM, as the level of automation increases. The frequency of international travel consistently predicts a higher willingness to adopt UAM, regardless of the level of automation. These findings highlight the need for level-specific adoption strategies and suggest that trust and risk perception need to be addressed as automation increases. This study contributes empirical evidence for policymakers, service operators, and urban planners informing differentiated communication and integration strategies tailored to user profiles and system maturity.","container-title":"Journal of Urban Mobility","DOI":"10.1016/j.urbmob.2025.100162","ISSN":"2667-0917","journalAbbreviation":"Journal of Urban Mobility","page":"100162","source":"ScienceDirect","title":"Willingness to use urban air mobility (UAM) as an airport shuttle across levels of automation","volume":"8","author":[{"family":"Kim","given":"Soyeon"},{"family":"Zhang","given":"Kaihan"}],"issued":{"date-parts":[["2025",12,1]]}}},{"id":494,"uris":["http://zotero.org/groups/6194892/items/5FGXS3DU"],"itemData":{"id":494,"type":"article-journal","abstract":"The successful application of new technologies such as remotely piloted aircraft systems, distributed electric propulsion systems, and automatic control systems on electric vertical take-off and landing(eVTOL) aircraft has prompted Urban Air Mobility (UAM) to be mentioned frequently. UAM is a newly raised transport mode of using eVTOL aircraft to transport people and cargo in urban areas, which is thought to share some of the traffic on the ground. One of the prerequisites for UAM to operate on a regular basis is that its demand can support the operating costs, so forecasting UAM demand is necessary. We conduct UAM demand forecasting based on the four-step method, focusing on improving the third-step modal split, and propose a demand forecasting model based on the logit model. The model combines a nested logit (NL) model with a multinomial logit (MNL) model to solve the problem of non-existent UAM sharing rates. We use Chengdu, China as an example, and focus on forecasting the UAM traffic demand in 2030 with the help of the four-step method. The results show that UAM is suitable for shared operation during the early stages. With a fully shared operation, the UAM share rate increases by 0.73% for every kilometer increase in distance. Moreover, UAM is more competitive than other modes for delivery distances exceeding 15 ​km. Finally, using the distributions of the share rate and traffic flow pattern from the simulation, we propose the routes that can be prioritized for UAM operations in Chengdu.","container-title":"Green Energy and Intelligent Transportation","DOI":"10.1016/j.geits.2024.100173","ISSN":"2773-1537","issue":"3","page":"100173","source":"ScienceDirect","title":"A Demand Forecasting Model for Urban Air Mobility in Chengdu, China","volume":"3","author":[{"family":"Qu","given":"Wenqiu"},{"family":"Huang","given":"Jie"},{"family":"Li","given":"Chenglong"},{"family":"Liao","given":"Xiaohan"}],"issued":{"date-parts":[["2024",6,1]]}}},{"id":564,"uris":["http://zotero.org/groups/6194892/items/S97V5A4I"],"itemData":{"id":564,"type":"paper-conference","abstract":"Increased urbanization leads to urban traffic challenges such as increased congestion, longer travel times and more transport emissions. Electric Vertical Take-Off and Landing (eVTOL) aircrafts may offer the answer to these challenges as they can act as flying taxis and transport passengers in a fast and eco-friendly way. However, it is still unclear under what conditions consumers will prefer flying taxis over traditional transport modes. Hence, the purpose of this paper is to compare consumer preferences for eVTOLs, public transport and taxis across different travel scenarios. Thus, we perform a choice-based conjoint analysis with travelers in Germany considering price, travel time and CO2 emissions. Conducting conditional logistic regressions, we show that consumers prefer eVTOLs over traditional taxis, and also over public transport for time-sensitive trips.","container-title":"2022 IEEE International Conference on Industrial Engineering and Engineering Management (IEEM)","DOI":"10.1109/IEEM55944.2022.9989956","event-title":"2022 IEEE International Conference on Industrial Engineering and Engineering Management (IEEM)","page":"1337-1341","source":"IEEE Xplore","title":"Are Consumers Ready for Flying Taxis? A Choice-based Conjoint Analysis of eVTOLs in Germany","title-short":"Are Consumers Ready for Flying Taxis?","URL":"https://ieeexplore.ieee.org/abstract/document/9989956","author":[{"family":"Zaps","given":"R."},{"family":"Chankov","given":"S. M."}],"accessed":{"date-parts":[["2025",9,27]]},"issued":{"date-parts":[["2022",12]]}}}],"schema":"https://github.com/citation-style-language/schema/raw/master/csl-citation.json"} </w:instrText>
      </w:r>
      <w:r w:rsidRPr="00677CE8">
        <w:fldChar w:fldCharType="separate"/>
      </w:r>
      <w:r w:rsidRPr="00677CE8">
        <w:t>(</w:t>
      </w:r>
      <w:r w:rsidR="009C661C" w:rsidRPr="00677CE8">
        <w:t xml:space="preserve">For example, see </w:t>
      </w:r>
      <w:r w:rsidR="00DC5014" w:rsidRPr="00677CE8">
        <w:t xml:space="preserve">Zaps and Chankov, 2022; </w:t>
      </w:r>
      <w:r w:rsidRPr="00677CE8">
        <w:t>Coppola et al., 2024; Qu et al., 2024;</w:t>
      </w:r>
      <w:r w:rsidR="00DC5014" w:rsidRPr="00677CE8">
        <w:t xml:space="preserve"> Kim and Zhang, 2025</w:t>
      </w:r>
      <w:r w:rsidRPr="00677CE8">
        <w:t>)</w:t>
      </w:r>
      <w:r w:rsidRPr="00677CE8">
        <w:fldChar w:fldCharType="end"/>
      </w:r>
      <w:r w:rsidR="006C187A" w:rsidRPr="00677CE8">
        <w:t>,</w:t>
      </w:r>
      <w:r w:rsidRPr="00677CE8">
        <w:t xml:space="preserve"> while preferences for routine commuting are lower </w:t>
      </w:r>
      <w:r w:rsidRPr="00677CE8">
        <w:fldChar w:fldCharType="begin"/>
      </w:r>
      <w:r w:rsidR="00B7697D" w:rsidRPr="00677CE8">
        <w:instrText xml:space="preserve"> ADDIN ZOTERO_ITEM CSL_CITATION {"citationID":"JN7NkJkR","properties":{"unsorted":false,"formattedCitation":"(Fu et al., 2019; Hwang &amp; Hong, 2023; Johnson et al., 2022)","plainCitation":"(Fu et al., 2019; Hwang &amp; Hong, 2023; Johnson et al., 2022)","dontUpdate":true,"noteIndex":0},"citationItems":[{"id":482,"uris":["http://zotero.org/groups/6194892/items/97M5RJ6T"],"itemData":{"id":482,"type":"article-journal","abstract":"Urban Air Mobility (UAM) is a recent mobility concept with the potential to reduce travel time and change travel patterns. When evaluating the introduction of UAM, understanding the potential users’ choice behavior regarding current available urban transportation modes and autonomous transportation services is essential to demand estimation. This preliminary research intends to gain insight into the travel behavior impacts of autonomous transportation modes, especially UAM, by deriving measures for transportation service attributes and identifying characteristics of potential users who might adopt autonomous transportation services, particularly the services of UAM. Thus, a stated preference questionnaire was designed and distributed in Munich metropolitan region. A main mode choice multinomial logit model and several sub-models, based on market segmentation, were estimated regarding four transportation alternatives: private car, public transportation, autonomous taxi, and autonomous flying taxi. The results indicate that travel time, travel cost, and safety may be critical determinants in autonomous transportation mode adoption. The potential consumers may be willing to pay more for using autonomous transportation modes, especially the service of UAM. Among different market segments, younger individuals, as well as older individuals with high household income, are more likely to adopt UAM. In addition, during the market entry stage, potential travelers may favor UAM particularly for performing non-commuting trips.","container-title":"Transportation Research Record","DOI":"10.1177/0361198119843858","ISSN":"0361-1981","issue":"10","language":"en","page":"427-442","publisher":"SAGE Publications Inc","source":"SAGE Journals","title":"Exploring Preferences for Transportation Modes in an Urban Air Mobility Environment: Munich Case Study","volume":"2673","author":[{"family":"Fu","given":"Mengying"},{"family":"Rothfeld","given":"Raoul"},{"family":"Antoniou","given":"Constantinos"}],"issued":{"date-parts":[["2019",10,1]]}}},{"id":488,"uris":["http://zotero.org/groups/6194892/items/JMT46ABB"],"itemData":{"id":488,"type":"article-journal","abstract":"This study analyzed commuters’ intention to use urban air mobility (UAM) and the future demand for UAM based on its service characteristics and the personal characteristics of the potential users. The Seoul Metropolitan Area (SMA) was selected as the study area as it is expected to have the highest demand for UAM in South Korea. Three UAM operation scenarios were set: short-distance intra-city trips, long-distance intra-city trips, and inter-city trips. Five alternatives were assumed for the stated preference (SP) survey: bus, subway, taxi, private car, and UAM. Six alternative-specific variables were selected: access time, waiting time, boarding time, cost, autonomous mode, and the presence of other passengers. An online survey of 300 residents of SMA was conducted with 100 residents for each scenario. The residents were briefed on the modes of transportation and service characteristic of alternatives. The analysis results were as follows: (1) cost and access time significantly influenced the intention to use UAM in all scenarios. However, the effects of waiting time, boarding time, and autonomous driving on intention to use UAM differed based on the scenarios; (2) the individual characteristics of potential users had varying effects on their preference for UAM depending on the scenarios and the means of transportation, which was a counterpart to UAM. (3) The probability of choosing UAM for commuting was expected to be 10–20%, with the highest modal split for long-distance intra-city trips and the lowest modal split for short-distance intra-city trips. Among the six alternative-specific variables, autonomous driving and cost had the most significant effect on the change of the probability for using UAM. The results of this study are expected to be used as basic data for designing an effective strategy for the introduction of UAM in South Korea.","container-title":"Journal of Air Transport Management","DOI":"10.1016/j.jairtraman.2023.102467","ISSN":"0969-6997","source":"ScienceDirect","title":"A Study on the Factors Influencing the Adoption of Urban Air Mobility and the Future Demand: Using the Stated Preference Survey for Three UAM Operational Scenarios in South Korea","URL":"https://www.sciencedirect.com/science/article/pii/S0969699723001102","volume":"112","author":[{"family":"Hwang","given":"Ji-Hyon"},{"family":"Hong","given":"Sungjo"}],"accessed":{"date-parts":[["2023",9,22]]},"issued":{"date-parts":[["2023",9,1]]}}},{"id":486,"uris":["http://zotero.org/groups/6194892/items/URXXIJNY"],"itemData":{"id":486,"type":"article-journal","container-title":"The International Journal of Aerospace Psychology","DOI":"10.1080/24721840.2022.2100394","ISSN":"2472-1840","issue":"4","note":"_eprint: https://www.tandfonline.com/doi/pdf/10.1080/24721840.2022.2100394","page":"240-253","publisher":"Routledge","source":"Taylor and Francis+NEJM","title":"Technology Adoption and Acceptance of Urban Air Mobility Systems: Identifying Public Perceptions and Integration Factors","volume":"32","author":[{"family":"Johnson","given":"Ricole A."},{"family":"Miller","given":"Erika E."},{"family":"Conrad","given":"Steven"}],"issued":{"date-parts":[["2022",10,2]]}}}],"schema":"https://github.com/citation-style-language/schema/raw/master/csl-citation.json"} </w:instrText>
      </w:r>
      <w:r w:rsidRPr="00677CE8">
        <w:fldChar w:fldCharType="separate"/>
      </w:r>
      <w:r w:rsidRPr="00677CE8">
        <w:t>(Fu et al., 2019;</w:t>
      </w:r>
      <w:r w:rsidR="00DC5014" w:rsidRPr="00677CE8">
        <w:t xml:space="preserve"> Johnson et al., 2022;</w:t>
      </w:r>
      <w:r w:rsidRPr="00677CE8">
        <w:t xml:space="preserve"> Hwang </w:t>
      </w:r>
      <w:r w:rsidR="00DC5E7F" w:rsidRPr="00677CE8">
        <w:t>and</w:t>
      </w:r>
      <w:r w:rsidRPr="00677CE8">
        <w:t xml:space="preserve"> Hong, 2023)</w:t>
      </w:r>
      <w:r w:rsidRPr="00677CE8">
        <w:fldChar w:fldCharType="end"/>
      </w:r>
      <w:r w:rsidRPr="00677CE8">
        <w:t xml:space="preserve">. </w:t>
      </w:r>
      <w:r w:rsidR="005F032A">
        <w:t>Fewer studies have considered the effects of trip distance, through those that have considered this aspect of trip-making observe that a</w:t>
      </w:r>
      <w:r w:rsidRPr="00677CE8">
        <w:t>doption</w:t>
      </w:r>
      <w:r w:rsidR="006C187A" w:rsidRPr="00677CE8">
        <w:t xml:space="preserve"> </w:t>
      </w:r>
      <w:r w:rsidRPr="00677CE8">
        <w:t xml:space="preserve">tends to increase with trip distance, with elevated UAM preferences for inter-city UAM trips compared with shorter intra-city trips </w:t>
      </w:r>
      <w:r w:rsidRPr="00677CE8">
        <w:fldChar w:fldCharType="begin"/>
      </w:r>
      <w:r w:rsidR="0000054E" w:rsidRPr="00677CE8">
        <w:instrText xml:space="preserve"> ADDIN ZOTERO_ITEM CSL_CITATION {"citationID":"PMpxjH60","properties":{"unsorted":false,"formattedCitation":"(Brunelli et al., 2023; Hwang &amp; Hong, 2023; Qu et al., 2024)","plainCitation":"(Brunelli et al., 2023; Hwang &amp; Hong, 2023; Qu et al., 2024)","noteIndex":0},"citationItems":[{"id":557,"uris":["http://zotero.org/groups/6194892/items/GBHAFU7L"],"itemData":{"id":557,"type":"article-journal","abstract":"Electric vertical take-off and landing vehicles (eVTOL) are expected to be the key drivers for Urban Air Mobility (UAM) scenarios, by satisfying on-demand air travel needs in the short or mid-term. Despite the high number of eVTOL prototypes, nowadays only few studies have focused on UAM travel demand estimation, in particular Airport Shuttle demand estimation. The aim of this work is to use Stated Preference methods to collect data necessary to understand the main features of the potential UAM Airport Shuttle trip demand, also by calibrating some discrete choice models. Data were collected by both on-line surveys and face-to-face interviews, which captured mainly the Italian context. Three different Multinominal Logit models and a Mixed Logit model have been calibrated in order to identify the main variables driving people's choices for Airport Shuttle services. The results show the positive impact of income, air travel frequency and shared ride in increasing the willingness to use Airport Shuttle services. On the other hand, user that still prefers the ground transportation modes to reach the airport, high ratio between the number of cars and the driving licenses per family unit and the lack of experience with autonomous systems (i.e., driving assistance systems) seem to have a negative impact on people intention to use Airport Shuttle services.","container-title":"Transport Policy","DOI":"10.1016/j.tranpol.2023.07.019","ISSN":"0967-070X","journalAbbreviation":"Transport Policy","page":"129-139","source":"ScienceDirect","title":"SP surveys to estimate Airport Shuttle demand in an Urban Air Mobility context","volume":"141","author":[{"family":"Brunelli","given":"Matteo"},{"family":"Ditta","given":"Chiara Caterina"},{"family":"Postorino","given":"Maria Nadia"}],"issued":{"date-parts":[["2023",9,1]]}}},{"id":488,"uris":["http://zotero.org/groups/6194892/items/JMT46ABB"],"itemData":{"id":488,"type":"article-journal","abstract":"This study analyzed commuters’ intention to use urban air mobility (UAM) and the future demand for UAM based on its service characteristics and the personal characteristics of the potential users. The Seoul Metropolitan Area (SMA) was selected as the study area as it is expected to have the highest demand for UAM in South Korea. Three UAM operation scenarios were set: short-distance intra-city trips, long-distance intra-city trips, and inter-city trips. Five alternatives were assumed for the stated preference (SP) survey: bus, subway, taxi, private car, and UAM. Six alternative-specific variables were selected: access time, waiting time, boarding time, cost, autonomous mode, and the presence of other passengers. An online survey of 300 residents of SMA was conducted with 100 residents for each scenario. The residents were briefed on the modes of transportation and service characteristic of alternatives. The analysis results were as follows: (1) cost and access time significantly influenced the intention to use UAM in all scenarios. However, the effects of waiting time, boarding time, and autonomous driving on intention to use UAM differed based on the scenarios; (2) the individual characteristics of potential users had varying effects on their preference for UAM depending on the scenarios and the means of transportation, which was a counterpart to UAM. (3) The probability of choosing UAM for commuting was expected to be 10–20%, with the highest modal split for long-distance intra-city trips and the lowest modal split for short-distance intra-city trips. Among the six alternative-specific variables, autonomous driving and cost had the most significant effect on the change of the probability for using UAM. The results of this study are expected to be used as basic data for designing an effective strategy for the introduction of UAM in South Korea.","container-title":"Journal of Air Transport Management","DOI":"10.1016/j.jairtraman.2023.102467","ISSN":"0969-6997","source":"ScienceDirect","title":"A Study on the Factors Influencing the Adoption of Urban Air Mobility and the Future Demand: Using the Stated Preference Survey for Three UAM Operational Scenarios in South Korea","URL":"https://www.sciencedirect.com/science/article/pii/S0969699723001102","volume":"112","author":[{"family":"Hwang","given":"Ji-Hyon"},{"family":"Hong","given":"Sungjo"}],"accessed":{"date-parts":[["2023",9,22]]},"issued":{"date-parts":[["2023",9,1]]}}},{"id":494,"uris":["http://zotero.org/groups/6194892/items/5FGXS3DU"],"itemData":{"id":494,"type":"article-journal","abstract":"The successful application of new technologies such as remotely piloted aircraft systems, distributed electric propulsion systems, and automatic control systems on electric vertical take-off and landing(eVTOL) aircraft has prompted Urban Air Mobility (UAM) to be mentioned frequently. UAM is a newly raised transport mode of using eVTOL aircraft to transport people and cargo in urban areas, which is thought to share some of the traffic on the ground. One of the prerequisites for UAM to operate on a regular basis is that its demand can support the operating costs, so forecasting UAM demand is necessary. We conduct UAM demand forecasting based on the four-step method, focusing on improving the third-step modal split, and propose a demand forecasting model based on the logit model. The model combines a nested logit (NL) model with a multinomial logit (MNL) model to solve the problem of non-existent UAM sharing rates. We use Chengdu, China as an example, and focus on forecasting the UAM traffic demand in 2030 with the help of the four-step method. The results show that UAM is suitable for shared operation during the early stages. With a fully shared operation, the UAM share rate increases by 0.73% for every kilometer increase in distance. Moreover, UAM is more competitive than other modes for delivery distances exceeding 15 ​km. Finally, using the distributions of the share rate and traffic flow pattern from the simulation, we propose the routes that can be prioritized for UAM operations in Chengdu.","container-title":"Green Energy and Intelligent Transportation","DOI":"10.1016/j.geits.2024.100173","ISSN":"2773-1537","issue":"3","page":"100173","source":"ScienceDirect","title":"A Demand Forecasting Model for Urban Air Mobility in Chengdu, China","volume":"3","author":[{"family":"Qu","given":"Wenqiu"},{"family":"Huang","given":"Jie"},{"family":"Li","given":"Chenglong"},{"family":"Liao","given":"Xiaohan"}],"issued":{"date-parts":[["2024",6,1]]}}}],"schema":"https://github.com/citation-style-language/schema/raw/master/csl-citation.json"} </w:instrText>
      </w:r>
      <w:r w:rsidRPr="00677CE8">
        <w:fldChar w:fldCharType="separate"/>
      </w:r>
      <w:r w:rsidR="0000054E" w:rsidRPr="00677CE8">
        <w:t xml:space="preserve">(Brunelli et al., 2023; Hwang </w:t>
      </w:r>
      <w:r w:rsidR="00963916" w:rsidRPr="00677CE8">
        <w:t>and</w:t>
      </w:r>
      <w:r w:rsidR="0000054E" w:rsidRPr="00677CE8">
        <w:t xml:space="preserve"> Hong, 2023; Qu et al., 2024)</w:t>
      </w:r>
      <w:r w:rsidRPr="00677CE8">
        <w:fldChar w:fldCharType="end"/>
      </w:r>
      <w:r w:rsidRPr="00677CE8">
        <w:t>. These findings highlight that UAM adoption is likely to be shaped not only by service attributes, but also by the trip context.</w:t>
      </w:r>
    </w:p>
    <w:p w14:paraId="2A4EC606" w14:textId="77777777" w:rsidR="00FF417D" w:rsidRPr="00677CE8" w:rsidRDefault="00FF417D" w:rsidP="00FF417D">
      <w:pPr>
        <w:spacing w:after="0" w:line="240" w:lineRule="auto"/>
        <w:ind w:firstLine="720"/>
        <w:jc w:val="both"/>
      </w:pPr>
    </w:p>
    <w:p w14:paraId="2B0F978B" w14:textId="77777777" w:rsidR="00FF417D" w:rsidRPr="00677CE8" w:rsidRDefault="00FF417D" w:rsidP="00B167AC">
      <w:pPr>
        <w:pStyle w:val="Heading2"/>
        <w:keepNext/>
        <w:keepLines/>
        <w:spacing w:after="0" w:line="240" w:lineRule="auto"/>
        <w:jc w:val="both"/>
      </w:pPr>
      <w:r w:rsidRPr="00677CE8">
        <w:t>2.2 Individual-Level Characteristics</w:t>
      </w:r>
    </w:p>
    <w:p w14:paraId="6A64825D" w14:textId="6818F789" w:rsidR="009924B6" w:rsidRPr="00677CE8" w:rsidRDefault="00C45731" w:rsidP="00F132EE">
      <w:pPr>
        <w:spacing w:after="0" w:line="240" w:lineRule="auto"/>
        <w:jc w:val="both"/>
      </w:pPr>
      <w:r w:rsidRPr="00677CE8">
        <w:t>S</w:t>
      </w:r>
      <w:r w:rsidR="00976D04" w:rsidRPr="00677CE8">
        <w:t>ome earlier studies have identified attitudinal factors that shape UAM adoption decisions, often based on the Theory of Planned Behavior (TPB) and Technology Acceptance Model (TAM) frameworks</w:t>
      </w:r>
      <w:r w:rsidR="00896B74" w:rsidRPr="00677CE8">
        <w:t xml:space="preserve"> </w:t>
      </w:r>
      <w:r w:rsidR="00896B74" w:rsidRPr="00677CE8">
        <w:fldChar w:fldCharType="begin"/>
      </w:r>
      <w:r w:rsidR="00B7697D" w:rsidRPr="00677CE8">
        <w:instrText xml:space="preserve"> ADDIN ZOTERO_ITEM CSL_CITATION {"citationID":"f5NomFJE","properties":{"formattedCitation":"(Ajzen, 1991; Davis, 1989; Vankatesh &amp; Davis, 2000)","plainCitation":"(Ajzen, 1991; Davis, 1989; Vankatesh &amp; Davis, 2000)","dontUpdate":true,"noteIndex":0},"citationItems":[{"id":1663,"uris":["http://zotero.org/groups/6194892/items/CG68BC6U"],"itemData":{"id":1663,"type":"article-journal","container-title":"Management Science","DOI":"https://doi.org/10.1287/mnsc.46.2.186.11926","title":"A Theoretical Extension of the Technology Acceptance Model: Four Longitudinal Field Studies","URL":"https://pubsonline.informs.org/doi/abs/10.1287/mnsc.46.2.186.11926","volume":"12","author":[{"family":"Vankatesh","given":"Viswanath"},{"family":"Davis","given":"Fred D."}],"accessed":{"date-parts":[["2026",4,29]]},"issued":{"date-parts":[["2000"]]}}},{"id":1648,"uris":["http://zotero.org/groups/6194892/items/J5AWBS7C"],"itemData":{"id":1648,"type":"article-journal","abstract":"Research dealing with various aspects of the theory of planned behavior (Ajzen, 1985, Ajzen, 1987) is reviewed, and some unresolved issues are discussed. In broad terms, the theory is found to be well supported by empirical evidence. Intentions to perform behaviors of different kinds can be predicted with high accuracy from attitudes toward the behavior, subjective norms, and perceived behavioral control; and these intentions, together with perceptions of behavioral control, account for considerable variance in actual behavior. Attitudes, subjective norms, and perceived behavioral control are shown to be related to appropriate sets of salient behavioral, normative, and control beliefs about the behavior, but the exact nature of these relations is still uncertain. Expectancy-value formulations are found to be only partly successful in dealing with these relations. Optimal rescaling of expectancy and value measures is offered as a means of dealing with measurement limitations. Finally, inclusion of past behavior in the prediction equation is shown to provide a means of testing the theory's sufficiency, another issue that remains unresolved. The limited available evidence concerning this question shows that the theory is predicting behavior quite well in comparison to the ceiling imposed by behavioral reliability.","collection-title":"Theories of Cognitive Self-Regulation","container-title":"Organizational Behavior and Human Decision Processes","DOI":"10.1016/0749-5978(91)90020-T","ISSN":"0749-5978","issue":"2","journalAbbreviation":"Organizational Behavior and Human Decision Processes","page":"179-211","source":"ScienceDirect","title":"The theory of planned behavior","volume":"50","author":[{"family":"Ajzen","given":"Icek"}],"issued":{"date-parts":[["1991",12,1]]}}},{"id":1662,"uris":["http://zotero.org/groups/6194892/items/H78P2KIY"],"itemData":{"id":1662,"type":"article-journal","abstract":"Valid measurement scales for predicting user acceptance of computers are in short supply. Most subjective measures used in practice are unvalidated, and th","container-title":"MIS Quarterly","DOI":"https://dx.doi.org/10.2307/249008","issue":"3","language":"en","page":"319-340","source":"misq.umn.edu","title":"Perceived Usefulness, Perceived Ease of Use, and User Acceptance of Information Technology","volume":"13","author":[{"family":"Davis","given":"Fred D."}],"issued":{"date-parts":[["1989"]]}}}],"schema":"https://github.com/citation-style-language/schema/raw/master/csl-citation.json"} </w:instrText>
      </w:r>
      <w:r w:rsidR="00896B74" w:rsidRPr="00677CE8">
        <w:fldChar w:fldCharType="separate"/>
      </w:r>
      <w:r w:rsidR="00896B74" w:rsidRPr="00677CE8">
        <w:t>(</w:t>
      </w:r>
      <w:r w:rsidR="00DC5014" w:rsidRPr="00677CE8">
        <w:t xml:space="preserve">Davis, 1989; </w:t>
      </w:r>
      <w:r w:rsidR="00896B74" w:rsidRPr="00677CE8">
        <w:t>Ajzen, 1991; V</w:t>
      </w:r>
      <w:r w:rsidR="005F032A">
        <w:t>e</w:t>
      </w:r>
      <w:r w:rsidR="00896B74" w:rsidRPr="00677CE8">
        <w:t>nkatesh and Davis, 2000)</w:t>
      </w:r>
      <w:r w:rsidR="00896B74" w:rsidRPr="00677CE8">
        <w:fldChar w:fldCharType="end"/>
      </w:r>
      <w:r w:rsidR="00976D04" w:rsidRPr="00677CE8">
        <w:t>.</w:t>
      </w:r>
      <w:r w:rsidR="003E050E" w:rsidRPr="00677CE8">
        <w:t xml:space="preserve"> Within these frameworks, perceptions of usefulness and ease of use,</w:t>
      </w:r>
      <w:r w:rsidR="00DE32E1" w:rsidRPr="00677CE8">
        <w:t xml:space="preserve"> </w:t>
      </w:r>
      <w:r w:rsidR="003E050E" w:rsidRPr="00677CE8">
        <w:t>attitudes</w:t>
      </w:r>
      <w:r w:rsidR="00DE32E1" w:rsidRPr="00677CE8">
        <w:t>,</w:t>
      </w:r>
      <w:r w:rsidR="003E050E" w:rsidRPr="00677CE8">
        <w:t xml:space="preserve"> and subjective norms shape behavioral intentions</w:t>
      </w:r>
      <w:r w:rsidR="00145176" w:rsidRPr="00677CE8">
        <w:t xml:space="preserve"> alongside contextual characteristics</w:t>
      </w:r>
      <w:r w:rsidR="005F032A">
        <w:t xml:space="preserve"> (see the third column of Table 1)</w:t>
      </w:r>
      <w:r w:rsidR="00DE32E1" w:rsidRPr="00677CE8">
        <w:t>.</w:t>
      </w:r>
      <w:r w:rsidR="00976D04" w:rsidRPr="00677CE8">
        <w:t xml:space="preserve"> For example, high levels of technological savviness and personal innovativeness promote UAM adoption</w:t>
      </w:r>
      <w:r w:rsidR="00DE32E1" w:rsidRPr="00677CE8">
        <w:t xml:space="preserve"> </w:t>
      </w:r>
      <w:r w:rsidR="00DE32E1" w:rsidRPr="00677CE8">
        <w:fldChar w:fldCharType="begin"/>
      </w:r>
      <w:r w:rsidR="005B1DA0" w:rsidRPr="00677CE8">
        <w:instrText xml:space="preserve"> ADDIN ZOTERO_ITEM CSL_CITATION {"citationID":"yEIuew1d","properties":{"unsorted":false,"formattedCitation":"(Johnson et al., 2022; Karami et al., 2024; Yavuz, 2024)","plainCitation":"(Johnson et al., 2022; Karami et al., 2024; Yavuz, 2024)","noteIndex":0},"citationItems":[{"id":486,"uris":["http://zotero.org/groups/6194892/items/URXXIJNY"],"itemData":{"id":486,"type":"article-journal","container-title":"The International Journal of Aerospace Psychology","DOI":"10.1080/24721840.2022.2100394","ISSN":"2472-1840","issue":"4","note":"_eprint: https://www.tandfonline.com/doi/pdf/10.1080/24721840.2022.2100394","page":"240-253","publisher":"Routledge","source":"Taylor and Francis+NEJM","title":"Technology Adoption and Acceptance of Urban Air Mobility Systems: Identifying Public Perceptions and Integration Factors","volume":"32","author":[{"family":"Johnson","given":"Ricole A."},{"family":"Miller","given":"Erika E."},{"family":"Conrad","given":"Steven"}],"issued":{"date-parts":[["2022",10,2]]}}},{"id":492,"uris":["http://zotero.org/groups/6194892/items/ANB97BVJ"],"itemData":{"id":492,"type":"article-journal","abstract":"The integration of shared, autonomous, electric, and on-demand mobility services introduces urban air mobility (UAM) as an emerging intra-city transportation service operated by vertical take-off and landing aircraft. Despite the potential benefits of UAM limited literature exists on the end user's perception and the challenges to its societal acceptance, especially in developing economies. This paper addresses this gap in the literature by investigating the factors influencing UAM usage intention in Tehran, a developing country capital. Within the framework of the extended technology acceptance model, the study collected 828 valid questionnaires through a face-to-face survey. Structural equation modeling is employed to highlight the effects of a wide range of factors associated with individual differences, system characteristics, and social influence. The findings indicate that attitude, subjective norms, trust, perceived usefulness, perceived enjoyment, personal innovativeness, ecological awareness, and price evaluation are positively associated with UAM usage intention, while perceived safety correlates with the attitude toward UAM negatively. These findings provide valuable insights for policymakers and industry stakeholders, fostering a deeper understanding of end-user perspectives in developing countries, and prudently promising the potential for its targeted implementation. The study suggests that although its widespread adoption in developing countries is unlikely to occur in the near future, UAM should be regarded as a viable early and timely solution to persistent issues such as chronic congestion in metropolitan areas of the global south.","container-title":"Transport Policy","DOI":"10.1016/j.tranpol.2023.10.010","ISSN":"0967-070X","page":"74-84","source":"ScienceDirect","title":"Unraveling Behavioral Factors Influencing the Adoption of Urban Air Mobility from the End User's Perspective in Tehran – A Developing Country Outlook","volume":"145","author":[{"family":"Karami","given":"Hossein"},{"family":"Abbasi","given":"Mohammadhossein"},{"family":"Samadzad","given":"Mahdi"},{"family":"Karami","given":"Ali"}],"issued":{"date-parts":[["2024",1,1]]}}},{"id":496,"uris":["http://zotero.org/groups/6194892/items/6UYT4TZT"],"itemData":{"id":496,"type":"article-journal","abstract":"AVs and UAM will provide many benefits. However, lack of user acceptance is the predominant barrier to the adoption of automated transport technologies. Yet, little is known about AV and UAM acceptability in developing countries. To this end, this study investigates the factors affecting the acceptability of AVs and UAM in Türkiye. The sample was drawn from 369 university students. An extended UTAUT model was established with additional hedonic motivation, perceived safety, and personal innovativeness constructs. Findings revealed that perceived safety and performance expectancy were the strongest determinants of behavioral intention to use AVs. On the other hand, social influence and hedonic motivation were the main drivers of UAM acceptability. Furthermore, personal innovativeness was a strong factor when estimating the utilitarian value in both models. The findings could guide the politicians, scholars, and stakeholders of the AV and the UAM market.","container-title":"Journal of Air Transport Management","DOI":"10.1016/j.jairtraman.2024.102546","ISSN":"0969-6997","page":"102546","source":"ScienceDirect","title":"Exploring University Students’ Acceptability of Autonomous Vehicles and Urban Air Mobility","volume":"115","author":[{"family":"Yavuz","given":"Yigit Can"}],"issued":{"date-parts":[["2024",3,1]]}}}],"schema":"https://github.com/citation-style-language/schema/raw/master/csl-citation.json"} </w:instrText>
      </w:r>
      <w:r w:rsidR="00DE32E1" w:rsidRPr="00677CE8">
        <w:fldChar w:fldCharType="separate"/>
      </w:r>
      <w:r w:rsidR="005B1DA0" w:rsidRPr="00677CE8">
        <w:t>(Johnson et al., 2022; Karami et al., 2024; Yavuz, 2024)</w:t>
      </w:r>
      <w:r w:rsidR="00DE32E1" w:rsidRPr="00677CE8">
        <w:fldChar w:fldCharType="end"/>
      </w:r>
      <w:r w:rsidR="00DE32E1" w:rsidRPr="00677CE8">
        <w:t xml:space="preserve">. These effects are </w:t>
      </w:r>
      <w:r w:rsidR="00EB719E" w:rsidRPr="00677CE8">
        <w:t>associated with increased</w:t>
      </w:r>
      <w:r w:rsidR="0072426C" w:rsidRPr="00677CE8">
        <w:t xml:space="preserve"> perceived usefulness in the context of TAM</w:t>
      </w:r>
      <w:r w:rsidR="00DE32E1" w:rsidRPr="00677CE8">
        <w:t>,</w:t>
      </w:r>
      <w:r w:rsidR="0072426C" w:rsidRPr="00677CE8">
        <w:t xml:space="preserve"> and</w:t>
      </w:r>
      <w:r w:rsidR="00EB719E" w:rsidRPr="00677CE8">
        <w:t xml:space="preserve"> more favorable</w:t>
      </w:r>
      <w:r w:rsidR="0072426C" w:rsidRPr="00677CE8">
        <w:t xml:space="preserve"> attitudes towards UAM within the TPB </w:t>
      </w:r>
      <w:r w:rsidR="0072426C" w:rsidRPr="00677CE8">
        <w:fldChar w:fldCharType="begin"/>
      </w:r>
      <w:r w:rsidR="00DE32E1" w:rsidRPr="00677CE8">
        <w:instrText xml:space="preserve"> ADDIN ZOTERO_ITEM CSL_CITATION {"citationID":"s3XjbgKJ","properties":{"unsorted":false,"formattedCitation":"(Karami et al., 2024; Mostofi et al., 2024; Yavuz, 2024)","plainCitation":"(Karami et al., 2024; Mostofi et al., 2024; Yavuz, 2024)","noteIndex":0},"citationItems":[{"id":492,"uris":["http://zotero.org/groups/6194892/items/ANB97BVJ"],"itemData":{"id":492,"type":"article-journal","abstract":"The integration of shared, autonomous, electric, and on-demand mobility services introduces urban air mobility (UAM) as an emerging intra-city transportation service operated by vertical take-off and landing aircraft. Despite the potential benefits of UAM limited literature exists on the end user's perception and the challenges to its societal acceptance, especially in developing economies. This paper addresses this gap in the literature by investigating the factors influencing UAM usage intention in Tehran, a developing country capital. Within the framework of the extended technology acceptance model, the study collected 828 valid questionnaires through a face-to-face survey. Structural equation modeling is employed to highlight the effects of a wide range of factors associated with individual differences, system characteristics, and social influence. The findings indicate that attitude, subjective norms, trust, perceived usefulness, perceived enjoyment, personal innovativeness, ecological awareness, and price evaluation are positively associated with UAM usage intention, while perceived safety correlates with the attitude toward UAM negatively. These findings provide valuable insights for policymakers and industry stakeholders, fostering a deeper understanding of end-user perspectives in developing countries, and prudently promising the potential for its targeted implementation. The study suggests that although its widespread adoption in developing countries is unlikely to occur in the near future, UAM should be regarded as a viable early and timely solution to persistent issues such as chronic congestion in metropolitan areas of the global south.","container-title":"Transport Policy","DOI":"10.1016/j.tranpol.2023.10.010","ISSN":"0967-070X","page":"74-84","source":"ScienceDirect","title":"Unraveling Behavioral Factors Influencing the Adoption of Urban Air Mobility from the End User's Perspective in Tehran – A Developing Country Outlook","volume":"145","author":[{"family":"Karami","given":"Hossein"},{"family":"Abbasi","given":"Mohammadhossein"},{"family":"Samadzad","given":"Mahdi"},{"family":"Karami","given":"Ali"}],"issued":{"date-parts":[["2024",1,1]]}}},{"id":1339,"uris":["http://zotero.org/groups/6194892/items/LX4YIDQF"],"itemData":{"id":1339,"type":"article-journal","abstract":"Urban air mobility (UAM) holds great promise as an expansion of the transportation system in cities. Despite the progress in UAM technology, there remains significant uncertainty surrounding how the public will accept and react to these mobility services. This study employed a structural equation model (SEM) to construct a comprehensive framework that delves into the factors influencing public attitudes toward air taxis. Data for the model is derived from a sequential exploratory mixed methods approach. The initial phase involved identifying acceptance factors towards air taxis through five focus groups, laying the foundation for the subsequent structural model development. A survey involving 819 participants was conducted in Germany in the next phase. The latent variables in this model are the expected benefits, expected risks, and the personal level of technophilia. The results show that rising stress levels through new air traffic flows, noise, and blocking sky views affect negative attitudes toward air taxis in public spaces. In contrast, the user expectation of avoiding traffic jams and achieving time savings contributes positively. Additionally, people who are more technophilic tend to have a more positive attitude toward air taxis. However, the perceived negative consequences of air taxis exert more substantial and stronger influences on public attitude than the expected benefits. By introducing the acceptance factors and relevant dimensions of a public attitude, this study provides insights to shape the design of UAM in accordance with the common good.","container-title":"Transportation Research Interdisciplinary Perspectives","DOI":"10.1016/j.trip.2024.101045","ISSN":"2590-1982","journalAbbreviation":"Transportation Research Interdisciplinary Perspectives","page":"101045","source":"ScienceDirect","title":"Modelling public attitude towards air taxis in Germany","volume":"24","author":[{"family":"Mostofi","given":"Hamid"},{"family":"Biehle","given":"Tobias"},{"family":"Kellermann","given":"Robin"},{"family":"Dienel","given":"Hans-Liudger"}],"issued":{"date-parts":[["2024",3,1]]}}},{"id":496,"uris":["http://zotero.org/groups/6194892/items/6UYT4TZT"],"itemData":{"id":496,"type":"article-journal","abstract":"AVs and UAM will provide many benefits. However, lack of user acceptance is the predominant barrier to the adoption of automated transport technologies. Yet, little is known about AV and UAM acceptability in developing countries. To this end, this study investigates the factors affecting the acceptability of AVs and UAM in Türkiye. The sample was drawn from 369 university students. An extended UTAUT model was established with additional hedonic motivation, perceived safety, and personal innovativeness constructs. Findings revealed that perceived safety and performance expectancy were the strongest determinants of behavioral intention to use AVs. On the other hand, social influence and hedonic motivation were the main drivers of UAM acceptability. Furthermore, personal innovativeness was a strong factor when estimating the utilitarian value in both models. The findings could guide the politicians, scholars, and stakeholders of the AV and the UAM market.","container-title":"Journal of Air Transport Management","DOI":"10.1016/j.jairtraman.2024.102546","ISSN":"0969-6997","page":"102546","source":"ScienceDirect","title":"Exploring University Students’ Acceptability of Autonomous Vehicles and Urban Air Mobility","volume":"115","author":[{"family":"Yavuz","given":"Yigit Can"}],"issued":{"date-parts":[["2024",3,1]]}}}],"schema":"https://github.com/citation-style-language/schema/raw/master/csl-citation.json"} </w:instrText>
      </w:r>
      <w:r w:rsidR="0072426C" w:rsidRPr="00677CE8">
        <w:fldChar w:fldCharType="separate"/>
      </w:r>
      <w:r w:rsidR="0072426C" w:rsidRPr="00677CE8">
        <w:t>(Karami et al., 2024; Mostofi et al., 2024; Yavuz, 2024)</w:t>
      </w:r>
      <w:r w:rsidR="0072426C" w:rsidRPr="00677CE8">
        <w:fldChar w:fldCharType="end"/>
      </w:r>
      <w:r w:rsidR="00976D04" w:rsidRPr="00677CE8">
        <w:t>. Similarly, favorable views of automation or prior experience with autonomous systems increase adoption</w:t>
      </w:r>
      <w:r w:rsidR="00DE32E1" w:rsidRPr="00677CE8">
        <w:t xml:space="preserve"> </w:t>
      </w:r>
      <w:r w:rsidR="00DE32E1" w:rsidRPr="00677CE8">
        <w:fldChar w:fldCharType="begin"/>
      </w:r>
      <w:r w:rsidR="00DE32E1" w:rsidRPr="00677CE8">
        <w:instrText xml:space="preserve"> ADDIN ZOTERO_ITEM CSL_CITATION {"citationID":"3vFVrLo1","properties":{"unsorted":false,"formattedCitation":"(Al Haddad et al., 2020; Brunelli et al., 2023)","plainCitation":"(Al Haddad et al., 2020; Brunelli et al., 2023)","noteIndex":0},"citationItems":[{"id":484,"uris":["http://zotero.org/groups/6194892/items/ZS2ZU8K2"],"itemData":{"id":484,"type":"article-journal","abstract":"Technological advances have recently led to the development of urban air mobility (UAM), an alternative transportation mode with several concepts including vehicles operated by on-demand fully-automated vertical take-off and landing aircraft (VTOL) for intra-city passenger transportation. However, despite a growing interest in UAM, understanding users’ perceptions to it remains limited. This research aims to identify and quantify the factors affecting the adoption and use of UAM, based on relevant tools from the literature, such as recurring factors in studies on aerial vehicle concepts, ground autonomous vehicles, but also acceptance models, such as the Technology Acceptance Model by Davis et al. (1989). A stated-preference survey was developed to assess the perception of users in terms of adoption time horizon, including options such as the first six years of the service’s implementation, “unsure”, and “never”. The obtained results were evaluated using exploratory factor analyses, and the specification and estimation of suitable discrete choice models, multinomial logit models (MNLs) and ordered logit models (OLMs), with adoption time horizon as dependent variable. Findings revealed the importance of safety and trust, affinity to automation, data concerns, social attitude, and socio-demographics for adoption. Factors, such as the value of time savings, the perception of automation costs, and service reliability, were also found to be highly influential. There was also an indication that skeptical respondents, i.e. answering “unsure”, had a behavior similar to late and non-adopters, i.e. adoption time horizon higher than six years or answering “never”. The summarized results were represented in an extended Technology Acceptance Model for urban air mobility, and provided insights for policymakers and industrial stakeholders.","container-title":"Transportation Research Part A: Policy and Practice","DOI":"10.1016/j.tra.2019.12.020","ISSN":"0965-8564","page":"696-712","source":"ScienceDirect","title":"Factors Affecting the Adoption and Use of Urban Air Mobility","volume":"132","author":[{"family":"Al Haddad","given":"Christelle"},{"family":"Chaniotakis","given":"Emmanouil"},{"family":"Straubinger","given":"Anna"},{"family":"Plötner","given":"Kay"},{"family":"Antoniou","given":"Constantinos"}],"issued":{"date-parts":[["2020",2,1]]}}},{"id":557,"uris":["http://zotero.org/groups/6194892/items/GBHAFU7L"],"itemData":{"id":557,"type":"article-journal","abstract":"Electric vertical take-off and landing vehicles (eVTOL) are expected to be the key drivers for Urban Air Mobility (UAM) scenarios, by satisfying on-demand air travel needs in the short or mid-term. Despite the high number of eVTOL prototypes, nowadays only few studies have focused on UAM travel demand estimation, in particular Airport Shuttle demand estimation. The aim of this work is to use Stated Preference methods to collect data necessary to understand the main features of the potential UAM Airport Shuttle trip demand, also by calibrating some discrete choice models. Data were collected by both on-line surveys and face-to-face interviews, which captured mainly the Italian context. Three different Multinominal Logit models and a Mixed Logit model have been calibrated in order to identify the main variables driving people's choices for Airport Shuttle services. The results show the positive impact of income, air travel frequency and shared ride in increasing the willingness to use Airport Shuttle services. On the other hand, user that still prefers the ground transportation modes to reach the airport, high ratio between the number of cars and the driving licenses per family unit and the lack of experience with autonomous systems (i.e., driving assistance systems) seem to have a negative impact on people intention to use Airport Shuttle services.","container-title":"Transport Policy","DOI":"10.1016/j.tranpol.2023.07.019","ISSN":"0967-070X","journalAbbreviation":"Transport Policy","page":"129-139","source":"ScienceDirect","title":"SP surveys to estimate Airport Shuttle demand in an Urban Air Mobility context","volume":"141","author":[{"family":"Brunelli","given":"Matteo"},{"family":"Ditta","given":"Chiara Caterina"},{"family":"Postorino","given":"Maria Nadia"}],"issued":{"date-parts":[["2023",9,1]]}}}],"schema":"https://github.com/citation-style-language/schema/raw/master/csl-citation.json"} </w:instrText>
      </w:r>
      <w:r w:rsidR="00DE32E1" w:rsidRPr="00677CE8">
        <w:fldChar w:fldCharType="separate"/>
      </w:r>
      <w:r w:rsidR="00DE32E1" w:rsidRPr="00677CE8">
        <w:t>(Al Haddad et al., 2020; Brunelli et al., 2023)</w:t>
      </w:r>
      <w:r w:rsidR="00DE32E1" w:rsidRPr="00677CE8">
        <w:fldChar w:fldCharType="end"/>
      </w:r>
      <w:r w:rsidR="00DE32E1" w:rsidRPr="00677CE8">
        <w:t xml:space="preserve">. </w:t>
      </w:r>
      <w:r w:rsidR="00303898" w:rsidRPr="00677CE8">
        <w:t>This relationship also has</w:t>
      </w:r>
      <w:r w:rsidR="00EB719E" w:rsidRPr="00677CE8">
        <w:t xml:space="preserve"> also</w:t>
      </w:r>
      <w:r w:rsidR="00303898" w:rsidRPr="00677CE8">
        <w:t xml:space="preserve"> been modeled as driving adoption via </w:t>
      </w:r>
      <w:r w:rsidR="0072426C" w:rsidRPr="00677CE8">
        <w:t>perceived usefulness</w:t>
      </w:r>
      <w:r w:rsidR="00303898" w:rsidRPr="00677CE8">
        <w:t>, aligning closely with the role of</w:t>
      </w:r>
      <w:r w:rsidR="00EB719E" w:rsidRPr="00677CE8">
        <w:t xml:space="preserve"> </w:t>
      </w:r>
      <w:r w:rsidR="00437F92" w:rsidRPr="00677CE8">
        <w:t>tech-</w:t>
      </w:r>
      <w:r w:rsidR="00EB719E" w:rsidRPr="00677CE8">
        <w:t xml:space="preserve">savviness </w:t>
      </w:r>
      <w:r w:rsidR="00303898" w:rsidRPr="00677CE8">
        <w:t>within behavioral models of technology adoption</w:t>
      </w:r>
      <w:r w:rsidR="0072426C" w:rsidRPr="00677CE8">
        <w:t xml:space="preserve"> </w:t>
      </w:r>
      <w:r w:rsidR="00976D04" w:rsidRPr="00677CE8">
        <w:fldChar w:fldCharType="begin"/>
      </w:r>
      <w:r w:rsidR="00DE32E1" w:rsidRPr="00677CE8">
        <w:instrText xml:space="preserve"> ADDIN ZOTERO_ITEM CSL_CITATION {"citationID":"fzP7UNhK","properties":{"unsorted":false,"formattedCitation":"(Al Haddad et al., 2020)","plainCitation":"(Al Haddad et al., 2020)","noteIndex":0},"citationItems":[{"id":484,"uris":["http://zotero.org/groups/6194892/items/ZS2ZU8K2"],"itemData":{"id":484,"type":"article-journal","abstract":"Technological advances have recently led to the development of urban air mobility (UAM), an alternative transportation mode with several concepts including vehicles operated by on-demand fully-automated vertical take-off and landing aircraft (VTOL) for intra-city passenger transportation. However, despite a growing interest in UAM, understanding users’ perceptions to it remains limited. This research aims to identify and quantify the factors affecting the adoption and use of UAM, based on relevant tools from the literature, such as recurring factors in studies on aerial vehicle concepts, ground autonomous vehicles, but also acceptance models, such as the Technology Acceptance Model by Davis et al. (1989). A stated-preference survey was developed to assess the perception of users in terms of adoption time horizon, including options such as the first six years of the service’s implementation, “unsure”, and “never”. The obtained results were evaluated using exploratory factor analyses, and the specification and estimation of suitable discrete choice models, multinomial logit models (MNLs) and ordered logit models (OLMs), with adoption time horizon as dependent variable. Findings revealed the importance of safety and trust, affinity to automation, data concerns, social attitude, and socio-demographics for adoption. Factors, such as the value of time savings, the perception of automation costs, and service reliability, were also found to be highly influential. There was also an indication that skeptical respondents, i.e. answering “unsure”, had a behavior similar to late and non-adopters, i.e. adoption time horizon higher than six years or answering “never”. The summarized results were represented in an extended Technology Acceptance Model for urban air mobility, and provided insights for policymakers and industrial stakeholders.","container-title":"Transportation Research Part A: Policy and Practice","DOI":"10.1016/j.tra.2019.12.020","ISSN":"0965-8564","page":"696-712","source":"ScienceDirect","title":"Factors Affecting the Adoption and Use of Urban Air Mobility","volume":"132","author":[{"family":"Al Haddad","given":"Christelle"},{"family":"Chaniotakis","given":"Emmanouil"},{"family":"Straubinger","given":"Anna"},{"family":"Plötner","given":"Kay"},{"family":"Antoniou","given":"Constantinos"}],"issued":{"date-parts":[["2020",2,1]]}}}],"schema":"https://github.com/citation-style-language/schema/raw/master/csl-citation.json"} </w:instrText>
      </w:r>
      <w:r w:rsidR="00976D04" w:rsidRPr="00677CE8">
        <w:fldChar w:fldCharType="separate"/>
      </w:r>
      <w:r w:rsidR="0072426C" w:rsidRPr="00677CE8">
        <w:t>(Al Haddad et al., 2020)</w:t>
      </w:r>
      <w:r w:rsidR="00976D04" w:rsidRPr="00677CE8">
        <w:fldChar w:fldCharType="end"/>
      </w:r>
      <w:r w:rsidR="00976D04" w:rsidRPr="00677CE8">
        <w:t>. Additionally, attitudes relating to current</w:t>
      </w:r>
      <w:r w:rsidR="00976D04" w:rsidRPr="00677CE8">
        <w:rPr>
          <w:b/>
          <w:bCs/>
        </w:rPr>
        <w:t xml:space="preserve"> </w:t>
      </w:r>
      <w:r w:rsidR="00976D04" w:rsidRPr="00677CE8">
        <w:t xml:space="preserve">travel experiences can shape mode selection, with an inverse relationship between ground-mode satisfaction and UAM adoption </w:t>
      </w:r>
      <w:r w:rsidR="00976D04" w:rsidRPr="00677CE8">
        <w:fldChar w:fldCharType="begin"/>
      </w:r>
      <w:r w:rsidR="00B7697D" w:rsidRPr="00677CE8">
        <w:instrText xml:space="preserve"> ADDIN ZOTERO_ITEM CSL_CITATION {"citationID":"hR2GxJD0","properties":{"formattedCitation":"(Adamidis et al., 2025; Brunelli et al., 2023; Karimi et al., 2024)","plainCitation":"(Adamidis et al., 2025; Brunelli et al., 2023; Karimi et al., 2024)","dontUpdate":true,"noteIndex":0},"citationItems":[{"id":560,"uris":["http://zotero.org/groups/6194892/items/MKSZW5M8"],"itemData":{"id":560,"type":"article-journal","abstract":"The increasing use of commercial aviation in the last decades has urged us to reconsider landside airport accessibility to meet the evolving demand. At the same time, the third (vertical) dimension in urban and suburban areas – i.e. the lower airspace up to 500 m above the ground – has yet to be substantially exploited for transportation. Soon, technological advances in electric vertical take-off and landing (eVTOL) aircraft could enable the commercial use of Urban Air Mobility (UAM) for airport access. Through a case study in Bavaria, Germany, and Austria, this research aims to investigate the potential users’ willingness to pay for a novel UAM AirShuttle service, which could connect the airport of Munich with important points in its catchment area, and to analyse their transportation mode choices when accessing the airport. A stated preference mode choice survey was disseminated through an online panel during March 2023 in the catchment area of the airport to assess the current travel behaviour of the population, including the ownership of mobility instruments, the current state of airport accessibility and the satisfaction of the respondents (N=218) with the currently available modes. Furthermore, the survey investigated directly how much the respondents were willing to pay to use the AirShuttle and their sociodemographic background. The results were evaluated using descriptive statistical analyses and discrete choice modelling. The findings reveal that most respondents were satisfied with the current access modes and found their pricing reasonable. On the other hand, their willingness to pay for UAM services was lower than expected. This study yields important implications for the industrial stakeholders of UAM and for policymakers; by analysing the results, it was concluded that the expectations of the industry and potential customers regarding UAM pricing in the short term could be different and that its benefits and implications for society should be carefully weighed by policymakers.","container-title":"Transport Policy","DOI":"10.1016/j.tranpol.2025.07.027","ISSN":"0967-070X","journalAbbreviation":"Transport Policy","page":"1025-1040","source":"ScienceDirect","title":"Urban air mobility for airport access: Mode choice preferences and pricing considerations","title-short":"Urban air mobility for airport access","volume":"171","author":[{"family":"Adamidis","given":"Filippos"},{"family":"Ditta","given":"Chiara Caterina"},{"family":"Wu","given":"Hao"},{"family":"Postorino","given":"Maria Nadia"},{"family":"Antoniou","given":"Constantinos"}],"issued":{"date-parts":[["2025",9,1]]}}},{"id":557,"uris":["http://zotero.org/groups/6194892/items/GBHAFU7L"],"itemData":{"id":557,"type":"article-journal","abstract":"Electric vertical take-off and landing vehicles (eVTOL) are expected to be the key drivers for Urban Air Mobility (UAM) scenarios, by satisfying on-demand air travel needs in the short or mid-term. Despite the high number of eVTOL prototypes, nowadays only few studies have focused on UAM travel demand estimation, in particular Airport Shuttle demand estimation. The aim of this work is to use Stated Preference methods to collect data necessary to understand the main features of the potential UAM Airport Shuttle trip demand, also by calibrating some discrete choice models. Data were collected by both on-line surveys and face-to-face interviews, which captured mainly the Italian context. Three different Multinominal Logit models and a Mixed Logit model have been calibrated in order to identify the main variables driving people's choices for Airport Shuttle services. The results show the positive impact of income, air travel frequency and shared ride in increasing the willingness to use Airport Shuttle services. On the other hand, user that still prefers the ground transportation modes to reach the airport, high ratio between the number of cars and the driving licenses per family unit and the lack of experience with autonomous systems (i.e., driving assistance systems) seem to have a negative impact on people intention to use Airport Shuttle services.","container-title":"Transport Policy","DOI":"10.1016/j.tranpol.2023.07.019","ISSN":"0967-070X","journalAbbreviation":"Transport Policy","page":"129-139","source":"ScienceDirect","title":"SP surveys to estimate Airport Shuttle demand in an Urban Air Mobility context","volume":"141","author":[{"family":"Brunelli","given":"Matteo"},{"family":"Ditta","given":"Chiara Caterina"},{"family":"Postorino","given":"Maria Nadia"}],"issued":{"date-parts":[["2023",9,1]]}}},{"id":493,"uris":["http://zotero.org/groups/6194892/items/H3TRCYG2"],"itemData":{"id":493,"type":"article-journal","abstract":"Urban air mobility (UAM) is a new mode of transportation which has the potential to curb congestion in urban areas by providing a fast alternative that bypasses surface-level traffic by employing low altitude urban airspace. However, the successful adoption of this innovation among other modes of transportation remains a critical challenge, as public acceptance plays a pivotal role in the uptake of any emerging technology or service. To transcend traditional ground transportation, it is imperative to investigate the factors that drive a transition from current modes, particularly private cars, to the utilization of urban air taxis (UATs). While prior research has explored different aspects of UAM adoption, there is a notable dearth of studies examining the influence of travel satisfaction and attitudes towards travel modes on the preference for UAM. Notably, existing transportation literature has established that both satisfaction and attitudes significantly shape travel behavior. To achieve this, a stated preference survey was conducted in the Tehran metropolitan area, and a multinomial logit model incorporating latent variables was developed to assess the influence of socio-demographic and psychological factors on UAM adoption in hypothetical scenarios with predetermined travel times and costs. The findings highlight the pivotal role of service cost and affordability, with individuals of higher incomes exhibiting a significant inclination toward UAT adoption. The adoption of UAT is significantly higher when the cost is comparable to the existing modes. Moreover, satisfaction components, specifically enjoyment and time-saving benefits, exert a significant influence on UAT preference. Unfavorable perceptions towards private cars and ride-hailing services positively contribute to the likelihood of preferring UAT, with a greater impact observed for negative attitudes towards ride-hailing. The study explicitly underscores the influence of travel satisfaction and attitudes towards conventional modes of transportation on the adoption of innovative alternatives such as air taxis within the context of mode choice scenarios.","container-title":"Transportation Research Part A: Policy and Practice","DOI":"10.1016/j.tra.2023.103885","ISSN":"0965-8564","source":"ScienceDirect","title":"The Role of Travel Satisfaction and Attitudes Toward Travel Modes in the Prospect of Adoption of Urban Air Taxis: Evidence from a Stated Preference Survey in Tehran","URL":"https://www.sciencedirect.com/science/article/pii/S0965856423003051","volume":"179","author":[{"family":"Karimi","given":"Sina"},{"family":"Karami","given":"Hossein"},{"family":"Samadzad","given":"Mahdi"}],"accessed":{"date-parts":[["2024",12,17]]},"issued":{"date-parts":[["2024",1,1]]}}}],"schema":"https://github.com/citation-style-language/schema/raw/master/csl-citation.json"} </w:instrText>
      </w:r>
      <w:r w:rsidR="00976D04" w:rsidRPr="00677CE8">
        <w:fldChar w:fldCharType="separate"/>
      </w:r>
      <w:r w:rsidR="00976D04" w:rsidRPr="00677CE8">
        <w:t>(Brunelli et al., 2023; Karimi et al., 2024</w:t>
      </w:r>
      <w:r w:rsidR="00DC5014" w:rsidRPr="00677CE8">
        <w:t>; Adamidis et al., 2025</w:t>
      </w:r>
      <w:r w:rsidR="00976D04" w:rsidRPr="00677CE8">
        <w:t>)</w:t>
      </w:r>
      <w:r w:rsidR="00976D04" w:rsidRPr="00677CE8">
        <w:fldChar w:fldCharType="end"/>
      </w:r>
      <w:r w:rsidR="00976D04" w:rsidRPr="00677CE8">
        <w:t xml:space="preserve">. This relationship can be attributed not just to the limitations of current modes, but to the productive use of travel time and the enjoyment which travelers expect during UAM trips </w:t>
      </w:r>
      <w:r w:rsidR="00976D04" w:rsidRPr="00677CE8">
        <w:fldChar w:fldCharType="begin"/>
      </w:r>
      <w:r w:rsidR="00B7697D" w:rsidRPr="00677CE8">
        <w:instrText xml:space="preserve"> ADDIN ZOTERO_ITEM CSL_CITATION {"citationID":"sJkLoifc","properties":{"formattedCitation":"(Adamidis et al., 2025; Johnson et al., 2022; Karimi et al., 2024)","plainCitation":"(Adamidis et al., 2025; Johnson et al., 2022; Karimi et al., 2024)","dontUpdate":true,"noteIndex":0},"citationItems":[{"id":560,"uris":["http://zotero.org/groups/6194892/items/MKSZW5M8"],"itemData":{"id":560,"type":"article-journal","abstract":"The increasing use of commercial aviation in the last decades has urged us to reconsider landside airport accessibility to meet the evolving demand. At the same time, the third (vertical) dimension in urban and suburban areas – i.e. the lower airspace up to 500 m above the ground – has yet to be substantially exploited for transportation. Soon, technological advances in electric vertical take-off and landing (eVTOL) aircraft could enable the commercial use of Urban Air Mobility (UAM) for airport access. Through a case study in Bavaria, Germany, and Austria, this research aims to investigate the potential users’ willingness to pay for a novel UAM AirShuttle service, which could connect the airport of Munich with important points in its catchment area, and to analyse their transportation mode choices when accessing the airport. A stated preference mode choice survey was disseminated through an online panel during March 2023 in the catchment area of the airport to assess the current travel behaviour of the population, including the ownership of mobility instruments, the current state of airport accessibility and the satisfaction of the respondents (N=218) with the currently available modes. Furthermore, the survey investigated directly how much the respondents were willing to pay to use the AirShuttle and their sociodemographic background. The results were evaluated using descriptive statistical analyses and discrete choice modelling. The findings reveal that most respondents were satisfied with the current access modes and found their pricing reasonable. On the other hand, their willingness to pay for UAM services was lower than expected. This study yields important implications for the industrial stakeholders of UAM and for policymakers; by analysing the results, it was concluded that the expectations of the industry and potential customers regarding UAM pricing in the short term could be different and that its benefits and implications for society should be carefully weighed by policymakers.","container-title":"Transport Policy","DOI":"10.1016/j.tranpol.2025.07.027","ISSN":"0967-070X","journalAbbreviation":"Transport Policy","page":"1025-1040","source":"ScienceDirect","title":"Urban air mobility for airport access: Mode choice preferences and pricing considerations","title-short":"Urban air mobility for airport access","volume":"171","author":[{"family":"Adamidis","given":"Filippos"},{"family":"Ditta","given":"Chiara Caterina"},{"family":"Wu","given":"Hao"},{"family":"Postorino","given":"Maria Nadia"},{"family":"Antoniou","given":"Constantinos"}],"issued":{"date-parts":[["2025",9,1]]}}},{"id":486,"uris":["http://zotero.org/groups/6194892/items/URXXIJNY"],"itemData":{"id":486,"type":"article-journal","container-title":"The International Journal of Aerospace Psychology","DOI":"10.1080/24721840.2022.2100394","ISSN":"2472-1840","issue":"4","note":"_eprint: https://www.tandfonline.com/doi/pdf/10.1080/24721840.2022.2100394","page":"240-253","publisher":"Routledge","source":"Taylor and Francis+NEJM","title":"Technology Adoption and Acceptance of Urban Air Mobility Systems: Identifying Public Perceptions and Integration Factors","volume":"32","author":[{"family":"Johnson","given":"Ricole A."},{"family":"Miller","given":"Erika E."},{"family":"Conrad","given":"Steven"}],"issued":{"date-parts":[["2022",10,2]]}}},{"id":493,"uris":["http://zotero.org/groups/6194892/items/H3TRCYG2"],"itemData":{"id":493,"type":"article-journal","abstract":"Urban air mobility (UAM) is a new mode of transportation which has the potential to curb congestion in urban areas by providing a fast alternative that bypasses surface-level traffic by employing low altitude urban airspace. However, the successful adoption of this innovation among other modes of transportation remains a critical challenge, as public acceptance plays a pivotal role in the uptake of any emerging technology or service. To transcend traditional ground transportation, it is imperative to investigate the factors that drive a transition from current modes, particularly private cars, to the utilization of urban air taxis (UATs). While prior research has explored different aspects of UAM adoption, there is a notable dearth of studies examining the influence of travel satisfaction and attitudes towards travel modes on the preference for UAM. Notably, existing transportation literature has established that both satisfaction and attitudes significantly shape travel behavior. To achieve this, a stated preference survey was conducted in the Tehran metropolitan area, and a multinomial logit model incorporating latent variables was developed to assess the influence of socio-demographic and psychological factors on UAM adoption in hypothetical scenarios with predetermined travel times and costs. The findings highlight the pivotal role of service cost and affordability, with individuals of higher incomes exhibiting a significant inclination toward UAT adoption. The adoption of UAT is significantly higher when the cost is comparable to the existing modes. Moreover, satisfaction components, specifically enjoyment and time-saving benefits, exert a significant influence on UAT preference. Unfavorable perceptions towards private cars and ride-hailing services positively contribute to the likelihood of preferring UAT, with a greater impact observed for negative attitudes towards ride-hailing. The study explicitly underscores the influence of travel satisfaction and attitudes towards conventional modes of transportation on the adoption of innovative alternatives such as air taxis within the context of mode choice scenarios.","container-title":"Transportation Research Part A: Policy and Practice","DOI":"10.1016/j.tra.2023.103885","ISSN":"0965-8564","source":"ScienceDirect","title":"The Role of Travel Satisfaction and Attitudes Toward Travel Modes in the Prospect of Adoption of Urban Air Taxis: Evidence from a Stated Preference Survey in Tehran","URL":"https://www.sciencedirect.com/science/article/pii/S0965856423003051","volume":"179","author":[{"family":"Karimi","given":"Sina"},{"family":"Karami","given":"Hossein"},{"family":"Samadzad","given":"Mahdi"}],"accessed":{"date-parts":[["2024",12,17]]},"issued":{"date-parts":[["2024",1,1]]}}}],"schema":"https://github.com/citation-style-language/schema/raw/master/csl-citation.json"} </w:instrText>
      </w:r>
      <w:r w:rsidR="00976D04" w:rsidRPr="00677CE8">
        <w:fldChar w:fldCharType="separate"/>
      </w:r>
      <w:r w:rsidR="00976D04" w:rsidRPr="00677CE8">
        <w:t xml:space="preserve">(Johnson et al., </w:t>
      </w:r>
      <w:r w:rsidR="00976D04" w:rsidRPr="00677CE8">
        <w:lastRenderedPageBreak/>
        <w:t>2022; Karimi et al., 2024</w:t>
      </w:r>
      <w:r w:rsidR="00DC5014" w:rsidRPr="00677CE8">
        <w:t>; Adamidis et al., 2025</w:t>
      </w:r>
      <w:r w:rsidR="00976D04" w:rsidRPr="00677CE8">
        <w:t>)</w:t>
      </w:r>
      <w:r w:rsidR="00976D04" w:rsidRPr="00677CE8">
        <w:fldChar w:fldCharType="end"/>
      </w:r>
      <w:r w:rsidR="00303898" w:rsidRPr="00677CE8">
        <w:t>. These anticipated benefits contribute to more favorable attitudes toward UAM, consistent with the TPB framework for modeling behavioral intention</w:t>
      </w:r>
      <w:r w:rsidR="00DE32E1" w:rsidRPr="00677CE8">
        <w:t>.</w:t>
      </w:r>
    </w:p>
    <w:p w14:paraId="22FA2D74" w14:textId="607BA951" w:rsidR="009C661C" w:rsidRPr="007806B4" w:rsidRDefault="00976D04" w:rsidP="00DE32E1">
      <w:pPr>
        <w:spacing w:after="0" w:line="240" w:lineRule="auto"/>
        <w:ind w:firstLine="720"/>
        <w:jc w:val="both"/>
        <w:rPr>
          <w:lang w:val="es-MX"/>
        </w:rPr>
      </w:pPr>
      <w:r w:rsidRPr="00677CE8">
        <w:t xml:space="preserve">Individuals’ attitudes can also shape the perception of objective UAM service attributes such as noise and </w:t>
      </w:r>
      <w:r w:rsidR="00F3557E">
        <w:t xml:space="preserve">crash-related </w:t>
      </w:r>
      <w:r w:rsidRPr="00677CE8">
        <w:t xml:space="preserve">safety. For instance, noise sensitivity is a well-documented individual trait with certain individuals exhibiting higher responsiveness to noise levels </w:t>
      </w:r>
      <w:r w:rsidRPr="00677CE8">
        <w:fldChar w:fldCharType="begin"/>
      </w:r>
      <w:r w:rsidR="00B7697D" w:rsidRPr="00677CE8">
        <w:instrText xml:space="preserve"> ADDIN ZOTERO_ITEM CSL_CITATION {"citationID":"gPUUdSUE","properties":{"unsorted":false,"formattedCitation":"(Aalmoes &amp; Sieben, 2021; Miedema &amp; Vos, 1999; Schutte et al., 2007; Shepherd et al., 2010)","plainCitation":"(Aalmoes &amp; Sieben, 2021; Miedema &amp; Vos, 1999; Schutte et al., 2007; Shepherd et al., 2010)","dontUpdate":true,"noteIndex":0},"citationItems":[{"id":2222,"uris":["http://zotero.org/groups/6194892/items/HP43NKQI"],"itemData":{"id":2222,"type":"paper-conference","container-title":"INTER-NOISE and NOISE-CON Congress and Confrence Proceedings","DOI":"10.3397/IN-2021-2160","event-place":"Washington D.C., USA","event-title":"InterNoise21","language":"en","note":"DOI: 10.3397/IN-2021-2160","page":"2510-2521","publisher":"Institute of Noise Control Engineering","title":"Visual and audio perception study on drone aircraft and similar sounds in an Urban Air Mobility setting","URL":"https://ince.publisher.ingentaconnect.com/content/ince/incecp/2021/00000263/00000004/art00060","author":[{"family":"Aalmoes","given":"Roalt"},{"family":"Sieben","given":"Naomi"}],"accessed":{"date-parts":[["2026",7,14]]},"issued":{"date-parts":[["2021",8,1]]}}},{"id":1485,"uris":["http://zotero.org/groups/6194892/items/YGCSPHTL"],"itemData":{"id":1485,"type":"article-journal","DOI":"https://doi.org/10.1121/1.424662","issue":"6","title":"Demographic and attitudinal factors that modify annoyance from transportation noise","URL":"https://pubs.aip.org/asa/jasa/article/105/6/3336/553454/Demographic-and-attitudinal-factors-that-modify","volume":"105","author":[{"family":"Miedema","given":"Henk"},{"family":"Vos","given":"Henk"}],"accessed":{"date-parts":[["2026",2,23]]},"issued":{"date-parts":[["1999",6]]}}},{"id":1481,"uris":["http://zotero.org/groups/6194892/items/IZSMZFYK"],"itemData":{"id":1481,"type":"article-journal","abstract":"The existing questionnaires for determining the noise sensitivity of individuals provide information only about global noise sensitivity, although empirical data suggest that measuring noise sensitivity for different situations in daily life might be more logical. Therefore, the “Noise-Sensitivity-Questionnaire” (NoiSeQ) was developed to measure global noise sensitivity as well as the sensitivity of five domains of daily life, namely, leisure, work, habitation, communication, and sleep. The assessment of the measurement characteristics was based on the Generalizability (G) theory. The results of the G-study (N = 66) proved that a single application of the questionnaire is sufficient for determining an individual's noise sensitivity. Furthermore, the ratings are age and gender independent. The subsequently conducted Decision (D)-study (N = 288) provides information on the reliability of NoiSeQ. If the questionnaire is used for measuring global noise sensitivity, the reliability (relative and absolute G-coefficient) reaches a value above 0.90. According to ISO 10075-3, the questionnaire satisfies the precision level 1 “accurate measurement” in this case. The G-coefficients for all the subscales exceed the lower limit 0.70, with the exception of subscale leisure, which did not prove satisfactory. However, this subscale can reach a reliability of more than 0.70 if additional items are included. The validity of the instrument was proven for the subscales habitation (N = 72) and work (N = 72). In both the studies, the participants were asked to rate the annoyance in the presence of several rail and traffic noise scenarios. The subjects were characterized as low and high noise sensitive according to their sensitivity values obtained from NoiSeQ. In conclusion, a significant difference in annoyance rates was observed between the low and high noise sensitive groups for both the subscales habitation and work. This data support the validity of NoiSeQ.","container-title":"Noise and Health","DOI":"10.4103/1463-1741.34700","ISSN":"1463-1741","issue":"34","language":"en-US","page":"15","source":"journals.lww.com","title":"The development of the noise sensitivity questionnaire","volume":"9","author":[{"family":"Schutte","given":"Martin"},{"family":"Marks","given":"Anke"},{"family":"Wenning","given":"Edna"},{"family":"Griefahn","given":"Barbara"}],"issued":{"date-parts":[["2007",3]]}}},{"id":1479,"uris":["http://zotero.org/groups/6194892/items/5KVP3V9K"],"itemData":{"id":1479,"type":"article-journal","abstract":"The relationship between environmental noise and health is poorly understood but of fundamental importance to public health. This study estimated the ...","container-title":"International Journal of Environmental Research and Public Health","DOI":"10.3390/ijerph7103580","ISSN":"1660-4601","issue":"10","language":"en","license":"http://creativecommons.org/licenses/by/3.0/","page":"3579-3594","publisher":"publisher","source":"www.mdpi.com","title":"Exploring the Relationship between Noise Sensitivity, Annoyance and Health-Related Quality of Life in a Sample of Adults Exposed to Environmental Noise","volume":"7","author":[{"family":"Shepherd","given":"Daniel"},{"family":"Welch","given":"David"},{"family":"Dirks","given":"Kim N."},{"family":"Mathews","given":"Renata"}],"issued":{"date-parts":[["2010",10,10]]}}}],"schema":"https://github.com/citation-style-language/schema/raw/master/csl-citation.json"} </w:instrText>
      </w:r>
      <w:r w:rsidRPr="00677CE8">
        <w:fldChar w:fldCharType="separate"/>
      </w:r>
      <w:r w:rsidR="009D1CD7" w:rsidRPr="00677CE8">
        <w:t xml:space="preserve">(Miedema </w:t>
      </w:r>
      <w:r w:rsidR="002F3BEB" w:rsidRPr="00677CE8">
        <w:t>and</w:t>
      </w:r>
      <w:r w:rsidR="009D1CD7" w:rsidRPr="00677CE8">
        <w:t xml:space="preserve"> Vos, 1999; Schutte et al., 2007; Shepherd et al., 2010</w:t>
      </w:r>
      <w:r w:rsidR="00DC5014" w:rsidRPr="00677CE8">
        <w:t xml:space="preserve">; Aalmoes </w:t>
      </w:r>
      <w:r w:rsidR="002F3BEB" w:rsidRPr="00677CE8">
        <w:t>and</w:t>
      </w:r>
      <w:r w:rsidR="00DC5014" w:rsidRPr="00677CE8">
        <w:t xml:space="preserve"> Sieben, 2021</w:t>
      </w:r>
      <w:r w:rsidR="009D1CD7" w:rsidRPr="00677CE8">
        <w:t>)</w:t>
      </w:r>
      <w:r w:rsidRPr="00677CE8">
        <w:fldChar w:fldCharType="end"/>
      </w:r>
      <w:r w:rsidRPr="00677CE8">
        <w:t xml:space="preserve">. The sensitivity to transportation noise may be further amplified by </w:t>
      </w:r>
      <w:r w:rsidR="00D54D79">
        <w:t xml:space="preserve">crash-related </w:t>
      </w:r>
      <w:r w:rsidRPr="00677CE8">
        <w:t xml:space="preserve">safety concerns or fears associated with a given mode </w:t>
      </w:r>
      <w:r w:rsidRPr="00677CE8">
        <w:fldChar w:fldCharType="begin"/>
      </w:r>
      <w:r w:rsidRPr="00677CE8">
        <w:instrText xml:space="preserve"> ADDIN ZOTERO_ITEM CSL_CITATION {"citationID":"PjqUQ9uH","properties":{"formattedCitation":"(Miedema &amp; Vos, 1999)","plainCitation":"(Miedema &amp; Vos, 1999)","dontUpdate":true,"noteIndex":0},"citationItems":[{"id":1485,"uris":["http://zotero.org/groups/6194892/items/YGCSPHTL"],"itemData":{"id":1485,"type":"article-journal","DOI":"https://doi.org/10.1121/1.424662","issue":"6","title":"Demographic and attitudinal factors that modify annoyance from transportation noise","URL":"https://pubs.aip.org/asa/jasa/article/105/6/3336/553454/Demographic-and-attitudinal-factors-that-modify","volume":"105","author":[{"family":"Miedema","given":"Henk"},{"family":"Vos","given":"Henk"}],"accessed":{"date-parts":[["2026",2,23]]},"issued":{"date-parts":[["1999",6]]}}}],"schema":"https://github.com/citation-style-language/schema/raw/master/csl-citation.json"} </w:instrText>
      </w:r>
      <w:r w:rsidRPr="00677CE8">
        <w:fldChar w:fldCharType="separate"/>
      </w:r>
      <w:r w:rsidRPr="00677CE8">
        <w:t>(Miedema and Vos, 1999)</w:t>
      </w:r>
      <w:r w:rsidRPr="00677CE8">
        <w:fldChar w:fldCharType="end"/>
      </w:r>
      <w:r w:rsidRPr="00677CE8">
        <w:t>. Beyond noise perceptions,</w:t>
      </w:r>
      <w:r w:rsidRPr="001859CD">
        <w:t xml:space="preserve"> </w:t>
      </w:r>
      <w:r w:rsidRPr="00677CE8">
        <w:t>an individual’s attitudes toward risk or prior experiences with traffic crashes also shape adoption decisions</w:t>
      </w:r>
      <w:r w:rsidR="00DE32E1" w:rsidRPr="00677CE8">
        <w:t xml:space="preserve">. Prior studies show that elevated </w:t>
      </w:r>
      <w:r w:rsidR="00F3557E">
        <w:t xml:space="preserve">crash-related </w:t>
      </w:r>
      <w:r w:rsidR="00DE32E1" w:rsidRPr="00677CE8">
        <w:t xml:space="preserve">safety concerns reduce willingness to adopt UAM by negatively impacting perceived usefulness </w:t>
      </w:r>
      <w:r w:rsidR="00DE32E1" w:rsidRPr="00677CE8">
        <w:fldChar w:fldCharType="begin"/>
      </w:r>
      <w:r w:rsidR="00303898" w:rsidRPr="00677CE8">
        <w:instrText xml:space="preserve"> ADDIN ZOTERO_ITEM CSL_CITATION {"citationID":"HDfcUruE","properties":{"unsorted":false,"formattedCitation":"(Al Haddad et al., 2020; Johnson et al., 2022; Karami et al., 2024)","plainCitation":"(Al Haddad et al., 2020; Johnson et al., 2022; Karami et al., 2024)","noteIndex":0},"citationItems":[{"id":484,"uris":["http://zotero.org/groups/6194892/items/ZS2ZU8K2"],"itemData":{"id":484,"type":"article-journal","abstract":"Technological advances have recently led to the development of urban air mobility (UAM), an alternative transportation mode with several concepts including vehicles operated by on-demand fully-automated vertical take-off and landing aircraft (VTOL) for intra-city passenger transportation. However, despite a growing interest in UAM, understanding users’ perceptions to it remains limited. This research aims to identify and quantify the factors affecting the adoption and use of UAM, based on relevant tools from the literature, such as recurring factors in studies on aerial vehicle concepts, ground autonomous vehicles, but also acceptance models, such as the Technology Acceptance Model by Davis et al. (1989). A stated-preference survey was developed to assess the perception of users in terms of adoption time horizon, including options such as the first six years of the service’s implementation, “unsure”, and “never”. The obtained results were evaluated using exploratory factor analyses, and the specification and estimation of suitable discrete choice models, multinomial logit models (MNLs) and ordered logit models (OLMs), with adoption time horizon as dependent variable. Findings revealed the importance of safety and trust, affinity to automation, data concerns, social attitude, and socio-demographics for adoption. Factors, such as the value of time savings, the perception of automation costs, and service reliability, were also found to be highly influential. There was also an indication that skeptical respondents, i.e. answering “unsure”, had a behavior similar to late and non-adopters, i.e. adoption time horizon higher than six years or answering “never”. The summarized results were represented in an extended Technology Acceptance Model for urban air mobility, and provided insights for policymakers and industrial stakeholders.","container-title":"Transportation Research Part A: Policy and Practice","DOI":"10.1016/j.tra.2019.12.020","ISSN":"0965-8564","page":"696-712","source":"ScienceDirect","title":"Factors Affecting the Adoption and Use of Urban Air Mobility","volume":"132","author":[{"family":"Al Haddad","given":"Christelle"},{"family":"Chaniotakis","given":"Emmanouil"},{"family":"Straubinger","given":"Anna"},{"family":"Plötner","given":"Kay"},{"family":"Antoniou","given":"Constantinos"}],"issued":{"date-parts":[["2020",2,1]]}}},{"id":486,"uris":["http://zotero.org/groups/6194892/items/URXXIJNY"],"itemData":{"id":486,"type":"article-journal","container-title":"The International Journal of Aerospace Psychology","DOI":"10.1080/24721840.2022.2100394","ISSN":"2472-1840","issue":"4","note":"_eprint: https://www.tandfonline.com/doi/pdf/10.1080/24721840.2022.2100394","page":"240-253","publisher":"Routledge","source":"Taylor and Francis+NEJM","title":"Technology Adoption and Acceptance of Urban Air Mobility Systems: Identifying Public Perceptions and Integration Factors","volume":"32","author":[{"family":"Johnson","given":"Ricole A."},{"family":"Miller","given":"Erika E."},{"family":"Conrad","given":"Steven"}],"issued":{"date-parts":[["2022",10,2]]}}},{"id":492,"uris":["http://zotero.org/groups/6194892/items/ANB97BVJ"],"itemData":{"id":492,"type":"article-journal","abstract":"The integration of shared, autonomous, electric, and on-demand mobility services introduces urban air mobility (UAM) as an emerging intra-city transportation service operated by vertical take-off and landing aircraft. Despite the potential benefits of UAM limited literature exists on the end user's perception and the challenges to its societal acceptance, especially in developing economies. This paper addresses this gap in the literature by investigating the factors influencing UAM usage intention in Tehran, a developing country capital. Within the framework of the extended technology acceptance model, the study collected 828 valid questionnaires through a face-to-face survey. Structural equation modeling is employed to highlight the effects of a wide range of factors associated</w:instrText>
      </w:r>
      <w:r w:rsidR="00303898" w:rsidRPr="007806B4">
        <w:rPr>
          <w:lang w:val="es-MX"/>
        </w:rPr>
        <w:instrText xml:space="preserve"> with individual differences, system characteristics, and social influence. The findings indicate that attitude, subjective norms, trust, perceived usefulness, perceived enjoyment, personal innovativeness, ecological awareness, and price evaluation are positively associated with UAM usage intention, while perceived safety correlates with the attitude toward UAM negatively. These findings provide valuable insights for policymakers and industry stakeholders, fostering a deeper understanding of end-user perspectives in developing countries, and prudently promising the potential for its targeted implementation. The study suggests that although its widespread adoption in developing countries is unlikely to occur in the near future, UAM should be regarded as a viable early and timely solution to persistent issues such as chronic congestion in metropolitan areas of the global south.","container-title":"Transport Policy","DOI":"10.1016/j.tranpol.2023.10.010","ISSN":"0967-070X","page":"74-84","source":"ScienceDirect","title":"Unraveling Behavioral Factors Influencing the Adoption of Urban Air Mobility from the End User's Perspective in Tehran – A Developing Country Outlook","volume":"145","author":[{"family":"Karami","given":"Hossein"},{"family":"Abbasi","given":"Mohammadhossein"},{"family":"Samadzad","given":"Mahdi"},{"family":"Karami","given":"Ali"}],"issued":{"date-parts":[["2024",1,1]]}}}],"schema":"https://github.com/citation-style-language/schema/raw/master/csl-citation.json"} </w:instrText>
      </w:r>
      <w:r w:rsidR="00DE32E1" w:rsidRPr="00677CE8">
        <w:fldChar w:fldCharType="separate"/>
      </w:r>
      <w:r w:rsidR="00303898" w:rsidRPr="007806B4">
        <w:rPr>
          <w:lang w:val="es-MX"/>
        </w:rPr>
        <w:t>(Al Haddad et al., 2020; Johnson et al., 2022; Karami et al., 2024)</w:t>
      </w:r>
      <w:r w:rsidR="00DE32E1" w:rsidRPr="00677CE8">
        <w:fldChar w:fldCharType="end"/>
      </w:r>
      <w:r w:rsidR="00DE32E1" w:rsidRPr="007806B4">
        <w:rPr>
          <w:lang w:val="es-MX"/>
        </w:rPr>
        <w:t xml:space="preserve">. </w:t>
      </w:r>
      <w:r w:rsidR="00303898" w:rsidRPr="00677CE8">
        <w:t>Such effects are particularly relevant among t</w:t>
      </w:r>
      <w:r w:rsidR="00DE32E1" w:rsidRPr="00677CE8">
        <w:t>h</w:t>
      </w:r>
      <w:r w:rsidR="00303898" w:rsidRPr="00677CE8">
        <w:t>os</w:t>
      </w:r>
      <w:r w:rsidR="00DE32E1" w:rsidRPr="00677CE8">
        <w:t xml:space="preserve">e </w:t>
      </w:r>
      <w:r w:rsidR="00303898" w:rsidRPr="00677CE8">
        <w:t xml:space="preserve">who are risk-averse or have air travel anxieties </w:t>
      </w:r>
      <w:r w:rsidR="00303898" w:rsidRPr="00677CE8">
        <w:fldChar w:fldCharType="begin"/>
      </w:r>
      <w:r w:rsidR="00431207" w:rsidRPr="00677CE8">
        <w:instrText xml:space="preserve"> ADDIN ZOTERO_ITEM CSL_CITATION {"citationID":"hM1SFi5H","properties":{"unsorted":false,"formattedCitation":"(Al Haddad et al., 2020; Johnson et al., 2022; Karami et al., 2024)","plainCitation":"(Al Haddad et al., 2020; Johnson et al., 2022; Karami et al., 2024)","noteIndex":0},"citationItems":[{"id":484,"uris":["http://zotero.org/groups/6194892/items/ZS2ZU8K2"],"itemData":{"id":484,"type":"article-journal","abstract":"Technological advances have recently led to the development of urban air mobility (UAM), an alternative transportation mode with several concepts including vehicles operated by on-demand fully-automated vertical take-off and landing aircraft (VTOL) for intra-city passenger transportation. However, despite a growing interest in UAM, understanding users’ perceptions to it remains limited. This research aims to identify and quantify the factors affecting the adoption and use of UAM, based on relevant tools from the literature, such as recurring factors in studies on aerial vehicle concepts, ground autonomous vehicles, but also acceptance models, such as the Technology Acceptance Model by Davis et al. (1989). A stated-preference survey was developed to assess the perception of users in terms of adoption time horizon, including options such as the first six years of the service’s implementation, “unsure”, and “never”. The obtained results were evaluated using exploratory factor analyses, and the specification and estimation of suitable discrete choice models, multinomial logit models (MNLs) and ordered logit models (OLMs), with adoption time horizon as dependent variable. Findings revealed the importance of safety and trust, affinity to automation, data concerns, social attitude, and socio-demographics for adoption. Factors, such as the value of time savings, the perception of automation costs, and service reliability, were also found to be highly influential. There was also an indication that skeptical respondents, i.e. answering “unsure”, had a behavior similar to late and non-adopters, i.e. adoption time horizon higher than six years or answering “never”. The summarized results were represented in an extended Technology Acceptance Model for urban air mobility, and provided insights for policymakers and industrial stakeholders.","container-title":"Transportation Research Part A: Policy and Practice","DOI":"10.1016/j.tra.2019.12.020","ISSN":"0965-8564","page":"696-712","source":"ScienceDirect","title":"Factors Affecting the Adoption and Use of Urban Air Mobility","volume":"132","author":[{"family":"Al Haddad","given":"Christelle"},{"family":"Chaniotakis","given":"Emmanouil"},{"family":"Straubinger","given":"Anna"},{"family":"Plötner","given":"Kay"},{"family":"Antoniou","given":"Constantinos"}],"issued":{"date-parts":[["2020",2,1]]}}},{"id":486,"uris":["http://zotero.org/groups/6194892/items/URXXIJNY"],"itemData":{"id":486,"type":"article-journal","container-title":"The International Journal of Aerospace Psychology","DOI":"10.1080/24721840.2022.2100394","ISSN":"2472-1840","issue":"4","note":"_eprint: https://www.tandfonline.com/doi/pdf/10.1080/24721840.2022.2100394","page":"240-253","publisher":"Routledge","source":"Taylor and Francis+NEJM","title":"Technology Adoption and Acceptance of Urban Air Mobility Systems: Identifying Public Perceptions and Integration Factors","volume":"32","author":[{"family":"Johnson","given":"Ricole A."},{"family":"Miller","given":"Erika E."},{"family":"Conrad","given":"Steven"}],"issued":{"date-parts":[["2022",10,2]]}}},{"id":492,"uris":["http://zotero.org/groups/6194892/items/ANB97BVJ"],"itemData":{"id":492,"type":"article-journal","abstract":"The integration of shared, autonomous, electric, and on-demand mobility services introduces urban air mobility (UAM) as an emerging intra-city transportation service operated by vertical take-off and landing aircraft. Despite the potential benefits of UAM limited literature exists on the end user's perception and the challenges to its societal acceptance, especially in developing economies. This paper addresses this gap in the literature by investigating the factors influencing UAM usage intention in Tehran, a developing country capital. Within the framework of the extended technology acceptance model, the study collected 828 valid questionnaires through a face-to-face survey. Structural equation modeling is employed to highlight the effects of a wide range of factors associated</w:instrText>
      </w:r>
      <w:r w:rsidR="00431207" w:rsidRPr="007806B4">
        <w:rPr>
          <w:lang w:val="es-MX"/>
        </w:rPr>
        <w:instrText xml:space="preserve"> with individual differences, system characteristics, and social influence. The findings indicate that attitude, subjective norms, trust, perceived usefulness, perceived enjoyment, personal innovativeness, ecological awareness, and price evaluation are positively associated with UAM usage intention, while perceived safety correlates with the attitude toward UAM negatively. These findings provide valuable insights for policymakers and industry stakeholders, fostering a deeper understanding of end-user perspectives in developing countries, and prudently promising the potential for its targeted implementation. The study suggests that although its widespread adoption in developing countries is unlikely to occur in the near future, UAM should be regarded as a viable early and timely solution to persistent issues such as chronic congestion in metropolitan areas of the global south.","container-title":"Transport Policy","DOI":"10.1016/j.tranpol.2023.10.010","ISSN":"0967-070X","page":"74-84","source":"ScienceDirect","title":"Unraveling Behavioral Factors Influencing the Adoption of Urban Air Mobility from the End User's Perspective in Tehran – A Developing Country Outlook","volume":"145","author":[{"family":"Karami","given":"Hossein"},{"family":"Abbasi","given":"Mohammadhossein"},{"family":"Samadzad","given":"Mahdi"},{"family":"Karami","given":"Ali"}],"issued":{"date-parts":[["2024",1,1]]}}}],"schema":"https://github.com/citation-style-language/schema/raw/master/csl-citation.json"} </w:instrText>
      </w:r>
      <w:r w:rsidR="00303898" w:rsidRPr="00677CE8">
        <w:fldChar w:fldCharType="separate"/>
      </w:r>
      <w:r w:rsidR="00431207" w:rsidRPr="007806B4">
        <w:rPr>
          <w:lang w:val="es-MX"/>
        </w:rPr>
        <w:t>(Al Haddad et al., 2020; Johnson et al., 2022; Karami et al., 2024)</w:t>
      </w:r>
      <w:r w:rsidR="00303898" w:rsidRPr="00677CE8">
        <w:fldChar w:fldCharType="end"/>
      </w:r>
      <w:r w:rsidR="00303898" w:rsidRPr="007806B4">
        <w:rPr>
          <w:lang w:val="es-MX"/>
        </w:rPr>
        <w:t>.</w:t>
      </w:r>
      <w:r w:rsidR="009C661C" w:rsidRPr="007806B4">
        <w:rPr>
          <w:lang w:val="es-MX"/>
        </w:rPr>
        <w:t xml:space="preserve"> </w:t>
      </w:r>
    </w:p>
    <w:p w14:paraId="48D7F422" w14:textId="3E4ABABB" w:rsidR="00C45731" w:rsidRPr="00677CE8" w:rsidRDefault="00C45731" w:rsidP="0000054E">
      <w:pPr>
        <w:keepNext/>
        <w:keepLines/>
        <w:spacing w:after="0" w:line="240" w:lineRule="auto"/>
        <w:ind w:firstLine="720"/>
        <w:jc w:val="both"/>
      </w:pPr>
      <w:r w:rsidRPr="00677CE8">
        <w:t xml:space="preserve">In addition to these attitudinal factors, individual sociodemographic characteristics have also been shown to shape UAM adoption patterns (although these are excluded from Table 1 for </w:t>
      </w:r>
      <w:r w:rsidR="005F032A">
        <w:t>presentation conciseness</w:t>
      </w:r>
      <w:r w:rsidRPr="00677CE8">
        <w:t xml:space="preserve">). Gender is a well-documented driver of UAM preferences, with men displaying a larger preference for aerial modes than women </w:t>
      </w:r>
      <w:r w:rsidRPr="00677CE8">
        <w:fldChar w:fldCharType="begin"/>
      </w:r>
      <w:r w:rsidR="00B7697D" w:rsidRPr="00677CE8">
        <w:instrText xml:space="preserve"> ADDIN ZOTERO_ITEM CSL_CITATION {"citationID":"8WcCwwDO","properties":{"formattedCitation":"(Al Haddad et al., 2020; Boddupalli et al., 2024; Karimi et al., 2024; Yedavalli &amp; Mooberry, 2019)","plainCitation":"(Al Haddad et al., 2020; Boddupalli et al., 2024; Karimi et al., 2024; Yedavalli &amp; Mooberry, 2019)","dontUpdate":true,"noteIndex":0},"citationItems":[{"id":484,"uris":["http://zotero.org/groups/6194892/items/ZS2ZU8K2"],"itemData":{"id":484,"type":"article-journal","abstract":"Technological advances have recently led to the development of urban air mobility (UAM), an alternative transportation mode with several concepts including vehicles operated by on-demand fully-automated vertical take-off and landing aircraft (VTOL) for intra-city passenger transportation. However, despite a growing interest in UAM, understanding users’ perceptions to it remains limited. This research aims to identify and quantify the factors affecting the adoption and use of UAM, based on relevant tools from the literature, such as recurring factors in studies on aerial vehicle concepts, ground autonomous vehicles, but also acceptance models, such as the Technology Acceptance Model by Davis et al. (1989). A stated-preference survey was developed to assess the perception of users in terms of adoption time horizon, including options such as the first six years of the service’s implementation, “unsure”, and “never”. The obtained results were evaluated using exploratory factor analyses, and the specification and estimation of suitable discrete choice models, multinomial logit models (MNLs) and ordered logit models (OLMs), with adoption time horizon as dependent variable. Findings revealed the importance of safety and trust, affinity to automation, data concerns, social attitude, and socio-demographics for adoption. Factors, such as the value of time savings, the perception of automation costs, and service reliability, were also found to be highly influential. There was also an indication that skeptical respondents, i.e. answering “unsure”, had a behavior similar to late and non-adopters, i.e. adoption time horizon higher than six years or answering “never”. The summarized results were represented in an extended Technology Acceptance Model for urban air mobility, and provided insights for policymakers and industrial stakeholders.","container-title":"Transportation Research Part A: Policy and Practice","DOI":"10.1016/j.tra.2019.12.020","ISSN":"0965-8564","page":"696-712","source":"ScienceDirect","title":"Factors Affecting the Adoption and Use of Urban Air Mobility","volume":"132","author":[{"family":"Al Haddad","given":"Christelle"},{"family":"Chaniotakis","given":"Emmanouil"},{"family":"Straubinger","given":"Anna"},{"family":"Plötner","given":"Kay"},{"family":"Antoniou","given":"Constantinos"}],"issued":{"date-parts":[["2020",2,1]]}}},{"id":1351,"uris":["http://zotero.org/groups/6194892/items/VKQN9M68"],"itemData":{"id":1351,"type":"article-journal","abstract":"In this study, a stated choice experiment was conducted to better understand individuals’ preferences for an air taxi commute service. Random taste parameter models with panel effects were used to model the choice among: (1) traditional auto, (2) transit, and (3) air taxi. We find that individuals who are male and are frequent ridesharing users are more likely to select the air taxi. A non-trader analysis of individuals who always selected the same mode across our eight stated choice scenarios showed that air taxi preferences are heterogeneous and polarized, with 14 percent always selecting air taxi and 14 percent never selecting air taxi. Among the traders, significant variation across individuals’ value of time (VOT) was observed. Results based on a negative lognormal distribution show the median in-vehicle VOTs for the air taxi mode was about 25 USD/hour, but 10 percent had VOTs higher than 64 USD/hour. Our results highlight the need for future studies of potential market demand for eVTOL aircraft to incorporate the percentage of the population who will likely never consider using an air taxi, as well as the distribution of VOTs for those who will consider using this new mode.","container-title":"Transportation Research Part A: Policy and Practice","DOI":"10.1016/j.tra.2024.104000","ISSN":"0965-8564","journalAbbreviation":"Transportation Research Part A: Policy and Practice","page":"104000","source":"ScienceDirect","title":"Mode choice modeling for an electric vertical takeoff and landing (eVTOL) air taxi commuting service","volume":"181","author":[{"family":"Boddupalli","given":"Sreekar-Shashank"},{"family":"Garrow","given":"Laurie A."},{"family":"German","given":"Brian J."},{"family":"Newman","given":"Jeffrey P."}],"issued":{"date-parts":[["2024",3,1]]}}},{"id":493,"uris":["http://zotero.org/groups/6194892/items/H3TRCYG2"],"itemData":{"id":493,"type":"article-journal","abstract":"Urban air mobility (UAM) is a new mode of transportation which has the potential to curb congestion in urban areas by providing a fast alternative that bypasses surface-level traffic by employing low altitude urban airspace. However, the successful adoption of this innovation among other modes of transportation remains a critical challenge, as public acceptance plays a pivotal role in the uptake of any emerging technology or service. To transcend traditional ground transportation, it is imperative to investigate the factors that drive a transition from current modes, particularly private cars, to the utilization of urban air taxis (UATs). While prior research has explored different aspects of UAM adoption, there is a notable dearth of studies examining the influence of travel satisfaction and attitudes towards travel modes on the preference for UAM. Notably, existing transportation literature has established that both satisfaction and attitudes significantly shape travel behavior. To achieve this, a stated preference survey was conducted in the Tehran metropolitan area, and a multinomial logit model incorporating latent variables was developed to assess the influence of socio-demographic and psychological factors on UAM adoption in hypothetical scenarios with predetermined travel times and costs. The findings highlight the pivotal role of service cost and affordability, with individuals of higher incomes exhibiting a significant inclination toward UAT adoption. The adoption of UAT is significantly higher when the cost is comparable to the existing modes. Moreover, satisfaction components, specifically enjoyment and time-saving benefits, exert a significant influence on UAT preference. Unfavorable perceptions towards private cars and ride-hailing services positively contribute to the likelihood of preferring UAT, with a greater impact observed for negative attitudes towards ride-hailing. The study explicitly underscores the influence of travel satisfaction and attitudes towards conventional modes of transportation on the adoption of innovative alternatives such as air taxis within the context of mode choice scenarios.","container-title":"Transportation Research Part A: Policy and Practice","DOI":"10.1016/j.tra.2023.103885","ISSN":"0965-8564","source":"ScienceDirect","title":"The Role of Travel Satisfaction and Attitudes Toward Travel Modes in the Prospect of Adoption of Urban Air Taxis: Evidence from a Stated Preference Survey in Tehran","URL":"https://www.sciencedirect.com/science/article/pii/S0965856423003051","volume":"179","author":[{"family":"Karimi","given":"Sina"},{"family":"Karami","given":"Hossein"},{"family":"Samadzad","given":"Mahdi"}],"accessed":{"date-parts":[["2024",12,17]]},"issued":{"date-parts":[["2024",1,1]]}}},{"id":1338,"uris":["http://zotero.org/groups/6194892/items/J3Z69VX5"],"itemData":{"id":1338,"type":"report","DOI":"urban","publisher":"Airbus","title":"An Assesment of Public Perception of Urban Air Mobility (UAM)","URL":"https://www.airbus.com/sites/g/files/jlcbta136/files/2022-07/Airbus-UTM-public-perception-study%20-urban-air-mobility.pdf","author":[{"family":"Yedavalli","given":"Pavan"},{"family":"Mooberry","given":"Jessie"}],"issued":{"date-parts":[["2019"]]}}}],"schema":"https://github.com/citation-style-language/schema/raw/master/csl-citation.json"} </w:instrText>
      </w:r>
      <w:r w:rsidRPr="00677CE8">
        <w:fldChar w:fldCharType="separate"/>
      </w:r>
      <w:r w:rsidRPr="00677CE8">
        <w:t>(</w:t>
      </w:r>
      <w:r w:rsidR="00DC5014" w:rsidRPr="00677CE8">
        <w:t xml:space="preserve">Yedavalli and Mooberry, 2019; </w:t>
      </w:r>
      <w:r w:rsidRPr="00677CE8">
        <w:t>Al Haddad et al., 2020; Boddupalli et al., 2024; Karimi et al., 2024)</w:t>
      </w:r>
      <w:r w:rsidRPr="00677CE8">
        <w:fldChar w:fldCharType="end"/>
      </w:r>
      <w:r w:rsidRPr="00677CE8">
        <w:t xml:space="preserve">. Age too plays a role, with younger respondents demonstrating a higher preference for UAM </w:t>
      </w:r>
      <w:r w:rsidRPr="00677CE8">
        <w:fldChar w:fldCharType="begin"/>
      </w:r>
      <w:r w:rsidR="00B7697D" w:rsidRPr="00677CE8">
        <w:instrText xml:space="preserve"> ADDIN ZOTERO_ITEM CSL_CITATION {"citationID":"iUtRM9mF","properties":{"formattedCitation":"(Adamidis et al., 2025; Jang et al., 2025; Karimi et al., 2024; Yedavalli &amp; Mooberry, 2019)","plainCitation":"(Adamidis et al., 2025; Jang et al., 2025; Karimi et al., 2024; Yedavalli &amp; Mooberry, 2019)","dontUpdate":true,"noteIndex":0},"citationItems":[{"id":560,"uris":["http://zotero.org/groups/6194892/items/MKSZW5M8"],"itemData":{"id":560,"type":"article-journal","abstract":"The increasing use of commercial aviation in the last decades has urged us to reconsider landside airport accessibility to meet the evolving demand. At the same time, the third (vertical) dimension in urban and suburban areas – i.e. the lower airspace up to 500 m above the ground – has yet to be substantially exploited for transportation. Soon, technological advances in electric vertical take-off and landing (eVTOL) aircraft could enable the commercial use of Urban Air Mobility (UAM) for airport access. Through a case study in Bavaria, Germany, and Austria, this research aims to investigate the potential users’ willingness to pay for a novel UAM AirShuttle service, which could connect the airport of Munich with important points in its catchment area, and to analyse their transportation mode choices when accessing the airport. A stated preference mode choice survey was disseminated through an online panel during March 2023 in the catchment area of the airport to assess the current travel behaviour of the population, including the ownership of mobility instruments, the current state of airport accessibility and the satisfaction of the respondents (N=218) with the currently available modes. Furthermore, the survey investigated directly how much the respondents were willing to pay to use the AirShuttle and their sociodemographic background. The results were evaluated using descriptive statistical analyses and discrete choice modelling. The findings reveal that most respondents were satisfied with the current access modes and found their pricing reasonable. On the other hand, their willingness to pay for UAM services was lower than expected. This study yields important implications for the industrial stakeholders of UAM and for policymakers; by analysing the results, it was concluded that the expectations of the industry and potential customers regarding UAM pricing in the short term could be different and that its benefits and implications for society should be carefully weighed by policymakers.","container-title":"Transport Policy","DOI":"10.1016/j.tranpol.2025.07.027","ISSN":"0967-070X","journalAbbreviation":"Transport Policy","page":"1025-1040","source":"ScienceDirect","title":"Urban air mobility for airport access: Mode choice preferences and pricing considerations","title-short":"Urban air mobility for airport access","volume":"171","author":[{"family":"Adamidis","given":"Filippos"},{"family":"Ditta","given":"Chiara Caterina"},{"family":"Wu","given":"Hao"},{"family":"Postorino","given":"Maria Nadia"},{"family":"Antoniou","given":"Constantinos"}],"issued":{"date-parts":[["2025",9,1]]}}},{"id":1354,"uris":["http://zotero.org/groups/6194892/items/7DNV8AWP"],"itemData":{"id":1354,"type":"article-journal","abstract":"This study examined mode choice preference for airport access given the introduction of Urban Air Mobility (UAM) airport shuttle service and its associations with socioeconomic status and airport usage behavior. We designed the stated preference survey targeting Incheon International Airport in South Korea and collected data from 2604 respondents. We provided six scenarios composed of a combination of experimental attributes (travel time, travel cost, and transfer frequency) for five alternative transport modes (airport train, airport bus, taxi, passenger car, and UAM) to each respondent and asked them to choose one most preferred mode in each scenario. A mixed multinomial logit model was used to consider the underlying characteristics of the collected data. The modeling result confirms that the preference for taking UAM varies by people's socioeconomic status and airport usage behavior. People who have higher incomes, frequently use taxis, and want to arrive at airports quickly before boarding are more likely to take UAM for airport access. The findings imply that UAM may be able to become a kind of taxi service operating in the sky, but its expensive fares may discourage its popularization. The findings extend previous studies of airport-oriented UAM service as one of the first studies to consider airport usage behavior. This study provides policymakers with insight into feasible strategies to make UAM service a practical transportation mode for the public.","container-title":"Journal of Air Transport Management","DOI":"10.1016/j.jairtraman.2024.102719","ISSN":"0969-6997","journalAbbreviation":"Journal of Air Transport Management","page":"102719","source":"ScienceDirect","title":"Urban air mobility for airport access: Mode choice preference associated with socioeconomic status and airport usage behavior","title-short":"Urban air mobility for airport access","volume":"124","author":[{"family":"Jang","given":"Hyeokjun"},{"family":"Kwon","given":"Yeongmin"},{"family":"Jang","given":"Kitae"},{"family":"Kim","given":"Suji"}],"issued":{"date-parts":[["2025",4,1]]}}},{"id":493,"uris":["http://zotero.org/groups/6194892/items/H3TRCYG2"],"itemData":{"id":493,"type":"article-journal","abstract":"Urban air mobility (UAM) is a new mode of transportation which has the potential to curb congestion in urban areas by providing a fast alternative that bypasses surface-level traffic by employing low altitude urban airspace. However, the successful adoption of this innovation among other modes of transportation remains a critical challenge, as public acceptance plays a pivotal role in the uptake of any emerging technology or service. To transcend traditional ground transportation, it is imperative to investigate the factors that drive a transition from current modes, particularly private cars, to the utilization of urban air taxis (UATs). While prior research has explored different aspects of UAM adoption, there is a notable dearth of studies examining the influence of travel satisfaction and attitudes towards travel modes on the preference for UAM. Notably, existing transportation literature has established that both satisfaction and attitudes significantly shape travel behavior. To achieve this, a stated preference survey was conducted in the Tehran metropolitan area, and a multinomial logit model incorporating latent variables was developed to assess the influence of socio-demographic and psychological factors on UAM adoption in hypothetical scenarios with predetermined travel times and costs. The findings highlight the pivotal role of service cost and affordability, with individuals of higher incomes exhibiting a significant inclination toward UAT adoption. The adoption of UAT is significantly higher when the cost is comparable to the existing modes. Moreover, satisfaction components, specifically enjoyment and time-saving benefits, exert a significant influence on UAT preference. Unfavorable perceptions towards private cars and ride-hailing services positively contribute to the likelihood of preferring UAT, with a greater impact observed for negative attitudes towards ride-hailing. The study explicitly underscores the influence of travel satisfaction and attitudes towards conventional modes of transportation on the adoption of innovative alternatives such as air taxis within the context of mode choice scenarios.","container-title":"Transportation Research Part A: Policy and Practice","DOI":"10.1016/j.tra.2023.103885","ISSN":"0965-8564","source":"ScienceDirect","title":"The Role of Travel Satisfaction and Attitudes Toward Travel Modes in the Prospect of Adoption of Urban Air Taxis: Evidence from a Stated Preference Survey in Tehran","URL":"https://www.sciencedirect.com/science/article/pii/S0965856423003051","volume":"179","author":[{"family":"Karimi","given":"Sina"},{"family":"Karami","given":"Hossein"},{"family":"Samadzad","given":"Mahdi"}],"accessed":{"date-parts":[["2024",12,17]]},"issued":{"date-parts":[["2024",1,1]]}}},{"id":1338,"uris":["http://zotero.org/groups/6194892/items/J3Z69VX5"],"itemData":{"id":1338,"type":"report","DOI":"urban","publisher":"Airbus","title":"An Assesment of Public Perception of Urban Air Mobility (UAM)","URL":"https://www.airbus.com/sites/g/files/jlcbta136/files/2022-07/Airbus-UTM-public-perception-study%20-urban-air-mobility.pdf","author":[{"family":"Yedavalli","given":"Pavan"},{"family":"Mooberry","given":"Jessie"}],"issued":{"date-parts":[["2019"]]}}}],"schema":"https://github.com/citation-style-language/schema/raw/master/csl-citation.json"} </w:instrText>
      </w:r>
      <w:r w:rsidRPr="00677CE8">
        <w:fldChar w:fldCharType="separate"/>
      </w:r>
      <w:r w:rsidRPr="00677CE8">
        <w:t>(</w:t>
      </w:r>
      <w:r w:rsidR="00DC5014" w:rsidRPr="00677CE8">
        <w:t xml:space="preserve">Yedavalli and Mooberry, 2019; Karimi et al., 2024; </w:t>
      </w:r>
      <w:r w:rsidRPr="00677CE8">
        <w:t>Adamidis et al., 2025; Jang et al., 2025</w:t>
      </w:r>
      <w:r w:rsidR="00DC5014" w:rsidRPr="00677CE8">
        <w:t>)</w:t>
      </w:r>
      <w:r w:rsidRPr="00677CE8">
        <w:fldChar w:fldCharType="end"/>
      </w:r>
      <w:r w:rsidRPr="00677CE8">
        <w:t xml:space="preserve">, though several studies identify age interactions with other contextual characteristics and individual-level variables. Specifically, long-distance trips, air taxi business service, and high-income status are key elements which contribute to elevated UAM preferences among older or middle-aged respondents </w:t>
      </w:r>
      <w:r w:rsidRPr="00677CE8">
        <w:fldChar w:fldCharType="begin"/>
      </w:r>
      <w:r w:rsidR="00B7697D" w:rsidRPr="00677CE8">
        <w:instrText xml:space="preserve"> ADDIN ZOTERO_ITEM CSL_CITATION {"citationID":"awDHlHl4","properties":{"formattedCitation":"(Boddupalli et al., 2024; M. Fu et al., 2019; Hwang &amp; Hong, 2023)","plainCitation":"(Boddupalli et al., 2024; M. Fu et al., 2019; Hwang &amp; Hong, 2023)","dontUpdate":true,"noteIndex":0},"citationItems":[{"id":1351,"uris":["http://zotero.org/groups/6194892/items/VKQN9M68"],"itemData":{"id":1351,"type":"article-journal","abstract":"In this study, a stated choice experiment was conducted to better understand individuals’ preferences for an air taxi commute service. Random taste parameter models with panel effects were used to model the choice among: (1) traditional auto, (2) transit, and (3) air taxi. We find that individuals who are male and are frequent ridesharing users are more likely to select the air taxi. A non-trader analysis of individuals who always selected the same mode across our eight stated choice scenarios showed that air taxi preferences are heterogeneous and polarized, with 14 percent always selecting air taxi and 14 percent never selecting air taxi. Among the traders, significant variation across individuals’ value of time (VOT) was observed. Results based on a negative lognormal distribution show the median in-vehicle VOTs for the air taxi mode was about 25 USD/hour, but 10 percent had VOTs higher than 64 USD/hour. Our results highlight the need for future studies of potential market demand for eVTOL aircraft to incorporate the percentage of the population who will likely never consider using an air taxi, as well as the distribution of VOTs for those who will consider using this new mode.","container-title":"Transportation Research Part A: Policy and Practice","DOI":"10.1016/j.tra.2024.104000","ISSN":"0965-8564","journalAbbreviation":"Transportation Research Part A: Policy and Practice","page":"104000","source":"ScienceDirect","title":"Mode choice modeling for an electric vertical takeoff and landing (eVTOL) air taxi commuting service","volume":"181","author":[{"family":"Boddupalli","given":"Sreekar-Shashank"},{"family":"Garrow","given":"Laurie A."},{"family":"German","given":"Brian J."},{"family":"Newman","given":"Jeffrey P."}],"issued":{"date-parts":[["2024",3,1]]}}},{"id":482,"uris":["http://zotero.org/groups/6194892/items/97M5RJ6T"],"itemData":{"id":482,"type":"article-journal","abstract":"Urban Air Mobility (UAM) is a recent mobility concept with the potential to reduce travel time and change travel patterns. When evaluating the introduction of UAM, understanding the potential users’ choice behavior regarding current available urban transportation modes and autonomous transportation services is essential to demand estimation. This preliminary research intends to gain insight into the travel behavior impacts of autonomous transportation modes, especially UAM, by deriving measures for transportation service attributes and identifying characteristics of potential users who might adopt autonomous transportation services, particularly the services of UAM. Thus, a stated preference questionnaire was designed and distributed in Munich metropolitan region. A main mode choice multinomial logit model and several sub-models, based on market segmentation, were estimated regarding four transportation alternatives: private car, public transportation, autonomous taxi, and autonomous flying taxi. The results indicate that travel time, travel cost, and safety may be critical determinants in autonomous transportation mode adoption. The potential consumers may be willing to pay more for using autonomous transportation modes, especially the service of UAM. Among different market segments, younger individuals, as well as older individuals with high household income, are more likely to adopt UAM. In addition, during the market entry stage, potential travelers may favor UAM particularly for performing non-commuting trips.","container-title":"Transportation Research Record","DOI":"10.1177/0361198119843858","ISSN":"0361-1981","issue":"10","language":"en","page":"427-442","publisher":"SAGE Publications Inc","source":"SAGE Journals","title":"Exploring Preferences for Transportation Modes in an Urban Air Mobility Environment: Munich Case Study","volume":"2673","author":[{"family":"Fu","given":"Mengying"},{"family":"Rothfeld","given":"Raoul"},{"family":"Antoniou","given":"Constantinos"}],"issued":{"date-parts":[["2019",10,1]]}}},{"id":488,"uris":["http://zotero.org/groups/6194892/items/JMT46ABB"],"itemData":{"id":488,"type":"article-journal","abstract":"This study analyzed commuters’ intention to use urban air mobility (UAM) and the future demand for UAM based on its service characteristics and the personal characteristics of the potential users. The Seoul Metropolitan Area (SMA) was selected as the study area as it is expected to have the highest demand for UAM in South Korea. Three UAM operation scenarios were set: short-distance intra-city trips, long-distance intra-city trips, and inter-city trips. Five alternatives were assumed for the stated preference (SP) survey: bus, subway, taxi, private car, and UAM. Six alternative-specific variables were selected: access time, waiting time, boarding time, cost, autonomous mode, and the presence of other passengers. An online survey of 300 residents of SMA was conducted with 100 residents for each scenario. The residents were briefed on the modes of transportation and service characteristic of alternatives. The analysis results were as follows: (1) cost and access time significantly influenced the intention to use UAM in all scenarios. However, the effects of waiting time, boarding time, and autonomous driving on intention to use UAM differed based on the scenarios; (2) the individual characteristics of potential users had varying effects on their preference for UAM depending on the scenarios and the means of transportation, which was a counterpart to UAM. (3) The probability of choosing UAM for commuting was expected to be 10–20%, with the highest modal split for long-distance intra-city trips and the lowest modal split for short-distance intra-city trips. Among the six alternative-specific variables, autonomous driving and cost had the most significant effect on the change of the probability for using UAM. The results of this study are expected to be used as basic data for designing an effective strategy for the introduction of UAM in South Korea.","container-title":"Journal of Air Transport Management","DOI":"10.1016/j.jairtraman.2023.102467","ISSN":"0969-6997","source":"ScienceDirect","title":"A Study on the Factors Influencing the Adoption of Urban Air Mobility and the Future Demand: Using the Stated Preference Survey for Three UAM Operational Scenarios in South Korea","URL":"https://www.sciencedirect.com/science/article/pii/S0969699723001102","volume":"112","author":[{"family":"Hwang","given":"Ji-Hyon"},{"family":"Hong","given":"Sungjo"}],"accessed":{"date-parts":[["2023",9,22]]},"issued":{"date-parts":[["2023",9,1]]}}}],"schema":"https://github.com/citation-style-language/schema/raw/master/csl-citation.json"} </w:instrText>
      </w:r>
      <w:r w:rsidRPr="00677CE8">
        <w:fldChar w:fldCharType="separate"/>
      </w:r>
      <w:r w:rsidRPr="00677CE8">
        <w:t>(Fu et al., 2019; Hwang and Hong, 2023</w:t>
      </w:r>
      <w:r w:rsidR="00D45F85" w:rsidRPr="00677CE8">
        <w:t>; Boddupalli et al., 2024</w:t>
      </w:r>
      <w:r w:rsidRPr="00677CE8">
        <w:t>)</w:t>
      </w:r>
      <w:r w:rsidRPr="00677CE8">
        <w:fldChar w:fldCharType="end"/>
      </w:r>
      <w:r w:rsidRPr="00677CE8">
        <w:t xml:space="preserve">. Findings on education level are mixed, with some studies indicating a positive association with UAM adoption </w:t>
      </w:r>
      <w:r w:rsidRPr="00677CE8">
        <w:fldChar w:fldCharType="begin"/>
      </w:r>
      <w:r w:rsidRPr="00677CE8">
        <w:instrText xml:space="preserve"> ADDIN ZOTERO_ITEM CSL_CITATION {"citationID":"ufWpqXZ9","properties":{"formattedCitation":"(Jang et al., 2025; Yedavalli &amp; Mooberry, 2019)","plainCitation":"(Jang et al., 2025; Yedavalli &amp; Mooberry, 2019)","dontUpdate":true,"noteIndex":0},"citationItems":[{"id":1354,"uris":["http://zotero.org/groups/6194892/items/7DNV8AWP"],"itemData":{"id":1354,"type":"article-journal","abstract":"This study examined mode choice preference for airport access given the introduction of Urban Air Mobility (UAM) airport shuttle service and its associations with socioeconomic status and airport usage behavior. We designed the stated preference survey targeting Incheon International Airport in South Korea and collected data from 2604 respondents. We provided six scenarios composed of a combination of experimental attributes (travel time, travel cost, and transfer frequency) for five alternative transport modes (airport train, airport bus, taxi, passenger car, and UAM) to each respondent and asked them to choose one most preferred mode in each scenario. A mixed multinomial logit model was used to consider the underlying characteristics of the collected data. The modeling result confirms that the preference for taking UAM varies by people's socioeconomic status and airport usage behavior. People who have higher incomes, frequently use taxis, and want to arrive at airports quickly before boarding are more likely to take UAM for airport access. The findings imply that UAM may be able to become a kind of taxi service operating in the sky, but its expensive fares may discourage its popularization. The findings extend previous studies of airport-oriented UAM service as one of the first studies to consider airport usage behavior. This study provides policymakers with insight into feasible strategies to make UAM service a practical transportation mode for the public.","container-title":"Journal of Air Transport Management","DOI":"10.1016/j.jairtraman.2024.102719","ISSN":"0969-6997","journalAbbreviation":"Journal of Air Transport Management","page":"102719","source":"ScienceDirect","title":"Urban air mobility for airport access: Mode choice preference associated with socioeconomic status and airport usage behavior","title-short":"Urban air mobility for airport access","volume":"124","author":[{"family":"Jang","given":"Hyeokjun"},{"family":"Kwon","given":"Yeongmin"},{"family":"Jang","given":"Kitae"},{"family":"Kim","given":"Suji"}],"issued":{"date-parts":[["2025",4,1]]}}},{"id":1338,"uris":["http://zotero.org/groups/6194892/items/J3Z69VX5"],"itemData":{"id":1338,"type":"report","DOI":"urban","publisher":"Airbus","title":"An Assesment of Public Perception of Urban Air Mobility (UAM)","URL":"https://www.airbus.com/sites/g/files/jlcbta136/files/2022-07/Airbus-UTM-public-perception-study%20-urban-air-mobility.pdf","author":[{"family":"Yedavalli","given":"Pavan"},{"family":"Mooberry","given":"Jessie"}],"issued":{"date-parts":[["2019"]]}}}],"schema":"https://github.com/citation-style-language/schema/raw/master/csl-citation.json"} </w:instrText>
      </w:r>
      <w:r w:rsidRPr="00677CE8">
        <w:fldChar w:fldCharType="separate"/>
      </w:r>
      <w:r w:rsidRPr="00677CE8">
        <w:t>(Yedavalli and Mooberry, 2019</w:t>
      </w:r>
      <w:r w:rsidR="00D45F85" w:rsidRPr="00677CE8">
        <w:t>; Jang et al., 2025</w:t>
      </w:r>
      <w:r w:rsidRPr="00677CE8">
        <w:t>)</w:t>
      </w:r>
      <w:r w:rsidRPr="00677CE8">
        <w:fldChar w:fldCharType="end"/>
      </w:r>
      <w:r w:rsidRPr="00677CE8">
        <w:t xml:space="preserve">, and others reporting opposite effects </w:t>
      </w:r>
      <w:r w:rsidRPr="00677CE8">
        <w:fldChar w:fldCharType="begin"/>
      </w:r>
      <w:r w:rsidRPr="00677CE8">
        <w:instrText xml:space="preserve"> ADDIN ZOTERO_ITEM CSL_CITATION {"citationID":"KK7Vpcnw","properties":{"formattedCitation":"(Johnson et al., 2022)","plainCitation":"(Johnson et al., 2022)","noteIndex":0},"citationItems":[{"id":486,"uris":["http://zotero.org/groups/6194892/items/URXXIJNY"],"itemData":{"id":486,"type":"article-journal","container-title":"The International Journal of Aerospace Psychology","DOI":"10.1080/24721840.2022.2100394","ISSN":"2472-1840","issue":"4","note":"_eprint: https://www.tandfonline.com/doi/pdf/10.1080/24721840.2022.2100394","page":"240-253","publisher":"Routledge","source":"Taylor and Francis+NEJM","title":"Technology Adoption and Acceptance of Urban Air Mobility Systems: Identifying Public Perceptions and Integration Factors","volume":"32","author":[{"family":"Johnson","given":"Ricole A."},{"family":"Miller","given":"Erika E."},{"family":"Conrad","given":"Steven"}],"issued":{"date-parts":[["2022",10,2]]}}}],"schema":"https://github.com/citation-style-language/schema/raw/master/csl-citation.json"} </w:instrText>
      </w:r>
      <w:r w:rsidRPr="00677CE8">
        <w:fldChar w:fldCharType="separate"/>
      </w:r>
      <w:r w:rsidRPr="00677CE8">
        <w:t>(Johnson et al., 2022)</w:t>
      </w:r>
      <w:r w:rsidRPr="00677CE8">
        <w:fldChar w:fldCharType="end"/>
      </w:r>
      <w:r w:rsidRPr="00677CE8">
        <w:t xml:space="preserve">. Besides the interaction effects with age, a higher income generally leads to a higher propensity to adopt UAM </w:t>
      </w:r>
      <w:r w:rsidRPr="00677CE8">
        <w:fldChar w:fldCharType="begin"/>
      </w:r>
      <w:r w:rsidR="00B7697D" w:rsidRPr="00677CE8">
        <w:instrText xml:space="preserve"> ADDIN ZOTERO_ITEM CSL_CITATION {"citationID":"oNpyjORP","properties":{"formattedCitation":"(Al Haddad et al., 2020; Brunelli et al., 2023; Karimi et al., 2024)","plainCitation":"(Al Haddad et al., 2020; Brunelli et al., 2023; Karimi et al., 2024)","noteIndex":0},"citationItems":[{"id":484,"uris":["http://zotero.org/groups/6194892/items/ZS2ZU8K2"],"itemData":{"id":484,"type":"article-journal","abstract":"Technological advances have recently led to the development of urban air mobility (UAM), an alternative transportation mode with several concepts including vehicles operated by on-demand fully-automated vertical take-off and landing aircraft (VTOL) for intra-city passenger transportation. However, despite a growing interest in UAM, understanding users’ perceptions to it remains limited. This research aims to identify and quantify the factors affecting the adoption and use of UAM, based on relevant tools from the literature, such as recurring factors in studies on aerial vehicle concepts, ground autonomous vehicles, but also acceptance models, such as the Technology Acceptance Model by Davis et al. (1989). A stated-preference survey was developed to assess the perception of users in terms of adoption time horizon, including options such as the first six years of the service’s implementation, “unsure”, and “never”. The obtained results were evaluated using exploratory factor analyses, and the specification and estimation of suitable discrete choice models, multinomial logit models (MNLs) and ordered logit models (OLMs), with adoption time horizon as dependent variable. Findings revealed the importance of safety and trust, affinity to automation, data concerns, social attitude, and socio-demographics for adoption. Factors, such as the value of time savings, the perception of automation costs, and service reliability, were also found to be highly influential. There was also an indication that skeptical respondents, i.e. answering “unsure”, had a behavior similar to late and non-adopters, i.e. adoption time horizon higher than six years or answering “never”. The summarized results were represented in an extended Technology Acceptance Model for urban air mobility, and provided insights for policymakers and industrial stakeholders.","container-title":"Transportation Research Part A: Policy and Practice","DOI":"10.1016/j.tra.2019.12.020","ISSN":"0965-8564","page":"696-712","source":"ScienceDirect","title":"Factors Affecting the Adoption and Use of Urban Air Mobility","volume":"132","author":[{"family":"Al Haddad","given":"Christelle"},{"family":"Chaniotakis","given":"Emmanouil"},{"family":"Straubinger","given":"Anna"},{"family":"Plötner","given":"Kay"},{"family":"Antoniou","given":"Constantinos"}],"issued":{"date-parts":[["2020",2,1]]}}},{"id":557,"uris":["http://zotero.org/groups/6194892/items/GBHAFU7L"],"itemData":{"id":557,"type":"article-journal","abstract":"Electric vertical take-off and landing vehicles (eVTOL) are expected to be the key drivers for Urban Air Mobility (UAM) scenarios, by satisfying on-demand air travel needs in the short or mid-term. Despite the high number of eVTOL prototypes, nowadays only few studies have focused on UAM travel demand estimation, in particular Airport Shuttle demand estimation. The aim of this work is to use Stated Preference methods to collect data necessary to understand the main features of the potential UAM Airport Shuttle trip demand, also by calibrating some discrete choice models. Data were collected by both on-line surveys and face-to-face interviews, which captured mainly the Italian context. Three different Multinominal Logit models and a Mixed Logit model have been calibrated in order to identify the main variables driving people's choices for Airport Shuttle services. The results show the positive impact of income, air travel frequency and shared ride in increasing the willingness to use Airport Shuttle services. On the other hand, user that still prefers the ground transportation modes to reach the airport, high ratio between the number of cars and the driving licenses per family unit and the lack of experience with autonomous systems (i.e., driving assistance systems) seem to have a negative impact on people intention to use Airport Shuttle services.","container-title":"Transport Policy","DOI":"10.1016/j.tranpol.2023.07.019","ISSN":"0967-070X","journalAbbreviation":"Transport Policy","page":"129-139","source":"ScienceDirect","title":"SP surveys to estimate Airport Shuttle demand in an Urban Air Mobility context","volume":"141","author":[{"family":"Brunelli","given":"Matteo"},{"family":"Ditta","given":"Chiara Caterina"},{"family":"Postorino","given":"Maria Nadia"}],"issued":{"date-parts":[["2023",9,1]]}}},{"id":493,"uris":["http://zotero.org/groups/6194892/items/H3TRCYG2"],"itemData":{"id":493,"type":"article-journal","abstract":"Urban air mobility (UAM) is a new mode of transportation which has the potential to curb congestion in urban areas by providing a fast alternative that bypasses surface-level traffic by employing low altitude urban airspace. However, the successful adoption of this innovation among other modes of transportation remains a critical challenge, as public acceptance plays a pivotal role in the uptake of any emerging technology or service. To transcend traditional ground transportation, it is imperative to investigate the factors that drive a transition from current modes, particularly private cars, to the utilization of urban air taxis (UATs). While prior research has explored different aspects of UAM adoption, there is a notable dearth of studies examining the influence of travel satisfaction and attitudes towards travel modes on the preference for UAM. Notably, existing transportation literature has established that both satisfaction and attitudes significantly shape travel behavior. To achieve this, a stated preference survey was conducted in the Tehran metropolitan area, and a multinomial logit model incorporating latent variables was developed to assess the influence of socio-demographic and psychological factors on UAM adoption in hypothetical scenarios with predetermined travel times and costs. The findings highlight the pivotal role of service co</w:instrText>
      </w:r>
      <w:r w:rsidR="00B7697D" w:rsidRPr="007806B4">
        <w:rPr>
          <w:lang w:val="es-MX"/>
        </w:rPr>
        <w:instrText xml:space="preserve">st and affordability, with individuals of higher incomes exhibiting a significant inclination toward UAT adoption. The adoption of UAT is significantly higher when the cost is comparable to the existing modes. Moreover, satisfaction components, specifically enjoyment and time-saving benefits, exert a significant influence on UAT preference. Unfavorable perceptions towards private cars and ride-hailing services positively contribute to the likelihood of preferring UAT, with a greater impact observed for negative attitudes towards ride-hailing. The study explicitly underscores the influence of travel satisfaction and attitudes towards conventional modes of transportation on the adoption of innovative alternatives such as air taxis within the context of mode choice scenarios.","container-title":"Transportation Research Part A: Policy and Practice","DOI":"10.1016/j.tra.2023.103885","ISSN":"0965-8564","source":"ScienceDirect","title":"The Role of Travel Satisfaction and Attitudes Toward Travel Modes in the Prospect of Adoption of Urban Air Taxis: Evidence from a Stated Preference Survey in Tehran","URL":"https://www.sciencedirect.com/science/article/pii/S0965856423003051","volume":"179","author":[{"family":"Karimi","given":"Sina"},{"family":"Karami","given":"Hossein"},{"family":"Samadzad","given":"Mahdi"}],"accessed":{"date-parts":[["2024",12,17]]},"issued":{"date-parts":[["2024",1,1]]}}}],"schema":"https://github.com/citation-style-language/schema/raw/master/csl-citation.json"} </w:instrText>
      </w:r>
      <w:r w:rsidRPr="00677CE8">
        <w:fldChar w:fldCharType="separate"/>
      </w:r>
      <w:r w:rsidRPr="007806B4">
        <w:rPr>
          <w:lang w:val="es-MX"/>
        </w:rPr>
        <w:t>(Al Haddad et al., 2020; Brunelli et al., 2023; Karimi et al., 2024)</w:t>
      </w:r>
      <w:r w:rsidRPr="00677CE8">
        <w:fldChar w:fldCharType="end"/>
      </w:r>
      <w:r w:rsidRPr="007806B4">
        <w:rPr>
          <w:lang w:val="es-MX"/>
        </w:rPr>
        <w:t xml:space="preserve">. </w:t>
      </w:r>
      <w:r w:rsidRPr="00677CE8">
        <w:t xml:space="preserve">Residential location also has been found to impact adoption, with previous studies indicating that rural residents are less likely to be early adopters of UAM </w:t>
      </w:r>
      <w:r w:rsidRPr="00677CE8">
        <w:fldChar w:fldCharType="begin"/>
      </w:r>
      <w:r w:rsidRPr="00677CE8">
        <w:instrText xml:space="preserve"> ADDIN ZOTERO_ITEM CSL_CITATION {"citationID":"TSzwkhKf","properties":{"formattedCitation":"(Johnson et al., 2022; Yedavalli &amp; Mooberry, 2019)","plainCitation":"(Johnson et al., 2022; Yedavalli &amp; Mooberry, 2019)","dontUpdate":true,"noteIndex":0},"citationItems":[{"id":486,"uris":["http://zotero.org/groups/6194892/items/URXXIJNY"],"itemData":{"id":486,"type":"article-journal","container-title":"The International Journal of Aerospace Psychology","DOI":"10.1080/24721840.2022.2100394","ISSN":"2472-1840","issue":"4","note":"_eprint: https://www.tandfonline.com/doi/pdf/10.1080/24721840.2022.2100394","page":"240-253","publisher":"Routledge","source":"Taylor and Francis+NEJM","title":"Technology Adoption and Acceptance of Urban Air Mobility Systems: Identifying Public Perceptions and Integration Factors","volume":"32","author":[{"family":"Johnson","given":"Ricole A."},{"family":"Miller","given":"Erika E."},{"family":"Conrad","given":"Steven"}],"issued":{"date-parts":[["2022",10,2]]}}},{"id":1338,"uris":["http://zotero.org/groups/6194892/items/J3Z69VX5"],"itemData":{"id":1338,"type":"report","DOI":"urban","publisher":"Airbus","title":"An Assesment of Public Perception of Urban Air Mobility (UAM)","URL":"https://www.airbus.com/sites/g/files/jlcbta136/files/2022-07/Airbus-UTM-public-perception-study%20-urban-air-mobility.pdf","author":[{"family":"Yedavalli","given":"Pavan"},{"family":"Mooberry","given":"Jessie"}],"issued":{"date-parts":[["2019"]]}}}],"schema":"https://github.com/citation-style-language/schema/raw/master/csl-citation.json"} </w:instrText>
      </w:r>
      <w:r w:rsidRPr="00677CE8">
        <w:fldChar w:fldCharType="separate"/>
      </w:r>
      <w:r w:rsidRPr="00677CE8">
        <w:t>(</w:t>
      </w:r>
      <w:r w:rsidR="00D45F85" w:rsidRPr="00677CE8">
        <w:t xml:space="preserve">Yedavalli and Mooberry, 2019; </w:t>
      </w:r>
      <w:r w:rsidRPr="00677CE8">
        <w:t>Johnson et al., 2022)</w:t>
      </w:r>
      <w:r w:rsidRPr="00677CE8">
        <w:fldChar w:fldCharType="end"/>
      </w:r>
      <w:r w:rsidRPr="00677CE8">
        <w:t>.</w:t>
      </w:r>
    </w:p>
    <w:p w14:paraId="6FFAB8F5" w14:textId="77777777" w:rsidR="003E050E" w:rsidRPr="00677CE8" w:rsidRDefault="003E050E" w:rsidP="00C45731">
      <w:pPr>
        <w:spacing w:after="0" w:line="240" w:lineRule="auto"/>
        <w:jc w:val="both"/>
      </w:pPr>
    </w:p>
    <w:p w14:paraId="5860C2C4" w14:textId="49FEE0F5" w:rsidR="006E794F" w:rsidRPr="00677CE8" w:rsidRDefault="00994620" w:rsidP="007B293E">
      <w:pPr>
        <w:pStyle w:val="Heading2"/>
        <w:spacing w:after="0" w:line="240" w:lineRule="auto"/>
        <w:jc w:val="both"/>
      </w:pPr>
      <w:r w:rsidRPr="00677CE8">
        <w:t xml:space="preserve">2.3 </w:t>
      </w:r>
      <w:r w:rsidR="00EB7DC3" w:rsidRPr="00677CE8">
        <w:t>Study in Context</w:t>
      </w:r>
    </w:p>
    <w:p w14:paraId="55984F4B" w14:textId="2C9E23EE" w:rsidR="00976D04" w:rsidRPr="00677CE8" w:rsidRDefault="00976D04" w:rsidP="00976D04">
      <w:pPr>
        <w:spacing w:after="0" w:line="240" w:lineRule="auto"/>
        <w:jc w:val="both"/>
      </w:pPr>
      <w:r w:rsidRPr="00677CE8">
        <w:t xml:space="preserve">Despite the growing </w:t>
      </w:r>
      <w:r w:rsidR="005F032A">
        <w:t>body</w:t>
      </w:r>
      <w:r w:rsidRPr="00677CE8">
        <w:t xml:space="preserve"> of research on determinants of UAM adoption, several gaps</w:t>
      </w:r>
      <w:r w:rsidR="00B62025" w:rsidRPr="00677CE8">
        <w:t xml:space="preserve"> </w:t>
      </w:r>
      <w:r w:rsidRPr="00677CE8">
        <w:t xml:space="preserve">remain. In this context, the current study advances </w:t>
      </w:r>
      <w:proofErr w:type="gramStart"/>
      <w:r w:rsidRPr="00677CE8">
        <w:t>the literature</w:t>
      </w:r>
      <w:proofErr w:type="gramEnd"/>
      <w:r w:rsidRPr="00677CE8">
        <w:t xml:space="preserve"> in five keys ways. </w:t>
      </w:r>
      <w:r w:rsidRPr="00677CE8">
        <w:rPr>
          <w:u w:val="single"/>
        </w:rPr>
        <w:t>First</w:t>
      </w:r>
      <w:r w:rsidRPr="00677CE8">
        <w:t xml:space="preserve">, the study explicitly examines </w:t>
      </w:r>
      <w:r w:rsidR="00D97D1E" w:rsidRPr="00677CE8">
        <w:t>adoption of</w:t>
      </w:r>
      <w:r w:rsidRPr="00677CE8">
        <w:t xml:space="preserve"> air metro service</w:t>
      </w:r>
      <w:r w:rsidR="00D97D1E" w:rsidRPr="00677CE8">
        <w:t>s</w:t>
      </w:r>
      <w:r w:rsidRPr="00677CE8">
        <w:t xml:space="preserve"> in addition to air taxi service</w:t>
      </w:r>
      <w:r w:rsidR="00D97D1E" w:rsidRPr="00677CE8">
        <w:t>s</w:t>
      </w:r>
      <w:r w:rsidRPr="00677CE8">
        <w:t xml:space="preserve">, quantifying the demand and determining likely adopters for a fixed route, shared aerial </w:t>
      </w:r>
      <w:r w:rsidR="00D97D1E" w:rsidRPr="00677CE8">
        <w:t>mode</w:t>
      </w:r>
      <w:r w:rsidRPr="00677CE8">
        <w:t xml:space="preserve">. </w:t>
      </w:r>
      <w:r w:rsidR="00080B9D" w:rsidRPr="00677CE8">
        <w:t>As may be observed from the second column of Table 1, a</w:t>
      </w:r>
      <w:r w:rsidRPr="00677CE8">
        <w:t xml:space="preserve">lmost all earlier studies have </w:t>
      </w:r>
      <w:r w:rsidR="00D97D1E" w:rsidRPr="00677CE8">
        <w:t>exclusively investigated</w:t>
      </w:r>
      <w:r w:rsidRPr="00677CE8">
        <w:t xml:space="preserve"> the case of on-demand air taxi services. </w:t>
      </w:r>
      <w:r w:rsidR="005F032A">
        <w:t>W</w:t>
      </w:r>
      <w:r w:rsidR="007F65E5" w:rsidRPr="00677CE8">
        <w:t>hile a</w:t>
      </w:r>
      <w:r w:rsidRPr="00677CE8">
        <w:t xml:space="preserve"> few studies have begun to differentiate these </w:t>
      </w:r>
      <w:r w:rsidR="00A55CF6" w:rsidRPr="00677CE8">
        <w:t>two</w:t>
      </w:r>
      <w:r w:rsidRPr="00677CE8">
        <w:t xml:space="preserve"> </w:t>
      </w:r>
      <w:r w:rsidR="00656FAD" w:rsidRPr="00677CE8">
        <w:t>UAM modes</w:t>
      </w:r>
      <w:r w:rsidRPr="00677CE8">
        <w:t xml:space="preserve">, existing studies remain limited to (1) shared aerial services for the sole use case of airport access </w:t>
      </w:r>
      <w:r w:rsidRPr="00677CE8">
        <w:fldChar w:fldCharType="begin"/>
      </w:r>
      <w:r w:rsidR="00B7697D" w:rsidRPr="00677CE8">
        <w:instrText xml:space="preserve"> ADDIN ZOTERO_ITEM CSL_CITATION {"citationID":"dYL5Xrv9","properties":{"unsorted":false,"formattedCitation":"(Brunelli et al., 2023; Coppola et al., 2024; Jang et al., 2025; Kim &amp; Zhang, 2025)","plainCitation":"(Brunelli et al., 2023; Coppola et al., 2024; Jang et al., 2025; Kim &amp; Zhang, 2025)","dontUpdate":true,"noteIndex":0},"citationItems":[{"id":557,"uris":["http://zotero.org/groups/6194892/items/GBHAFU7L"],"itemData":{"id":557,"type":"article-journal","abstract":"Electric vertical take-off and landing vehicles (eVTOL) are expected to be the key drivers for Urban Air Mobility (UAM) scenarios, by satisfying on-demand air travel needs in the short or mid-term. Despite the high number of eVTOL prototypes, nowadays only few studies have focused on UAM travel demand estimation, in particular Airport Shuttle demand estimation. The aim of this work is to use Stated Preference methods to collect data necessary to understand the main features of the potential UAM Airport Shuttle trip demand, also by calibrating some discrete choice models. Data were collected by both on-line surveys and face-to-face interviews, which captured mainly the Italian context. Three different Multinominal Logit models and a Mixed Logit model have been calibrated in order to identify the main variables driving people's choices for Airport Shuttle services. The results show the positive impact of income, air travel frequency and shared ride in increasing the willingness to use Airport Shuttle services. On the other hand, user that still prefers the ground transportation modes to reach the airport, high ratio between the number of cars and the driving licenses per family unit and the lack of experience with autonomous systems (i.e., driving assistance systems) seem to have a negative impact on people intention to use Airport Shuttle services.","container-title":"Transport Policy","DOI":"10.1016/j.tranpol.2023.07.019","ISSN":"0967-070X","journalAbbreviation":"Transport Policy","page":"129-139","source":"ScienceDirect","title":"SP surveys to estimate Airport Shuttle demand in an Urban Air Mobility context","volume":"141","author":[{"family":"Brunelli","given":"Matteo"},{"family":"Ditta","given":"Chiara Caterina"},{"family":"Postorino","given":"Maria Nadia"}],"issued":{"date-parts":[["2023",9,1]]}}},{"id":533,"uris":["http://zotero.org/groups/6194892/items/Q7FVFA5M"],"itemData":{"id":533,"type":"article-journal","abstract":"In the last years, Urban Air Mobility (UAM) has been receiving increasing attention and even if the first services are expected to be launched shortly, there is still uncertainty about which type of commercial services (e.g., airport shuttles or city-taxis) will be implemented at an early stage, as well as which price point will be perceived as affordable by travelers. Based on data collected through a large-scale survey campaign in the Milan metropolitan area (Italy), in this paper passengers' value of travel time savings for different UAM services are estimated using advanced discrete choice modeling. Estimated mixed logit models allowed to comparatively analyze the differences between the two potential use cases, i.e., airport shuttle and city-taxi services. Results show a willingness to pay for UAM services from/to airports that is greater (in a range of 44%–57%) than for travelling within the metropolitan area, and greater (in a range of 31%–44%) for business travels than for other purposes, indicating that the most financially sustainable UAM services will potentially be available for airport-shuttle connections from/to central business districts.","container-title":"Transport Policy","DOI":"10.1016/j.tranpol.2024.03.003","ISSN":"0967-070X","journalAbbreviation":"Transport Policy","page":"24-34","source":"ScienceDirect","title":"Urban Air Mobility (UAM): Airport shuttles or city-taxis?","title-short":"Urban Air Mobility (UAM)","volume":"150","author":[{"family":"Coppola","given":"Pierluigi"},{"family":"De Fabiis","given":"Francesco"},{"family":"Silvestri","given":"Fulvio"}],"issued":{"date-parts":[["2024",5,1]]}}},{"id":1354,"uris":["http://zotero.org/groups/6194892/items/7DNV8AWP"],"itemData":{"id":1354,"type":"article-journal","abstract":"This study examined mode choice preference for airport access given the introduction of Urban Air Mobility (UAM) airport shuttle service and its associations with socioeconomic status and airport usage behavior. We designed the stated preference survey targeting Incheon International Airport in South Korea and collected data from 2604 respondents. We provided six scenarios composed of a combination of experimental attributes (travel time, travel cost, and transfer frequency) for five alternative transport modes (airport train, airport bus, taxi, passenger car, and UAM) to each respondent and asked them to choose one most preferred mode in each scenario. A mixed multinomial logit model was used to consider the underlying characteristics of the collected data. The modeling result confirms that the preference for taking UAM varies by people's socioeconomic status and airport usage behavior. People who have higher incomes, frequently use taxis, and want to arrive at airports quickly before boarding are more likely to take UAM for airport access. The findings imply that UAM may be able to become a kind of taxi service operating in the sky, but its expensive fares may discourage its popularization. The findings extend previous studies of airport-oriented UAM service as one of the first studies to consider airport usage behavior. This study provides policymakers with insight into feasible strategies to make UAM service a practical transportation mode for the public.","container-title":"Journal of Air Transport Management","DOI":"10.1016/j.jairtraman.2024.102719","ISSN":"0969-6997","journalAbbreviation":"Journal of Air Transport Management","page":"102719","source":"ScienceDirect","title":"Urban air mobility for airport access: Mode choice preference associated with socioeconomic status and airport usage behavior","title-short":"Urban air mobility for airport access","volume":"124","author":[{"family":"Jang","given":"Hyeokjun"},{"family":"Kwon","given":"Yeongmin"},{"family":"Jang","given":"Kitae"},{"family":"Kim","given":"Suji"}],"issued":{"date-parts":[["2025",4,1]]}}},{"id":1342,"uris":["http://zotero.org/groups/6194892/items/AN77YNQB"],"itemData":{"id":1342,"type":"article-journal","abstract":"Urban Air Mobility (UAM) is an emerging transportation solution aiming to alleviate congestion and enhance sustainability in urban areas. Automation capabilities are evolving from manned control to full autonomy, and at each stage of this progression, the willingness to use each system represents a behavioural intention toward adoption. This study investigates willingness to use UAM for airport shuttle services across three levels of automation: Manned control, Remotely piloted, and Fully autonomous. The study employed survey data from 1613 respondents in South Korea. Using ordered logit models, we examine how socio-demographic and current airport travel behaviour influence adoption. Results show that approximately 60% of respondents were willing to use manned control UAM, whereas only about 30% expressed willingness under remotely piloted or fully autonomous UAM. Adoption patterns and predictors of adoption vary depending on the level of automation. While current travel time to the airport and the primary purpose of airport use are prominent predictors of willingness to use UAM at the manned control level, demographic characteristics, particularly gender and age, become more significant at remotely piloted and fully autonomous UAM, as the level of automation increases. The frequency of international travel consistently predicts a higher willingness to adopt UAM, regardless of the level of automation. These findings highlight the need for level-specific adoption strategies and suggest that trust and risk perception need to be addressed as automation increases. This study contributes empirical evidence for policymakers, service operators, and urban planners informing differentiated communication and integration strategies tailored to user profiles and system maturity.","container-title":"Journal of Urban Mobility","DOI":"10.1016/j.urbmob.2025.100162","ISSN":"2667-0917","journalAbbreviation":"Journal of Urban Mobility","page":"100162","source":"ScienceDirect","title":"Willingness to use urban air mobility (UAM) as an airport shuttle across levels of automation","volume":"8","author":[{"family":"Kim","given":"Soyeon"},{"family":"Zhang","given":"Kaihan"}],"issued":{"date-parts":[["2025",12,1]]}}}],"schema":"https://github.com/citation-style-language/schema/raw/master/csl-citation.json"} </w:instrText>
      </w:r>
      <w:r w:rsidRPr="00677CE8">
        <w:fldChar w:fldCharType="separate"/>
      </w:r>
      <w:r w:rsidR="009D1CD7" w:rsidRPr="00677CE8">
        <w:t xml:space="preserve">(Brunelli et al., 2023; Coppola et al., 2024; Jang et al., 2025; Kim </w:t>
      </w:r>
      <w:r w:rsidR="002F3BEB" w:rsidRPr="00677CE8">
        <w:t>and</w:t>
      </w:r>
      <w:r w:rsidR="009D1CD7" w:rsidRPr="00677CE8">
        <w:t xml:space="preserve"> Zhang, 2025)</w:t>
      </w:r>
      <w:r w:rsidRPr="00677CE8">
        <w:fldChar w:fldCharType="end"/>
      </w:r>
      <w:r w:rsidRPr="00677CE8">
        <w:t xml:space="preserve">, (2) examinations of adoption intentions </w:t>
      </w:r>
      <w:r w:rsidR="009D1CD7" w:rsidRPr="00677CE8">
        <w:t xml:space="preserve">in which respondents evaluated individual </w:t>
      </w:r>
      <w:r w:rsidRPr="00677CE8">
        <w:t xml:space="preserve">UAM </w:t>
      </w:r>
      <w:r w:rsidR="00D97D1E" w:rsidRPr="00677CE8">
        <w:t>modes</w:t>
      </w:r>
      <w:r w:rsidR="009D1CD7" w:rsidRPr="00677CE8">
        <w:t xml:space="preserve"> separately,</w:t>
      </w:r>
      <w:r w:rsidR="008510A7" w:rsidRPr="00677CE8">
        <w:t xml:space="preserve"> rather than selecting between multiple UAM alternatives or between UAM and</w:t>
      </w:r>
      <w:r w:rsidR="00D97D1E" w:rsidRPr="00677CE8">
        <w:t xml:space="preserve"> </w:t>
      </w:r>
      <w:r w:rsidRPr="00677CE8">
        <w:t xml:space="preserve">GB alternatives </w:t>
      </w:r>
      <w:r w:rsidRPr="00677CE8">
        <w:fldChar w:fldCharType="begin"/>
      </w:r>
      <w:r w:rsidRPr="00677CE8">
        <w:instrText xml:space="preserve"> ADDIN ZOTERO_ITEM CSL_CITATION {"citationID":"naXJmkXj","properties":{"unsorted":false,"formattedCitation":"(Riza et al., 2024)","plainCitation":"(Riza et al., 2024)","noteIndex":0},"citationItems":[{"id":495,"uris":["http://zotero.org/groups/6194892/items/PQP2C5UL"],"itemData":{"id":495,"type":"article-journal","abstract":"Increasing urbanization has led to rising mobility and infrastructural challenges for cities and surrounding areas. Electrical vertical takeoff and landing aircrafts, also known as air taxis, enable the use of a new dimension, the skyscape. Air taxis provide a local, emission-free transport option and an infrastructure-conserving solution for the public transportation sector. While the technical implementation has already proved itself, user awareness is not yet widespread. Additionally, essential feasibility factors for public use, such as price, have received scant attention. Since user acceptance is necessary for successful implementation, and willingness to pay is another important indicator for future infrastructure planning, this study aims to investigate different urban transport scenarios. Within the framework of the study, societal acceptance, individual intention to use, and willingness to pay were investigated. Data collection took place in the greater Dresden area in Germany, with a final sample of 1,074 participants. The resulting data suggest an overall limited intention to use and societal acceptance. The scenario analysis revealed a “limousine-like” dial-a-ride scenario as a potential successful path to follow, in which a transitional path with initial dial-a-ride services and growing scheduled services over time is regarded as the most probable. Consumers’ willingness to pay was highest for the limousine scenario. Based on this research, governmental authorities and industry stakeholders may consider the findings to develop a human-centered approach for future mobility and ensure successful implementation in the mobility networks of the future.","container-title":"Transportation Research Interdisciplinary Perspectives","DOI":"10.1016/j.trip.2023.101001","ISSN":"2590-1982","page":"101001","source":"ScienceDirect","title":"Will Air Taxis Extend Public Transportation? A Scenario-Based Approach on User Acceptance in Different Urban Settings","volume":"23","author":[{"family":"Riza","given":"Laura"},{"family":"Bruehl","given":"Robert"},{"family":"Fricke","given":"Hartmut"},{"family":"Planing","given":"Patrick"}],"issued":{"date-parts":[["2024",1,1]]}}}],"schema":"https://github.com/citation-style-language/schema/raw/master/csl-citation.json"} </w:instrText>
      </w:r>
      <w:r w:rsidRPr="00677CE8">
        <w:fldChar w:fldCharType="separate"/>
      </w:r>
      <w:r w:rsidRPr="00677CE8">
        <w:t>(Riza et al., 2024)</w:t>
      </w:r>
      <w:r w:rsidRPr="00677CE8">
        <w:fldChar w:fldCharType="end"/>
      </w:r>
      <w:r w:rsidRPr="00677CE8">
        <w:t xml:space="preserve">, and (3) multimodal studies that include both UAM and GB modes but do not differentiate between UAM service </w:t>
      </w:r>
      <w:r w:rsidR="00D97D1E" w:rsidRPr="00677CE8">
        <w:t>modes</w:t>
      </w:r>
      <w:r w:rsidR="008510A7" w:rsidRPr="00677CE8">
        <w:t xml:space="preserve"> during the modeling stage</w:t>
      </w:r>
      <w:r w:rsidRPr="00677CE8">
        <w:t xml:space="preserve"> </w:t>
      </w:r>
      <w:r w:rsidRPr="00677CE8">
        <w:fldChar w:fldCharType="begin"/>
      </w:r>
      <w:r w:rsidR="00B7697D" w:rsidRPr="00677CE8">
        <w:instrText xml:space="preserve"> ADDIN ZOTERO_ITEM CSL_CITATION {"citationID":"JCP1pnh4","properties":{"unsorted":false,"formattedCitation":"(Hwang &amp; Hong, 2023)","plainCitation":"(Hwang &amp; Hong, 2023)","dontUpdate":true,"noteIndex":0},"citationItems":[{"id":488,"uris":["http://zotero.org/groups/6194892/items/JMT46ABB"],"itemData":{"id":488,"type":"article-journal","abstract":"This study analyzed commuters’ intention to use urban air mobility (UAM) and the future demand for UAM based on its service characteristics and the personal characteristics of the potential users. The Seoul Metropolitan Area (SMA) was selected as the study area as it is expected to have the highest demand for UAM in South Korea. Three UAM operation scenarios were set: short-distance intra-city trips, long-distance intra-city trips, and inter-city trips. Five alternatives were assumed for the stated preference (SP) survey: bus, subway, taxi, private car, and UAM. Six alternative-specific variables were selected: access time, waiting time, boarding time, cost, autonomous mode, and the presence of other passengers. An online survey of 300 residents of SMA was conducted with 100 residents for each scenario. The residents were briefed on the modes of transportation and service characteristic of alternatives. The analysis results were as follows: (1) cost and access time significantly influenced the intention to use UAM in all scenarios. However, the effects of waiting time, boarding time, and autonomous driving on intention to use UAM differed based on the scenarios; (2) the individual characteristics of potential users had varying effects on their preference for UAM depending on the scenarios and the means of transportation, which was a counterpart to UAM. (3) The probability of choosing UAM for commuting was expected to be 10–20%, with the highest modal split for long-distance intra-city trips and the lowest modal split for short-distance intra-city trips. Among the six alternative-specific variables, autonomous driving and cost had the most significant effect on the change of the probability for using UAM. The results of this study are expected to be used as basic data for designing an effective strategy for the introduction of UAM in South Korea.","container-title":"Journal of Air Transport Management","DOI":"10.1016/j.jairtraman.2023.102467","ISSN":"0969-6997","source":"ScienceDirect","title":"A Study on the Factors Influencing the Adoption of Urban Air Mobility and the Future Demand: Using the Stated Preference Survey for Three UAM Operational Scenarios in South Korea","URL":"https://www.sciencedirect.com/science/article/pii/S0969699723001102","volume":"112","author":[{"family":"Hwang","given":"Ji-Hyon"},{"family":"Hong","given":"Sungjo"}],"accessed":{"date-parts":[["2023",9,22]]},"issued":{"date-parts":[["2023",9,1]]}}}],"schema":"https://github.com/citation-style-language/schema/raw/master/csl-citation.json"} </w:instrText>
      </w:r>
      <w:r w:rsidRPr="00677CE8">
        <w:fldChar w:fldCharType="separate"/>
      </w:r>
      <w:r w:rsidRPr="00677CE8">
        <w:t xml:space="preserve">(Hwang </w:t>
      </w:r>
      <w:r w:rsidR="00DC5E7F" w:rsidRPr="00677CE8">
        <w:t>and</w:t>
      </w:r>
      <w:r w:rsidRPr="00677CE8">
        <w:t xml:space="preserve"> Hong, 2023)</w:t>
      </w:r>
      <w:r w:rsidRPr="00677CE8">
        <w:fldChar w:fldCharType="end"/>
      </w:r>
      <w:r w:rsidRPr="00677CE8">
        <w:t xml:space="preserve">. Our study extends this work by explicitly differentiating between air metro and air taxi </w:t>
      </w:r>
      <w:r w:rsidRPr="00677CE8">
        <w:lastRenderedPageBreak/>
        <w:t xml:space="preserve">services within a comprehensive multimodal (GB-inclusive) choice framework. </w:t>
      </w:r>
      <w:r w:rsidRPr="00677CE8">
        <w:rPr>
          <w:u w:val="single"/>
        </w:rPr>
        <w:t>Second</w:t>
      </w:r>
      <w:r w:rsidRPr="00677CE8">
        <w:t xml:space="preserve">, we leverage a blocked survey structure to account for a wide range of </w:t>
      </w:r>
      <w:r w:rsidR="00A55CF6" w:rsidRPr="00677CE8">
        <w:t xml:space="preserve">salient attributes in the UAM context, such as UAM flight altitude, UAM availability, and noise level. </w:t>
      </w:r>
      <w:r w:rsidRPr="00677CE8">
        <w:t xml:space="preserve">While previous </w:t>
      </w:r>
      <w:r w:rsidR="005918B4" w:rsidRPr="00677CE8">
        <w:t>studies</w:t>
      </w:r>
      <w:r w:rsidRPr="00677CE8">
        <w:t xml:space="preserve"> have examined a limited set of </w:t>
      </w:r>
      <w:r w:rsidR="00A55CF6" w:rsidRPr="00677CE8">
        <w:t xml:space="preserve">such salient attributes, these have been confined primarily to studies of UAM adoption intentions rather than considered within SP experiments </w:t>
      </w:r>
      <w:r w:rsidRPr="00677CE8">
        <w:t>(see Table 1</w:t>
      </w:r>
      <w:r w:rsidR="00A55CF6" w:rsidRPr="00677CE8">
        <w:t>). O</w:t>
      </w:r>
      <w:r w:rsidRPr="00677CE8">
        <w:t>ur data</w:t>
      </w:r>
      <w:r w:rsidR="00A55CF6" w:rsidRPr="00677CE8">
        <w:t>, on the other hand,</w:t>
      </w:r>
      <w:r w:rsidRPr="00677CE8">
        <w:t xml:space="preserve"> </w:t>
      </w:r>
      <w:proofErr w:type="gramStart"/>
      <w:r w:rsidRPr="00677CE8">
        <w:t>provide</w:t>
      </w:r>
      <w:proofErr w:type="gramEnd"/>
      <w:r w:rsidRPr="00677CE8">
        <w:t xml:space="preserve"> insights into a comprehensive set of 13 different service attributes and </w:t>
      </w:r>
      <w:r w:rsidR="00A55CF6" w:rsidRPr="00677CE8">
        <w:t>two</w:t>
      </w:r>
      <w:r w:rsidRPr="00677CE8">
        <w:t xml:space="preserve"> trip context variables</w:t>
      </w:r>
      <w:r w:rsidR="005F032A">
        <w:t xml:space="preserve"> (see the last row of Table 1)</w:t>
      </w:r>
      <w:r w:rsidR="004919F1" w:rsidRPr="00677CE8">
        <w:t>. We also</w:t>
      </w:r>
      <w:r w:rsidR="00F53F96" w:rsidRPr="00677CE8">
        <w:t xml:space="preserve"> explore</w:t>
      </w:r>
      <w:r w:rsidRPr="00677CE8">
        <w:t xml:space="preserve"> potential interactions of </w:t>
      </w:r>
      <w:r w:rsidR="00656FAD" w:rsidRPr="00677CE8">
        <w:t xml:space="preserve">service attributes, trip contexts, and individual-level demographics </w:t>
      </w:r>
      <w:r w:rsidRPr="00677CE8">
        <w:t xml:space="preserve">(for example, a potential higher travel time sensitivity for </w:t>
      </w:r>
      <w:r w:rsidR="00D97D1E" w:rsidRPr="00677CE8">
        <w:t>emergency medical transport</w:t>
      </w:r>
      <w:r w:rsidRPr="00677CE8">
        <w:t>). Importantly, by including such a comprehensive set of variables</w:t>
      </w:r>
      <w:r w:rsidR="00274B64" w:rsidRPr="00677CE8">
        <w:t xml:space="preserve"> </w:t>
      </w:r>
      <w:r w:rsidRPr="00677CE8">
        <w:t xml:space="preserve">as well as variable interactions, </w:t>
      </w:r>
      <w:r w:rsidR="00A55CF6" w:rsidRPr="00677CE8">
        <w:t xml:space="preserve">we are </w:t>
      </w:r>
      <w:r w:rsidR="00F53F96" w:rsidRPr="00677CE8">
        <w:t xml:space="preserve">better able to </w:t>
      </w:r>
      <w:r w:rsidRPr="00677CE8">
        <w:t xml:space="preserve">shed light on the effects of </w:t>
      </w:r>
      <w:r w:rsidR="00274B64" w:rsidRPr="00677CE8">
        <w:t>contextual characteristics</w:t>
      </w:r>
      <w:r w:rsidRPr="00677CE8">
        <w:t xml:space="preserve">, especially those such as environmental </w:t>
      </w:r>
      <w:r w:rsidR="00D80FD8" w:rsidRPr="00677CE8">
        <w:t>sustainability</w:t>
      </w:r>
      <w:r w:rsidRPr="00677CE8">
        <w:t xml:space="preserve"> and </w:t>
      </w:r>
      <w:r w:rsidR="00D97D1E" w:rsidRPr="00677CE8">
        <w:t xml:space="preserve">level of </w:t>
      </w:r>
      <w:r w:rsidRPr="00677CE8">
        <w:t>automation</w:t>
      </w:r>
      <w:r w:rsidR="00A55CF6" w:rsidRPr="00677CE8">
        <w:t xml:space="preserve"> that have shown </w:t>
      </w:r>
      <w:r w:rsidRPr="00677CE8">
        <w:t xml:space="preserve">inconsistent effects in the existing literature </w:t>
      </w:r>
      <w:r w:rsidRPr="00677CE8">
        <w:fldChar w:fldCharType="begin"/>
      </w:r>
      <w:r w:rsidR="00B7697D" w:rsidRPr="00677CE8">
        <w:instrText xml:space="preserve"> ADDIN ZOTERO_ITEM CSL_CITATION {"citationID":"RFGfcjJ3","properties":{"formattedCitation":"(Hwang &amp; Hong, 2023; S. Kim &amp; Zhang, 2025; Lotz et al., 2023; Zaps &amp; Chankov, 2022)","plainCitation":"(Hwang &amp; Hong, 2023; S. Kim &amp; Zhang, 2025; Lotz et al., 2023; Zaps &amp; Chankov, 2022)","dontUpdate":true,"noteIndex":0},"citationItems":[{"id":488,"uris":["http://zotero.org/groups/6194892/items/JMT46ABB"],"itemData":{"id":488,"type":"article-journal","abstract":"This study analyzed commuters’ intention to use urban air mobility (UAM) and the future demand for UAM based on its service characteristics and the personal characteristics of the potential users. The Seoul Metropolitan Area (SMA) was selected as the study area as it is expected to have the highest demand for UAM in South Korea. Three UAM operation scenarios were set: short-distance intra-city trips, long-distance intra-city trips, and inter-city trips. Five alternatives were assumed for the stated preference (SP) survey: bus, subway, taxi, private car, and UAM. Six alternative-specific variables were selected: access time, waiting time, boarding time, cost, autonomous mode, and the presence of other passengers. An online survey of 300 residents of SMA was conducted with 100 residents for each scenario. The residents were briefed on the modes of transportation and service characteristic of alternatives. The analysis results were as follows: (1) cost and access time significantly influenced the intention to use UAM in all scenarios. However, the effects of waiting time, boarding time, and autonomous driving on intention to use UAM differed based on the scenarios; (2) the individual characteristics of potential users had varying effects on their preference for UAM depending on the scenarios and the means of transportation, which was a counterpart to UAM. (3) The probability of choosing UAM for commuting was expected to be 10–20%, with the highest modal split for long-distance intra-city trips and the lowest modal split for short-distance intra-city trips. Among the six alternative-specific variables, autonomous driving and cost had the most significant effect on the change of the probability for using UAM. The results of this study are expected to be used as basic data for designing an effective strategy for the introduction of UAM in South Korea.","container-title":"Journal of Air Transport Management","DOI":"10.1016/j.jairtraman.2023.102467","ISSN":"0969-6997","source":"ScienceDirect","title":"A Study on the Factors Influencing the Adoption of Urban Air Mobility and the Future Demand: Using the Stated Preference Survey for Three UAM Operational Scenarios in South Korea","URL":"https://www.sciencedirect.com/science/article/pii/S0969699723001102","volume":"112","author":[{"family":"Hwang","given":"Ji-Hyon"},{"family":"Hong","given":"Sungjo"}],"accessed":{"date-parts":[["2023",9,22]]},"issued":{"date-parts":[["2023",9,1]]}}},{"id":1342,"uris":["http://zotero.org/groups/6194892/items/AN77YNQB"],"itemData":{"id":1342,"type":"article-journal","abstract":"Urban Air Mobility (UAM) is an emerging transportation solution aiming to alleviate congestion and enhance sustainability in urban areas. Automation capabilities are evolving from manned control to full autonomy, and at each stage of this progression, the willingness to use each system represents a behavioural intention toward adoption. This study investigates willingness to use UAM for airport shuttle services across three levels of automation: Manned control, Remotely piloted, and Fully autonomous. The study employed survey data from 1613 respondents in South Korea. Using ordered logit models, we examine how socio-demographic and current airport travel behaviour influence adoption. Results show that approximately 60% of respondents were willing to use manned control UAM, whereas only about 30% expressed willingness under remotely piloted or fully autonomous UAM. Adoption patterns and predictors of adoption vary depending on the level of automation. While current travel time to the airport and the primary purpose of airport use are prominent predictors of willingness to use UAM at the manned control level, demographic characteristics, particularly gender and age, become more significant at remotely piloted and fully autonomous UAM, as the level of automation increases. The frequency of international travel consistently predicts a higher willingness to adopt UAM, regardless of the level of automation. These findings highlight the need for level-specific adoption strategies and suggest that trust and risk perception need to be addressed as automation increases. This study contributes empirical evidence for policymakers, service operators, and urban planners informing differentiated communication and integration strategies tailored to user profiles and system maturity.","container-title":"Journal of Urban Mobility","DOI":"10.1016/j.urbmob.2025.100162","ISSN":"2667-0917","journalAbbreviation":"Journal of Urban Mobility","page":"100162","source":"ScienceDirect","title":"Willingness to use urban air mobility (UAM) as an airport shuttle across levels of automation","volume":"8","author":[{"family":"Kim","given":"Soyeon"},{"family":"Zhang","given":"Kaihan"}],"issued":{"date-parts":[["2025",12,1]]}}},{"id":558,"uris":["http://zotero.org/groups/6194892/items/GBFUCQFB"],"itemData":{"id":558,"type":"paper-conference","abstract":"Urban air mobility (UAM) has gained increased attention as a promising new solution to tackle issues such as traffic congestion. This study aims to assess users’ perception and usage intentions and identify and weigh success-critical acceptance factors against each other. Further, user-related differences in the underlying decision patterns are analyzed. A mixed-methods approach was employed, including a prior interview study with laypeople and experts (N = 16), calculations of feasible prices via agent-based símulations, and the main survey study (N = 135) – a Choice-Based Conjoint (CBC) with the attributes: environmental impact, costs, placement of take-off and landing stations (vertiports), automation level, and onboard benefits. Results indicated that environmental impact, costs, and vertiport placement were the top three factors influencing user acceptance. The relative importance of these attributes differed, however, depending on the user group. Based on the results, three user segments were identified: automation-skeptical users, environmentally-conscious users, and cost-conscious users. The findings provide valuable insights for UAM providers and policymakers to understand the attitudes and needs of potential users and to design effective strategies for promoting the adoption of UAM.","container-title":"HCI in Mobility, Transport, and Automotive Systems","DOI":"10.1007/978-3-031-35678-0_20","ISBN":"978-3-031-35678-0","language":"en","page":"296-315","publisher":"Springer Nature Switzerland","publisher-place":"Cham","source":"Springer Link","title":"User Acceptance of Urban Air Mobility (UAM) for Passenger Transport: A Choice-Based Conjoint Study","title-short":"User Acceptance of Urban Air Mobility (UAM) for Passenger Transport","author":[{"family":"Lotz","given":"Vivian"},{"family":"Kirste","given":"Ansgar"},{"family":"Lidynia","given":"Chantal"},{"family":"Stumpf","given":"Eike"},{"family":"Ziefle","given":"Martina"}],"editor":[{"family":"Krömker","given":"Heidi"}],"issued":{"date-parts":[["2023"]]}}},{"id":564,"uris":["http://zotero.org/groups/6194892/items/S97V5A4I"],"itemData":{"id":564,"type":"paper-conference","abstract":"Increased urbanization leads to urban traffic challenges such as increased congestion, longer travel times and more transport emissions. Electric Vertical Take-Off and Landing (eVTOL) aircrafts may offer the answer to these challenges as they can act as flying taxis and transport passengers in a fast and eco-friendly way. However, it is still unclear under what conditions consumers will prefer flying taxis over traditional transport modes. Hence, the purpose of this paper is to compare consumer preferences for eVTOLs, public transport and taxis across different travel scenarios. Thus, we perform a choice-based conjoint analysis with travelers in Germany considering price, travel time and CO2 emissions. Conducting conditional logistic regressions, we show that consumers prefer eVTOLs over traditional taxis, and also over public transport for time-sensitive trips.","container-title":"2022 IEEE International Conference on Industrial Engineering and Engineering Management (IEEM)","DOI":"10.1109/IEEM55944.2022.9989956","event-title":"2022 IEEE International Conference on Industrial Engineering and Engineering Management (IEEM)","page":"1337-1341","source":"IEEE Xplore","title":"Are Consumers Ready for Flying Taxis? A Choice-based Conjoint Analysis of eVTOLs in Germany","title-short":"Are Consumers Ready for Flying Taxis?","URL":"https://ieeexplore.ieee.org/abstract/document/9989956","author":[{"family":"Zaps","given":"R."},{"family":"Chankov","given":"S. M."}],"accessed":{"date-parts":[["2025",9,27]]},"issued":{"date-parts":[["2022",12]]}}}],"schema":"https://github.com/citation-style-language/schema/raw/master/csl-citation.json"} </w:instrText>
      </w:r>
      <w:r w:rsidRPr="00677CE8">
        <w:fldChar w:fldCharType="separate"/>
      </w:r>
      <w:r w:rsidRPr="00677CE8">
        <w:t xml:space="preserve">(see </w:t>
      </w:r>
      <w:r w:rsidR="00D45F85" w:rsidRPr="00677CE8">
        <w:t xml:space="preserve">Zaps and Chankov, 2022; </w:t>
      </w:r>
      <w:r w:rsidRPr="00677CE8">
        <w:t xml:space="preserve">Hwang and Hong, 2023; </w:t>
      </w:r>
      <w:r w:rsidR="00D45F85" w:rsidRPr="00677CE8">
        <w:t xml:space="preserve">Lotz et al., 2023; </w:t>
      </w:r>
      <w:r w:rsidRPr="00677CE8">
        <w:t>Kim and Zhang, 2025)</w:t>
      </w:r>
      <w:r w:rsidRPr="00677CE8">
        <w:fldChar w:fldCharType="end"/>
      </w:r>
      <w:r w:rsidRPr="00677CE8">
        <w:t xml:space="preserve">. Additionally, the survey scenarios were designed to vary service attribute levels across not only aerial modes but also GB modes. This systematic variation allows differences in sensitivity to service attributes between aerial and GB alternatives to be identified. </w:t>
      </w:r>
      <w:r w:rsidRPr="00677CE8">
        <w:rPr>
          <w:u w:val="single"/>
        </w:rPr>
        <w:t>Third</w:t>
      </w:r>
      <w:r w:rsidRPr="00677CE8">
        <w:t xml:space="preserve">, we integrate individual attitudes and perceptions into the modeling structure to account for their influence on UAM adoption. This is accomplished through the inclusion of </w:t>
      </w:r>
      <w:r w:rsidR="00211771" w:rsidRPr="00677CE8">
        <w:t>three</w:t>
      </w:r>
      <w:r w:rsidRPr="00677CE8">
        <w:t xml:space="preserve"> latent constructs capturing (a) tech-savviness, </w:t>
      </w:r>
      <w:r w:rsidR="00431207" w:rsidRPr="00677CE8">
        <w:t xml:space="preserve">(b) UAM noise sensitivity, and </w:t>
      </w:r>
      <w:r w:rsidRPr="00677CE8">
        <w:t>(</w:t>
      </w:r>
      <w:r w:rsidR="00431207" w:rsidRPr="00677CE8">
        <w:t>c</w:t>
      </w:r>
      <w:r w:rsidRPr="00677CE8">
        <w:t>) positive travel perceptions</w:t>
      </w:r>
      <w:r w:rsidR="00431207" w:rsidRPr="00677CE8">
        <w:t>.</w:t>
      </w:r>
      <w:r w:rsidRPr="00677CE8">
        <w:t xml:space="preserve"> While several previous studies have considered similar attitudinal effects (see </w:t>
      </w:r>
      <w:r w:rsidR="00EF4BA5" w:rsidRPr="00677CE8">
        <w:t xml:space="preserve">the final column of </w:t>
      </w:r>
      <w:r w:rsidRPr="00677CE8">
        <w:t xml:space="preserve">Table 1), we </w:t>
      </w:r>
      <w:r w:rsidR="00A55CF6" w:rsidRPr="00677CE8">
        <w:t xml:space="preserve">also consider </w:t>
      </w:r>
      <w:r w:rsidRPr="00677CE8">
        <w:t xml:space="preserve">interactions between these constructs and </w:t>
      </w:r>
      <w:r w:rsidR="00656FAD" w:rsidRPr="00677CE8">
        <w:t xml:space="preserve">contextual characteristics </w:t>
      </w:r>
      <w:r w:rsidR="00431207" w:rsidRPr="00677CE8">
        <w:t>as well as</w:t>
      </w:r>
      <w:r w:rsidR="00656FAD" w:rsidRPr="00677CE8">
        <w:t xml:space="preserve"> </w:t>
      </w:r>
      <w:r w:rsidRPr="00677CE8">
        <w:t>individual demographics</w:t>
      </w:r>
      <w:r w:rsidR="00A55CF6" w:rsidRPr="00677CE8">
        <w:t xml:space="preserve"> </w:t>
      </w:r>
      <w:r w:rsidRPr="00677CE8">
        <w:t xml:space="preserve">(for example, those with high individual-level </w:t>
      </w:r>
      <w:r w:rsidR="00431207" w:rsidRPr="00677CE8">
        <w:t xml:space="preserve">UAM </w:t>
      </w:r>
      <w:r w:rsidRPr="00677CE8">
        <w:t xml:space="preserve">noise sensitivity may be particularly </w:t>
      </w:r>
      <w:r w:rsidR="00211771" w:rsidRPr="00677CE8">
        <w:t>averse to</w:t>
      </w:r>
      <w:r w:rsidRPr="00677CE8">
        <w:t xml:space="preserve"> high noise level</w:t>
      </w:r>
      <w:r w:rsidR="00216B88" w:rsidRPr="00677CE8">
        <w:t>s</w:t>
      </w:r>
      <w:r w:rsidRPr="00677CE8">
        <w:t xml:space="preserve">). </w:t>
      </w:r>
      <w:r w:rsidRPr="00677CE8">
        <w:rPr>
          <w:u w:val="single"/>
        </w:rPr>
        <w:t>Fourth</w:t>
      </w:r>
      <w:r w:rsidRPr="00677CE8">
        <w:t xml:space="preserve">, this study employs a ranked preference design rather than a first‑choice design, providing more information about respondents’ relative preferences across modes for efficient econometric estimation, which enables us to tease out the effects of multiple variables (and their interactions) simultaneously in ways that would not be possible with a traditional first-choice design </w:t>
      </w:r>
      <w:r w:rsidRPr="00677CE8">
        <w:fldChar w:fldCharType="begin"/>
      </w:r>
      <w:r w:rsidR="00B7697D" w:rsidRPr="00677CE8">
        <w:instrText xml:space="preserve"> ADDIN ZOTERO_ITEM CSL_CITATION {"citationID":"1YBHMF7V","properties":{"unsorted":false,"formattedCitation":"(Nair et al., 2019)","plainCitation":"(Nair et al., 2019)","dontUpdate":true,"noteIndex":0},"citationItems":[{"id":1991,"uris":["http://zotero.org/groups/6194892/items/TKLVWT4K"],"itemData":{"id":1991,"type":"article-journal","abstract":"In consumer surveys, more information per response regarding preferences of alternatives may be obtained if individuals are asked to rank alternatives instead of being asked to select only the most-preferred alternative. However, the latter method continues to be the common method of preference elicitation. This is because of the belief that ranking of alternatives is cognitively burdensome. In addition, the limited research on modeling ranking data has been based on the rank ordered logit (ROL) model. In this paper, we show that a rank ordered probit (ROP) model can better utilize ranking data information, and that the prevalent view of ranking data as not being reliable (because of the attenuation of model coefficients with rank depth) may be traced to the use of a misspecified ROL model rather than to any cognitive burden considerations.","container-title":"Transportation Research Record","DOI":"10.1177/0361198119838987","ISSN":"0361-1981","issue":"4","language":"EN","page":"229-240","publisher":"SAGE Publications Inc","source":"SAGE Journals","title":"On the Use of Probit-Based Models for Ranking Data Analysis","volume":"2673","author":[{"family":"Nair","given":"Gopindra S."},{"family":"Bhat","given":"Chandra R."},{"family":"Pendyala","given":"Ram M."},{"family":"Loo","given":"Becky P. Y."},{"family":"Lam","given":"William H. K."}],"issued":{"date-parts":[["2019",4,1]]}}}],"schema":"https://github.com/citation-style-language/schema/raw/master/csl-citation.json"} </w:instrText>
      </w:r>
      <w:r w:rsidRPr="00677CE8">
        <w:fldChar w:fldCharType="separate"/>
      </w:r>
      <w:r w:rsidRPr="00677CE8">
        <w:t>(</w:t>
      </w:r>
      <w:r w:rsidR="0097359D" w:rsidRPr="00677CE8">
        <w:t xml:space="preserve">see </w:t>
      </w:r>
      <w:r w:rsidRPr="00677CE8">
        <w:t>Nair et al., 2019)</w:t>
      </w:r>
      <w:r w:rsidRPr="00677CE8">
        <w:fldChar w:fldCharType="end"/>
      </w:r>
      <w:r w:rsidRPr="00677CE8">
        <w:t xml:space="preserve">. The analytic structure also accommodates correlations </w:t>
      </w:r>
      <w:r w:rsidR="005F5FD4">
        <w:t>among</w:t>
      </w:r>
      <w:r w:rsidRPr="00677CE8">
        <w:t xml:space="preserve"> the utilities ascribed </w:t>
      </w:r>
      <w:r w:rsidR="005F5FD4">
        <w:t>across</w:t>
      </w:r>
      <w:r w:rsidRPr="00677CE8">
        <w:t xml:space="preserve"> mode</w:t>
      </w:r>
      <w:r w:rsidR="005F5FD4">
        <w:t>s</w:t>
      </w:r>
      <w:r w:rsidRPr="00677CE8">
        <w:t xml:space="preserve">, capturing unobserved factors that may cause individuals to rank certain alternatives similarly. For example, an individual who is more sociable may be more inclined toward both the air metro and </w:t>
      </w:r>
      <w:r w:rsidR="00481963" w:rsidRPr="00677CE8">
        <w:t>GB</w:t>
      </w:r>
      <w:r w:rsidR="00150C08" w:rsidRPr="00677CE8">
        <w:t xml:space="preserve"> </w:t>
      </w:r>
      <w:r w:rsidRPr="00677CE8">
        <w:t xml:space="preserve">public transportation alternatives because they are shared modes, while the opposite would be true for someone who values their privacy during travel. In addition, </w:t>
      </w:r>
      <w:r w:rsidR="005433BB" w:rsidRPr="00677CE8">
        <w:t>to improve</w:t>
      </w:r>
      <w:r w:rsidR="00150C08" w:rsidRPr="00677CE8">
        <w:t xml:space="preserve"> data collection efficiency </w:t>
      </w:r>
      <w:r w:rsidR="005433BB" w:rsidRPr="00677CE8">
        <w:t>and</w:t>
      </w:r>
      <w:r w:rsidR="00150C08" w:rsidRPr="00677CE8">
        <w:t xml:space="preserve"> increase the sample size </w:t>
      </w:r>
      <w:r w:rsidR="005433BB" w:rsidRPr="00677CE8">
        <w:t>available for</w:t>
      </w:r>
      <w:r w:rsidR="00150C08" w:rsidRPr="00677CE8">
        <w:t xml:space="preserve"> estimation, </w:t>
      </w:r>
      <w:r w:rsidR="005433BB" w:rsidRPr="00677CE8">
        <w:t xml:space="preserve">two SP choice occasions were collected from each respondent, with the resulting panel structure accommodated through the estimation of correlations between the two choice occasions. </w:t>
      </w:r>
      <w:r w:rsidRPr="00677CE8">
        <w:t xml:space="preserve">These correlations reflect the influence of unobserved factors that may lead individuals to respond similarly across choice occasions, such as a tendency to favor modes they habitually use. </w:t>
      </w:r>
      <w:r w:rsidRPr="00677CE8">
        <w:rPr>
          <w:u w:val="single"/>
        </w:rPr>
        <w:t>Finally</w:t>
      </w:r>
      <w:r w:rsidRPr="00677CE8">
        <w:t xml:space="preserve">, we go beyond simple model estimation to quantify the impacts of both contextual and individual-level characteristics on UAM adoption by calculating </w:t>
      </w:r>
      <w:r w:rsidR="003C52F2">
        <w:t>a</w:t>
      </w:r>
      <w:r w:rsidRPr="00677CE8">
        <w:t xml:space="preserve">verage </w:t>
      </w:r>
      <w:r w:rsidR="003C52F2">
        <w:t>t</w:t>
      </w:r>
      <w:r w:rsidRPr="00677CE8">
        <w:t xml:space="preserve">reatment </w:t>
      </w:r>
      <w:r w:rsidR="003C52F2">
        <w:t>e</w:t>
      </w:r>
      <w:r w:rsidRPr="00677CE8">
        <w:t xml:space="preserve">ffects (ATEs) within the proposed modeling framework. These ATEs translate the model coefficients into more interpretable measures of how specific contextual and individual-level </w:t>
      </w:r>
      <w:r w:rsidR="00D67D25" w:rsidRPr="00677CE8">
        <w:t>characteristics</w:t>
      </w:r>
      <w:r w:rsidRPr="00677CE8">
        <w:t xml:space="preserve"> influence mode choice, providing a quantitative foundation for concrete policy and planning recommendations related to UAM service design and positioning.</w:t>
      </w:r>
    </w:p>
    <w:p w14:paraId="6EED8175" w14:textId="77777777" w:rsidR="00090A7C" w:rsidRPr="00677CE8" w:rsidRDefault="00090A7C" w:rsidP="007B293E">
      <w:pPr>
        <w:spacing w:after="0" w:line="240" w:lineRule="auto"/>
        <w:jc w:val="both"/>
      </w:pPr>
    </w:p>
    <w:p w14:paraId="47A4973C" w14:textId="02AE40B3" w:rsidR="007562B2" w:rsidRPr="00677CE8" w:rsidRDefault="00994620" w:rsidP="0065205C">
      <w:pPr>
        <w:pStyle w:val="Heading1"/>
        <w:keepNext/>
        <w:keepLines/>
        <w:numPr>
          <w:ilvl w:val="0"/>
          <w:numId w:val="2"/>
        </w:numPr>
        <w:tabs>
          <w:tab w:val="left" w:pos="270"/>
        </w:tabs>
        <w:spacing w:after="0" w:line="240" w:lineRule="auto"/>
        <w:jc w:val="both"/>
      </w:pPr>
      <w:r w:rsidRPr="00677CE8">
        <w:lastRenderedPageBreak/>
        <w:t>METHODOLOGY</w:t>
      </w:r>
    </w:p>
    <w:p w14:paraId="4E29AC69" w14:textId="2C8B20AC" w:rsidR="000E0C96" w:rsidRPr="00677CE8" w:rsidRDefault="000E0C96" w:rsidP="0065205C">
      <w:pPr>
        <w:pStyle w:val="Heading2"/>
        <w:keepNext/>
        <w:keepLines/>
        <w:numPr>
          <w:ilvl w:val="1"/>
          <w:numId w:val="2"/>
        </w:numPr>
        <w:spacing w:after="0" w:line="240" w:lineRule="auto"/>
      </w:pPr>
      <w:r w:rsidRPr="00677CE8">
        <w:t>Analytic Framework</w:t>
      </w:r>
    </w:p>
    <w:p w14:paraId="66EBBF4C" w14:textId="56DE5203" w:rsidR="00976D04" w:rsidRPr="00677CE8" w:rsidRDefault="00976D04" w:rsidP="0065205C">
      <w:pPr>
        <w:pStyle w:val="ListParagraph"/>
        <w:keepNext/>
        <w:keepLines/>
        <w:spacing w:after="0" w:line="240" w:lineRule="auto"/>
        <w:ind w:left="0" w:right="-14"/>
        <w:jc w:val="both"/>
      </w:pPr>
      <w:r w:rsidRPr="00677CE8">
        <w:t xml:space="preserve">As discussed above, we focus on the mode choice between aerial and GB modes using a ranked </w:t>
      </w:r>
      <w:r w:rsidR="00FD3702" w:rsidRPr="00677CE8">
        <w:t>SP</w:t>
      </w:r>
      <w:r w:rsidRPr="00677CE8">
        <w:t xml:space="preserve"> design. Thus, the main outcome of interest is </w:t>
      </w:r>
      <w:proofErr w:type="gramStart"/>
      <w:r w:rsidRPr="00677CE8">
        <w:t>rank-ordered</w:t>
      </w:r>
      <w:proofErr w:type="gramEnd"/>
      <w:r w:rsidRPr="00677CE8">
        <w:t xml:space="preserve">, with five alternatives corresponding to (1) air taxi, (2) air metro, (3) </w:t>
      </w:r>
      <w:proofErr w:type="spellStart"/>
      <w:r w:rsidRPr="00677CE8">
        <w:t>ridehailing</w:t>
      </w:r>
      <w:proofErr w:type="spellEnd"/>
      <w:r w:rsidRPr="00677CE8">
        <w:t xml:space="preserve">, (4) public transportation, and (5) private vehicle. A visual depiction of the model structure used to predict the ranking of these alternatives is shown in Figure 1, with the mode choice outcome shown on the far right. Note that two choice scenarios were presented to </w:t>
      </w:r>
      <w:proofErr w:type="gramStart"/>
      <w:r w:rsidRPr="00677CE8">
        <w:t>each individual</w:t>
      </w:r>
      <w:proofErr w:type="gramEnd"/>
      <w:r w:rsidRPr="00677CE8">
        <w:t xml:space="preserve">. </w:t>
      </w:r>
      <w:r w:rsidR="008333D4" w:rsidRPr="00677CE8">
        <w:t>In e</w:t>
      </w:r>
      <w:r w:rsidRPr="00677CE8">
        <w:t>ach scenario</w:t>
      </w:r>
      <w:r w:rsidR="00045CC4" w:rsidRPr="00677CE8">
        <w:t>,</w:t>
      </w:r>
      <w:r w:rsidRPr="00677CE8">
        <w:t xml:space="preserve"> </w:t>
      </w:r>
      <w:r w:rsidR="004B3B04" w:rsidRPr="00677CE8">
        <w:t xml:space="preserve">each </w:t>
      </w:r>
      <w:r w:rsidR="008333D4" w:rsidRPr="00677CE8">
        <w:t xml:space="preserve">mode </w:t>
      </w:r>
      <w:r w:rsidR="004B3B04" w:rsidRPr="00677CE8">
        <w:t xml:space="preserve">was </w:t>
      </w:r>
      <w:r w:rsidR="008333D4" w:rsidRPr="00677CE8">
        <w:t xml:space="preserve">described by a selection of service attributes (e.g., travel time, </w:t>
      </w:r>
      <w:r w:rsidR="00431207" w:rsidRPr="00677CE8">
        <w:t xml:space="preserve">cost, </w:t>
      </w:r>
      <w:r w:rsidR="008333D4" w:rsidRPr="00677CE8">
        <w:t>level of automation), with attributes varying across scenarios according to predefined levels, and a</w:t>
      </w:r>
      <w:r w:rsidRPr="00677CE8">
        <w:t xml:space="preserve"> specific trip context (including trip </w:t>
      </w:r>
      <w:r w:rsidR="00216B88" w:rsidRPr="00677CE8">
        <w:t>purpose</w:t>
      </w:r>
      <w:r w:rsidRPr="00677CE8">
        <w:t xml:space="preserve"> and distance)</w:t>
      </w:r>
      <w:r w:rsidR="008333D4" w:rsidRPr="00677CE8">
        <w:t xml:space="preserve"> was specified</w:t>
      </w:r>
      <w:r w:rsidRPr="00677CE8">
        <w:t xml:space="preserve">. As shown in the figure (and discussed in more detail in Section 4), several sets of variables were used to predict the rank-ordered outcome. First, contextual characteristics (shown on the lower left in the figure) presented in each scenario were assumed to impact the utilities of each alternative directly. Second, a set of individual- and household-level demographic characteristics (shown on the upper left) were specified to influence the utilities of each outcome </w:t>
      </w:r>
      <w:proofErr w:type="gramStart"/>
      <w:r w:rsidRPr="00677CE8">
        <w:t>directly, but</w:t>
      </w:r>
      <w:proofErr w:type="gramEnd"/>
      <w:r w:rsidRPr="00677CE8">
        <w:t xml:space="preserve"> also considered as determinants of a set of unobserved continuous latent constructs (shown in the center of the figure). </w:t>
      </w:r>
      <w:r w:rsidR="00211771" w:rsidRPr="00677CE8">
        <w:t>Three</w:t>
      </w:r>
      <w:r w:rsidRPr="00677CE8">
        <w:t xml:space="preserve"> latent constructs (tech-savviness, UAM noise sensitivity, and positive travel perceptions) were identified based on exploratory and confirmatory factor analysis (see further details in Section </w:t>
      </w:r>
      <w:r w:rsidR="00216B88" w:rsidRPr="00677CE8">
        <w:t>4.3</w:t>
      </w:r>
      <w:r w:rsidRPr="00677CE8">
        <w:t>)</w:t>
      </w:r>
      <w:r w:rsidR="005F5FD4">
        <w:t>,</w:t>
      </w:r>
      <w:r w:rsidRPr="00677CE8">
        <w:t xml:space="preserve"> using a set of ordinal indicators (the individual indicators have been omitted in Figure 1 for simplicity). The ordinal indicators themselves were based on Likert Scale responses to subjective statements designed to capture attitudes toward technology, </w:t>
      </w:r>
      <w:r w:rsidR="00216B88" w:rsidRPr="00677CE8">
        <w:t xml:space="preserve">UAM </w:t>
      </w:r>
      <w:r w:rsidRPr="00677CE8">
        <w:t>noise</w:t>
      </w:r>
      <w:r w:rsidR="00216B88" w:rsidRPr="00677CE8">
        <w:t xml:space="preserve"> disruptions</w:t>
      </w:r>
      <w:r w:rsidRPr="00677CE8">
        <w:t xml:space="preserve">, </w:t>
      </w:r>
      <w:r w:rsidR="008333D4" w:rsidRPr="00677CE8">
        <w:t>and travel</w:t>
      </w:r>
      <w:r w:rsidRPr="00677CE8">
        <w:t xml:space="preserve">. Finally, the latent constructs were assumed to also </w:t>
      </w:r>
      <w:proofErr w:type="gramStart"/>
      <w:r w:rsidRPr="00677CE8">
        <w:t>impact</w:t>
      </w:r>
      <w:proofErr w:type="gramEnd"/>
      <w:r w:rsidRPr="00677CE8">
        <w:t xml:space="preserve"> the utilities of each ranked alternative. </w:t>
      </w:r>
    </w:p>
    <w:p w14:paraId="7D16A40B" w14:textId="564ED97C" w:rsidR="00976D04" w:rsidRPr="00677CE8" w:rsidRDefault="00976D04" w:rsidP="005F5FD4">
      <w:pPr>
        <w:pStyle w:val="ListParagraph"/>
        <w:spacing w:after="0" w:line="240" w:lineRule="auto"/>
        <w:ind w:left="0" w:right="-14" w:firstLine="720"/>
        <w:jc w:val="both"/>
      </w:pPr>
      <w:r w:rsidRPr="00677CE8">
        <w:t xml:space="preserve">To accomplish this estimation, we adopted a two-stage analytic approach, mimicking Bhat’s </w:t>
      </w:r>
      <w:r w:rsidRPr="00677CE8">
        <w:fldChar w:fldCharType="begin"/>
      </w:r>
      <w:r w:rsidRPr="00677CE8">
        <w:instrText xml:space="preserve"> ADDIN ZOTERO_ITEM CSL_CITATION {"citationID":"Pcc0yS0K","properties":{"formattedCitation":"(Bhat, 2015)","plainCitation":"(Bhat, 2015)","dontUpdate":true,"noteIndex":0},"citationItems":[{"id":1572,"uris":["http://zotero.org/groups/6194892/items/IKC34H5E"],"itemData":{"id":1572,"type":"article-journal","abstract":"This paper formulates a generalized heterogeneous data model (GHDM) that jointly handles mixed types of dependent variables—including multiple nominal outcomes, multiple ordinal variables, and multiple count variables, as well as multiple continuous variables—by representing the covariance relationships among them through a reduced number of latent factors. Sufficiency conditions for identification of the GHDM parameters are presented. The maximum approximate composite marginal likelihood (MACML) method is proposed to estimate this jointly mixed model system. This estimation method provides computational time advantages since the dimensionality of integration in the likelihood function is independent of the number of latent factors. The study undertakes a simulation experiment within the virtual context of integrating residential location choice and travel behavior to evaluate the ability of the MACML approach to recover parameters. The simulation results show that the MACML approach effectively recovers underlying parameters, and also that ignoring the multi-dimensional nature of the relationship among mixed types of dependent variables can lead not only to inconsistent parameter estimation, but also have important implications for policy analysis.","container-title":"Transportation Research Part B: Methodological","DOI":"10.1016/j.trb.2015.05.017","ISSN":"0191-2615","journalAbbreviation":"Transportation Research Part B: Methodological","page":"50-77","source":"ScienceDirect","title":"A new generalized heterogeneous data model (GHDM) to jointly model mixed types of dependent variables","volume":"79","author":[{"family":"Bhat","given":"Chandra R."}],"issued":{"date-parts":[["2015",9,1]]}}}],"schema":"https://github.com/citation-style-language/schema/raw/master/csl-citation.json"} </w:instrText>
      </w:r>
      <w:r w:rsidRPr="00677CE8">
        <w:fldChar w:fldCharType="separate"/>
      </w:r>
      <w:r w:rsidRPr="00677CE8">
        <w:t>(2015)</w:t>
      </w:r>
      <w:r w:rsidRPr="00677CE8">
        <w:fldChar w:fldCharType="end"/>
      </w:r>
      <w:r w:rsidRPr="00677CE8">
        <w:t xml:space="preserve"> Generalized Heterogeneous Data Model (GHDM) while supporting a simpler, two-stage estimation process</w:t>
      </w:r>
      <w:r w:rsidRPr="00515A6F">
        <w:t>. Th</w:t>
      </w:r>
      <w:r w:rsidR="005F5FD4" w:rsidRPr="00515A6F">
        <w:t xml:space="preserve">e approach belongs to the class of two-step </w:t>
      </w:r>
      <w:r w:rsidR="005F5FD4" w:rsidRPr="00A12564">
        <w:t>optimization</w:t>
      </w:r>
      <w:r w:rsidR="005F5FD4" w:rsidRPr="00515A6F">
        <w:t xml:space="preserve"> estimators, which, under general </w:t>
      </w:r>
      <w:r w:rsidR="005F5FD4" w:rsidRPr="00A12564">
        <w:t>regularity</w:t>
      </w:r>
      <w:r w:rsidR="005F5FD4" w:rsidRPr="00515A6F">
        <w:t xml:space="preserve"> conditions, is a consistent and asymptotically normal</w:t>
      </w:r>
      <w:r w:rsidR="002D3680" w:rsidRPr="00515A6F">
        <w:t xml:space="preserve"> (CAN)</w:t>
      </w:r>
      <w:r w:rsidR="005F5FD4" w:rsidRPr="00515A6F">
        <w:t xml:space="preserve"> estimator (see Newey and McFadden</w:t>
      </w:r>
      <w:r w:rsidR="002D3680" w:rsidRPr="00515A6F">
        <w:t>,</w:t>
      </w:r>
      <w:r w:rsidR="005F5FD4" w:rsidRPr="00515A6F">
        <w:t xml:space="preserve"> 1994), </w:t>
      </w:r>
      <w:r w:rsidR="002D3680" w:rsidRPr="00A12564">
        <w:t>while</w:t>
      </w:r>
      <w:r w:rsidR="005F5FD4" w:rsidRPr="00A12564">
        <w:t xml:space="preserve"> also reduc</w:t>
      </w:r>
      <w:r w:rsidR="002D3680" w:rsidRPr="00A12564">
        <w:t>ing</w:t>
      </w:r>
      <w:r w:rsidRPr="00A12564">
        <w:t xml:space="preserve"> the</w:t>
      </w:r>
      <w:r w:rsidRPr="00515A6F">
        <w:t xml:space="preserve"> computational complexity of a joint estimation of the two stages.</w:t>
      </w:r>
      <w:r w:rsidRPr="00677CE8">
        <w:t xml:space="preserve"> </w:t>
      </w:r>
      <w:proofErr w:type="gramStart"/>
      <w:r w:rsidRPr="00677CE8">
        <w:t>In particular, in</w:t>
      </w:r>
      <w:proofErr w:type="gramEnd"/>
      <w:r w:rsidRPr="00677CE8">
        <w:t xml:space="preserve"> the first stage, the latent constructs were estimated (independent of the main rank-ordered outcome) based on their loadings on the ordered indicators, and the effects of demographics on each latent construct were imputed using a linear regression specification for the continuous latent constructs. The imputed regression results were then used to predict the unobserved latent construct values based on </w:t>
      </w:r>
      <w:proofErr w:type="gramStart"/>
      <w:r w:rsidRPr="00677CE8">
        <w:t>each individual’s</w:t>
      </w:r>
      <w:proofErr w:type="gramEnd"/>
      <w:r w:rsidRPr="00677CE8">
        <w:t xml:space="preserve"> demographics. This first stage mirrors the structural equation modeling (SEM) component of the GHDM as well as the portion of the measurement equation modeling (MEM) component relating to the indicators of the latent constructs. Additionally, within this first stage, each of the </w:t>
      </w:r>
      <w:r w:rsidR="00211771" w:rsidRPr="00677CE8">
        <w:t>three</w:t>
      </w:r>
      <w:r w:rsidRPr="00677CE8">
        <w:t xml:space="preserve"> latent constructs are allowed to covary, accommodating unobserved sources of variation that may affect multiple attitudinal constructs of the same individual (</w:t>
      </w:r>
      <w:r w:rsidR="00677CE8" w:rsidRPr="00677CE8">
        <w:rPr>
          <w:position w:val="-4"/>
        </w:rPr>
        <w:object w:dxaOrig="240" w:dyaOrig="260" w14:anchorId="78BCD2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pt;height:12.55pt" o:ole="">
            <v:imagedata r:id="rId12" o:title=""/>
          </v:shape>
          <o:OLEObject Type="Embed" ProgID="Equation.DSMT4" ShapeID="_x0000_i1025" DrawAspect="Content" ObjectID="_1851681955" r:id="rId13"/>
        </w:object>
      </w:r>
      <w:r w:rsidRPr="00677CE8">
        <w:t xml:space="preserve">in Figure 1). </w:t>
      </w:r>
    </w:p>
    <w:p w14:paraId="68A0273D" w14:textId="5C9FCB5B" w:rsidR="00976D04" w:rsidRPr="00677CE8" w:rsidRDefault="00976D04" w:rsidP="00216B88">
      <w:pPr>
        <w:pStyle w:val="ListParagraph"/>
        <w:spacing w:after="0" w:line="240" w:lineRule="auto"/>
        <w:ind w:left="0" w:firstLine="720"/>
        <w:jc w:val="both"/>
      </w:pPr>
      <w:r w:rsidRPr="00677CE8">
        <w:t>The second stage then uses the estimated latent construct scores alongside individual</w:t>
      </w:r>
      <w:r w:rsidR="00FC1E8A" w:rsidRPr="00677CE8">
        <w:t>/household</w:t>
      </w:r>
      <w:r w:rsidRPr="00677CE8">
        <w:t xml:space="preserve"> demographics and contextual characteristics to estimate a rank-ordered probit (ROP) model for the main ranked choice outcome. This stage mimics the part of the MEM portion of Bhat’s </w:t>
      </w:r>
      <w:r w:rsidRPr="00677CE8">
        <w:fldChar w:fldCharType="begin"/>
      </w:r>
      <w:r w:rsidRPr="00677CE8">
        <w:instrText xml:space="preserve"> ADDIN ZOTERO_ITEM CSL_CITATION {"citationID":"CFaXZYFJ","properties":{"formattedCitation":"(Bhat, 2015)","plainCitation":"(Bhat, 2015)","dontUpdate":true,"noteIndex":0},"citationItems":[{"id":1572,"uris":["http://zotero.org/groups/6194892/items/IKC34H5E"],"itemData":{"id":1572,"type":"article-journal","abstract":"This paper formulates a generalized heterogeneous data model (GHDM) that jointly handles mixed types of dependent variables—including multiple nominal outcomes, multiple ordinal variables, and multiple count variables, as well as multiple continuous variables—by representing the covariance relationships among them through a reduced number of latent factors. Sufficiency conditions for identification of the GHDM parameters are presented. The maximum approximate composite marginal likelihood (MACML) method is proposed to estimate this jointly mixed model system. This estimation method provides computational time advantages since the dimensionality of integration in the likelihood function is independent of the number of latent factors. The study undertakes a simulation experiment within the virtual context of integrating residential location choice and travel behavior to evaluate the ability of the MACML approach to recover parameters. The simulation results show that the MACML approach effectively recovers underlying parameters, and also that ignoring the multi-dimensional nature of the relationship among mixed types of dependent variables can lead not only to inconsistent parameter estimation, but also have important implications for policy analysis.","container-title":"Transportation Research Part B: Methodological","DOI":"10.1016/j.trb.2015.05.017","ISSN":"0191-2615","journalAbbreviation":"Transportation Research Part B: Methodological","page":"50-77","source":"ScienceDirect","title":"A new generalized heterogeneous data model (GHDM) to jointly model mixed types of dependent variables","volume":"79","author":[{"family":"Bhat","given":"Chandra R."}],"issued":{"date-parts":[["2015",9,1]]}}}],"schema":"https://github.com/citation-style-language/schema/raw/master/csl-citation.json"} </w:instrText>
      </w:r>
      <w:r w:rsidRPr="00677CE8">
        <w:fldChar w:fldCharType="separate"/>
      </w:r>
      <w:r w:rsidRPr="00677CE8">
        <w:t>(2015)</w:t>
      </w:r>
      <w:r w:rsidRPr="00677CE8">
        <w:fldChar w:fldCharType="end"/>
      </w:r>
      <w:r w:rsidRPr="00677CE8">
        <w:t xml:space="preserve"> GHDM framework pertaining to the estimation of the main outcomes. Importantly, unlike the GHDM, the two stages are performed sequentially rather than simultaneously. As a result, latent construct scores are first estimated </w:t>
      </w:r>
      <w:proofErr w:type="gramStart"/>
      <w:r w:rsidRPr="00677CE8">
        <w:t>independently,</w:t>
      </w:r>
      <w:r w:rsidR="008333D4" w:rsidRPr="00677CE8">
        <w:t xml:space="preserve"> </w:t>
      </w:r>
      <w:r w:rsidRPr="00677CE8">
        <w:t>and</w:t>
      </w:r>
      <w:proofErr w:type="gramEnd"/>
      <w:r w:rsidRPr="00677CE8">
        <w:t xml:space="preserve"> subsequently incorporated into the ranked choice model. </w:t>
      </w:r>
      <w:proofErr w:type="gramStart"/>
      <w:r w:rsidRPr="00677CE8">
        <w:t>But</w:t>
      </w:r>
      <w:r w:rsidR="009F29AE" w:rsidRPr="00677CE8">
        <w:t>,</w:t>
      </w:r>
      <w:proofErr w:type="gramEnd"/>
      <w:r w:rsidRPr="00677CE8">
        <w:t xml:space="preserve"> we still retain the possibility of jointness in the utilities across the modal alternatives due to unobserved factors through the </w:t>
      </w:r>
      <w:r w:rsidRPr="00677CE8">
        <w:lastRenderedPageBreak/>
        <w:t xml:space="preserve">specification of a </w:t>
      </w:r>
      <w:r w:rsidR="00246129" w:rsidRPr="00677CE8">
        <w:t>covariance</w:t>
      </w:r>
      <w:r w:rsidRPr="00677CE8">
        <w:t xml:space="preserve"> matrix across alternatives in the rank‑ordered outcome (</w:t>
      </w:r>
      <w:r w:rsidR="00C3038B" w:rsidRPr="008019B4">
        <w:rPr>
          <w:position w:val="-12"/>
        </w:rPr>
        <w:object w:dxaOrig="340" w:dyaOrig="400" w14:anchorId="557BE7B6">
          <v:shape id="_x0000_i1026" type="#_x0000_t75" style="width:16.75pt;height:19.25pt" o:ole="">
            <v:imagedata r:id="rId14" o:title=""/>
          </v:shape>
          <o:OLEObject Type="Embed" ProgID="Equation.DSMT4" ShapeID="_x0000_i1026" DrawAspect="Content" ObjectID="_1851681956" r:id="rId15"/>
        </w:object>
      </w:r>
      <w:r w:rsidR="008019B4">
        <w:t xml:space="preserve"> </w:t>
      </w:r>
      <w:r w:rsidRPr="00677CE8">
        <w:t>in Figure 1). In addition, due to the panel structure of the data where a single individual provides two ranked responses, co</w:t>
      </w:r>
      <w:r w:rsidR="00FC1E8A" w:rsidRPr="00677CE8">
        <w:t>variances</w:t>
      </w:r>
      <w:r w:rsidRPr="00677CE8">
        <w:t xml:space="preserve"> are estimated between the utilities of the same alternative across the two choice occasions of the same individual (</w:t>
      </w:r>
      <w:r w:rsidR="00FB443B" w:rsidRPr="008019B4">
        <w:rPr>
          <w:position w:val="-4"/>
        </w:rPr>
        <w:object w:dxaOrig="260" w:dyaOrig="260" w14:anchorId="17AAE03C">
          <v:shape id="_x0000_i1027" type="#_x0000_t75" style="width:12.55pt;height:12.55pt" o:ole="">
            <v:imagedata r:id="rId16" o:title=""/>
          </v:shape>
          <o:OLEObject Type="Embed" ProgID="Equation.DSMT4" ShapeID="_x0000_i1027" DrawAspect="Content" ObjectID="_1851681957" r:id="rId17"/>
        </w:object>
      </w:r>
      <w:r w:rsidRPr="00677CE8">
        <w:t xml:space="preserve"> in Figure 1). These co</w:t>
      </w:r>
      <w:r w:rsidR="00FC0A63" w:rsidRPr="00677CE8">
        <w:t>variations</w:t>
      </w:r>
      <w:r w:rsidRPr="00677CE8">
        <w:t xml:space="preserve"> account for any unobserved individual-level factors</w:t>
      </w:r>
      <w:r w:rsidR="00431207" w:rsidRPr="00677CE8">
        <w:t xml:space="preserve"> which impact both choice occasions</w:t>
      </w:r>
      <w:r w:rsidRPr="00677CE8">
        <w:t>, such as intrinsic habits or modal familiarity. Methodological details are presented in the following section.</w:t>
      </w:r>
    </w:p>
    <w:p w14:paraId="75AD6FC7" w14:textId="77777777" w:rsidR="00976D04" w:rsidRPr="00677CE8" w:rsidRDefault="00976D04" w:rsidP="00976D04">
      <w:pPr>
        <w:pStyle w:val="ListParagraph"/>
        <w:spacing w:after="0" w:line="240" w:lineRule="auto"/>
        <w:ind w:left="0"/>
        <w:jc w:val="both"/>
      </w:pPr>
    </w:p>
    <w:p w14:paraId="1A03C67B" w14:textId="59708029" w:rsidR="000E0C96" w:rsidRPr="00677CE8" w:rsidRDefault="000E0C96" w:rsidP="007B293E">
      <w:pPr>
        <w:pStyle w:val="Heading2"/>
        <w:spacing w:after="0" w:line="240" w:lineRule="auto"/>
      </w:pPr>
      <w:r w:rsidRPr="00677CE8">
        <w:t>3.2 Mathematical Formulation</w:t>
      </w:r>
    </w:p>
    <w:p w14:paraId="4338C1BB" w14:textId="15829DF0" w:rsidR="000E0C96" w:rsidRPr="00677CE8" w:rsidRDefault="000E0C96" w:rsidP="007B293E">
      <w:pPr>
        <w:pStyle w:val="Heading3"/>
      </w:pPr>
      <w:r w:rsidRPr="00677CE8">
        <w:t>3.2.1 First Stage Estimation of Latent Constructs</w:t>
      </w:r>
    </w:p>
    <w:p w14:paraId="77DDB2AD" w14:textId="24BA3738" w:rsidR="00B67242" w:rsidRPr="00677CE8" w:rsidRDefault="00074F61" w:rsidP="002F26E5">
      <w:pPr>
        <w:spacing w:after="0" w:line="240" w:lineRule="auto"/>
        <w:jc w:val="both"/>
      </w:pPr>
      <w:r w:rsidRPr="00677CE8">
        <w:t xml:space="preserve">First, </w:t>
      </w:r>
      <w:r w:rsidR="00AA4A3A" w:rsidRPr="00677CE8">
        <w:t>for the mathematical notation for the first-stage component of the model, l</w:t>
      </w:r>
      <w:r w:rsidR="000E0C96" w:rsidRPr="00677CE8">
        <w:t xml:space="preserve">et </w:t>
      </w:r>
      <w:r w:rsidR="00677CE8" w:rsidRPr="00677CE8">
        <w:rPr>
          <w:position w:val="-6"/>
        </w:rPr>
        <w:object w:dxaOrig="139" w:dyaOrig="279" w14:anchorId="211D60FB">
          <v:shape id="_x0000_i1028" type="#_x0000_t75" style="width:6.7pt;height:15.05pt" o:ole="">
            <v:imagedata r:id="rId18" o:title=""/>
          </v:shape>
          <o:OLEObject Type="Embed" ProgID="Equation.DSMT4" ShapeID="_x0000_i1028" DrawAspect="Content" ObjectID="_1851681958" r:id="rId19"/>
        </w:object>
      </w:r>
      <w:r w:rsidR="000E0C96" w:rsidRPr="00677CE8">
        <w:t xml:space="preserve"> be the index for the latent constructs </w:t>
      </w:r>
      <w:r w:rsidR="00677CE8" w:rsidRPr="00677CE8">
        <w:rPr>
          <w:position w:val="-10"/>
        </w:rPr>
        <w:object w:dxaOrig="1380" w:dyaOrig="320" w14:anchorId="186F96DE">
          <v:shape id="_x0000_i1029" type="#_x0000_t75" style="width:68.65pt;height:15.9pt" o:ole="">
            <v:imagedata r:id="rId20" o:title=""/>
          </v:shape>
          <o:OLEObject Type="Embed" ProgID="Equation.DSMT4" ShapeID="_x0000_i1029" DrawAspect="Content" ObjectID="_1851681959" r:id="rId21"/>
        </w:object>
      </w:r>
      <w:r w:rsidR="000E0C96" w:rsidRPr="00677CE8">
        <w:t xml:space="preserve"> and label each latent construct as </w:t>
      </w:r>
      <w:r w:rsidR="000E0C96" w:rsidRPr="00677CE8">
        <w:rPr>
          <w:position w:val="-12"/>
        </w:rPr>
        <w:object w:dxaOrig="260" w:dyaOrig="380" w14:anchorId="3CBEC9DF">
          <v:shape id="_x0000_i1030" type="#_x0000_t75" style="width:15.05pt;height:21.75pt" o:ole="">
            <v:imagedata r:id="rId22" o:title=""/>
          </v:shape>
          <o:OLEObject Type="Embed" ProgID="Equation.DSMT4" ShapeID="_x0000_i1030" DrawAspect="Content" ObjectID="_1851681960" r:id="rId23"/>
        </w:object>
      </w:r>
      <w:r w:rsidR="000E0C96" w:rsidRPr="00677CE8">
        <w:t>.</w:t>
      </w:r>
      <w:r w:rsidR="009C0181" w:rsidRPr="00677CE8">
        <w:t xml:space="preserve"> In our analysis</w:t>
      </w:r>
      <w:r w:rsidR="00677CE8">
        <w:t xml:space="preserve"> </w:t>
      </w:r>
      <w:r w:rsidR="00C15D96" w:rsidRPr="00677CE8">
        <w:rPr>
          <w:position w:val="-10"/>
        </w:rPr>
        <w:object w:dxaOrig="620" w:dyaOrig="320" w14:anchorId="47D69C6E">
          <v:shape id="_x0000_i1031" type="#_x0000_t75" style="width:27.65pt;height:15.9pt" o:ole="" o:preferrelative="f">
            <v:imagedata r:id="rId24" o:title=""/>
            <o:lock v:ext="edit" aspectratio="f"/>
          </v:shape>
          <o:OLEObject Type="Embed" ProgID="Equation.DSMT4" ShapeID="_x0000_i1031" DrawAspect="Content" ObjectID="_1851681961" r:id="rId25"/>
        </w:object>
      </w:r>
      <w:r w:rsidR="009C0181" w:rsidRPr="00677CE8">
        <w:t xml:space="preserve"> corresponding to the </w:t>
      </w:r>
      <w:r w:rsidR="00133CB0" w:rsidRPr="00677CE8">
        <w:t>three</w:t>
      </w:r>
      <w:r w:rsidR="009C0181" w:rsidRPr="00677CE8">
        <w:t xml:space="preserve"> latent constructs shown in the central portion of Figure 1. </w:t>
      </w:r>
      <w:r w:rsidR="00AA4A3A" w:rsidRPr="00677CE8">
        <w:t xml:space="preserve">We will suppress the index for the individual, simply for ease of presentation. </w:t>
      </w:r>
      <w:r w:rsidR="00B67242" w:rsidRPr="00677CE8">
        <w:t>Each latent construct may be written as a function of covariates as:</w:t>
      </w:r>
    </w:p>
    <w:p w14:paraId="0F1C9208" w14:textId="31E927A0" w:rsidR="00B67242" w:rsidRPr="00677CE8" w:rsidRDefault="00FB443B" w:rsidP="008019B4">
      <w:pPr>
        <w:pStyle w:val="MTDisplayEquation"/>
        <w:spacing w:before="120" w:after="120"/>
        <w:rPr>
          <w:rFonts w:cs="Times New Roman"/>
        </w:rPr>
      </w:pPr>
      <w:r w:rsidRPr="00FB443B">
        <w:rPr>
          <w:rFonts w:cs="Times New Roman"/>
          <w:position w:val="-12"/>
        </w:rPr>
        <w:object w:dxaOrig="1280" w:dyaOrig="380" w14:anchorId="4B1F45C8">
          <v:shape id="_x0000_i1032" type="#_x0000_t75" style="width:63.65pt;height:19.25pt" o:ole="">
            <v:imagedata r:id="rId26" o:title=""/>
          </v:shape>
          <o:OLEObject Type="Embed" ProgID="Equation.DSMT4" ShapeID="_x0000_i1032" DrawAspect="Content" ObjectID="_1851681962" r:id="rId27"/>
        </w:object>
      </w:r>
      <w:r w:rsidR="00B67242" w:rsidRPr="00677CE8">
        <w:rPr>
          <w:rFonts w:cs="Times New Roman"/>
        </w:rPr>
        <w:tab/>
      </w:r>
      <w:r w:rsidR="00B67242" w:rsidRPr="00677CE8">
        <w:rPr>
          <w:rFonts w:cs="Times New Roman"/>
        </w:rPr>
        <w:tab/>
      </w:r>
      <w:r w:rsidR="00B67242" w:rsidRPr="00677CE8">
        <w:rPr>
          <w:rFonts w:cs="Times New Roman"/>
        </w:rPr>
        <w:fldChar w:fldCharType="begin"/>
      </w:r>
      <w:r w:rsidR="00B67242" w:rsidRPr="00677CE8">
        <w:rPr>
          <w:rFonts w:cs="Times New Roman"/>
        </w:rPr>
        <w:instrText xml:space="preserve"> MACROBUTTON MTPlaceRef \* MERGEFORMAT </w:instrText>
      </w:r>
      <w:r w:rsidR="00B67242" w:rsidRPr="00677CE8">
        <w:rPr>
          <w:rFonts w:cs="Times New Roman"/>
        </w:rPr>
        <w:fldChar w:fldCharType="begin"/>
      </w:r>
      <w:r w:rsidR="00B67242" w:rsidRPr="00677CE8">
        <w:rPr>
          <w:rFonts w:cs="Times New Roman"/>
        </w:rPr>
        <w:instrText xml:space="preserve"> SEQ MTEqn \h \* MERGEFORMAT </w:instrText>
      </w:r>
      <w:r w:rsidR="00B67242" w:rsidRPr="00677CE8">
        <w:rPr>
          <w:rFonts w:cs="Times New Roman"/>
        </w:rPr>
        <w:fldChar w:fldCharType="end"/>
      </w:r>
      <w:r w:rsidR="00B67242" w:rsidRPr="00677CE8">
        <w:rPr>
          <w:rFonts w:cs="Times New Roman"/>
        </w:rPr>
        <w:instrText>(</w:instrText>
      </w:r>
      <w:r w:rsidR="00B67242" w:rsidRPr="00677CE8">
        <w:rPr>
          <w:rFonts w:cs="Times New Roman"/>
        </w:rPr>
        <w:fldChar w:fldCharType="begin"/>
      </w:r>
      <w:r w:rsidR="00B67242" w:rsidRPr="00677CE8">
        <w:rPr>
          <w:rFonts w:cs="Times New Roman"/>
        </w:rPr>
        <w:instrText xml:space="preserve"> SEQ MTEqn \c \* Arabic \* MERGEFORMAT </w:instrText>
      </w:r>
      <w:r w:rsidR="00B67242" w:rsidRPr="00677CE8">
        <w:rPr>
          <w:rFonts w:cs="Times New Roman"/>
        </w:rPr>
        <w:fldChar w:fldCharType="separate"/>
      </w:r>
      <w:r w:rsidR="00CF7AAF">
        <w:rPr>
          <w:rFonts w:cs="Times New Roman"/>
          <w:noProof/>
        </w:rPr>
        <w:instrText>1</w:instrText>
      </w:r>
      <w:r w:rsidR="00B67242" w:rsidRPr="00677CE8">
        <w:rPr>
          <w:rFonts w:cs="Times New Roman"/>
        </w:rPr>
        <w:fldChar w:fldCharType="end"/>
      </w:r>
      <w:r w:rsidR="00B67242" w:rsidRPr="00677CE8">
        <w:rPr>
          <w:rFonts w:cs="Times New Roman"/>
        </w:rPr>
        <w:instrText>)</w:instrText>
      </w:r>
      <w:r w:rsidR="00B67242" w:rsidRPr="00677CE8">
        <w:rPr>
          <w:rFonts w:cs="Times New Roman"/>
        </w:rPr>
        <w:fldChar w:fldCharType="end"/>
      </w:r>
    </w:p>
    <w:p w14:paraId="561B080F" w14:textId="1CC5BD37" w:rsidR="00B67242" w:rsidRPr="00677CE8" w:rsidRDefault="00B67242" w:rsidP="00B67242">
      <w:pPr>
        <w:spacing w:after="0" w:line="240" w:lineRule="auto"/>
        <w:jc w:val="both"/>
        <w:rPr>
          <w:rFonts w:eastAsiaTheme="minorEastAsia"/>
        </w:rPr>
      </w:pPr>
      <w:r w:rsidRPr="00677CE8">
        <w:t xml:space="preserve">where </w:t>
      </w:r>
      <w:r w:rsidR="00677CE8" w:rsidRPr="00677CE8">
        <w:rPr>
          <w:position w:val="-6"/>
        </w:rPr>
        <w:object w:dxaOrig="260" w:dyaOrig="220" w14:anchorId="665A6E48">
          <v:shape id="_x0000_i1033" type="#_x0000_t75" style="width:12.55pt;height:10.9pt" o:ole="">
            <v:imagedata r:id="rId28" o:title=""/>
          </v:shape>
          <o:OLEObject Type="Embed" ProgID="Equation.DSMT4" ShapeID="_x0000_i1033" DrawAspect="Content" ObjectID="_1851681963" r:id="rId29"/>
        </w:object>
      </w:r>
      <w:r w:rsidRPr="00677CE8">
        <w:t xml:space="preserve"> is a </w:t>
      </w:r>
      <w:r w:rsidRPr="00677CE8">
        <w:rPr>
          <w:position w:val="-10"/>
        </w:rPr>
        <w:object w:dxaOrig="680" w:dyaOrig="320" w14:anchorId="52A611F1">
          <v:shape id="_x0000_i1034" type="#_x0000_t75" style="width:36.85pt;height:15.9pt" o:ole="" o:preferrelative="f">
            <v:imagedata r:id="rId30" o:title=""/>
            <o:lock v:ext="edit" aspectratio="f"/>
          </v:shape>
          <o:OLEObject Type="Embed" ProgID="Equation.DSMT4" ShapeID="_x0000_i1034" DrawAspect="Content" ObjectID="_1851681964" r:id="rId31"/>
        </w:object>
      </w:r>
      <w:r w:rsidRPr="00677CE8">
        <w:t xml:space="preserve"> vector of observed variables, </w:t>
      </w:r>
      <w:r w:rsidR="00677CE8" w:rsidRPr="00677CE8">
        <w:rPr>
          <w:position w:val="-12"/>
        </w:rPr>
        <w:object w:dxaOrig="260" w:dyaOrig="360" w14:anchorId="24251639">
          <v:shape id="_x0000_i1035" type="#_x0000_t75" style="width:12.55pt;height:18.4pt" o:ole="">
            <v:imagedata r:id="rId32" o:title=""/>
          </v:shape>
          <o:OLEObject Type="Embed" ProgID="Equation.DSMT4" ShapeID="_x0000_i1035" DrawAspect="Content" ObjectID="_1851681965" r:id="rId33"/>
        </w:object>
      </w:r>
      <w:r w:rsidRPr="00677CE8">
        <w:t xml:space="preserve"> is a corresponding </w:t>
      </w:r>
      <w:r w:rsidR="00677CE8" w:rsidRPr="00677CE8">
        <w:rPr>
          <w:position w:val="-10"/>
        </w:rPr>
        <w:object w:dxaOrig="680" w:dyaOrig="320" w14:anchorId="63787BB2">
          <v:shape id="_x0000_i1036" type="#_x0000_t75" style="width:34.35pt;height:15.9pt" o:ole="">
            <v:imagedata r:id="rId34" o:title=""/>
          </v:shape>
          <o:OLEObject Type="Embed" ProgID="Equation.DSMT4" ShapeID="_x0000_i1036" DrawAspect="Content" ObjectID="_1851681966" r:id="rId35"/>
        </w:object>
      </w:r>
      <w:r w:rsidRPr="00677CE8">
        <w:t xml:space="preserve"> vector of coefficients, and </w:t>
      </w:r>
      <w:r w:rsidR="00677CE8" w:rsidRPr="00677CE8">
        <w:rPr>
          <w:position w:val="-12"/>
        </w:rPr>
        <w:object w:dxaOrig="240" w:dyaOrig="360" w14:anchorId="0E56C8CC">
          <v:shape id="_x0000_i1037" type="#_x0000_t75" style="width:11.7pt;height:18.4pt" o:ole="">
            <v:imagedata r:id="rId36" o:title=""/>
          </v:shape>
          <o:OLEObject Type="Embed" ProgID="Equation.DSMT4" ShapeID="_x0000_i1037" DrawAspect="Content" ObjectID="_1851681967" r:id="rId37"/>
        </w:object>
      </w:r>
      <w:r w:rsidRPr="00677CE8">
        <w:t xml:space="preserve"> is a random error term. The error vector </w:t>
      </w:r>
      <w:r w:rsidR="00677CE8" w:rsidRPr="00677CE8">
        <w:rPr>
          <w:position w:val="-12"/>
        </w:rPr>
        <w:object w:dxaOrig="240" w:dyaOrig="360" w14:anchorId="1A3C7FA1">
          <v:shape id="_x0000_i1038" type="#_x0000_t75" style="width:11.7pt;height:18.4pt" o:ole="">
            <v:imagedata r:id="rId36" o:title=""/>
          </v:shape>
          <o:OLEObject Type="Embed" ProgID="Equation.DSMT4" ShapeID="_x0000_i1038" DrawAspect="Content" ObjectID="_1851681968" r:id="rId38"/>
        </w:object>
      </w:r>
      <w:r w:rsidRPr="00677CE8">
        <w:t xml:space="preserve"> is assumed to be standard normally distributed. Also, define the </w:t>
      </w:r>
      <w:r w:rsidRPr="00677CE8">
        <w:rPr>
          <w:rFonts w:eastAsiaTheme="minorEastAsia"/>
          <w:position w:val="-10"/>
        </w:rPr>
        <w:object w:dxaOrig="760" w:dyaOrig="320" w14:anchorId="5FAF0C04">
          <v:shape id="_x0000_i1039" type="#_x0000_t75" style="width:35.15pt;height:15.9pt" o:ole="" o:preferrelative="f">
            <v:imagedata r:id="rId39" o:title=""/>
            <o:lock v:ext="edit" aspectratio="f"/>
          </v:shape>
          <o:OLEObject Type="Embed" ProgID="Equation.DSMT4" ShapeID="_x0000_i1039" DrawAspect="Content" ObjectID="_1851681969" r:id="rId40"/>
        </w:object>
      </w:r>
      <w:r w:rsidRPr="00677CE8">
        <w:rPr>
          <w:rFonts w:eastAsiaTheme="minorEastAsia"/>
        </w:rPr>
        <w:t xml:space="preserve"> </w:t>
      </w:r>
      <w:r w:rsidRPr="00677CE8">
        <w:t xml:space="preserve">matrix </w:t>
      </w:r>
      <w:r w:rsidR="00677CE8" w:rsidRPr="00677CE8">
        <w:rPr>
          <w:position w:val="-12"/>
        </w:rPr>
        <w:object w:dxaOrig="1800" w:dyaOrig="360" w14:anchorId="5E07C579">
          <v:shape id="_x0000_i1040" type="#_x0000_t75" style="width:90.4pt;height:18.4pt" o:ole="">
            <v:imagedata r:id="rId41" o:title=""/>
          </v:shape>
          <o:OLEObject Type="Embed" ProgID="Equation.DSMT4" ShapeID="_x0000_i1040" DrawAspect="Content" ObjectID="_1851681970" r:id="rId42"/>
        </w:object>
      </w:r>
      <w:r w:rsidRPr="00677CE8">
        <w:t xml:space="preserve">, and the </w:t>
      </w:r>
      <w:r w:rsidRPr="00677CE8">
        <w:rPr>
          <w:rFonts w:eastAsiaTheme="minorEastAsia"/>
          <w:position w:val="-10"/>
        </w:rPr>
        <w:object w:dxaOrig="672" w:dyaOrig="312" w14:anchorId="40532B28">
          <v:shape id="_x0000_i1041" type="#_x0000_t75" style="width:35.15pt;height:15.9pt" o:ole="" o:preferrelative="f">
            <v:imagedata r:id="rId43" o:title=""/>
            <o:lock v:ext="edit" aspectratio="f"/>
          </v:shape>
          <o:OLEObject Type="Embed" ProgID="Equation.3" ShapeID="_x0000_i1041" DrawAspect="Content" ObjectID="_1851681971" r:id="rId44"/>
        </w:object>
      </w:r>
      <w:r w:rsidRPr="00677CE8">
        <w:rPr>
          <w:rFonts w:eastAsiaTheme="minorEastAsia"/>
        </w:rPr>
        <w:t xml:space="preserve"> </w:t>
      </w:r>
      <w:r w:rsidRPr="00677CE8">
        <w:t>vector</w:t>
      </w:r>
      <w:r w:rsidR="00677CE8" w:rsidRPr="00677CE8">
        <w:rPr>
          <w:position w:val="-12"/>
        </w:rPr>
        <w:object w:dxaOrig="1800" w:dyaOrig="360" w14:anchorId="4DA6D36E">
          <v:shape id="_x0000_i1042" type="#_x0000_t75" style="width:90.4pt;height:18.4pt" o:ole="">
            <v:imagedata r:id="rId45" o:title=""/>
          </v:shape>
          <o:OLEObject Type="Embed" ProgID="Equation.DSMT4" ShapeID="_x0000_i1042" DrawAspect="Content" ObjectID="_1851681972" r:id="rId46"/>
        </w:object>
      </w:r>
      <w:r w:rsidRPr="00677CE8">
        <w:rPr>
          <w:rFonts w:eastAsiaTheme="minorEastAsia"/>
        </w:rPr>
        <w:t xml:space="preserve">. </w:t>
      </w:r>
      <w:r w:rsidR="002573DD" w:rsidRPr="00677CE8">
        <w:t xml:space="preserve">Then, the </w:t>
      </w:r>
      <w:r w:rsidR="002573DD" w:rsidRPr="00677CE8">
        <w:rPr>
          <w:rFonts w:eastAsiaTheme="minorEastAsia"/>
          <w:position w:val="-10"/>
        </w:rPr>
        <w:object w:dxaOrig="672" w:dyaOrig="312" w14:anchorId="2E3EC2BB">
          <v:shape id="_x0000_i1043" type="#_x0000_t75" style="width:35.15pt;height:15.9pt" o:ole="" o:preferrelative="f">
            <v:imagedata r:id="rId43" o:title=""/>
            <o:lock v:ext="edit" aspectratio="f"/>
          </v:shape>
          <o:OLEObject Type="Embed" ProgID="Equation.3" ShapeID="_x0000_i1043" DrawAspect="Content" ObjectID="_1851681973" r:id="rId47"/>
        </w:object>
      </w:r>
      <w:r w:rsidR="002573DD" w:rsidRPr="00677CE8">
        <w:rPr>
          <w:rFonts w:eastAsiaTheme="minorEastAsia"/>
        </w:rPr>
        <w:t xml:space="preserve"> vector of latent constructs may be written as</w:t>
      </w:r>
      <w:r w:rsidR="002573DD" w:rsidRPr="00677CE8">
        <w:rPr>
          <w:rFonts w:eastAsiaTheme="minorEastAsia"/>
        </w:rPr>
        <w:br/>
      </w:r>
      <w:r w:rsidR="00677CE8" w:rsidRPr="00677CE8">
        <w:rPr>
          <w:rFonts w:eastAsiaTheme="minorEastAsia"/>
          <w:position w:val="-12"/>
        </w:rPr>
        <w:object w:dxaOrig="1840" w:dyaOrig="380" w14:anchorId="65265A13">
          <v:shape id="_x0000_i1044" type="#_x0000_t75" style="width:91.25pt;height:19.25pt" o:ole="">
            <v:imagedata r:id="rId48" o:title=""/>
          </v:shape>
          <o:OLEObject Type="Embed" ProgID="Equation.DSMT4" ShapeID="_x0000_i1044" DrawAspect="Content" ObjectID="_1851681974" r:id="rId49"/>
        </w:object>
      </w:r>
      <w:r w:rsidR="002573DD" w:rsidRPr="00677CE8">
        <w:rPr>
          <w:rFonts w:eastAsiaTheme="minorEastAsia"/>
        </w:rPr>
        <w:t xml:space="preserve"> and</w:t>
      </w:r>
      <w:r w:rsidRPr="00677CE8">
        <w:rPr>
          <w:rFonts w:eastAsiaTheme="minorEastAsia"/>
        </w:rPr>
        <w:t>, in matrix form</w:t>
      </w:r>
      <w:r w:rsidR="002573DD" w:rsidRPr="00677CE8">
        <w:rPr>
          <w:rFonts w:eastAsiaTheme="minorEastAsia"/>
        </w:rPr>
        <w:t>,</w:t>
      </w:r>
      <w:r w:rsidRPr="00677CE8">
        <w:rPr>
          <w:rFonts w:eastAsiaTheme="minorEastAsia"/>
        </w:rPr>
        <w:t xml:space="preserve"> we may write the equations for the latent constructs as: </w:t>
      </w:r>
    </w:p>
    <w:p w14:paraId="66110868" w14:textId="392B3E6A" w:rsidR="00B67242" w:rsidRPr="00677CE8" w:rsidRDefault="00F41CCC" w:rsidP="008019B4">
      <w:pPr>
        <w:pStyle w:val="MTDisplayEquation"/>
        <w:spacing w:before="120" w:after="120"/>
        <w:rPr>
          <w:rFonts w:cs="Times New Roman"/>
        </w:rPr>
      </w:pPr>
      <w:r w:rsidRPr="00FB443B">
        <w:rPr>
          <w:rFonts w:cs="Times New Roman"/>
          <w:position w:val="-10"/>
        </w:rPr>
        <w:object w:dxaOrig="1180" w:dyaOrig="360" w14:anchorId="6670CB06">
          <v:shape id="_x0000_i1045" type="#_x0000_t75" style="width:59.45pt;height:18.4pt" o:ole="">
            <v:imagedata r:id="rId50" o:title=""/>
          </v:shape>
          <o:OLEObject Type="Embed" ProgID="Equation.DSMT4" ShapeID="_x0000_i1045" DrawAspect="Content" ObjectID="_1851681975" r:id="rId51"/>
        </w:object>
      </w:r>
      <w:r w:rsidR="00B67242" w:rsidRPr="00677CE8">
        <w:rPr>
          <w:rFonts w:cs="Times New Roman"/>
        </w:rPr>
        <w:t>.</w:t>
      </w:r>
      <w:r w:rsidR="00FC0A63" w:rsidRPr="00677CE8">
        <w:rPr>
          <w:rFonts w:cs="Times New Roman"/>
        </w:rPr>
        <w:t xml:space="preserve">  </w:t>
      </w:r>
      <w:r w:rsidR="00B67242" w:rsidRPr="00677CE8">
        <w:rPr>
          <w:rFonts w:cs="Times New Roman"/>
        </w:rPr>
        <w:tab/>
      </w:r>
      <w:r w:rsidR="00B67242" w:rsidRPr="00677CE8">
        <w:rPr>
          <w:rFonts w:cs="Times New Roman"/>
        </w:rPr>
        <w:tab/>
      </w:r>
      <w:r w:rsidR="00B67242" w:rsidRPr="00677CE8">
        <w:rPr>
          <w:rFonts w:cs="Times New Roman"/>
        </w:rPr>
        <w:fldChar w:fldCharType="begin"/>
      </w:r>
      <w:r w:rsidR="00B67242" w:rsidRPr="00677CE8">
        <w:rPr>
          <w:rFonts w:cs="Times New Roman"/>
        </w:rPr>
        <w:instrText xml:space="preserve"> MACROBUTTON MTPlaceRef \* MERGEFORMAT </w:instrText>
      </w:r>
      <w:r w:rsidR="00B67242" w:rsidRPr="00677CE8">
        <w:rPr>
          <w:rFonts w:cs="Times New Roman"/>
        </w:rPr>
        <w:fldChar w:fldCharType="begin"/>
      </w:r>
      <w:r w:rsidR="00B67242" w:rsidRPr="00677CE8">
        <w:rPr>
          <w:rFonts w:cs="Times New Roman"/>
        </w:rPr>
        <w:instrText xml:space="preserve"> SEQ MTEqn \h \* MERGEFORMAT </w:instrText>
      </w:r>
      <w:r w:rsidR="00B67242" w:rsidRPr="00677CE8">
        <w:rPr>
          <w:rFonts w:cs="Times New Roman"/>
        </w:rPr>
        <w:fldChar w:fldCharType="end"/>
      </w:r>
      <w:r w:rsidR="00B67242" w:rsidRPr="00677CE8">
        <w:rPr>
          <w:rFonts w:cs="Times New Roman"/>
        </w:rPr>
        <w:instrText>(</w:instrText>
      </w:r>
      <w:r w:rsidR="00B67242" w:rsidRPr="00677CE8">
        <w:rPr>
          <w:rFonts w:cs="Times New Roman"/>
        </w:rPr>
        <w:fldChar w:fldCharType="begin"/>
      </w:r>
      <w:r w:rsidR="00B67242" w:rsidRPr="00677CE8">
        <w:rPr>
          <w:rFonts w:cs="Times New Roman"/>
        </w:rPr>
        <w:instrText xml:space="preserve"> SEQ MTEqn \c \* Arabic \* MERGEFORMAT </w:instrText>
      </w:r>
      <w:r w:rsidR="00B67242" w:rsidRPr="00677CE8">
        <w:rPr>
          <w:rFonts w:cs="Times New Roman"/>
        </w:rPr>
        <w:fldChar w:fldCharType="separate"/>
      </w:r>
      <w:r w:rsidR="00CF7AAF">
        <w:rPr>
          <w:rFonts w:cs="Times New Roman"/>
          <w:noProof/>
        </w:rPr>
        <w:instrText>2</w:instrText>
      </w:r>
      <w:r w:rsidR="00B67242" w:rsidRPr="00677CE8">
        <w:rPr>
          <w:rFonts w:cs="Times New Roman"/>
        </w:rPr>
        <w:fldChar w:fldCharType="end"/>
      </w:r>
      <w:r w:rsidR="00B67242" w:rsidRPr="00677CE8">
        <w:rPr>
          <w:rFonts w:cs="Times New Roman"/>
        </w:rPr>
        <w:instrText>)</w:instrText>
      </w:r>
      <w:r w:rsidR="00B67242" w:rsidRPr="00677CE8">
        <w:rPr>
          <w:rFonts w:cs="Times New Roman"/>
        </w:rPr>
        <w:fldChar w:fldCharType="end"/>
      </w:r>
    </w:p>
    <w:p w14:paraId="367C5945" w14:textId="0FB15ECB" w:rsidR="00B67242" w:rsidRPr="00677CE8" w:rsidRDefault="00B67242" w:rsidP="00B67242">
      <w:pPr>
        <w:shd w:val="clear" w:color="auto" w:fill="FFFFFF"/>
        <w:spacing w:after="0" w:line="240" w:lineRule="auto"/>
        <w:ind w:firstLine="720"/>
        <w:jc w:val="both"/>
      </w:pPr>
      <w:proofErr w:type="gramStart"/>
      <w:r w:rsidRPr="00677CE8">
        <w:t>In order to</w:t>
      </w:r>
      <w:proofErr w:type="gramEnd"/>
      <w:r w:rsidRPr="00677CE8">
        <w:t xml:space="preserve"> accommodate unobserved factors that may also jointly influence multiple latent variables, we allow a multivariate normal (MVN) correlation structure for </w:t>
      </w:r>
      <w:r w:rsidR="00677CE8" w:rsidRPr="00677CE8">
        <w:rPr>
          <w:position w:val="-10"/>
        </w:rPr>
        <w:object w:dxaOrig="200" w:dyaOrig="260" w14:anchorId="5A7FB5EF">
          <v:shape id="_x0000_i1046" type="#_x0000_t75" style="width:10.05pt;height:12.55pt" o:ole="">
            <v:imagedata r:id="rId52" o:title=""/>
          </v:shape>
          <o:OLEObject Type="Embed" ProgID="Equation.DSMT4" ShapeID="_x0000_i1046" DrawAspect="Content" ObjectID="_1851681976" r:id="rId53"/>
        </w:object>
      </w:r>
      <w:r w:rsidRPr="00677CE8">
        <w:t xml:space="preserve">. </w:t>
      </w:r>
      <w:r w:rsidR="00677CE8" w:rsidRPr="00677CE8">
        <w:rPr>
          <w:position w:val="-12"/>
        </w:rPr>
        <w:object w:dxaOrig="1780" w:dyaOrig="360" w14:anchorId="3AC85A0F">
          <v:shape id="_x0000_i1047" type="#_x0000_t75" style="width:88.75pt;height:18.4pt" o:ole="">
            <v:imagedata r:id="rId54" o:title=""/>
          </v:shape>
          <o:OLEObject Type="Embed" ProgID="Equation.DSMT4" ShapeID="_x0000_i1047" DrawAspect="Content" ObjectID="_1851681977" r:id="rId55"/>
        </w:object>
      </w:r>
      <w:r w:rsidRPr="00677CE8">
        <w:t xml:space="preserve"> where </w:t>
      </w:r>
      <w:r w:rsidR="00677CE8" w:rsidRPr="00677CE8">
        <w:rPr>
          <w:position w:val="-12"/>
        </w:rPr>
        <w:object w:dxaOrig="279" w:dyaOrig="360" w14:anchorId="5FA6112E">
          <v:shape id="_x0000_i1048" type="#_x0000_t75" style="width:15.05pt;height:18.4pt" o:ole="">
            <v:imagedata r:id="rId56" o:title=""/>
          </v:shape>
          <o:OLEObject Type="Embed" ProgID="Equation.DSMT4" ShapeID="_x0000_i1048" DrawAspect="Content" ObjectID="_1851681978" r:id="rId57"/>
        </w:object>
      </w:r>
      <w:r w:rsidRPr="00677CE8">
        <w:t xml:space="preserve"> is an </w:t>
      </w:r>
      <w:r w:rsidRPr="00677CE8">
        <w:rPr>
          <w:rFonts w:eastAsiaTheme="minorEastAsia"/>
          <w:position w:val="-10"/>
        </w:rPr>
        <w:object w:dxaOrig="672" w:dyaOrig="312" w14:anchorId="071C3607">
          <v:shape id="_x0000_i1049" type="#_x0000_t75" style="width:35.15pt;height:15.9pt" o:ole="" o:preferrelative="f">
            <v:imagedata r:id="rId43" o:title=""/>
            <o:lock v:ext="edit" aspectratio="f"/>
          </v:shape>
          <o:OLEObject Type="Embed" ProgID="Equation.3" ShapeID="_x0000_i1049" DrawAspect="Content" ObjectID="_1851681979" r:id="rId58"/>
        </w:object>
      </w:r>
      <w:r w:rsidRPr="00677CE8">
        <w:t xml:space="preserve"> column vector of zeros, and </w:t>
      </w:r>
      <w:r w:rsidR="00677CE8" w:rsidRPr="00677CE8">
        <w:rPr>
          <w:position w:val="-4"/>
        </w:rPr>
        <w:object w:dxaOrig="240" w:dyaOrig="260" w14:anchorId="3902FFC1">
          <v:shape id="_x0000_i1050" type="#_x0000_t75" style="width:11.7pt;height:12.55pt" o:ole="">
            <v:imagedata r:id="rId12" o:title=""/>
          </v:shape>
          <o:OLEObject Type="Embed" ProgID="Equation.DSMT4" ShapeID="_x0000_i1050" DrawAspect="Content" ObjectID="_1851681980" r:id="rId59"/>
        </w:object>
      </w:r>
      <w:r w:rsidR="00677CE8">
        <w:t xml:space="preserve"> </w:t>
      </w:r>
      <w:r w:rsidRPr="00677CE8">
        <w:t xml:space="preserve">is an </w:t>
      </w:r>
      <w:r w:rsidRPr="00677CE8">
        <w:rPr>
          <w:position w:val="-10"/>
        </w:rPr>
        <w:object w:dxaOrig="720" w:dyaOrig="320" w14:anchorId="2DE9A7F8">
          <v:shape id="_x0000_i1051" type="#_x0000_t75" style="width:36.85pt;height:15.9pt" o:ole="">
            <v:imagedata r:id="rId60" o:title=""/>
          </v:shape>
          <o:OLEObject Type="Embed" ProgID="Equation.DSMT4" ShapeID="_x0000_i1051" DrawAspect="Content" ObjectID="_1851681981" r:id="rId61"/>
        </w:object>
      </w:r>
      <w:r w:rsidRPr="00677CE8">
        <w:t xml:space="preserve"> correlation matrix. </w:t>
      </w:r>
    </w:p>
    <w:p w14:paraId="736D078F" w14:textId="2E618F4C" w:rsidR="000E0C96" w:rsidRPr="00677CE8" w:rsidRDefault="00694D67" w:rsidP="007B293E">
      <w:pPr>
        <w:spacing w:after="0" w:line="240" w:lineRule="auto"/>
        <w:jc w:val="both"/>
      </w:pPr>
      <w:r w:rsidRPr="00677CE8">
        <w:tab/>
      </w:r>
      <w:r w:rsidR="000E0C96" w:rsidRPr="00677CE8">
        <w:t xml:space="preserve">Next, consider a set of </w:t>
      </w:r>
      <w:bookmarkStart w:id="0" w:name="_Hlk200011688"/>
      <w:r w:rsidR="000E0C96" w:rsidRPr="00677CE8">
        <w:rPr>
          <w:position w:val="-6"/>
        </w:rPr>
        <w:object w:dxaOrig="279" w:dyaOrig="279" w14:anchorId="5CA99D57">
          <v:shape id="_x0000_i1052" type="#_x0000_t75" style="width:15.05pt;height:15.05pt" o:ole="">
            <v:imagedata r:id="rId62" o:title=""/>
          </v:shape>
          <o:OLEObject Type="Embed" ProgID="Equation.DSMT4" ShapeID="_x0000_i1052" DrawAspect="Content" ObjectID="_1851681982" r:id="rId63"/>
        </w:object>
      </w:r>
      <w:r w:rsidR="000E0C96" w:rsidRPr="00677CE8">
        <w:t xml:space="preserve"> ordinal indicators used to identify the latent constructs, and denote the index for the indicators as </w:t>
      </w:r>
      <w:r w:rsidR="00677CE8" w:rsidRPr="00677CE8">
        <w:rPr>
          <w:position w:val="-6"/>
        </w:rPr>
        <w:object w:dxaOrig="200" w:dyaOrig="220" w14:anchorId="77614E6B">
          <v:shape id="_x0000_i1053" type="#_x0000_t75" style="width:10.05pt;height:10.9pt" o:ole="">
            <v:imagedata r:id="rId64" o:title=""/>
          </v:shape>
          <o:OLEObject Type="Embed" ProgID="Equation.DSMT4" ShapeID="_x0000_i1053" DrawAspect="Content" ObjectID="_1851681983" r:id="rId65"/>
        </w:object>
      </w:r>
      <w:r w:rsidR="00677CE8">
        <w:t xml:space="preserve"> </w:t>
      </w:r>
      <w:r w:rsidR="000E0C96" w:rsidRPr="00677CE8">
        <w:rPr>
          <w:position w:val="-10"/>
        </w:rPr>
        <w:object w:dxaOrig="1420" w:dyaOrig="320" w14:anchorId="699FD3D3">
          <v:shape id="_x0000_i1054" type="#_x0000_t75" style="width:1in;height:15.9pt" o:ole="" o:preferrelative="f">
            <v:imagedata r:id="rId66" o:title=""/>
            <o:lock v:ext="edit" aspectratio="f"/>
          </v:shape>
          <o:OLEObject Type="Embed" ProgID="Equation.DSMT4" ShapeID="_x0000_i1054" DrawAspect="Content" ObjectID="_1851681984" r:id="rId67"/>
        </w:object>
      </w:r>
      <w:r w:rsidR="000E0C96" w:rsidRPr="00677CE8">
        <w:t xml:space="preserve">. </w:t>
      </w:r>
      <w:bookmarkEnd w:id="0"/>
      <w:r w:rsidR="000E0C96" w:rsidRPr="00677CE8">
        <w:t xml:space="preserve">Then, let </w:t>
      </w:r>
      <w:r w:rsidR="00677CE8" w:rsidRPr="00677CE8">
        <w:rPr>
          <w:position w:val="-12"/>
        </w:rPr>
        <w:object w:dxaOrig="279" w:dyaOrig="360" w14:anchorId="1476E240">
          <v:shape id="_x0000_i1055" type="#_x0000_t75" style="width:15.05pt;height:18.4pt" o:ole="">
            <v:imagedata r:id="rId68" o:title=""/>
          </v:shape>
          <o:OLEObject Type="Embed" ProgID="Equation.DSMT4" ShapeID="_x0000_i1055" DrawAspect="Content" ObjectID="_1851681985" r:id="rId69"/>
        </w:object>
      </w:r>
      <w:r w:rsidR="000E0C96" w:rsidRPr="00677CE8">
        <w:t xml:space="preserve"> be the number of categories for the </w:t>
      </w:r>
      <w:r w:rsidR="000E0C96" w:rsidRPr="00677CE8">
        <w:rPr>
          <w:i/>
        </w:rPr>
        <w:t>n</w:t>
      </w:r>
      <w:r w:rsidR="000E0C96" w:rsidRPr="00677CE8">
        <w:rPr>
          <w:i/>
          <w:vertAlign w:val="superscript"/>
        </w:rPr>
        <w:t>th</w:t>
      </w:r>
      <w:r w:rsidR="000E0C96" w:rsidRPr="00677CE8">
        <w:t xml:space="preserve"> ordinal indicator </w:t>
      </w:r>
      <w:r w:rsidR="00677CE8" w:rsidRPr="00677CE8">
        <w:rPr>
          <w:position w:val="-12"/>
        </w:rPr>
        <w:object w:dxaOrig="820" w:dyaOrig="360" w14:anchorId="7D68D7C2">
          <v:shape id="_x0000_i1056" type="#_x0000_t75" style="width:40.2pt;height:18.4pt" o:ole="">
            <v:imagedata r:id="rId70" o:title=""/>
          </v:shape>
          <o:OLEObject Type="Embed" ProgID="Equation.DSMT4" ShapeID="_x0000_i1056" DrawAspect="Content" ObjectID="_1851681986" r:id="rId71"/>
        </w:object>
      </w:r>
      <w:r w:rsidR="000E0C96" w:rsidRPr="00677CE8">
        <w:rPr>
          <w:position w:val="-12"/>
        </w:rPr>
        <w:t xml:space="preserve"> </w:t>
      </w:r>
      <w:r w:rsidR="000E0C96" w:rsidRPr="00677CE8">
        <w:t xml:space="preserve">and let </w:t>
      </w:r>
      <w:r w:rsidR="00677CE8" w:rsidRPr="00677CE8">
        <w:rPr>
          <w:position w:val="-12"/>
        </w:rPr>
        <w:object w:dxaOrig="260" w:dyaOrig="360" w14:anchorId="5A2E1C2B">
          <v:shape id="_x0000_i1057" type="#_x0000_t75" style="width:12.55pt;height:18.4pt" o:ole="">
            <v:imagedata r:id="rId72" o:title=""/>
          </v:shape>
          <o:OLEObject Type="Embed" ProgID="Equation.DSMT4" ShapeID="_x0000_i1057" DrawAspect="Content" ObjectID="_1851681987" r:id="rId73"/>
        </w:object>
      </w:r>
      <w:r w:rsidR="000E0C96" w:rsidRPr="00677CE8">
        <w:t xml:space="preserve"> be the corresponding index </w:t>
      </w:r>
      <w:r w:rsidR="00677CE8" w:rsidRPr="00677CE8">
        <w:rPr>
          <w:position w:val="-12"/>
        </w:rPr>
        <w:object w:dxaOrig="1540" w:dyaOrig="360" w14:anchorId="1B6CAC6D">
          <v:shape id="_x0000_i1058" type="#_x0000_t75" style="width:77pt;height:18.4pt" o:ole="">
            <v:imagedata r:id="rId74" o:title=""/>
          </v:shape>
          <o:OLEObject Type="Embed" ProgID="Equation.DSMT4" ShapeID="_x0000_i1058" DrawAspect="Content" ObjectID="_1851681988" r:id="rId75"/>
        </w:object>
      </w:r>
      <w:r w:rsidR="000E0C96" w:rsidRPr="00677CE8">
        <w:t xml:space="preserve">. Also, for each ordinal indicator, let </w:t>
      </w:r>
      <w:r w:rsidR="00677CE8" w:rsidRPr="00677CE8">
        <w:rPr>
          <w:position w:val="-12"/>
        </w:rPr>
        <w:object w:dxaOrig="260" w:dyaOrig="380" w14:anchorId="0BE6EFA0">
          <v:shape id="_x0000_i1059" type="#_x0000_t75" style="width:12.55pt;height:19.25pt" o:ole="">
            <v:imagedata r:id="rId76" o:title=""/>
          </v:shape>
          <o:OLEObject Type="Embed" ProgID="Equation.DSMT4" ShapeID="_x0000_i1059" DrawAspect="Content" ObjectID="_1851681989" r:id="rId77"/>
        </w:object>
      </w:r>
      <w:r w:rsidR="000E0C96" w:rsidRPr="00677CE8">
        <w:t xml:space="preserve"> be the underlying latent variable whose horizontal partitioning leads to the observed selection. Then, we can apply the usual ordered response formulation to write:</w:t>
      </w:r>
    </w:p>
    <w:p w14:paraId="38C7F6FB" w14:textId="5C00CC1B" w:rsidR="000E0C96" w:rsidRPr="00677CE8" w:rsidRDefault="00FB443B" w:rsidP="008019B4">
      <w:pPr>
        <w:pStyle w:val="MTDisplayEquation"/>
        <w:spacing w:before="120" w:after="120"/>
        <w:rPr>
          <w:rFonts w:cs="Times New Roman"/>
        </w:rPr>
      </w:pPr>
      <w:r w:rsidRPr="00FB443B">
        <w:rPr>
          <w:rFonts w:cs="Times New Roman"/>
          <w:position w:val="-12"/>
        </w:rPr>
        <w:object w:dxaOrig="1359" w:dyaOrig="380" w14:anchorId="56178BD7">
          <v:shape id="_x0000_i1060" type="#_x0000_t75" style="width:67.8pt;height:19.25pt" o:ole="">
            <v:imagedata r:id="rId78" o:title=""/>
          </v:shape>
          <o:OLEObject Type="Embed" ProgID="Equation.DSMT4" ShapeID="_x0000_i1060" DrawAspect="Content" ObjectID="_1851681990" r:id="rId79"/>
        </w:object>
      </w:r>
      <w:r w:rsidR="000E0C96" w:rsidRPr="00677CE8">
        <w:rPr>
          <w:rFonts w:cs="Times New Roman"/>
        </w:rPr>
        <w:tab/>
      </w:r>
      <w:r w:rsidR="000E0C96" w:rsidRPr="00677CE8">
        <w:rPr>
          <w:rFonts w:cs="Times New Roman"/>
        </w:rPr>
        <w:tab/>
      </w:r>
      <w:r w:rsidR="000E0C96" w:rsidRPr="00677CE8">
        <w:rPr>
          <w:rFonts w:cs="Times New Roman"/>
        </w:rPr>
        <w:fldChar w:fldCharType="begin"/>
      </w:r>
      <w:r w:rsidR="000E0C96" w:rsidRPr="00677CE8">
        <w:rPr>
          <w:rFonts w:cs="Times New Roman"/>
        </w:rPr>
        <w:instrText xml:space="preserve"> MACROBUTTON MTPlaceRef \* MERGEFORMAT </w:instrText>
      </w:r>
      <w:r w:rsidR="000E0C96" w:rsidRPr="00677CE8">
        <w:rPr>
          <w:rFonts w:cs="Times New Roman"/>
        </w:rPr>
        <w:fldChar w:fldCharType="begin"/>
      </w:r>
      <w:r w:rsidR="000E0C96" w:rsidRPr="00677CE8">
        <w:rPr>
          <w:rFonts w:cs="Times New Roman"/>
        </w:rPr>
        <w:instrText xml:space="preserve"> SEQ MTEqn \h \* MERGEFORMAT </w:instrText>
      </w:r>
      <w:r w:rsidR="000E0C96" w:rsidRPr="00677CE8">
        <w:rPr>
          <w:rFonts w:cs="Times New Roman"/>
        </w:rPr>
        <w:fldChar w:fldCharType="end"/>
      </w:r>
      <w:r w:rsidR="000E0C96" w:rsidRPr="00677CE8">
        <w:rPr>
          <w:rFonts w:cs="Times New Roman"/>
        </w:rPr>
        <w:instrText>(</w:instrText>
      </w:r>
      <w:r w:rsidR="000E0C96" w:rsidRPr="00677CE8">
        <w:rPr>
          <w:rFonts w:cs="Times New Roman"/>
        </w:rPr>
        <w:fldChar w:fldCharType="begin"/>
      </w:r>
      <w:r w:rsidR="000E0C96" w:rsidRPr="00677CE8">
        <w:rPr>
          <w:rFonts w:cs="Times New Roman"/>
        </w:rPr>
        <w:instrText xml:space="preserve"> SEQ MTEqn \c \* Arabic \* MERGEFORMAT </w:instrText>
      </w:r>
      <w:r w:rsidR="000E0C96" w:rsidRPr="00677CE8">
        <w:rPr>
          <w:rFonts w:cs="Times New Roman"/>
        </w:rPr>
        <w:fldChar w:fldCharType="separate"/>
      </w:r>
      <w:r w:rsidR="00CF7AAF">
        <w:rPr>
          <w:rFonts w:cs="Times New Roman"/>
          <w:noProof/>
        </w:rPr>
        <w:instrText>3</w:instrText>
      </w:r>
      <w:r w:rsidR="000E0C96" w:rsidRPr="00677CE8">
        <w:rPr>
          <w:rFonts w:cs="Times New Roman"/>
        </w:rPr>
        <w:fldChar w:fldCharType="end"/>
      </w:r>
      <w:r w:rsidR="000E0C96" w:rsidRPr="00677CE8">
        <w:rPr>
          <w:rFonts w:cs="Times New Roman"/>
        </w:rPr>
        <w:instrText>)</w:instrText>
      </w:r>
      <w:r w:rsidR="000E0C96" w:rsidRPr="00677CE8">
        <w:rPr>
          <w:rFonts w:cs="Times New Roman"/>
        </w:rPr>
        <w:fldChar w:fldCharType="end"/>
      </w:r>
    </w:p>
    <w:p w14:paraId="6A5AC2BD" w14:textId="0F4EC207" w:rsidR="000E0C96" w:rsidRPr="00677CE8" w:rsidRDefault="000E0C96" w:rsidP="007B293E">
      <w:pPr>
        <w:spacing w:after="0" w:line="240" w:lineRule="auto"/>
        <w:jc w:val="both"/>
      </w:pPr>
      <w:r w:rsidRPr="00677CE8">
        <w:t xml:space="preserve">with </w:t>
      </w:r>
      <w:r w:rsidR="00677CE8" w:rsidRPr="00677CE8">
        <w:rPr>
          <w:position w:val="-14"/>
        </w:rPr>
        <w:object w:dxaOrig="1740" w:dyaOrig="400" w14:anchorId="2B9FCCE7">
          <v:shape id="_x0000_i1061" type="#_x0000_t75" style="width:86.25pt;height:19.25pt" o:ole="">
            <v:imagedata r:id="rId80" o:title=""/>
          </v:shape>
          <o:OLEObject Type="Embed" ProgID="Equation.DSMT4" ShapeID="_x0000_i1061" DrawAspect="Content" ObjectID="_1851681991" r:id="rId81"/>
        </w:object>
      </w:r>
      <w:r w:rsidRPr="00677CE8">
        <w:t xml:space="preserve">, </w:t>
      </w:r>
      <w:proofErr w:type="gramStart"/>
      <w:r w:rsidRPr="00677CE8">
        <w:t>assuming that</w:t>
      </w:r>
      <w:proofErr w:type="gramEnd"/>
      <w:r w:rsidRPr="00677CE8">
        <w:t xml:space="preserve"> the individual chooses the </w:t>
      </w:r>
      <w:r w:rsidR="00677CE8" w:rsidRPr="00677CE8">
        <w:rPr>
          <w:position w:val="-12"/>
        </w:rPr>
        <w:object w:dxaOrig="320" w:dyaOrig="380" w14:anchorId="7E53188B">
          <v:shape id="_x0000_i1062" type="#_x0000_t75" style="width:15.9pt;height:19.25pt" o:ole="">
            <v:imagedata r:id="rId82" o:title=""/>
          </v:shape>
          <o:OLEObject Type="Embed" ProgID="Equation.DSMT4" ShapeID="_x0000_i1062" DrawAspect="Content" ObjectID="_1851681992" r:id="rId83"/>
        </w:object>
      </w:r>
      <w:r w:rsidRPr="00677CE8">
        <w:t xml:space="preserve"> ordinal category. </w:t>
      </w:r>
      <w:r w:rsidR="004D74BD" w:rsidRPr="004D74BD">
        <w:rPr>
          <w:position w:val="-12"/>
        </w:rPr>
        <w:object w:dxaOrig="279" w:dyaOrig="380" w14:anchorId="35A7D187">
          <v:shape id="_x0000_i1063" type="#_x0000_t75" style="width:15.05pt;height:19.25pt" o:ole="">
            <v:imagedata r:id="rId84" o:title=""/>
          </v:shape>
          <o:OLEObject Type="Embed" ProgID="Equation.DSMT4" ShapeID="_x0000_i1063" DrawAspect="Content" ObjectID="_1851681993" r:id="rId85"/>
        </w:object>
      </w:r>
      <w:r w:rsidRPr="00677CE8">
        <w:t xml:space="preserve"> is an </w:t>
      </w:r>
      <w:r w:rsidRPr="00677CE8">
        <w:rPr>
          <w:position w:val="-10"/>
        </w:rPr>
        <w:object w:dxaOrig="639" w:dyaOrig="320" w14:anchorId="2895116C">
          <v:shape id="_x0000_i1064" type="#_x0000_t75" style="width:27.65pt;height:15.9pt" o:ole="">
            <v:imagedata r:id="rId86" o:title=""/>
          </v:shape>
          <o:OLEObject Type="Embed" ProgID="Equation.DSMT4" ShapeID="_x0000_i1064" DrawAspect="Content" ObjectID="_1851681994" r:id="rId87"/>
        </w:object>
      </w:r>
      <w:r w:rsidRPr="00677CE8">
        <w:t xml:space="preserve"> vector of loadings of each latent construct on the ordinal indicator, the </w:t>
      </w:r>
      <w:r w:rsidR="004D74BD" w:rsidRPr="004D74BD">
        <w:rPr>
          <w:position w:val="-10"/>
        </w:rPr>
        <w:object w:dxaOrig="240" w:dyaOrig="320" w14:anchorId="22EABA05">
          <v:shape id="_x0000_i1065" type="#_x0000_t75" style="width:11.7pt;height:15.9pt" o:ole="">
            <v:imagedata r:id="rId88" o:title=""/>
          </v:shape>
          <o:OLEObject Type="Embed" ProgID="Equation.DSMT4" ShapeID="_x0000_i1065" DrawAspect="Content" ObjectID="_1851681995" r:id="rId89"/>
        </w:object>
      </w:r>
      <w:r w:rsidRPr="00677CE8">
        <w:t xml:space="preserve"> terms represent thresholds to be estimated, and </w:t>
      </w:r>
      <w:r w:rsidR="004D74BD" w:rsidRPr="004D74BD">
        <w:rPr>
          <w:position w:val="-12"/>
        </w:rPr>
        <w:object w:dxaOrig="260" w:dyaOrig="360" w14:anchorId="4BB9E39A">
          <v:shape id="_x0000_i1066" type="#_x0000_t75" style="width:12.55pt;height:18.4pt" o:ole="">
            <v:imagedata r:id="rId90" o:title=""/>
          </v:shape>
          <o:OLEObject Type="Embed" ProgID="Equation.DSMT4" ShapeID="_x0000_i1066" DrawAspect="Content" ObjectID="_1851681996" r:id="rId91"/>
        </w:object>
      </w:r>
      <w:r w:rsidRPr="00677CE8">
        <w:t xml:space="preserve"> represents the standard normal random error for the ordinal indicator. For each indicator, the thresholds are ordered </w:t>
      </w:r>
      <w:r w:rsidR="004D74BD" w:rsidRPr="004D74BD">
        <w:rPr>
          <w:position w:val="-14"/>
        </w:rPr>
        <w:object w:dxaOrig="3280" w:dyaOrig="380" w14:anchorId="0EE10419">
          <v:shape id="_x0000_i1067" type="#_x0000_t75" style="width:164.1pt;height:19.25pt" o:ole="">
            <v:imagedata r:id="rId92" o:title=""/>
          </v:shape>
          <o:OLEObject Type="Embed" ProgID="Equation.DSMT4" ShapeID="_x0000_i1067" DrawAspect="Content" ObjectID="_1851681997" r:id="rId93"/>
        </w:object>
      </w:r>
      <w:r w:rsidRPr="00677CE8">
        <w:t xml:space="preserve">, with </w:t>
      </w:r>
      <w:r w:rsidR="004D74BD" w:rsidRPr="004D74BD">
        <w:rPr>
          <w:position w:val="-14"/>
        </w:rPr>
        <w:object w:dxaOrig="999" w:dyaOrig="380" w14:anchorId="484B3000">
          <v:shape id="_x0000_i1068" type="#_x0000_t75" style="width:50.25pt;height:19.25pt" o:ole="">
            <v:imagedata r:id="rId94" o:title=""/>
          </v:shape>
          <o:OLEObject Type="Embed" ProgID="Equation.DSMT4" ShapeID="_x0000_i1068" DrawAspect="Content" ObjectID="_1851681998" r:id="rId95"/>
        </w:object>
      </w:r>
      <w:r w:rsidRPr="00677CE8">
        <w:t xml:space="preserve">, </w:t>
      </w:r>
      <w:r w:rsidR="004D74BD" w:rsidRPr="004D74BD">
        <w:rPr>
          <w:position w:val="-14"/>
        </w:rPr>
        <w:object w:dxaOrig="780" w:dyaOrig="380" w14:anchorId="0A57D760">
          <v:shape id="_x0000_i1069" type="#_x0000_t75" style="width:40.2pt;height:19.25pt" o:ole="">
            <v:imagedata r:id="rId96" o:title=""/>
          </v:shape>
          <o:OLEObject Type="Embed" ProgID="Equation.DSMT4" ShapeID="_x0000_i1069" DrawAspect="Content" ObjectID="_1851681999" r:id="rId97"/>
        </w:object>
      </w:r>
      <w:r w:rsidRPr="00677CE8">
        <w:t xml:space="preserve">, and </w:t>
      </w:r>
      <w:r w:rsidR="004D74BD" w:rsidRPr="004D74BD">
        <w:rPr>
          <w:position w:val="-14"/>
        </w:rPr>
        <w:object w:dxaOrig="1080" w:dyaOrig="380" w14:anchorId="3F4A38D3">
          <v:shape id="_x0000_i1070" type="#_x0000_t75" style="width:54.4pt;height:19.25pt" o:ole="">
            <v:imagedata r:id="rId98" o:title=""/>
          </v:shape>
          <o:OLEObject Type="Embed" ProgID="Equation.DSMT4" ShapeID="_x0000_i1070" DrawAspect="Content" ObjectID="_1851682000" r:id="rId99"/>
        </w:object>
      </w:r>
      <w:r w:rsidRPr="00677CE8">
        <w:t xml:space="preserve">. Let </w:t>
      </w:r>
      <w:r w:rsidR="004D74BD" w:rsidRPr="004D74BD">
        <w:rPr>
          <w:position w:val="-14"/>
        </w:rPr>
        <w:object w:dxaOrig="2560" w:dyaOrig="380" w14:anchorId="52971E06">
          <v:shape id="_x0000_i1071" type="#_x0000_t75" style="width:128.1pt;height:19.25pt" o:ole="">
            <v:imagedata r:id="rId100" o:title=""/>
          </v:shape>
          <o:OLEObject Type="Embed" ProgID="Equation.DSMT4" ShapeID="_x0000_i1071" DrawAspect="Content" ObjectID="_1851682001" r:id="rId101"/>
        </w:object>
      </w:r>
      <w:r w:rsidRPr="00677CE8">
        <w:t xml:space="preserve"> and </w:t>
      </w:r>
      <w:r w:rsidR="004D74BD" w:rsidRPr="004D74BD">
        <w:rPr>
          <w:position w:val="-12"/>
        </w:rPr>
        <w:object w:dxaOrig="2040" w:dyaOrig="360" w14:anchorId="548D5EDA">
          <v:shape id="_x0000_i1072" type="#_x0000_t75" style="width:102.15pt;height:18.4pt" o:ole="">
            <v:imagedata r:id="rId102" o:title=""/>
          </v:shape>
          <o:OLEObject Type="Embed" ProgID="Equation.DSMT4" ShapeID="_x0000_i1072" DrawAspect="Content" ObjectID="_1851682002" r:id="rId103"/>
        </w:object>
      </w:r>
      <w:r w:rsidRPr="00677CE8">
        <w:t xml:space="preserve"> </w:t>
      </w:r>
      <w:r w:rsidRPr="00677CE8">
        <w:lastRenderedPageBreak/>
        <w:t xml:space="preserve">Then, to develop a matrix representation across the indicators, stack the </w:t>
      </w:r>
      <w:r w:rsidRPr="00677CE8">
        <w:rPr>
          <w:i/>
        </w:rPr>
        <w:t xml:space="preserve">N </w:t>
      </w:r>
      <w:r w:rsidRPr="00677CE8">
        <w:t>underlying continuous</w:t>
      </w:r>
      <w:r w:rsidRPr="00677CE8">
        <w:rPr>
          <w:i/>
        </w:rPr>
        <w:t xml:space="preserve"> </w:t>
      </w:r>
      <w:r w:rsidRPr="00677CE8">
        <w:t xml:space="preserve">variables </w:t>
      </w:r>
      <w:r w:rsidR="004D74BD" w:rsidRPr="00677CE8">
        <w:rPr>
          <w:position w:val="-12"/>
        </w:rPr>
        <w:object w:dxaOrig="260" w:dyaOrig="380" w14:anchorId="78FD4328">
          <v:shape id="_x0000_i1073" type="#_x0000_t75" style="width:12.55pt;height:19.25pt" o:ole="">
            <v:imagedata r:id="rId76" o:title=""/>
          </v:shape>
          <o:OLEObject Type="Embed" ProgID="Equation.DSMT4" ShapeID="_x0000_i1073" DrawAspect="Content" ObjectID="_1851682003" r:id="rId104"/>
        </w:object>
      </w:r>
      <w:r w:rsidRPr="00677CE8">
        <w:t xml:space="preserve"> into an </w:t>
      </w:r>
      <w:r w:rsidRPr="00677CE8">
        <w:rPr>
          <w:position w:val="-10"/>
        </w:rPr>
        <w:object w:dxaOrig="700" w:dyaOrig="320" w14:anchorId="7D2C191A">
          <v:shape id="_x0000_i1074" type="#_x0000_t75" style="width:36.85pt;height:15.9pt" o:ole="">
            <v:imagedata r:id="rId105" o:title=""/>
          </v:shape>
          <o:OLEObject Type="Embed" ProgID="Equation.DSMT4" ShapeID="_x0000_i1074" DrawAspect="Content" ObjectID="_1851682004" r:id="rId106"/>
        </w:object>
      </w:r>
      <w:r w:rsidRPr="00677CE8">
        <w:t xml:space="preserve"> vector </w:t>
      </w:r>
      <w:r w:rsidR="004D74BD" w:rsidRPr="004D74BD">
        <w:rPr>
          <w:position w:val="-12"/>
        </w:rPr>
        <w:object w:dxaOrig="260" w:dyaOrig="380" w14:anchorId="0E23723F">
          <v:shape id="_x0000_i1075" type="#_x0000_t75" style="width:12.55pt;height:19.25pt" o:ole="">
            <v:imagedata r:id="rId107" o:title=""/>
          </v:shape>
          <o:OLEObject Type="Embed" ProgID="Equation.DSMT4" ShapeID="_x0000_i1075" DrawAspect="Content" ObjectID="_1851682005" r:id="rId108"/>
        </w:object>
      </w:r>
      <w:r w:rsidRPr="00677CE8">
        <w:t xml:space="preserve">, and the </w:t>
      </w:r>
      <w:r w:rsidRPr="00677CE8">
        <w:rPr>
          <w:i/>
        </w:rPr>
        <w:t>N</w:t>
      </w:r>
      <w:r w:rsidRPr="00677CE8">
        <w:t xml:space="preserve"> error terms </w:t>
      </w:r>
      <w:r w:rsidR="004D74BD" w:rsidRPr="004D74BD">
        <w:rPr>
          <w:position w:val="-12"/>
        </w:rPr>
        <w:object w:dxaOrig="260" w:dyaOrig="360" w14:anchorId="1D2C99D4">
          <v:shape id="_x0000_i1076" type="#_x0000_t75" style="width:12.55pt;height:18.4pt" o:ole="">
            <v:imagedata r:id="rId90" o:title=""/>
          </v:shape>
          <o:OLEObject Type="Embed" ProgID="Equation.DSMT4" ShapeID="_x0000_i1076" DrawAspect="Content" ObjectID="_1851682006" r:id="rId109"/>
        </w:object>
      </w:r>
      <w:r w:rsidRPr="00677CE8">
        <w:t xml:space="preserve"> into an </w:t>
      </w:r>
      <w:r w:rsidRPr="00677CE8">
        <w:rPr>
          <w:position w:val="-10"/>
        </w:rPr>
        <w:object w:dxaOrig="700" w:dyaOrig="320" w14:anchorId="5663DE63">
          <v:shape id="_x0000_i1077" type="#_x0000_t75" style="width:36.85pt;height:15.9pt" o:ole="">
            <v:imagedata r:id="rId110" o:title=""/>
          </v:shape>
          <o:OLEObject Type="Embed" ProgID="Equation.DSMT4" ShapeID="_x0000_i1077" DrawAspect="Content" ObjectID="_1851682007" r:id="rId111"/>
        </w:object>
      </w:r>
      <w:r w:rsidRPr="00677CE8">
        <w:t xml:space="preserve"> vector </w:t>
      </w:r>
      <w:r w:rsidR="004D74BD" w:rsidRPr="004D74BD">
        <w:rPr>
          <w:position w:val="-6"/>
        </w:rPr>
        <w:object w:dxaOrig="180" w:dyaOrig="279" w14:anchorId="31D12B36">
          <v:shape id="_x0000_i1078" type="#_x0000_t75" style="width:9.2pt;height:15.05pt" o:ole="">
            <v:imagedata r:id="rId112" o:title=""/>
          </v:shape>
          <o:OLEObject Type="Embed" ProgID="Equation.DSMT4" ShapeID="_x0000_i1078" DrawAspect="Content" ObjectID="_1851682008" r:id="rId113"/>
        </w:object>
      </w:r>
      <w:r w:rsidRPr="00677CE8">
        <w:t xml:space="preserve">. Define the </w:t>
      </w:r>
      <w:r w:rsidRPr="00677CE8">
        <w:rPr>
          <w:position w:val="-10"/>
        </w:rPr>
        <w:object w:dxaOrig="780" w:dyaOrig="320" w14:anchorId="42D10282">
          <v:shape id="_x0000_i1079" type="#_x0000_t75" style="width:35.15pt;height:15.9pt" o:ole="" o:preferrelative="f">
            <v:imagedata r:id="rId114" o:title=""/>
            <o:lock v:ext="edit" aspectratio="f"/>
          </v:shape>
          <o:OLEObject Type="Embed" ProgID="Equation.DSMT4" ShapeID="_x0000_i1079" DrawAspect="Content" ObjectID="_1851682009" r:id="rId115"/>
        </w:object>
      </w:r>
      <w:r w:rsidRPr="00677CE8">
        <w:t xml:space="preserve"> matrix </w:t>
      </w:r>
      <w:r w:rsidR="0065205C" w:rsidRPr="008019B4">
        <w:rPr>
          <w:position w:val="-12"/>
        </w:rPr>
        <w:object w:dxaOrig="1880" w:dyaOrig="440" w14:anchorId="42E25CF0">
          <v:shape id="_x0000_i1080" type="#_x0000_t75" style="width:93.75pt;height:21.75pt" o:ole="" o:preferrelative="f">
            <v:imagedata r:id="rId116" o:title=""/>
            <o:lock v:ext="edit" aspectratio="f"/>
          </v:shape>
          <o:OLEObject Type="Embed" ProgID="Equation.DSMT4" ShapeID="_x0000_i1080" DrawAspect="Content" ObjectID="_1851682010" r:id="rId117"/>
        </w:object>
      </w:r>
      <w:r w:rsidRPr="00677CE8">
        <w:t xml:space="preserve"> and stack the </w:t>
      </w:r>
      <w:r w:rsidRPr="00677CE8">
        <w:rPr>
          <w:i/>
          <w:iCs/>
        </w:rPr>
        <w:t>N</w:t>
      </w:r>
      <w:r w:rsidRPr="00677CE8">
        <w:t xml:space="preserve"> lower thresholds </w:t>
      </w:r>
      <w:r w:rsidR="004D74BD" w:rsidRPr="004D74BD">
        <w:rPr>
          <w:position w:val="-14"/>
        </w:rPr>
        <w:object w:dxaOrig="620" w:dyaOrig="380" w14:anchorId="6C3657C6">
          <v:shape id="_x0000_i1081" type="#_x0000_t75" style="width:31.8pt;height:19.25pt" o:ole="">
            <v:imagedata r:id="rId118" o:title=""/>
          </v:shape>
          <o:OLEObject Type="Embed" ProgID="Equation.DSMT4" ShapeID="_x0000_i1081" DrawAspect="Content" ObjectID="_1851682011" r:id="rId119"/>
        </w:object>
      </w:r>
      <w:r w:rsidRPr="00677CE8">
        <w:rPr>
          <w:position w:val="-14"/>
        </w:rPr>
        <w:t xml:space="preserve"> </w:t>
      </w:r>
      <w:r w:rsidRPr="00677CE8">
        <w:t xml:space="preserve">into an </w:t>
      </w:r>
      <w:r w:rsidRPr="00677CE8">
        <w:rPr>
          <w:position w:val="-10"/>
        </w:rPr>
        <w:object w:dxaOrig="700" w:dyaOrig="320" w14:anchorId="4CC8D4AE">
          <v:shape id="_x0000_i1082" type="#_x0000_t75" style="width:36.85pt;height:15.9pt" o:ole="" o:preferrelative="f">
            <v:imagedata r:id="rId120" o:title=""/>
            <o:lock v:ext="edit" aspectratio="f"/>
          </v:shape>
          <o:OLEObject Type="Embed" ProgID="Equation.DSMT4" ShapeID="_x0000_i1082" DrawAspect="Content" ObjectID="_1851682012" r:id="rId121"/>
        </w:object>
      </w:r>
      <w:r w:rsidRPr="00677CE8">
        <w:rPr>
          <w:position w:val="-10"/>
        </w:rPr>
        <w:t xml:space="preserve"> </w:t>
      </w:r>
      <w:r w:rsidRPr="00677CE8">
        <w:t xml:space="preserve">vector </w:t>
      </w:r>
      <w:r w:rsidR="004D74BD" w:rsidRPr="004D74BD">
        <w:rPr>
          <w:position w:val="-12"/>
        </w:rPr>
        <w:object w:dxaOrig="460" w:dyaOrig="360" w14:anchorId="5608F086">
          <v:shape id="_x0000_i1083" type="#_x0000_t75" style="width:22.6pt;height:18.4pt" o:ole="">
            <v:imagedata r:id="rId122" o:title=""/>
          </v:shape>
          <o:OLEObject Type="Embed" ProgID="Equation.DSMT4" ShapeID="_x0000_i1083" DrawAspect="Content" ObjectID="_1851682013" r:id="rId123"/>
        </w:object>
      </w:r>
      <w:r w:rsidRPr="00677CE8">
        <w:rPr>
          <w:position w:val="-12"/>
        </w:rPr>
        <w:t xml:space="preserve"> </w:t>
      </w:r>
      <w:r w:rsidRPr="00677CE8">
        <w:t xml:space="preserve">and the </w:t>
      </w:r>
      <w:r w:rsidRPr="00677CE8">
        <w:rPr>
          <w:i/>
          <w:iCs/>
        </w:rPr>
        <w:t>N</w:t>
      </w:r>
      <w:r w:rsidRPr="00677CE8">
        <w:t xml:space="preserve"> upper thresholds </w:t>
      </w:r>
      <w:r w:rsidR="004D74BD" w:rsidRPr="004D74BD">
        <w:rPr>
          <w:position w:val="-14"/>
        </w:rPr>
        <w:object w:dxaOrig="499" w:dyaOrig="380" w14:anchorId="52E85544">
          <v:shape id="_x0000_i1084" type="#_x0000_t75" style="width:25.1pt;height:19.25pt" o:ole="">
            <v:imagedata r:id="rId124" o:title=""/>
          </v:shape>
          <o:OLEObject Type="Embed" ProgID="Equation.DSMT4" ShapeID="_x0000_i1084" DrawAspect="Content" ObjectID="_1851682014" r:id="rId125"/>
        </w:object>
      </w:r>
      <w:r w:rsidRPr="00677CE8">
        <w:t xml:space="preserve"> into another vector </w:t>
      </w:r>
      <w:r w:rsidR="004D74BD" w:rsidRPr="004D74BD">
        <w:rPr>
          <w:position w:val="-14"/>
        </w:rPr>
        <w:object w:dxaOrig="400" w:dyaOrig="380" w14:anchorId="1C1F9FDE">
          <v:shape id="_x0000_i1085" type="#_x0000_t75" style="width:19.25pt;height:19.25pt" o:ole="">
            <v:imagedata r:id="rId126" o:title=""/>
          </v:shape>
          <o:OLEObject Type="Embed" ProgID="Equation.DSMT4" ShapeID="_x0000_i1085" DrawAspect="Content" ObjectID="_1851682015" r:id="rId127"/>
        </w:object>
      </w:r>
      <w:r w:rsidRPr="00677CE8">
        <w:t xml:space="preserve">. Then, in matrix form, the equation for the indicators </w:t>
      </w:r>
      <w:r w:rsidR="00FC0A63" w:rsidRPr="00677CE8">
        <w:t xml:space="preserve">for the individual </w:t>
      </w:r>
      <w:r w:rsidRPr="00677CE8">
        <w:t>may be written as:</w:t>
      </w:r>
    </w:p>
    <w:p w14:paraId="36EDB868" w14:textId="3DCF8883" w:rsidR="000E0C96" w:rsidRPr="00677CE8" w:rsidRDefault="00FB443B" w:rsidP="008019B4">
      <w:pPr>
        <w:pStyle w:val="MTDisplayEquation"/>
        <w:spacing w:before="120" w:after="120"/>
        <w:rPr>
          <w:rFonts w:cs="Times New Roman"/>
        </w:rPr>
      </w:pPr>
      <w:r w:rsidRPr="00FB443B">
        <w:rPr>
          <w:rFonts w:cs="Times New Roman"/>
          <w:position w:val="-14"/>
        </w:rPr>
        <w:object w:dxaOrig="2840" w:dyaOrig="400" w14:anchorId="5C94A114">
          <v:shape id="_x0000_i1086" type="#_x0000_t75" style="width:142.35pt;height:19.25pt" o:ole="">
            <v:imagedata r:id="rId128" o:title=""/>
          </v:shape>
          <o:OLEObject Type="Embed" ProgID="Equation.DSMT4" ShapeID="_x0000_i1086" DrawAspect="Content" ObjectID="_1851682016" r:id="rId129"/>
        </w:object>
      </w:r>
      <w:r w:rsidR="000E0C96" w:rsidRPr="00677CE8">
        <w:rPr>
          <w:rFonts w:cs="Times New Roman"/>
        </w:rPr>
        <w:t>.</w:t>
      </w:r>
      <w:r w:rsidR="000E0C96" w:rsidRPr="00677CE8">
        <w:rPr>
          <w:rFonts w:cs="Times New Roman"/>
        </w:rPr>
        <w:tab/>
      </w:r>
      <w:r w:rsidR="000E0C96" w:rsidRPr="00677CE8">
        <w:rPr>
          <w:rFonts w:cs="Times New Roman"/>
        </w:rPr>
        <w:tab/>
      </w:r>
      <w:r w:rsidR="000E0C96" w:rsidRPr="00677CE8">
        <w:rPr>
          <w:rFonts w:cs="Times New Roman"/>
        </w:rPr>
        <w:fldChar w:fldCharType="begin"/>
      </w:r>
      <w:r w:rsidR="000E0C96" w:rsidRPr="00677CE8">
        <w:rPr>
          <w:rFonts w:cs="Times New Roman"/>
        </w:rPr>
        <w:instrText xml:space="preserve"> MACROBUTTON MTPlaceRef \* MERGEFORMAT </w:instrText>
      </w:r>
      <w:r w:rsidR="000E0C96" w:rsidRPr="00677CE8">
        <w:rPr>
          <w:rFonts w:cs="Times New Roman"/>
        </w:rPr>
        <w:fldChar w:fldCharType="begin"/>
      </w:r>
      <w:r w:rsidR="000E0C96" w:rsidRPr="00677CE8">
        <w:rPr>
          <w:rFonts w:cs="Times New Roman"/>
        </w:rPr>
        <w:instrText xml:space="preserve"> SEQ MTEqn \h \* MERGEFORMAT </w:instrText>
      </w:r>
      <w:r w:rsidR="000E0C96" w:rsidRPr="00677CE8">
        <w:rPr>
          <w:rFonts w:cs="Times New Roman"/>
        </w:rPr>
        <w:fldChar w:fldCharType="end"/>
      </w:r>
      <w:r w:rsidR="000E0C96" w:rsidRPr="00677CE8">
        <w:rPr>
          <w:rFonts w:cs="Times New Roman"/>
        </w:rPr>
        <w:instrText>(</w:instrText>
      </w:r>
      <w:r w:rsidR="000E0C96" w:rsidRPr="00677CE8">
        <w:rPr>
          <w:rFonts w:cs="Times New Roman"/>
        </w:rPr>
        <w:fldChar w:fldCharType="begin"/>
      </w:r>
      <w:r w:rsidR="000E0C96" w:rsidRPr="00677CE8">
        <w:rPr>
          <w:rFonts w:cs="Times New Roman"/>
        </w:rPr>
        <w:instrText xml:space="preserve"> SEQ MTEqn \c \* Arabic \* MERGEFORMAT </w:instrText>
      </w:r>
      <w:r w:rsidR="000E0C96" w:rsidRPr="00677CE8">
        <w:rPr>
          <w:rFonts w:cs="Times New Roman"/>
        </w:rPr>
        <w:fldChar w:fldCharType="separate"/>
      </w:r>
      <w:r w:rsidR="00CF7AAF">
        <w:rPr>
          <w:rFonts w:cs="Times New Roman"/>
          <w:noProof/>
        </w:rPr>
        <w:instrText>4</w:instrText>
      </w:r>
      <w:r w:rsidR="000E0C96" w:rsidRPr="00677CE8">
        <w:rPr>
          <w:rFonts w:cs="Times New Roman"/>
        </w:rPr>
        <w:fldChar w:fldCharType="end"/>
      </w:r>
      <w:r w:rsidR="000E0C96" w:rsidRPr="00677CE8">
        <w:rPr>
          <w:rFonts w:cs="Times New Roman"/>
        </w:rPr>
        <w:instrText>)</w:instrText>
      </w:r>
      <w:r w:rsidR="000E0C96" w:rsidRPr="00677CE8">
        <w:rPr>
          <w:rFonts w:cs="Times New Roman"/>
        </w:rPr>
        <w:fldChar w:fldCharType="end"/>
      </w:r>
    </w:p>
    <w:p w14:paraId="092FAFAA" w14:textId="3ADD681A" w:rsidR="000E0C96" w:rsidRPr="00677CE8" w:rsidRDefault="000E0C96" w:rsidP="007B293E">
      <w:pPr>
        <w:shd w:val="clear" w:color="auto" w:fill="FFFFFF"/>
        <w:spacing w:after="0" w:line="240" w:lineRule="auto"/>
        <w:jc w:val="both"/>
      </w:pPr>
      <w:r w:rsidRPr="00677CE8">
        <w:tab/>
        <w:t xml:space="preserve">The first estimation stage identifies the loading vector </w:t>
      </w:r>
      <w:r w:rsidR="0065205C" w:rsidRPr="008019B4">
        <w:rPr>
          <w:position w:val="-6"/>
        </w:rPr>
        <w:object w:dxaOrig="200" w:dyaOrig="320" w14:anchorId="2F79B421">
          <v:shape id="_x0000_i1087" type="#_x0000_t75" style="width:10.05pt;height:15.9pt" o:ole="" o:preferrelative="f">
            <v:imagedata r:id="rId130" o:title=""/>
            <o:lock v:ext="edit" aspectratio="f"/>
          </v:shape>
          <o:OLEObject Type="Embed" ProgID="Equation.DSMT4" ShapeID="_x0000_i1087" DrawAspect="Content" ObjectID="_1851682017" r:id="rId131"/>
        </w:object>
      </w:r>
      <w:r w:rsidR="00FC0A63" w:rsidRPr="00677CE8">
        <w:t>,</w:t>
      </w:r>
      <w:r w:rsidRPr="00677CE8">
        <w:t xml:space="preserve"> while </w:t>
      </w:r>
      <w:r w:rsidR="00FC0A63" w:rsidRPr="00677CE8">
        <w:t xml:space="preserve">also </w:t>
      </w:r>
      <w:r w:rsidRPr="00677CE8">
        <w:t>simultaneously</w:t>
      </w:r>
      <w:r w:rsidR="00FC0A63" w:rsidRPr="00677CE8">
        <w:t xml:space="preserve"> estimating the vector </w:t>
      </w:r>
      <w:r w:rsidR="0065205C" w:rsidRPr="008019B4">
        <w:rPr>
          <w:position w:val="-6"/>
        </w:rPr>
        <w:object w:dxaOrig="200" w:dyaOrig="220" w14:anchorId="4367FEA0">
          <v:shape id="_x0000_i1088" type="#_x0000_t75" style="width:10.05pt;height:10.9pt" o:ole="" o:preferrelative="f">
            <v:imagedata r:id="rId132" o:title=""/>
            <o:lock v:ext="edit" aspectratio="f"/>
          </v:shape>
          <o:OLEObject Type="Embed" ProgID="Equation.DSMT4" ShapeID="_x0000_i1088" DrawAspect="Content" ObjectID="_1851682018" r:id="rId133"/>
        </w:object>
      </w:r>
      <w:r w:rsidRPr="00677CE8">
        <w:t xml:space="preserve"> </w:t>
      </w:r>
      <w:r w:rsidR="00FC0A63" w:rsidRPr="00677CE8">
        <w:t xml:space="preserve">corresponding to the </w:t>
      </w:r>
      <w:r w:rsidRPr="00677CE8">
        <w:t>regression of the latent constructs on the covariates</w:t>
      </w:r>
      <w:r w:rsidR="00FC0A63" w:rsidRPr="00677CE8">
        <w:t xml:space="preserve"> </w:t>
      </w:r>
      <w:r w:rsidR="0065205C" w:rsidRPr="008019B4">
        <w:rPr>
          <w:position w:val="-6"/>
        </w:rPr>
        <w:object w:dxaOrig="260" w:dyaOrig="220" w14:anchorId="4641F595">
          <v:shape id="_x0000_i1089" type="#_x0000_t75" style="width:12.55pt;height:10.9pt" o:ole="" o:preferrelative="f">
            <v:imagedata r:id="rId134" o:title=""/>
            <o:lock v:ext="edit" aspectratio="f"/>
          </v:shape>
          <o:OLEObject Type="Embed" ProgID="Equation.DSMT4" ShapeID="_x0000_i1089" DrawAspect="Content" ObjectID="_1851682019" r:id="rId135"/>
        </w:object>
      </w:r>
      <w:r w:rsidRPr="00677CE8">
        <w:t>.</w:t>
      </w:r>
      <w:r w:rsidR="00EB1F60" w:rsidRPr="00677CE8">
        <w:t xml:space="preserve"> For additional discussion of the necessary identification conditions</w:t>
      </w:r>
      <w:r w:rsidR="00FC0A63" w:rsidRPr="00677CE8">
        <w:t xml:space="preserve"> to estimate both the vectors </w:t>
      </w:r>
      <w:r w:rsidR="0065205C" w:rsidRPr="008019B4">
        <w:rPr>
          <w:position w:val="-6"/>
        </w:rPr>
        <w:object w:dxaOrig="200" w:dyaOrig="320" w14:anchorId="5CE387B5">
          <v:shape id="_x0000_i1090" type="#_x0000_t75" style="width:10.05pt;height:15.9pt" o:ole="" o:preferrelative="f">
            <v:imagedata r:id="rId130" o:title=""/>
            <o:lock v:ext="edit" aspectratio="f"/>
          </v:shape>
          <o:OLEObject Type="Embed" ProgID="Equation.DSMT4" ShapeID="_x0000_i1090" DrawAspect="Content" ObjectID="_1851682020" r:id="rId136"/>
        </w:object>
      </w:r>
      <w:r w:rsidR="008019B4">
        <w:t xml:space="preserve"> </w:t>
      </w:r>
      <w:r w:rsidR="00FC0A63" w:rsidRPr="00677CE8">
        <w:t xml:space="preserve">and </w:t>
      </w:r>
      <w:r w:rsidR="0065205C" w:rsidRPr="008019B4">
        <w:rPr>
          <w:position w:val="-6"/>
        </w:rPr>
        <w:object w:dxaOrig="200" w:dyaOrig="220" w14:anchorId="67C4E4A2">
          <v:shape id="_x0000_i1091" type="#_x0000_t75" style="width:10.05pt;height:10.9pt" o:ole="" o:preferrelative="f">
            <v:imagedata r:id="rId132" o:title=""/>
            <o:lock v:ext="edit" aspectratio="f"/>
          </v:shape>
          <o:OLEObject Type="Embed" ProgID="Equation.DSMT4" ShapeID="_x0000_i1091" DrawAspect="Content" ObjectID="_1851682021" r:id="rId137"/>
        </w:object>
      </w:r>
      <w:r w:rsidR="00EB1F60" w:rsidRPr="00677CE8">
        <w:t xml:space="preserve">, see Bhat (2015). </w:t>
      </w:r>
      <w:r w:rsidRPr="00677CE8">
        <w:t xml:space="preserve">The system is first estimated using a maximum likelihood approach, then estimated values of the continuous latent constructs are constructed for </w:t>
      </w:r>
      <w:proofErr w:type="gramStart"/>
      <w:r w:rsidRPr="00677CE8">
        <w:t>each individual</w:t>
      </w:r>
      <w:proofErr w:type="gramEnd"/>
      <w:r w:rsidRPr="00677CE8">
        <w:t xml:space="preserve"> in the sample as </w:t>
      </w:r>
      <w:r w:rsidR="0065205C" w:rsidRPr="00677CE8">
        <w:rPr>
          <w:position w:val="-6"/>
        </w:rPr>
        <w:object w:dxaOrig="840" w:dyaOrig="320" w14:anchorId="696ABE81">
          <v:shape id="_x0000_i1092" type="#_x0000_t75" style="width:41pt;height:15.9pt" o:ole="" o:preferrelative="f">
            <v:imagedata r:id="rId138" o:title=""/>
            <o:lock v:ext="edit" aspectratio="f"/>
          </v:shape>
          <o:OLEObject Type="Embed" ProgID="Equation.DSMT4" ShapeID="_x0000_i1092" DrawAspect="Content" ObjectID="_1851682022" r:id="rId139"/>
        </w:object>
      </w:r>
      <w:r w:rsidR="00496B9D" w:rsidRPr="00677CE8">
        <w:t>,</w:t>
      </w:r>
      <w:r w:rsidRPr="00677CE8">
        <w:t xml:space="preserve"> where </w:t>
      </w:r>
      <w:r w:rsidR="0065205C" w:rsidRPr="00677CE8">
        <w:rPr>
          <w:position w:val="-6"/>
        </w:rPr>
        <w:object w:dxaOrig="200" w:dyaOrig="279" w14:anchorId="3F1B51ED">
          <v:shape id="_x0000_i1093" type="#_x0000_t75" style="width:10.05pt;height:13.4pt" o:ole="" o:preferrelative="f">
            <v:imagedata r:id="rId140" o:title=""/>
            <o:lock v:ext="edit" aspectratio="f"/>
          </v:shape>
          <o:OLEObject Type="Embed" ProgID="Equation.DSMT4" ShapeID="_x0000_i1093" DrawAspect="Content" ObjectID="_1851682023" r:id="rId141"/>
        </w:object>
      </w:r>
      <w:r w:rsidRPr="00677CE8">
        <w:t xml:space="preserve"> are the estimated coefficients</w:t>
      </w:r>
      <w:proofErr w:type="gramStart"/>
      <w:r w:rsidRPr="00677CE8">
        <w:t>.</w:t>
      </w:r>
      <w:proofErr w:type="gramEnd"/>
      <w:r w:rsidRPr="00677CE8">
        <w:t xml:space="preserve"> These constructed values are then used to predict the rank-ordered mode choice outcomes in the second stage of estimation, as discussed next.</w:t>
      </w:r>
      <w:r w:rsidR="00BC1F48" w:rsidRPr="00677CE8">
        <w:t xml:space="preserve"> For the estimation of this first-stage of the model, </w:t>
      </w:r>
      <w:r w:rsidR="002A1D3C" w:rsidRPr="00677CE8">
        <w:t xml:space="preserve">a variety of latent constructs were specified and tested both in terms of their internal fit </w:t>
      </w:r>
      <w:r w:rsidR="00A91B05" w:rsidRPr="00677CE8">
        <w:t xml:space="preserve">as well as their explanatory power in the second stage. This process </w:t>
      </w:r>
      <w:r w:rsidR="00FA3C3D" w:rsidRPr="00677CE8">
        <w:t xml:space="preserve">is described in detail in Section 4.3 </w:t>
      </w:r>
      <w:r w:rsidR="00A91B05" w:rsidRPr="00677CE8">
        <w:t xml:space="preserve">along with </w:t>
      </w:r>
      <w:r w:rsidR="00511A1F" w:rsidRPr="00677CE8">
        <w:t>a</w:t>
      </w:r>
      <w:r w:rsidR="00A91B05" w:rsidRPr="00677CE8">
        <w:t xml:space="preserve"> </w:t>
      </w:r>
      <w:r w:rsidR="00FA3C3D" w:rsidRPr="00677CE8">
        <w:t>discussion</w:t>
      </w:r>
      <w:r w:rsidR="00A91B05" w:rsidRPr="00677CE8">
        <w:t xml:space="preserve"> of the final latent constructs retained in the model</w:t>
      </w:r>
      <w:r w:rsidR="00FA3C3D" w:rsidRPr="00677CE8">
        <w:t xml:space="preserve">. </w:t>
      </w:r>
    </w:p>
    <w:p w14:paraId="6A30582D" w14:textId="77777777" w:rsidR="000E0C96" w:rsidRPr="00677CE8" w:rsidRDefault="000E0C96" w:rsidP="007B293E">
      <w:pPr>
        <w:shd w:val="clear" w:color="auto" w:fill="FFFFFF"/>
        <w:spacing w:after="0" w:line="240" w:lineRule="auto"/>
        <w:jc w:val="both"/>
      </w:pPr>
    </w:p>
    <w:p w14:paraId="0572C688" w14:textId="6569349E" w:rsidR="000E0C96" w:rsidRPr="00677CE8" w:rsidRDefault="000E0C96" w:rsidP="007B293E">
      <w:pPr>
        <w:pStyle w:val="Heading3"/>
      </w:pPr>
      <w:r w:rsidRPr="00677CE8">
        <w:t>3.2.2 Second Stage Estimation of Rank-Ordered Outcomes</w:t>
      </w:r>
    </w:p>
    <w:p w14:paraId="1F3712FC" w14:textId="659BE616" w:rsidR="000E0C96" w:rsidRPr="00677CE8" w:rsidRDefault="000E0C96" w:rsidP="007B293E">
      <w:pPr>
        <w:shd w:val="clear" w:color="auto" w:fill="FFFFFF"/>
        <w:spacing w:after="0" w:line="240" w:lineRule="auto"/>
        <w:jc w:val="both"/>
      </w:pPr>
      <w:r w:rsidRPr="00677CE8">
        <w:t xml:space="preserve">For the main rank-ordered mode choice outcomes considered, </w:t>
      </w:r>
      <w:proofErr w:type="gramStart"/>
      <w:r w:rsidRPr="00677CE8">
        <w:t>each individual</w:t>
      </w:r>
      <w:proofErr w:type="gramEnd"/>
      <w:r w:rsidRPr="00677CE8">
        <w:t xml:space="preserve"> is asked a set of two </w:t>
      </w:r>
      <w:r w:rsidR="00FD3702" w:rsidRPr="00677CE8">
        <w:t>SP</w:t>
      </w:r>
      <w:r w:rsidRPr="00677CE8">
        <w:t xml:space="preserve"> questions (as discussed in Section 3.1). Let </w:t>
      </w:r>
      <w:r w:rsidR="008019B4" w:rsidRPr="008019B4">
        <w:rPr>
          <w:position w:val="-6"/>
        </w:rPr>
        <w:object w:dxaOrig="139" w:dyaOrig="240" w14:anchorId="4A363770">
          <v:shape id="_x0000_i1094" type="#_x0000_t75" style="width:7.55pt;height:11.7pt" o:ole="">
            <v:imagedata r:id="rId142" o:title=""/>
          </v:shape>
          <o:OLEObject Type="Embed" ProgID="Equation.DSMT4" ShapeID="_x0000_i1094" DrawAspect="Content" ObjectID="_1851682024" r:id="rId143"/>
        </w:object>
      </w:r>
      <w:r w:rsidRPr="00677CE8">
        <w:t xml:space="preserve"> be the index for the choice occasion of the individual </w:t>
      </w:r>
      <w:r w:rsidRPr="00677CE8">
        <w:rPr>
          <w:position w:val="-10"/>
        </w:rPr>
        <w:object w:dxaOrig="1380" w:dyaOrig="320" w14:anchorId="4DAB238F">
          <v:shape id="_x0000_i1095" type="#_x0000_t75" style="width:64.45pt;height:15.9pt" o:ole="">
            <v:imagedata r:id="rId144" o:title=""/>
          </v:shape>
          <o:OLEObject Type="Embed" ProgID="Equation.DSMT4" ShapeID="_x0000_i1095" DrawAspect="Content" ObjectID="_1851682025" r:id="rId145"/>
        </w:object>
      </w:r>
      <w:r w:rsidRPr="00677CE8">
        <w:t xml:space="preserve">, with </w:t>
      </w:r>
      <w:r w:rsidR="008019B4" w:rsidRPr="008019B4">
        <w:rPr>
          <w:position w:val="-4"/>
        </w:rPr>
        <w:object w:dxaOrig="580" w:dyaOrig="260" w14:anchorId="6EE6C499">
          <v:shape id="_x0000_i1096" type="#_x0000_t75" style="width:28.45pt;height:12.55pt" o:ole="">
            <v:imagedata r:id="rId146" o:title=""/>
          </v:shape>
          <o:OLEObject Type="Embed" ProgID="Equation.DSMT4" ShapeID="_x0000_i1096" DrawAspect="Content" ObjectID="_1851682026" r:id="rId147"/>
        </w:object>
      </w:r>
      <w:r w:rsidRPr="00677CE8">
        <w:t xml:space="preserve"> for all individuals in the current context. </w:t>
      </w:r>
      <w:r w:rsidR="00511A1F" w:rsidRPr="00677CE8">
        <w:t xml:space="preserve">The index for the individual is again omitted for brevity. </w:t>
      </w:r>
      <w:r w:rsidRPr="00677CE8">
        <w:t xml:space="preserve">Then, for the rank-ordered outcome, let </w:t>
      </w:r>
      <w:r w:rsidR="008019B4" w:rsidRPr="008019B4">
        <w:rPr>
          <w:position w:val="-4"/>
        </w:rPr>
        <w:object w:dxaOrig="200" w:dyaOrig="260" w14:anchorId="533ABD30">
          <v:shape id="_x0000_i1097" type="#_x0000_t75" style="width:10.9pt;height:12.55pt" o:ole="">
            <v:imagedata r:id="rId148" o:title=""/>
          </v:shape>
          <o:OLEObject Type="Embed" ProgID="Equation.DSMT4" ShapeID="_x0000_i1097" DrawAspect="Content" ObjectID="_1851682027" r:id="rId149"/>
        </w:object>
      </w:r>
      <w:r w:rsidRPr="00677CE8">
        <w:t xml:space="preserve"> be the number of alternatives available for ranking and let </w:t>
      </w:r>
      <w:r w:rsidR="008019B4" w:rsidRPr="008019B4">
        <w:rPr>
          <w:position w:val="-6"/>
        </w:rPr>
        <w:object w:dxaOrig="139" w:dyaOrig="260" w14:anchorId="189E0291">
          <v:shape id="_x0000_i1098" type="#_x0000_t75" style="width:7.55pt;height:12.55pt" o:ole="">
            <v:imagedata r:id="rId150" o:title=""/>
          </v:shape>
          <o:OLEObject Type="Embed" ProgID="Equation.DSMT4" ShapeID="_x0000_i1098" DrawAspect="Content" ObjectID="_1851682028" r:id="rId151"/>
        </w:object>
      </w:r>
      <w:r w:rsidRPr="00677CE8">
        <w:t xml:space="preserve"> be the corresponding index </w:t>
      </w:r>
      <w:r w:rsidRPr="00677CE8">
        <w:rPr>
          <w:position w:val="-10"/>
        </w:rPr>
        <w:object w:dxaOrig="1700" w:dyaOrig="320" w14:anchorId="436E2A10">
          <v:shape id="_x0000_i1099" type="#_x0000_t75" style="width:87.05pt;height:15.9pt" o:ole="" o:preferrelative="f">
            <v:imagedata r:id="rId152" o:title=""/>
            <o:lock v:ext="edit" aspectratio="f"/>
          </v:shape>
          <o:OLEObject Type="Embed" ProgID="Equation.DSMT4" ShapeID="_x0000_i1099" DrawAspect="Content" ObjectID="_1851682029" r:id="rId153"/>
        </w:object>
      </w:r>
      <w:r w:rsidRPr="00677CE8">
        <w:t xml:space="preserve">. In our context, </w:t>
      </w:r>
      <w:r w:rsidR="008019B4" w:rsidRPr="008019B4">
        <w:rPr>
          <w:position w:val="-6"/>
        </w:rPr>
        <w:object w:dxaOrig="540" w:dyaOrig="279" w14:anchorId="53D1306E">
          <v:shape id="_x0000_i1100" type="#_x0000_t75" style="width:26.8pt;height:15.05pt" o:ole="">
            <v:imagedata r:id="rId154" o:title=""/>
          </v:shape>
          <o:OLEObject Type="Embed" ProgID="Equation.DSMT4" ShapeID="_x0000_i1100" DrawAspect="Content" ObjectID="_1851682030" r:id="rId155"/>
        </w:object>
      </w:r>
      <w:r w:rsidRPr="00677CE8">
        <w:t xml:space="preserve"> for the five available alternatives for ranking, see the main outcome on the right side of Figure 1. We can then apply the usual underlying random utility structure for each alternative </w:t>
      </w:r>
      <w:r w:rsidRPr="00677CE8">
        <w:rPr>
          <w:position w:val="-6"/>
        </w:rPr>
        <w:object w:dxaOrig="139" w:dyaOrig="260" w14:anchorId="50721AE4">
          <v:shape id="_x0000_i1101" type="#_x0000_t75" style="width:7.55pt;height:15.05pt" o:ole="" o:preferrelative="f">
            <v:imagedata r:id="rId156" o:title=""/>
            <o:lock v:ext="edit" aspectratio="f"/>
          </v:shape>
          <o:OLEObject Type="Embed" ProgID="Equation.DSMT4" ShapeID="_x0000_i1101" DrawAspect="Content" ObjectID="_1851682031" r:id="rId157"/>
        </w:object>
      </w:r>
      <w:r w:rsidRPr="00677CE8">
        <w:t>:</w:t>
      </w:r>
    </w:p>
    <w:p w14:paraId="1EE011FD" w14:textId="36DCE164" w:rsidR="000E0C96" w:rsidRPr="00677CE8" w:rsidRDefault="00F41CCC" w:rsidP="00FB443B">
      <w:pPr>
        <w:pStyle w:val="MTDisplayEquation"/>
        <w:spacing w:before="120" w:after="120"/>
        <w:rPr>
          <w:rFonts w:cs="Times New Roman"/>
        </w:rPr>
      </w:pPr>
      <w:r w:rsidRPr="00FB443B">
        <w:rPr>
          <w:rFonts w:cs="Times New Roman"/>
          <w:position w:val="-12"/>
        </w:rPr>
        <w:object w:dxaOrig="1460" w:dyaOrig="360" w14:anchorId="51A6C6C0">
          <v:shape id="_x0000_i1102" type="#_x0000_t75" style="width:72.85pt;height:18.4pt" o:ole="">
            <v:imagedata r:id="rId158" o:title=""/>
          </v:shape>
          <o:OLEObject Type="Embed" ProgID="Equation.DSMT4" ShapeID="_x0000_i1102" DrawAspect="Content" ObjectID="_1851682032" r:id="rId159"/>
        </w:object>
      </w:r>
      <w:r w:rsidR="000E0C96" w:rsidRPr="00677CE8">
        <w:rPr>
          <w:rFonts w:cs="Times New Roman"/>
        </w:rPr>
        <w:t>,</w:t>
      </w:r>
      <w:r w:rsidR="000E0C96" w:rsidRPr="00677CE8">
        <w:rPr>
          <w:rFonts w:cs="Times New Roman"/>
        </w:rPr>
        <w:tab/>
      </w:r>
      <w:r w:rsidR="000E0C96" w:rsidRPr="00677CE8">
        <w:rPr>
          <w:rFonts w:cs="Times New Roman"/>
        </w:rPr>
        <w:tab/>
      </w:r>
      <w:r w:rsidR="000E0C96" w:rsidRPr="00677CE8">
        <w:rPr>
          <w:rFonts w:cs="Times New Roman"/>
        </w:rPr>
        <w:fldChar w:fldCharType="begin"/>
      </w:r>
      <w:r w:rsidR="000E0C96" w:rsidRPr="00677CE8">
        <w:rPr>
          <w:rFonts w:cs="Times New Roman"/>
        </w:rPr>
        <w:instrText xml:space="preserve"> MACROBUTTON MTPlaceRef \* MERGEFORMAT </w:instrText>
      </w:r>
      <w:r w:rsidR="000E0C96" w:rsidRPr="00677CE8">
        <w:rPr>
          <w:rFonts w:cs="Times New Roman"/>
        </w:rPr>
        <w:fldChar w:fldCharType="begin"/>
      </w:r>
      <w:r w:rsidR="000E0C96" w:rsidRPr="00677CE8">
        <w:rPr>
          <w:rFonts w:cs="Times New Roman"/>
        </w:rPr>
        <w:instrText xml:space="preserve"> SEQ MTEqn \h \* MERGEFORMAT </w:instrText>
      </w:r>
      <w:r w:rsidR="000E0C96" w:rsidRPr="00677CE8">
        <w:rPr>
          <w:rFonts w:cs="Times New Roman"/>
        </w:rPr>
        <w:fldChar w:fldCharType="end"/>
      </w:r>
      <w:bookmarkStart w:id="1" w:name="ZEqnNum514346"/>
      <w:r w:rsidR="000E0C96" w:rsidRPr="00677CE8">
        <w:rPr>
          <w:rFonts w:cs="Times New Roman"/>
        </w:rPr>
        <w:instrText>(</w:instrText>
      </w:r>
      <w:r w:rsidR="000E0C96" w:rsidRPr="00677CE8">
        <w:rPr>
          <w:rFonts w:cs="Times New Roman"/>
        </w:rPr>
        <w:fldChar w:fldCharType="begin"/>
      </w:r>
      <w:r w:rsidR="000E0C96" w:rsidRPr="00677CE8">
        <w:rPr>
          <w:rFonts w:cs="Times New Roman"/>
        </w:rPr>
        <w:instrText xml:space="preserve"> SEQ MTEqn \c \* Arabic \* MERGEFORMAT </w:instrText>
      </w:r>
      <w:r w:rsidR="000E0C96" w:rsidRPr="00677CE8">
        <w:rPr>
          <w:rFonts w:cs="Times New Roman"/>
        </w:rPr>
        <w:fldChar w:fldCharType="separate"/>
      </w:r>
      <w:r w:rsidR="00CF7AAF">
        <w:rPr>
          <w:rFonts w:cs="Times New Roman"/>
          <w:noProof/>
        </w:rPr>
        <w:instrText>5</w:instrText>
      </w:r>
      <w:r w:rsidR="000E0C96" w:rsidRPr="00677CE8">
        <w:rPr>
          <w:rFonts w:cs="Times New Roman"/>
        </w:rPr>
        <w:fldChar w:fldCharType="end"/>
      </w:r>
      <w:r w:rsidR="000E0C96" w:rsidRPr="00677CE8">
        <w:rPr>
          <w:rFonts w:cs="Times New Roman"/>
        </w:rPr>
        <w:instrText>)</w:instrText>
      </w:r>
      <w:bookmarkEnd w:id="1"/>
      <w:r w:rsidR="000E0C96" w:rsidRPr="00677CE8">
        <w:rPr>
          <w:rFonts w:cs="Times New Roman"/>
        </w:rPr>
        <w:fldChar w:fldCharType="end"/>
      </w:r>
    </w:p>
    <w:p w14:paraId="151ECB96" w14:textId="22952880" w:rsidR="000E0C96" w:rsidRPr="00677CE8" w:rsidRDefault="000E0C96" w:rsidP="007B293E">
      <w:pPr>
        <w:shd w:val="clear" w:color="auto" w:fill="FFFFFF"/>
        <w:spacing w:after="0" w:line="240" w:lineRule="auto"/>
        <w:jc w:val="both"/>
      </w:pPr>
      <w:r w:rsidRPr="00677CE8">
        <w:t xml:space="preserve">where </w:t>
      </w:r>
      <w:r w:rsidR="00454A4E" w:rsidRPr="00677CE8">
        <w:rPr>
          <w:position w:val="-12"/>
        </w:rPr>
        <w:object w:dxaOrig="300" w:dyaOrig="360" w14:anchorId="440B3F3D">
          <v:shape id="_x0000_i1103" type="#_x0000_t75" style="width:20.1pt;height:19.25pt" o:ole="">
            <v:imagedata r:id="rId160" o:title=""/>
          </v:shape>
          <o:OLEObject Type="Embed" ProgID="Equation.DSMT4" ShapeID="_x0000_i1103" DrawAspect="Content" ObjectID="_1851682033" r:id="rId161"/>
        </w:object>
      </w:r>
      <w:r w:rsidRPr="00677CE8">
        <w:t xml:space="preserve"> is an </w:t>
      </w:r>
      <w:r w:rsidR="0065205C" w:rsidRPr="00677CE8">
        <w:rPr>
          <w:position w:val="-10"/>
        </w:rPr>
        <w:object w:dxaOrig="660" w:dyaOrig="320" w14:anchorId="7E85EA23">
          <v:shape id="_x0000_i1104" type="#_x0000_t75" style="width:32.65pt;height:15.9pt" o:ole="" o:preferrelative="f">
            <v:imagedata r:id="rId162" o:title=""/>
            <o:lock v:ext="edit" aspectratio="f"/>
          </v:shape>
          <o:OLEObject Type="Embed" ProgID="Equation.DSMT4" ShapeID="_x0000_i1104" DrawAspect="Content" ObjectID="_1851682034" r:id="rId163"/>
        </w:object>
      </w:r>
      <w:r w:rsidRPr="00677CE8">
        <w:t xml:space="preserve"> vector of exogenous variables, including the estimated values of the continuous latent constructs estimated in the prior stage and interactions between these latent constructs and other exogenous variables. </w:t>
      </w:r>
      <w:r w:rsidR="0065205C" w:rsidRPr="008019B4">
        <w:rPr>
          <w:position w:val="-6"/>
        </w:rPr>
        <w:object w:dxaOrig="200" w:dyaOrig="279" w14:anchorId="07BAE4CC">
          <v:shape id="_x0000_i1105" type="#_x0000_t75" style="width:10.05pt;height:13.4pt" o:ole="" o:preferrelative="f">
            <v:imagedata r:id="rId164" o:title=""/>
            <o:lock v:ext="edit" aspectratio="f"/>
          </v:shape>
          <o:OLEObject Type="Embed" ProgID="Equation.DSMT4" ShapeID="_x0000_i1105" DrawAspect="Content" ObjectID="_1851682035" r:id="rId165"/>
        </w:object>
      </w:r>
      <w:r w:rsidRPr="00677CE8">
        <w:t xml:space="preserve"> is an </w:t>
      </w:r>
      <w:r w:rsidR="0065205C" w:rsidRPr="00677CE8">
        <w:rPr>
          <w:position w:val="-10"/>
        </w:rPr>
        <w:object w:dxaOrig="660" w:dyaOrig="320" w14:anchorId="709DAC88">
          <v:shape id="_x0000_i1106" type="#_x0000_t75" style="width:32.65pt;height:15.9pt" o:ole="" o:preferrelative="f">
            <v:imagedata r:id="rId166" o:title=""/>
            <o:lock v:ext="edit" aspectratio="f"/>
          </v:shape>
          <o:OLEObject Type="Embed" ProgID="Equation.DSMT4" ShapeID="_x0000_i1106" DrawAspect="Content" ObjectID="_1851682036" r:id="rId167"/>
        </w:object>
      </w:r>
      <w:r w:rsidRPr="00677CE8">
        <w:t xml:space="preserve"> vector of corresponding coefficients and </w:t>
      </w:r>
      <w:r w:rsidR="008019B4" w:rsidRPr="008019B4">
        <w:rPr>
          <w:position w:val="-12"/>
        </w:rPr>
        <w:object w:dxaOrig="279" w:dyaOrig="360" w14:anchorId="2866F696">
          <v:shape id="_x0000_i1107" type="#_x0000_t75" style="width:15.05pt;height:18.4pt" o:ole="">
            <v:imagedata r:id="rId168" o:title=""/>
          </v:shape>
          <o:OLEObject Type="Embed" ProgID="Equation.DSMT4" ShapeID="_x0000_i1107" DrawAspect="Content" ObjectID="_1851682037" r:id="rId169"/>
        </w:object>
      </w:r>
      <w:r w:rsidRPr="00677CE8">
        <w:t xml:space="preserve"> is a random normal error term. We assume that </w:t>
      </w:r>
      <w:r w:rsidR="008019B4" w:rsidRPr="008019B4">
        <w:rPr>
          <w:position w:val="-12"/>
        </w:rPr>
        <w:object w:dxaOrig="279" w:dyaOrig="360" w14:anchorId="2094F24F">
          <v:shape id="_x0000_i1108" type="#_x0000_t75" style="width:15.05pt;height:18.4pt" o:ole="">
            <v:imagedata r:id="rId168" o:title=""/>
          </v:shape>
          <o:OLEObject Type="Embed" ProgID="Equation.DSMT4" ShapeID="_x0000_i1108" DrawAspect="Content" ObjectID="_1851682038" r:id="rId170"/>
        </w:object>
      </w:r>
      <w:r w:rsidRPr="00677CE8">
        <w:t xml:space="preserve"> is independent and identically distributed across </w:t>
      </w:r>
      <w:proofErr w:type="gramStart"/>
      <w:r w:rsidRPr="00677CE8">
        <w:t>individuals, but</w:t>
      </w:r>
      <w:proofErr w:type="gramEnd"/>
      <w:r w:rsidRPr="00677CE8">
        <w:t xml:space="preserve"> allow for a general covariance structure across the alternatives for each choice occasion for </w:t>
      </w:r>
      <w:proofErr w:type="gramStart"/>
      <w:r w:rsidRPr="00677CE8">
        <w:t>each individual</w:t>
      </w:r>
      <w:proofErr w:type="gramEnd"/>
      <w:r w:rsidRPr="00677CE8">
        <w:t xml:space="preserve">. To do so, stack the error terms </w:t>
      </w:r>
      <w:r w:rsidR="008019B4" w:rsidRPr="008019B4">
        <w:rPr>
          <w:position w:val="-12"/>
        </w:rPr>
        <w:object w:dxaOrig="279" w:dyaOrig="360" w14:anchorId="5530CF86">
          <v:shape id="_x0000_i1109" type="#_x0000_t75" style="width:15.05pt;height:18.4pt" o:ole="">
            <v:imagedata r:id="rId168" o:title=""/>
          </v:shape>
          <o:OLEObject Type="Embed" ProgID="Equation.DSMT4" ShapeID="_x0000_i1109" DrawAspect="Content" ObjectID="_1851682039" r:id="rId171"/>
        </w:object>
      </w:r>
      <w:r w:rsidRPr="00677CE8">
        <w:t xml:space="preserve"> into the </w:t>
      </w:r>
      <w:r w:rsidRPr="00677CE8">
        <w:rPr>
          <w:position w:val="-10"/>
        </w:rPr>
        <w:object w:dxaOrig="620" w:dyaOrig="320" w14:anchorId="4C2F2E0E">
          <v:shape id="_x0000_i1110" type="#_x0000_t75" style="width:27.65pt;height:15.9pt" o:ole="">
            <v:imagedata r:id="rId172" o:title=""/>
          </v:shape>
          <o:OLEObject Type="Embed" ProgID="Equation.DSMT4" ShapeID="_x0000_i1110" DrawAspect="Content" ObjectID="_1851682040" r:id="rId173"/>
        </w:object>
      </w:r>
      <w:r w:rsidRPr="00677CE8">
        <w:t xml:space="preserve"> vectors </w:t>
      </w:r>
      <w:r w:rsidR="00C3038B" w:rsidRPr="008019B4">
        <w:rPr>
          <w:position w:val="-12"/>
        </w:rPr>
        <w:object w:dxaOrig="1780" w:dyaOrig="360" w14:anchorId="51D52BF9">
          <v:shape id="_x0000_i1111" type="#_x0000_t75" style="width:88.75pt;height:18.4pt" o:ole="">
            <v:imagedata r:id="rId174" o:title=""/>
          </v:shape>
          <o:OLEObject Type="Embed" ProgID="Equation.DSMT4" ShapeID="_x0000_i1111" DrawAspect="Content" ObjectID="_1851682041" r:id="rId175"/>
        </w:object>
      </w:r>
      <w:r w:rsidRPr="00677CE8">
        <w:t xml:space="preserve">. Then, </w:t>
      </w:r>
      <w:r w:rsidR="005110A1" w:rsidRPr="008019B4">
        <w:rPr>
          <w:position w:val="-12"/>
        </w:rPr>
        <w:object w:dxaOrig="1760" w:dyaOrig="360" w14:anchorId="0A1B4C47">
          <v:shape id="_x0000_i1112" type="#_x0000_t75" style="width:87.9pt;height:18.4pt" o:ole="">
            <v:imagedata r:id="rId176" o:title=""/>
          </v:shape>
          <o:OLEObject Type="Embed" ProgID="Equation.DSMT4" ShapeID="_x0000_i1112" DrawAspect="Content" ObjectID="_1851682042" r:id="rId177"/>
        </w:object>
      </w:r>
      <w:r w:rsidRPr="00677CE8">
        <w:t xml:space="preserve">. Note that we restrict the covariance matrices for the two choice occasions to be equal, as there is no reason to believe that unobserved factors influencing multiple alternatives would differ between the choice occasions. Also, standard normalizations are applied for identification. Taking the utility differentials with respect to the </w:t>
      </w:r>
      <w:r w:rsidR="00512064" w:rsidRPr="00677CE8">
        <w:t>last</w:t>
      </w:r>
      <w:r w:rsidRPr="00677CE8">
        <w:t xml:space="preserve"> alternative</w:t>
      </w:r>
      <w:r w:rsidR="00512064" w:rsidRPr="00677CE8">
        <w:t xml:space="preserve"> (in our empirical analysis, the last alternative corresponds to the ground-based private </w:t>
      </w:r>
      <w:r w:rsidR="00512064" w:rsidRPr="00677CE8">
        <w:lastRenderedPageBreak/>
        <w:t>vehicle)</w:t>
      </w:r>
      <w:r w:rsidRPr="00677CE8">
        <w:t xml:space="preserve">, only the elements of the covariance matrix </w:t>
      </w:r>
      <w:r w:rsidR="00D52F1B" w:rsidRPr="008019B4">
        <w:rPr>
          <w:position w:val="-12"/>
        </w:rPr>
        <w:object w:dxaOrig="340" w:dyaOrig="400" w14:anchorId="1ECB5285">
          <v:shape id="_x0000_i1113" type="#_x0000_t75" style="width:16.75pt;height:19.25pt" o:ole="">
            <v:imagedata r:id="rId178" o:title=""/>
          </v:shape>
          <o:OLEObject Type="Embed" ProgID="Equation.DSMT4" ShapeID="_x0000_i1113" DrawAspect="Content" ObjectID="_1851682043" r:id="rId179"/>
        </w:object>
      </w:r>
      <w:r w:rsidRPr="00677CE8">
        <w:t xml:space="preserve"> of </w:t>
      </w:r>
      <w:r w:rsidR="008019B4" w:rsidRPr="008019B4">
        <w:rPr>
          <w:position w:val="-12"/>
        </w:rPr>
        <w:object w:dxaOrig="1860" w:dyaOrig="360" w14:anchorId="394A2FFA">
          <v:shape id="_x0000_i1114" type="#_x0000_t75" style="width:93.75pt;height:18.4pt" o:ole="">
            <v:imagedata r:id="rId180" o:title=""/>
          </v:shape>
          <o:OLEObject Type="Embed" ProgID="Equation.DSMT4" ShapeID="_x0000_i1114" DrawAspect="Content" ObjectID="_1851682044" r:id="rId181"/>
        </w:object>
      </w:r>
      <w:r w:rsidRPr="00677CE8">
        <w:t xml:space="preserve"> are estimable, with one of the diagonal elements of </w:t>
      </w:r>
      <w:r w:rsidR="00D52F1B" w:rsidRPr="008019B4">
        <w:rPr>
          <w:position w:val="-12"/>
        </w:rPr>
        <w:object w:dxaOrig="340" w:dyaOrig="400" w14:anchorId="11BB2016">
          <v:shape id="_x0000_i1115" type="#_x0000_t75" style="width:16.75pt;height:19.25pt" o:ole="">
            <v:imagedata r:id="rId14" o:title=""/>
          </v:shape>
          <o:OLEObject Type="Embed" ProgID="Equation.DSMT4" ShapeID="_x0000_i1115" DrawAspect="Content" ObjectID="_1851682045" r:id="rId182"/>
        </w:object>
      </w:r>
      <w:r w:rsidRPr="00677CE8">
        <w:t xml:space="preserve"> set to 1 for identifiability.  </w:t>
      </w:r>
      <w:r w:rsidR="005A32D0" w:rsidRPr="00677CE8">
        <w:t xml:space="preserve">Also, for future use, define </w:t>
      </w:r>
      <w:r w:rsidR="00C3038B" w:rsidRPr="008019B4">
        <w:rPr>
          <w:position w:val="-16"/>
        </w:rPr>
        <w:object w:dxaOrig="4080" w:dyaOrig="540" w14:anchorId="18106505">
          <v:shape id="_x0000_i1116" type="#_x0000_t75" style="width:204.3pt;height:26.8pt" o:ole="">
            <v:imagedata r:id="rId183" o:title=""/>
          </v:shape>
          <o:OLEObject Type="Embed" ProgID="Equation.DSMT4" ShapeID="_x0000_i1116" DrawAspect="Content" ObjectID="_1851682046" r:id="rId184"/>
        </w:object>
      </w:r>
      <w:r w:rsidR="005A32D0" w:rsidRPr="00677CE8">
        <w:t>and</w:t>
      </w:r>
      <w:r w:rsidR="008019B4">
        <w:t xml:space="preserve"> </w:t>
      </w:r>
      <w:r w:rsidR="0065205C" w:rsidRPr="008019B4">
        <w:rPr>
          <w:position w:val="-14"/>
        </w:rPr>
        <w:object w:dxaOrig="3519" w:dyaOrig="400" w14:anchorId="6ED218F5">
          <v:shape id="_x0000_i1117" type="#_x0000_t75" style="width:175.8pt;height:20.1pt" o:ole="" o:preferrelative="f">
            <v:imagedata r:id="rId185" o:title=""/>
            <o:lock v:ext="edit" aspectratio="f"/>
          </v:shape>
          <o:OLEObject Type="Embed" ProgID="Equation.DSMT4" ShapeID="_x0000_i1117" DrawAspect="Content" ObjectID="_1851682047" r:id="rId186"/>
        </w:object>
      </w:r>
      <w:r w:rsidR="00103EB7" w:rsidRPr="00677CE8">
        <w:t xml:space="preserve">. Define the </w:t>
      </w:r>
      <w:r w:rsidR="008019B4" w:rsidRPr="008019B4">
        <w:rPr>
          <w:position w:val="-10"/>
        </w:rPr>
        <w:object w:dxaOrig="1700" w:dyaOrig="320" w14:anchorId="59C79EAA">
          <v:shape id="_x0000_i1118" type="#_x0000_t75" style="width:85.4pt;height:15.9pt" o:ole="">
            <v:imagedata r:id="rId187" o:title=""/>
          </v:shape>
          <o:OLEObject Type="Embed" ProgID="Equation.DSMT4" ShapeID="_x0000_i1118" DrawAspect="Content" ObjectID="_1851682048" r:id="rId188"/>
        </w:object>
      </w:r>
      <w:r w:rsidR="007546F8" w:rsidRPr="00677CE8">
        <w:t xml:space="preserve">(with </w:t>
      </w:r>
      <w:r w:rsidR="007546F8" w:rsidRPr="00677CE8">
        <w:rPr>
          <w:i/>
          <w:iCs/>
        </w:rPr>
        <w:t>T</w:t>
      </w:r>
      <w:r w:rsidR="007546F8" w:rsidRPr="00677CE8">
        <w:t>=2</w:t>
      </w:r>
      <w:r w:rsidR="00D52F1B">
        <w:t xml:space="preserve"> in our empirical context</w:t>
      </w:r>
      <w:r w:rsidR="007546F8" w:rsidRPr="00677CE8">
        <w:t xml:space="preserve">) </w:t>
      </w:r>
      <w:r w:rsidR="00103EB7" w:rsidRPr="00677CE8">
        <w:t xml:space="preserve">covariance matrix of </w:t>
      </w:r>
      <w:r w:rsidR="00C3038B" w:rsidRPr="008019B4">
        <w:rPr>
          <w:position w:val="-12"/>
        </w:rPr>
        <w:object w:dxaOrig="260" w:dyaOrig="360" w14:anchorId="0F41D9A8">
          <v:shape id="_x0000_i1119" type="#_x0000_t75" style="width:12.55pt;height:18.4pt" o:ole="">
            <v:imagedata r:id="rId189" o:title=""/>
          </v:shape>
          <o:OLEObject Type="Embed" ProgID="Equation.DSMT4" ShapeID="_x0000_i1119" DrawAspect="Content" ObjectID="_1851682049" r:id="rId190"/>
        </w:object>
      </w:r>
      <w:r w:rsidR="008019B4">
        <w:t xml:space="preserve"> </w:t>
      </w:r>
      <w:r w:rsidR="00103EB7" w:rsidRPr="00677CE8">
        <w:t>as</w:t>
      </w:r>
      <w:r w:rsidR="00E930FB" w:rsidRPr="00677CE8">
        <w:t xml:space="preserve"> </w:t>
      </w:r>
      <w:r w:rsidR="00D52F1B" w:rsidRPr="00D52F1B">
        <w:rPr>
          <w:position w:val="-34"/>
        </w:rPr>
        <w:object w:dxaOrig="1500" w:dyaOrig="800" w14:anchorId="0C08DE67">
          <v:shape id="_x0000_i1120" type="#_x0000_t75" style="width:75.35pt;height:40.2pt" o:ole="">
            <v:imagedata r:id="rId191" o:title=""/>
          </v:shape>
          <o:OLEObject Type="Embed" ProgID="Equation.DSMT4" ShapeID="_x0000_i1120" DrawAspect="Content" ObjectID="_1851682050" r:id="rId192"/>
        </w:object>
      </w:r>
      <w:r w:rsidR="00103EB7" w:rsidRPr="00677CE8">
        <w:t xml:space="preserve">, where </w:t>
      </w:r>
      <w:r w:rsidR="008019B4" w:rsidRPr="008019B4">
        <w:rPr>
          <w:position w:val="-4"/>
        </w:rPr>
        <w:object w:dxaOrig="260" w:dyaOrig="260" w14:anchorId="4F7F3683">
          <v:shape id="_x0000_i1121" type="#_x0000_t75" style="width:12.55pt;height:12.55pt" o:ole="">
            <v:imagedata r:id="rId16" o:title=""/>
          </v:shape>
          <o:OLEObject Type="Embed" ProgID="Equation.DSMT4" ShapeID="_x0000_i1121" DrawAspect="Content" ObjectID="_1851682051" r:id="rId193"/>
        </w:object>
      </w:r>
      <w:r w:rsidR="00103EB7" w:rsidRPr="00677CE8">
        <w:t xml:space="preserve"> captures the co</w:t>
      </w:r>
      <w:r w:rsidR="00AD1881" w:rsidRPr="00677CE8">
        <w:t>variation</w:t>
      </w:r>
      <w:r w:rsidR="00103EB7" w:rsidRPr="00677CE8">
        <w:t xml:space="preserve"> across choice occasions of the individual</w:t>
      </w:r>
      <w:r w:rsidR="00AB7F00" w:rsidRPr="00677CE8">
        <w:t xml:space="preserve"> in the differenced utility space</w:t>
      </w:r>
      <w:r w:rsidR="00103EB7" w:rsidRPr="00677CE8">
        <w:t>. For stability</w:t>
      </w:r>
      <w:r w:rsidR="007546F8" w:rsidRPr="00677CE8">
        <w:t xml:space="preserve"> and parsimony, we assume </w:t>
      </w:r>
      <w:r w:rsidR="00FB443B" w:rsidRPr="008019B4">
        <w:rPr>
          <w:position w:val="-4"/>
        </w:rPr>
        <w:object w:dxaOrig="260" w:dyaOrig="260" w14:anchorId="5249305F">
          <v:shape id="_x0000_i1122" type="#_x0000_t75" style="width:12.55pt;height:12.55pt" o:ole="">
            <v:imagedata r:id="rId16" o:title=""/>
          </v:shape>
          <o:OLEObject Type="Embed" ProgID="Equation.DSMT4" ShapeID="_x0000_i1122" DrawAspect="Content" ObjectID="_1851682052" r:id="rId194"/>
        </w:object>
      </w:r>
      <w:r w:rsidR="007546F8" w:rsidRPr="00677CE8">
        <w:t xml:space="preserve"> to be diagonal. This restricts the covariance matrix so that covariance is allowed between the same alterative </w:t>
      </w:r>
      <w:r w:rsidR="00AB7F00" w:rsidRPr="00677CE8">
        <w:t xml:space="preserve">(differenced from the last alternative) </w:t>
      </w:r>
      <w:r w:rsidR="007546F8" w:rsidRPr="00677CE8">
        <w:t xml:space="preserve">across choice occasions, but not between different alternatives </w:t>
      </w:r>
      <w:r w:rsidR="00AB7F00" w:rsidRPr="00677CE8">
        <w:t xml:space="preserve">(differenced from the last alternative again) </w:t>
      </w:r>
      <w:r w:rsidR="007546F8" w:rsidRPr="00677CE8">
        <w:t>across the choice occasions. For instance, we allow for unobserved factors that influence the utility of the air taxi alternativ</w:t>
      </w:r>
      <w:r w:rsidR="00AB7F00" w:rsidRPr="00677CE8">
        <w:t xml:space="preserve">e in the differenced utility space </w:t>
      </w:r>
      <w:r w:rsidR="007546F8" w:rsidRPr="00677CE8">
        <w:t>across choice occasions but not those that influence the air taxi alternative in the one choice occasion and the public transit alternative in another choice occasion</w:t>
      </w:r>
      <w:r w:rsidR="00AB7F00" w:rsidRPr="00677CE8">
        <w:t xml:space="preserve"> in the differenced utility space</w:t>
      </w:r>
      <w:r w:rsidR="007546F8" w:rsidRPr="00677CE8">
        <w:t>.</w:t>
      </w:r>
      <w:r w:rsidR="00AB7F00" w:rsidRPr="00677CE8">
        <w:t xml:space="preserve"> Next,</w:t>
      </w:r>
      <w:r w:rsidR="007546F8" w:rsidRPr="00677CE8">
        <w:t xml:space="preserve"> partition the matrix </w:t>
      </w:r>
      <w:r w:rsidR="00FB443B" w:rsidRPr="00FB443B">
        <w:rPr>
          <w:position w:val="-6"/>
        </w:rPr>
        <w:object w:dxaOrig="260" w:dyaOrig="279" w14:anchorId="164C838E">
          <v:shape id="_x0000_i1123" type="#_x0000_t75" style="width:12.55pt;height:15.05pt" o:ole="">
            <v:imagedata r:id="rId195" o:title=""/>
          </v:shape>
          <o:OLEObject Type="Embed" ProgID="Equation.DSMT4" ShapeID="_x0000_i1123" DrawAspect="Content" ObjectID="_1851682053" r:id="rId196"/>
        </w:object>
      </w:r>
      <w:r w:rsidR="007546F8" w:rsidRPr="00677CE8">
        <w:t xml:space="preserve"> as </w:t>
      </w:r>
      <w:r w:rsidR="00736FDD" w:rsidRPr="00677CE8">
        <w:rPr>
          <w:position w:val="-6"/>
        </w:rPr>
        <w:object w:dxaOrig="1120" w:dyaOrig="320" w14:anchorId="43713F86">
          <v:shape id="_x0000_i1124" type="#_x0000_t75" style="width:56.1pt;height:15.9pt" o:ole="">
            <v:imagedata r:id="rId197" o:title=""/>
          </v:shape>
          <o:OLEObject Type="Embed" ProgID="Equation.DSMT4" ShapeID="_x0000_i1124" DrawAspect="Content" ObjectID="_1851682054" r:id="rId198"/>
        </w:object>
      </w:r>
      <w:r w:rsidR="007546F8" w:rsidRPr="00677CE8">
        <w:t xml:space="preserve">, where </w:t>
      </w:r>
      <w:r w:rsidR="00E930FB" w:rsidRPr="00677CE8">
        <w:rPr>
          <w:position w:val="-30"/>
        </w:rPr>
        <w:object w:dxaOrig="1280" w:dyaOrig="720" w14:anchorId="14E00DEE">
          <v:shape id="_x0000_i1125" type="#_x0000_t75" style="width:63.65pt;height:36.85pt" o:ole="">
            <v:imagedata r:id="rId199" o:title=""/>
          </v:shape>
          <o:OLEObject Type="Embed" ProgID="Equation.DSMT4" ShapeID="_x0000_i1125" DrawAspect="Content" ObjectID="_1851682055" r:id="rId200"/>
        </w:object>
      </w:r>
      <w:r w:rsidR="007546F8" w:rsidRPr="00677CE8">
        <w:t xml:space="preserve">, where </w:t>
      </w:r>
      <w:r w:rsidR="00FB443B" w:rsidRPr="00FB443B">
        <w:rPr>
          <w:position w:val="-6"/>
        </w:rPr>
        <w:object w:dxaOrig="240" w:dyaOrig="279" w14:anchorId="3819B3CD">
          <v:shape id="_x0000_i1126" type="#_x0000_t75" style="width:11.7pt;height:15.05pt" o:ole="">
            <v:imagedata r:id="rId201" o:title=""/>
          </v:shape>
          <o:OLEObject Type="Embed" ProgID="Equation.DSMT4" ShapeID="_x0000_i1126" DrawAspect="Content" ObjectID="_1851682056" r:id="rId202"/>
        </w:object>
      </w:r>
      <w:r w:rsidR="007546F8" w:rsidRPr="00677CE8">
        <w:t xml:space="preserve"> is </w:t>
      </w:r>
      <w:r w:rsidR="00AB7F00" w:rsidRPr="00677CE8">
        <w:t xml:space="preserve">the diagonal matrix of the standard deviations of </w:t>
      </w:r>
      <w:r w:rsidR="00FB443B" w:rsidRPr="008019B4">
        <w:rPr>
          <w:position w:val="-12"/>
        </w:rPr>
        <w:object w:dxaOrig="340" w:dyaOrig="360" w14:anchorId="4BD2C7BC">
          <v:shape id="_x0000_i1127" type="#_x0000_t75" style="width:16.75pt;height:18.4pt" o:ole="">
            <v:imagedata r:id="rId203" o:title=""/>
          </v:shape>
          <o:OLEObject Type="Embed" ProgID="Equation.DSMT4" ShapeID="_x0000_i1127" DrawAspect="Content" ObjectID="_1851682057" r:id="rId204"/>
        </w:object>
      </w:r>
      <w:r w:rsidR="00AB7F00" w:rsidRPr="00677CE8">
        <w:t xml:space="preserve"> and </w:t>
      </w:r>
      <w:r w:rsidR="0065205C" w:rsidRPr="00677CE8">
        <w:rPr>
          <w:position w:val="-6"/>
        </w:rPr>
        <w:object w:dxaOrig="320" w:dyaOrig="320" w14:anchorId="2B7B2098">
          <v:shape id="_x0000_i1128" type="#_x0000_t75" style="width:15.9pt;height:15.9pt" o:ole="">
            <v:imagedata r:id="rId205" o:title=""/>
          </v:shape>
          <o:OLEObject Type="Embed" ProgID="Equation.DSMT4" ShapeID="_x0000_i1128" DrawAspect="Content" ObjectID="_1851682058" r:id="rId206"/>
        </w:object>
      </w:r>
      <w:r w:rsidR="00AB7F00" w:rsidRPr="00677CE8">
        <w:t xml:space="preserve"> is the correlation matrix corresponding to</w:t>
      </w:r>
      <w:r w:rsidR="00736FDD" w:rsidRPr="00677CE8">
        <w:t xml:space="preserve"> </w:t>
      </w:r>
      <w:r w:rsidR="0065205C" w:rsidRPr="00677CE8">
        <w:rPr>
          <w:position w:val="-6"/>
        </w:rPr>
        <w:object w:dxaOrig="260" w:dyaOrig="279" w14:anchorId="5BAA5AA3">
          <v:shape id="_x0000_i1129" type="#_x0000_t75" style="width:12.55pt;height:13.4pt" o:ole="" o:preferrelative="f">
            <v:imagedata r:id="rId207" o:title=""/>
            <o:lock v:ext="edit" aspectratio="f"/>
          </v:shape>
          <o:OLEObject Type="Embed" ProgID="Equation.DSMT4" ShapeID="_x0000_i1129" DrawAspect="Content" ObjectID="_1851682059" r:id="rId208"/>
        </w:object>
      </w:r>
      <w:r w:rsidR="00AB7F00" w:rsidRPr="00677CE8">
        <w:t xml:space="preserve">. </w:t>
      </w:r>
      <w:r w:rsidR="00736FDD" w:rsidRPr="00677CE8">
        <w:t xml:space="preserve">A typical normalization that is adopted in the literature is that one of the </w:t>
      </w:r>
      <w:r w:rsidR="00736FDD" w:rsidRPr="00677CE8">
        <w:rPr>
          <w:position w:val="-6"/>
        </w:rPr>
        <w:object w:dxaOrig="240" w:dyaOrig="279" w14:anchorId="269413C7">
          <v:shape id="_x0000_i1130" type="#_x0000_t75" style="width:11.7pt;height:15.05pt" o:ole="">
            <v:imagedata r:id="rId209" o:title=""/>
          </v:shape>
          <o:OLEObject Type="Embed" ProgID="Equation.DSMT4" ShapeID="_x0000_i1130" DrawAspect="Content" ObjectID="_1851682060" r:id="rId210"/>
        </w:object>
      </w:r>
      <w:r w:rsidR="00FB443B">
        <w:t xml:space="preserve"> </w:t>
      </w:r>
      <w:r w:rsidR="00736FDD" w:rsidRPr="00677CE8">
        <w:t xml:space="preserve">elements </w:t>
      </w:r>
      <w:proofErr w:type="gramStart"/>
      <w:r w:rsidR="00736FDD" w:rsidRPr="00677CE8">
        <w:t>is</w:t>
      </w:r>
      <w:proofErr w:type="gramEnd"/>
      <w:r w:rsidR="00736FDD" w:rsidRPr="00677CE8">
        <w:t xml:space="preserve"> normalized to one. While innocuous regarding the scale of which alternative (in differenced form from the last alternative) is normalized to one, the model coefficients produced from alternative normalizations will be different (though the final </w:t>
      </w:r>
      <w:r w:rsidR="007F7A3C" w:rsidRPr="00677CE8">
        <w:t xml:space="preserve">probabilities of the ranked alternatives </w:t>
      </w:r>
      <w:r w:rsidR="00736FDD" w:rsidRPr="00677CE8">
        <w:t xml:space="preserve">remain unchanged). Instead, we use the </w:t>
      </w:r>
      <w:proofErr w:type="gramStart"/>
      <w:r w:rsidR="00736FDD" w:rsidRPr="00677CE8">
        <w:t>more clean</w:t>
      </w:r>
      <w:proofErr w:type="gramEnd"/>
      <w:r w:rsidR="00736FDD" w:rsidRPr="00677CE8">
        <w:t xml:space="preserve"> normalization proposed recently by Bhat and Robbennolt (2026) that produces a single set of model coefficients. In this alternative normalization procedure, </w:t>
      </w:r>
      <w:r w:rsidR="00736FDD" w:rsidRPr="00677CE8">
        <w:rPr>
          <w:position w:val="-28"/>
        </w:rPr>
        <w:object w:dxaOrig="880" w:dyaOrig="680" w14:anchorId="40B8CC52">
          <v:shape id="_x0000_i1131" type="#_x0000_t75" style="width:44.35pt;height:34.35pt" o:ole="">
            <v:imagedata r:id="rId211" o:title=""/>
          </v:shape>
          <o:OLEObject Type="Embed" ProgID="Equation.DSMT4" ShapeID="_x0000_i1131" DrawAspect="Content" ObjectID="_1851682061" r:id="rId212"/>
        </w:object>
      </w:r>
      <w:r w:rsidR="00736FDD" w:rsidRPr="00677CE8">
        <w:t xml:space="preserve">, where </w:t>
      </w:r>
      <w:r w:rsidR="00736FDD" w:rsidRPr="00677CE8">
        <w:rPr>
          <w:position w:val="-12"/>
        </w:rPr>
        <w:object w:dxaOrig="220" w:dyaOrig="360" w14:anchorId="7DD41D72">
          <v:shape id="_x0000_i1132" type="#_x0000_t75" style="width:11.7pt;height:18.4pt" o:ole="">
            <v:imagedata r:id="rId213" o:title=""/>
          </v:shape>
          <o:OLEObject Type="Embed" ProgID="Equation.DSMT4" ShapeID="_x0000_i1132" DrawAspect="Content" ObjectID="_1851682062" r:id="rId214"/>
        </w:object>
      </w:r>
      <w:r w:rsidR="00736FDD" w:rsidRPr="00677CE8">
        <w:t xml:space="preserve"> represents the scale of </w:t>
      </w:r>
      <w:r w:rsidR="0048559B" w:rsidRPr="00677CE8">
        <w:t xml:space="preserve">the utility of </w:t>
      </w:r>
      <w:r w:rsidR="00736FDD" w:rsidRPr="00677CE8">
        <w:t xml:space="preserve">alternative </w:t>
      </w:r>
      <w:r w:rsidR="0048559B" w:rsidRPr="00677CE8">
        <w:rPr>
          <w:i/>
          <w:iCs/>
        </w:rPr>
        <w:t>i</w:t>
      </w:r>
      <w:r w:rsidR="0048559B" w:rsidRPr="00677CE8">
        <w:t xml:space="preserve"> (as differenced from the utility of the last alternative). In our notation from above, </w:t>
      </w:r>
      <w:r w:rsidR="00D52F1B" w:rsidRPr="00677CE8">
        <w:rPr>
          <w:position w:val="-12"/>
        </w:rPr>
        <w:object w:dxaOrig="1820" w:dyaOrig="360" w14:anchorId="32143328">
          <v:shape id="_x0000_i1133" type="#_x0000_t75" style="width:95.45pt;height:18.4pt" o:ole="">
            <v:imagedata r:id="rId215" o:title=""/>
          </v:shape>
          <o:OLEObject Type="Embed" ProgID="Equation.DSMT4" ShapeID="_x0000_i1133" DrawAspect="Content" ObjectID="_1851682063" r:id="rId216"/>
        </w:object>
      </w:r>
      <w:r w:rsidR="0048559B" w:rsidRPr="00677CE8">
        <w:t xml:space="preserve"> also corresponds to the elements of </w:t>
      </w:r>
      <w:r w:rsidR="0048559B" w:rsidRPr="00677CE8">
        <w:rPr>
          <w:position w:val="-6"/>
        </w:rPr>
        <w:object w:dxaOrig="240" w:dyaOrig="279" w14:anchorId="27686B36">
          <v:shape id="_x0000_i1134" type="#_x0000_t75" style="width:11.7pt;height:15.05pt" o:ole="">
            <v:imagedata r:id="rId209" o:title=""/>
          </v:shape>
          <o:OLEObject Type="Embed" ProgID="Equation.DSMT4" ShapeID="_x0000_i1134" DrawAspect="Content" ObjectID="_1851682064" r:id="rId217"/>
        </w:object>
      </w:r>
      <w:r w:rsidR="0048559B" w:rsidRPr="00677CE8">
        <w:t xml:space="preserve">. </w:t>
      </w:r>
    </w:p>
    <w:p w14:paraId="76428AC6" w14:textId="4DB76EB0" w:rsidR="000E0C96" w:rsidRPr="00677CE8" w:rsidRDefault="000E0C96" w:rsidP="00AB7F00">
      <w:pPr>
        <w:shd w:val="clear" w:color="auto" w:fill="FFFFFF"/>
        <w:spacing w:after="0" w:line="240" w:lineRule="auto"/>
        <w:jc w:val="both"/>
      </w:pPr>
      <w:r w:rsidRPr="00677CE8">
        <w:tab/>
      </w:r>
      <w:r w:rsidR="00AB7F00" w:rsidRPr="00677CE8">
        <w:t>To proceed</w:t>
      </w:r>
      <w:r w:rsidRPr="00677CE8">
        <w:t xml:space="preserve">, define a contrast matrix </w:t>
      </w:r>
      <w:r w:rsidRPr="00677CE8">
        <w:rPr>
          <w:position w:val="-10"/>
        </w:rPr>
        <w:object w:dxaOrig="1100" w:dyaOrig="320" w14:anchorId="4B03EA37">
          <v:shape id="_x0000_i1135" type="#_x0000_t75" style="width:56.1pt;height:15.9pt" o:ole="">
            <v:imagedata r:id="rId218" o:title=""/>
          </v:shape>
          <o:OLEObject Type="Embed" ProgID="Equation.DSMT4" ShapeID="_x0000_i1135" DrawAspect="Content" ObjectID="_1851682065" r:id="rId219"/>
        </w:object>
      </w:r>
      <w:r w:rsidRPr="00677CE8">
        <w:t xml:space="preserve"> </w:t>
      </w:r>
      <w:r w:rsidR="00FB443B" w:rsidRPr="00FB443B">
        <w:rPr>
          <w:position w:val="-12"/>
        </w:rPr>
        <w:object w:dxaOrig="360" w:dyaOrig="360" w14:anchorId="53174044">
          <v:shape id="_x0000_i1136" type="#_x0000_t75" style="width:18.4pt;height:18.4pt" o:ole="">
            <v:imagedata r:id="rId220" o:title=""/>
          </v:shape>
          <o:OLEObject Type="Embed" ProgID="Equation.DSMT4" ShapeID="_x0000_i1136" DrawAspect="Content" ObjectID="_1851682066" r:id="rId221"/>
        </w:object>
      </w:r>
      <w:r w:rsidRPr="00677CE8">
        <w:t xml:space="preserve"> for each choice occasion based on the observed ranking </w:t>
      </w:r>
      <w:r w:rsidR="00FB443B" w:rsidRPr="00FB443B">
        <w:rPr>
          <w:position w:val="-12"/>
        </w:rPr>
        <w:object w:dxaOrig="200" w:dyaOrig="360" w14:anchorId="6EFB2A80">
          <v:shape id="_x0000_i1137" type="#_x0000_t75" style="width:10.9pt;height:18.4pt" o:ole="">
            <v:imagedata r:id="rId222" o:title=""/>
          </v:shape>
          <o:OLEObject Type="Embed" ProgID="Equation.DSMT4" ShapeID="_x0000_i1137" DrawAspect="Content" ObjectID="_1851682067" r:id="rId223"/>
        </w:object>
      </w:r>
      <w:r w:rsidRPr="00677CE8">
        <w:t xml:space="preserve">. Specifically, let the first ranked alternative be </w:t>
      </w:r>
      <w:r w:rsidR="00FB443B" w:rsidRPr="00FB443B">
        <w:rPr>
          <w:position w:val="-12"/>
        </w:rPr>
        <w:object w:dxaOrig="240" w:dyaOrig="380" w14:anchorId="3921BBAD">
          <v:shape id="_x0000_i1138" type="#_x0000_t75" style="width:11.7pt;height:19.25pt" o:ole="">
            <v:imagedata r:id="rId224" o:title=""/>
          </v:shape>
          <o:OLEObject Type="Embed" ProgID="Equation.DSMT4" ShapeID="_x0000_i1138" DrawAspect="Content" ObjectID="_1851682068" r:id="rId225"/>
        </w:object>
      </w:r>
      <w:r w:rsidRPr="00677CE8">
        <w:t xml:space="preserve">, the second </w:t>
      </w:r>
      <w:r w:rsidR="00FB443B" w:rsidRPr="00FB443B">
        <w:rPr>
          <w:position w:val="-12"/>
        </w:rPr>
        <w:object w:dxaOrig="279" w:dyaOrig="380" w14:anchorId="25BCD5D0">
          <v:shape id="_x0000_i1139" type="#_x0000_t75" style="width:15.05pt;height:19.25pt" o:ole="">
            <v:imagedata r:id="rId226" o:title=""/>
          </v:shape>
          <o:OLEObject Type="Embed" ProgID="Equation.DSMT4" ShapeID="_x0000_i1139" DrawAspect="Content" ObjectID="_1851682069" r:id="rId227"/>
        </w:object>
      </w:r>
      <w:r w:rsidRPr="00677CE8">
        <w:t xml:space="preserve">, and so on until the last-ranked alternative </w:t>
      </w:r>
      <w:r w:rsidR="00FB443B" w:rsidRPr="00FB443B">
        <w:rPr>
          <w:position w:val="-12"/>
        </w:rPr>
        <w:object w:dxaOrig="260" w:dyaOrig="380" w14:anchorId="2EA90A9E">
          <v:shape id="_x0000_i1140" type="#_x0000_t75" style="width:12.55pt;height:19.25pt" o:ole="">
            <v:imagedata r:id="rId228" o:title=""/>
          </v:shape>
          <o:OLEObject Type="Embed" ProgID="Equation.DSMT4" ShapeID="_x0000_i1140" DrawAspect="Content" ObjectID="_1851682070" r:id="rId229"/>
        </w:object>
      </w:r>
      <w:r w:rsidRPr="00677CE8">
        <w:t xml:space="preserve">. Then, based on this ranking, the following utility inequalities should hold: </w:t>
      </w:r>
      <w:r w:rsidR="00FB443B" w:rsidRPr="00FB443B">
        <w:rPr>
          <w:position w:val="-18"/>
        </w:rPr>
        <w:object w:dxaOrig="4400" w:dyaOrig="420" w14:anchorId="4F4A472A">
          <v:shape id="_x0000_i1141" type="#_x0000_t75" style="width:218.5pt;height:21.75pt" o:ole="">
            <v:imagedata r:id="rId230" o:title=""/>
          </v:shape>
          <o:OLEObject Type="Embed" ProgID="Equation.DSMT4" ShapeID="_x0000_i1141" DrawAspect="Content" ObjectID="_1851682071" r:id="rId231"/>
        </w:object>
      </w:r>
      <w:r w:rsidRPr="00677CE8">
        <w:t xml:space="preserve">. Then, for each choice occasion, we can stack the </w:t>
      </w:r>
      <w:r w:rsidRPr="00677CE8">
        <w:rPr>
          <w:position w:val="-10"/>
        </w:rPr>
        <w:object w:dxaOrig="639" w:dyaOrig="320" w14:anchorId="3EA383DF">
          <v:shape id="_x0000_i1142" type="#_x0000_t75" style="width:27.65pt;height:15.9pt" o:ole="" o:preferrelative="f">
            <v:imagedata r:id="rId232" o:title=""/>
            <o:lock v:ext="edit" aspectratio="f"/>
          </v:shape>
          <o:OLEObject Type="Embed" ProgID="Equation.DSMT4" ShapeID="_x0000_i1142" DrawAspect="Content" ObjectID="_1851682072" r:id="rId233"/>
        </w:object>
      </w:r>
      <w:r w:rsidRPr="00677CE8">
        <w:t xml:space="preserve"> utility differentials based on the observed rank ordering, into a vector </w:t>
      </w:r>
      <w:r w:rsidR="00F41CCC" w:rsidRPr="00677CE8">
        <w:rPr>
          <w:position w:val="-22"/>
        </w:rPr>
        <w:object w:dxaOrig="4660" w:dyaOrig="660" w14:anchorId="2206DF9A">
          <v:shape id="_x0000_i1143" type="#_x0000_t75" style="width:233.6pt;height:32.65pt;mso-position-horizontal:absolute;mso-position-horizontal-relative:text;mso-position-vertical:absolute;mso-position-vertical-relative:text" o:ole="" o:preferrelative="f">
            <v:imagedata r:id="rId234" o:title=""/>
            <o:lock v:ext="edit" aspectratio="f"/>
          </v:shape>
          <o:OLEObject Type="Embed" ProgID="Equation.DSMT4" ShapeID="_x0000_i1143" DrawAspect="Content" ObjectID="_1851682073" r:id="rId235"/>
        </w:object>
      </w:r>
      <w:r w:rsidRPr="00677CE8">
        <w:t xml:space="preserve">. These inequalities may also be identified in the contrast matrix </w:t>
      </w:r>
      <w:r w:rsidR="00FB443B" w:rsidRPr="00FB443B">
        <w:rPr>
          <w:position w:val="-12"/>
        </w:rPr>
        <w:object w:dxaOrig="360" w:dyaOrig="360" w14:anchorId="7E122739">
          <v:shape id="_x0000_i1144" type="#_x0000_t75" style="width:18.4pt;height:18.4pt" o:ole="">
            <v:imagedata r:id="rId220" o:title=""/>
          </v:shape>
          <o:OLEObject Type="Embed" ProgID="Equation.DSMT4" ShapeID="_x0000_i1144" DrawAspect="Content" ObjectID="_1851682074" r:id="rId236"/>
        </w:object>
      </w:r>
      <w:r w:rsidRPr="00677CE8">
        <w:t xml:space="preserve">. To do so, fill the matrix with zeros. Then, in the first row (corresponding to the first inequality shown above), place a value of negative one in the column corresponding to the first-ranked alternative, and a value of one in the column corresponding to the second-ranked alternative. In the second row (corresponding to the second inequality shown above), place a </w:t>
      </w:r>
      <w:proofErr w:type="gramStart"/>
      <w:r w:rsidRPr="00677CE8">
        <w:t>value of negative</w:t>
      </w:r>
      <w:proofErr w:type="gramEnd"/>
      <w:r w:rsidRPr="00677CE8">
        <w:t xml:space="preserve"> one in the column corresponding to the second-ranked alternative, and a value of one in the column corresponding to the third-ranked alternative. Continue this procedure for each row </w:t>
      </w:r>
      <w:r w:rsidRPr="00677CE8">
        <w:lastRenderedPageBreak/>
        <w:t xml:space="preserve">and corresponding inequality. </w:t>
      </w:r>
      <w:r w:rsidR="00E52B97" w:rsidRPr="00677CE8">
        <w:t>Next</w:t>
      </w:r>
      <w:r w:rsidRPr="00677CE8">
        <w:t xml:space="preserve">, define a larger contrast matrix </w:t>
      </w:r>
      <w:r w:rsidR="0065205C" w:rsidRPr="00677CE8">
        <w:rPr>
          <w:position w:val="-32"/>
        </w:rPr>
        <w:object w:dxaOrig="1640" w:dyaOrig="760" w14:anchorId="72F8F408">
          <v:shape id="_x0000_i1145" type="#_x0000_t75" style="width:82.05pt;height:38.5pt" o:ole="" o:preferrelative="f">
            <v:imagedata r:id="rId237" o:title=""/>
            <o:lock v:ext="edit" aspectratio="f"/>
          </v:shape>
          <o:OLEObject Type="Embed" ProgID="Equation.DSMT4" ShapeID="_x0000_i1145" DrawAspect="Content" ObjectID="_1851682075" r:id="rId238"/>
        </w:object>
      </w:r>
      <w:r w:rsidRPr="00677CE8">
        <w:t xml:space="preserve"> </w:t>
      </w:r>
      <w:r w:rsidR="00E52B97" w:rsidRPr="00677CE8">
        <w:t xml:space="preserve">of size </w:t>
      </w:r>
      <w:r w:rsidR="0065205C" w:rsidRPr="00677CE8">
        <w:rPr>
          <w:position w:val="-10"/>
        </w:rPr>
        <w:object w:dxaOrig="3100" w:dyaOrig="320" w14:anchorId="7776F5FC">
          <v:shape id="_x0000_i1146" type="#_x0000_t75" style="width:154.9pt;height:15.9pt" o:ole="" o:preferrelative="f">
            <v:imagedata r:id="rId239" o:title=""/>
            <o:lock v:ext="edit" aspectratio="f"/>
          </v:shape>
          <o:OLEObject Type="Embed" ProgID="Equation.DSMT4" ShapeID="_x0000_i1146" DrawAspect="Content" ObjectID="_1851682076" r:id="rId240"/>
        </w:object>
      </w:r>
      <w:r w:rsidRPr="00677CE8">
        <w:t xml:space="preserve">based on the observed choices for the individual in each period. Also define a mask matrix </w:t>
      </w:r>
      <w:r w:rsidR="0065205C" w:rsidRPr="00FB443B">
        <w:rPr>
          <w:position w:val="-10"/>
        </w:rPr>
        <w:object w:dxaOrig="300" w:dyaOrig="360" w14:anchorId="3E617177">
          <v:shape id="_x0000_i1147" type="#_x0000_t75" style="width:15.05pt;height:18.4pt" o:ole="" o:preferrelative="f">
            <v:imagedata r:id="rId241" o:title=""/>
            <o:lock v:ext="edit" aspectratio="f"/>
          </v:shape>
          <o:OLEObject Type="Embed" ProgID="Equation.DSMT4" ShapeID="_x0000_i1147" DrawAspect="Content" ObjectID="_1851682077" r:id="rId242"/>
        </w:object>
      </w:r>
      <w:r w:rsidRPr="00677CE8">
        <w:t xml:space="preserve"> </w:t>
      </w:r>
      <w:r w:rsidR="00E52B97" w:rsidRPr="00677CE8">
        <w:t xml:space="preserve">of size </w:t>
      </w:r>
      <w:r w:rsidR="00E52B97" w:rsidRPr="00677CE8">
        <w:rPr>
          <w:position w:val="-10"/>
        </w:rPr>
        <w:object w:dxaOrig="940" w:dyaOrig="320" w14:anchorId="2BC1E370">
          <v:shape id="_x0000_i1148" type="#_x0000_t75" style="width:46.9pt;height:15.9pt" o:ole="">
            <v:imagedata r:id="rId243" o:title=""/>
          </v:shape>
          <o:OLEObject Type="Embed" ProgID="Equation.DSMT4" ShapeID="_x0000_i1148" DrawAspect="Content" ObjectID="_1851682078" r:id="rId244"/>
        </w:object>
      </w:r>
      <w:r w:rsidRPr="00677CE8">
        <w:t xml:space="preserve">using an identify matrix of size </w:t>
      </w:r>
      <w:r w:rsidR="00E52B97" w:rsidRPr="00677CE8">
        <w:rPr>
          <w:position w:val="-10"/>
        </w:rPr>
        <w:object w:dxaOrig="639" w:dyaOrig="320" w14:anchorId="265076FA">
          <v:shape id="_x0000_i1149" type="#_x0000_t75" style="width:31.8pt;height:15.9pt" o:ole="">
            <v:imagedata r:id="rId245" o:title=""/>
          </v:shape>
          <o:OLEObject Type="Embed" ProgID="Equation.DSMT4" ShapeID="_x0000_i1149" DrawAspect="Content" ObjectID="_1851682079" r:id="rId246"/>
        </w:object>
      </w:r>
      <w:r w:rsidRPr="00677CE8">
        <w:t xml:space="preserve">and supplementing with additional rows of zeros at the </w:t>
      </w:r>
      <w:proofErr w:type="spellStart"/>
      <w:r w:rsidR="00AD1881" w:rsidRPr="00677CE8">
        <w:rPr>
          <w:i/>
          <w:iCs/>
        </w:rPr>
        <w:t>I</w:t>
      </w:r>
      <w:r w:rsidR="00AD1881" w:rsidRPr="0065205C">
        <w:rPr>
          <w:vertAlign w:val="superscript"/>
        </w:rPr>
        <w:t>th</w:t>
      </w:r>
      <w:proofErr w:type="spellEnd"/>
      <w:r w:rsidR="00E52B97" w:rsidRPr="00677CE8">
        <w:t xml:space="preserve"> </w:t>
      </w:r>
      <w:r w:rsidRPr="00677CE8">
        <w:t>row</w:t>
      </w:r>
      <w:r w:rsidR="00E52B97" w:rsidRPr="00677CE8">
        <w:t xml:space="preserve"> (note that </w:t>
      </w:r>
      <w:r w:rsidR="00E52B97" w:rsidRPr="00677CE8">
        <w:rPr>
          <w:i/>
          <w:iCs/>
        </w:rPr>
        <w:t>I</w:t>
      </w:r>
      <w:r w:rsidR="00E52B97" w:rsidRPr="00677CE8">
        <w:t>=5 in our empirical analysis)</w:t>
      </w:r>
      <w:r w:rsidRPr="00677CE8">
        <w:t xml:space="preserve">. </w:t>
      </w:r>
      <w:r w:rsidR="00E52B97" w:rsidRPr="00677CE8">
        <w:t xml:space="preserve">Also, define matrix </w:t>
      </w:r>
      <w:r w:rsidR="00FB443B" w:rsidRPr="00FB443B">
        <w:rPr>
          <w:position w:val="-32"/>
        </w:rPr>
        <w:object w:dxaOrig="1359" w:dyaOrig="760" w14:anchorId="6BA3B9E8">
          <v:shape id="_x0000_i1150" type="#_x0000_t75" style="width:67.8pt;height:38.5pt" o:ole="">
            <v:imagedata r:id="rId247" o:title=""/>
          </v:shape>
          <o:OLEObject Type="Embed" ProgID="Equation.DSMT4" ShapeID="_x0000_i1150" DrawAspect="Content" ObjectID="_1851682080" r:id="rId248"/>
        </w:object>
      </w:r>
      <w:r w:rsidR="00E52B97" w:rsidRPr="00677CE8">
        <w:t xml:space="preserve"> of size </w:t>
      </w:r>
      <w:r w:rsidR="00021884" w:rsidRPr="00677CE8">
        <w:rPr>
          <w:position w:val="-10"/>
        </w:rPr>
        <w:object w:dxaOrig="3120" w:dyaOrig="320" w14:anchorId="381BB170">
          <v:shape id="_x0000_i1151" type="#_x0000_t75" style="width:155.7pt;height:15.9pt" o:ole="" o:preferrelative="f">
            <v:imagedata r:id="rId249" o:title=""/>
            <o:lock v:ext="edit" aspectratio="f"/>
          </v:shape>
          <o:OLEObject Type="Embed" ProgID="Equation.DSMT4" ShapeID="_x0000_i1151" DrawAspect="Content" ObjectID="_1851682081" r:id="rId250"/>
        </w:object>
      </w:r>
      <w:r w:rsidR="00E52B97" w:rsidRPr="00677CE8">
        <w:t xml:space="preserve">. </w:t>
      </w:r>
      <w:r w:rsidRPr="00677CE8">
        <w:t xml:space="preserve">Using this contrast matrix, </w:t>
      </w:r>
      <w:r w:rsidR="00FB443B" w:rsidRPr="00FB443B">
        <w:rPr>
          <w:position w:val="-4"/>
        </w:rPr>
        <w:object w:dxaOrig="300" w:dyaOrig="260" w14:anchorId="2D3F9240">
          <v:shape id="_x0000_i1152" type="#_x0000_t75" style="width:15.05pt;height:12.55pt" o:ole="">
            <v:imagedata r:id="rId251" o:title=""/>
          </v:shape>
          <o:OLEObject Type="Embed" ProgID="Equation.DSMT4" ShapeID="_x0000_i1152" DrawAspect="Content" ObjectID="_1851682082" r:id="rId252"/>
        </w:object>
      </w:r>
      <w:r w:rsidRPr="00677CE8">
        <w:t xml:space="preserve">, and the mask matrix </w:t>
      </w:r>
      <w:r w:rsidR="00FB443B" w:rsidRPr="00FB443B">
        <w:rPr>
          <w:position w:val="-4"/>
        </w:rPr>
        <w:object w:dxaOrig="240" w:dyaOrig="260" w14:anchorId="29471257">
          <v:shape id="_x0000_i1153" type="#_x0000_t75" style="width:11.7pt;height:12.55pt" o:ole="">
            <v:imagedata r:id="rId253" o:title=""/>
          </v:shape>
          <o:OLEObject Type="Embed" ProgID="Equation.DSMT4" ShapeID="_x0000_i1153" DrawAspect="Content" ObjectID="_1851682083" r:id="rId254"/>
        </w:object>
      </w:r>
      <w:r w:rsidRPr="00677CE8">
        <w:t xml:space="preserve">, we can characterize the distribution of the differenced utility vector </w:t>
      </w:r>
      <w:r w:rsidR="00FB443B" w:rsidRPr="00FB443B">
        <w:rPr>
          <w:position w:val="-6"/>
        </w:rPr>
        <w:object w:dxaOrig="200" w:dyaOrig="220" w14:anchorId="43C4C72D">
          <v:shape id="_x0000_i1154" type="#_x0000_t75" style="width:10.9pt;height:10.9pt" o:ole="">
            <v:imagedata r:id="rId255" o:title=""/>
          </v:shape>
          <o:OLEObject Type="Embed" ProgID="Equation.DSMT4" ShapeID="_x0000_i1154" DrawAspect="Content" ObjectID="_1851682084" r:id="rId256"/>
        </w:object>
      </w:r>
      <w:r w:rsidRPr="00677CE8">
        <w:t xml:space="preserve"> from that of </w:t>
      </w:r>
      <w:r w:rsidR="00FB443B" w:rsidRPr="00FB443B">
        <w:rPr>
          <w:position w:val="-6"/>
        </w:rPr>
        <w:object w:dxaOrig="260" w:dyaOrig="279" w14:anchorId="4436D20D">
          <v:shape id="_x0000_i1155" type="#_x0000_t75" style="width:12.55pt;height:15.05pt" o:ole="">
            <v:imagedata r:id="rId257" o:title=""/>
          </v:shape>
          <o:OLEObject Type="Embed" ProgID="Equation.DSMT4" ShapeID="_x0000_i1155" DrawAspect="Content" ObjectID="_1851682085" r:id="rId258"/>
        </w:object>
      </w:r>
      <w:r w:rsidRPr="00677CE8">
        <w:t xml:space="preserve">. Specifically, </w:t>
      </w:r>
      <w:r w:rsidR="00FB443B" w:rsidRPr="00FB443B">
        <w:rPr>
          <w:position w:val="-14"/>
        </w:rPr>
        <w:object w:dxaOrig="3900" w:dyaOrig="400" w14:anchorId="6E2E3D07">
          <v:shape id="_x0000_i1156" type="#_x0000_t75" style="width:195.9pt;height:19.25pt" o:ole="">
            <v:imagedata r:id="rId259" o:title=""/>
          </v:shape>
          <o:OLEObject Type="Embed" ProgID="Equation.DSMT4" ShapeID="_x0000_i1156" DrawAspect="Content" ObjectID="_1851682086" r:id="rId260"/>
        </w:object>
      </w:r>
      <w:r w:rsidRPr="00677CE8">
        <w:t xml:space="preserve">. </w:t>
      </w:r>
    </w:p>
    <w:p w14:paraId="71D2D46C" w14:textId="5DF150F1" w:rsidR="000E0C96" w:rsidRPr="00677CE8" w:rsidRDefault="000E0C96" w:rsidP="007B293E">
      <w:pPr>
        <w:shd w:val="clear" w:color="auto" w:fill="FFFFFF"/>
        <w:spacing w:after="0" w:line="240" w:lineRule="auto"/>
        <w:ind w:firstLine="720"/>
        <w:jc w:val="both"/>
      </w:pPr>
      <w:r w:rsidRPr="00677CE8">
        <w:t xml:space="preserve">Let the set of parameters to be estimated be </w:t>
      </w:r>
      <w:r w:rsidR="00F41CCC" w:rsidRPr="00FB443B">
        <w:rPr>
          <w:position w:val="-28"/>
        </w:rPr>
        <w:object w:dxaOrig="3560" w:dyaOrig="780" w14:anchorId="43A549BF">
          <v:shape id="_x0000_i1157" type="#_x0000_t75" style="width:177.5pt;height:39.35pt;mso-position-horizontal:absolute;mso-position-horizontal-relative:text;mso-position-vertical:absolute;mso-position-vertical-relative:text" o:ole="" o:preferrelative="f">
            <v:imagedata r:id="rId261" o:title=""/>
            <o:lock v:ext="edit" aspectratio="f"/>
          </v:shape>
          <o:OLEObject Type="Embed" ProgID="Equation.DSMT4" ShapeID="_x0000_i1157" DrawAspect="Content" ObjectID="_1851682087" r:id="rId262"/>
        </w:object>
      </w:r>
      <w:r w:rsidR="00DE49C8" w:rsidRPr="00677CE8">
        <w:t xml:space="preserve">, </w:t>
      </w:r>
      <w:r w:rsidRPr="00677CE8">
        <w:t xml:space="preserve"> where </w:t>
      </w:r>
      <w:r w:rsidR="0048559B" w:rsidRPr="00677CE8">
        <w:rPr>
          <w:position w:val="-10"/>
        </w:rPr>
        <w:object w:dxaOrig="859" w:dyaOrig="320" w14:anchorId="742362CE">
          <v:shape id="_x0000_i1158" type="#_x0000_t75" style="width:42.7pt;height:15.9pt" o:ole="">
            <v:imagedata r:id="rId263" o:title=""/>
          </v:shape>
          <o:OLEObject Type="Embed" ProgID="Equation.DSMT4" ShapeID="_x0000_i1158" DrawAspect="Content" ObjectID="_1851682088" r:id="rId264"/>
        </w:object>
      </w:r>
      <w:r w:rsidR="00DE49C8" w:rsidRPr="00677CE8">
        <w:t xml:space="preserve"> corresponds to the diagonal elements of </w:t>
      </w:r>
      <w:r w:rsidR="00D52F1B" w:rsidRPr="00677CE8">
        <w:rPr>
          <w:position w:val="-12"/>
        </w:rPr>
        <w:object w:dxaOrig="300" w:dyaOrig="360" w14:anchorId="1A6D1644">
          <v:shape id="_x0000_i1159" type="#_x0000_t75" style="width:15.9pt;height:18.4pt" o:ole="">
            <v:imagedata r:id="rId265" o:title=""/>
          </v:shape>
          <o:OLEObject Type="Embed" ProgID="Equation.DSMT4" ShapeID="_x0000_i1159" DrawAspect="Content" ObjectID="_1851682089" r:id="rId266"/>
        </w:object>
      </w:r>
      <w:r w:rsidR="00DE49C8" w:rsidRPr="00677CE8">
        <w:t>, and</w:t>
      </w:r>
      <w:r w:rsidR="00FB443B">
        <w:t xml:space="preserve"> </w:t>
      </w:r>
      <w:r w:rsidRPr="00677CE8">
        <w:rPr>
          <w:position w:val="-10"/>
        </w:rPr>
        <w:object w:dxaOrig="1040" w:dyaOrig="320" w14:anchorId="27C18B22">
          <v:shape id="_x0000_i1160" type="#_x0000_t75" style="width:50.25pt;height:15.9pt" o:ole="">
            <v:imagedata r:id="rId267" o:title=""/>
          </v:shape>
          <o:OLEObject Type="Embed" ProgID="Equation.DSMT4" ShapeID="_x0000_i1160" DrawAspect="Content" ObjectID="_1851682090" r:id="rId268"/>
        </w:object>
      </w:r>
      <w:r w:rsidR="00DE49C8" w:rsidRPr="00677CE8">
        <w:t xml:space="preserve"> </w:t>
      </w:r>
      <w:r w:rsidRPr="00677CE8">
        <w:t xml:space="preserve">row-vectorizes </w:t>
      </w:r>
      <w:r w:rsidR="00DE49C8" w:rsidRPr="00677CE8">
        <w:t xml:space="preserve">the unique and </w:t>
      </w:r>
      <w:r w:rsidRPr="00677CE8">
        <w:t>non-zero upper diagonal elements of a matrix. Then, the likelihood function for the individual may be written as:</w:t>
      </w:r>
    </w:p>
    <w:p w14:paraId="402C353C" w14:textId="56CF0BA7" w:rsidR="000E0C96" w:rsidRPr="00677CE8" w:rsidRDefault="00F41CCC" w:rsidP="00FB443B">
      <w:pPr>
        <w:tabs>
          <w:tab w:val="right" w:pos="9360"/>
        </w:tabs>
        <w:spacing w:before="120" w:after="120" w:line="240" w:lineRule="auto"/>
        <w:jc w:val="both"/>
      </w:pPr>
      <w:r w:rsidRPr="00FB443B">
        <w:rPr>
          <w:position w:val="-14"/>
        </w:rPr>
        <w:object w:dxaOrig="4180" w:dyaOrig="400" w14:anchorId="57DF4170">
          <v:shape id="_x0000_i1161" type="#_x0000_t75" style="width:208.45pt;height:20.1pt;mso-position-horizontal:absolute;mso-position-horizontal-relative:text;mso-position-vertical:absolute;mso-position-vertical-relative:text" o:ole="" o:preferrelative="f">
            <v:imagedata r:id="rId269" o:title=""/>
            <o:lock v:ext="edit" aspectratio="f"/>
          </v:shape>
          <o:OLEObject Type="Embed" ProgID="Equation.DSMT4" ShapeID="_x0000_i1161" DrawAspect="Content" ObjectID="_1851682091" r:id="rId270"/>
        </w:object>
      </w:r>
      <w:r w:rsidR="000E0C96" w:rsidRPr="00677CE8">
        <w:tab/>
      </w:r>
      <w:r w:rsidR="000E0C96" w:rsidRPr="00677CE8">
        <w:fldChar w:fldCharType="begin"/>
      </w:r>
      <w:r w:rsidR="000E0C96" w:rsidRPr="00677CE8">
        <w:instrText xml:space="preserve"> MACROBUTTON MTPlaceRef \* MERGEFORMAT </w:instrText>
      </w:r>
      <w:r w:rsidR="000E0C96" w:rsidRPr="00677CE8">
        <w:fldChar w:fldCharType="begin"/>
      </w:r>
      <w:r w:rsidR="000E0C96" w:rsidRPr="00677CE8">
        <w:instrText xml:space="preserve"> SEQ MTEqn \h \* MERGEFORMAT </w:instrText>
      </w:r>
      <w:r w:rsidR="000E0C96" w:rsidRPr="00677CE8">
        <w:fldChar w:fldCharType="end"/>
      </w:r>
      <w:bookmarkStart w:id="2" w:name="ZEqnNum466830"/>
      <w:r w:rsidR="000E0C96" w:rsidRPr="00677CE8">
        <w:instrText>(</w:instrText>
      </w:r>
      <w:fldSimple w:instr=" SEQ MTEqn \c \* Arabic \* MERGEFORMAT ">
        <w:r w:rsidR="00CF7AAF">
          <w:rPr>
            <w:noProof/>
          </w:rPr>
          <w:instrText>6</w:instrText>
        </w:r>
      </w:fldSimple>
      <w:r w:rsidR="000E0C96" w:rsidRPr="00677CE8">
        <w:instrText>)</w:instrText>
      </w:r>
      <w:bookmarkEnd w:id="2"/>
      <w:r w:rsidR="000E0C96" w:rsidRPr="00677CE8">
        <w:fldChar w:fldCharType="end"/>
      </w:r>
    </w:p>
    <w:p w14:paraId="7B031E54" w14:textId="4F50DE60" w:rsidR="000E0C96" w:rsidRPr="00677CE8" w:rsidRDefault="000E0C96" w:rsidP="007B293E">
      <w:pPr>
        <w:spacing w:after="0" w:line="240" w:lineRule="auto"/>
        <w:jc w:val="both"/>
      </w:pPr>
      <w:r w:rsidRPr="00677CE8">
        <w:t xml:space="preserve">where </w:t>
      </w:r>
      <w:r w:rsidR="00021884" w:rsidRPr="00FB443B">
        <w:rPr>
          <w:position w:val="-14"/>
        </w:rPr>
        <w:object w:dxaOrig="1520" w:dyaOrig="380" w14:anchorId="1D3E2473">
          <v:shape id="_x0000_i1162" type="#_x0000_t75" style="width:76.2pt;height:19.25pt" o:ole="">
            <v:imagedata r:id="rId271" o:title=""/>
          </v:shape>
          <o:OLEObject Type="Embed" ProgID="Equation.DSMT4" ShapeID="_x0000_i1162" DrawAspect="Content" ObjectID="_1851682092" r:id="rId272"/>
        </w:object>
      </w:r>
      <w:r w:rsidRPr="00677CE8">
        <w:t xml:space="preserve"> is the </w:t>
      </w:r>
      <w:r w:rsidR="00021884" w:rsidRPr="00677CE8">
        <w:rPr>
          <w:position w:val="-10"/>
        </w:rPr>
        <w:object w:dxaOrig="1120" w:dyaOrig="320" w14:anchorId="6B416F78">
          <v:shape id="_x0000_i1163" type="#_x0000_t75" style="width:56.1pt;height:15.9pt" o:ole="" o:preferrelative="f">
            <v:imagedata r:id="rId273" o:title=""/>
            <o:lock v:ext="edit" aspectratio="f"/>
          </v:shape>
          <o:OLEObject Type="Embed" ProgID="Equation.DSMT4" ShapeID="_x0000_i1163" DrawAspect="Content" ObjectID="_1851682093" r:id="rId274"/>
        </w:object>
      </w:r>
      <w:r w:rsidRPr="00677CE8">
        <w:t xml:space="preserve">-dimensional multivariate normal cumulative distribution function computed at the truncation point vector of </w:t>
      </w:r>
      <w:r w:rsidR="00021884" w:rsidRPr="00FB443B">
        <w:rPr>
          <w:position w:val="-6"/>
        </w:rPr>
        <w:object w:dxaOrig="200" w:dyaOrig="279" w14:anchorId="669A68DB">
          <v:shape id="_x0000_i1164" type="#_x0000_t75" style="width:10.05pt;height:13.4pt" o:ole="" o:preferrelative="f">
            <v:imagedata r:id="rId275" o:title=""/>
            <o:lock v:ext="edit" aspectratio="f"/>
          </v:shape>
          <o:OLEObject Type="Embed" ProgID="Equation.DSMT4" ShapeID="_x0000_i1164" DrawAspect="Content" ObjectID="_1851682094" r:id="rId276"/>
        </w:object>
      </w:r>
      <w:r w:rsidRPr="00677CE8">
        <w:t xml:space="preserve">, with mean </w:t>
      </w:r>
      <w:r w:rsidR="00021884" w:rsidRPr="00FB443B">
        <w:rPr>
          <w:position w:val="-10"/>
        </w:rPr>
        <w:object w:dxaOrig="200" w:dyaOrig="260" w14:anchorId="3892C6BB">
          <v:shape id="_x0000_i1165" type="#_x0000_t75" style="width:10.05pt;height:12.55pt" o:ole="" o:preferrelative="f">
            <v:imagedata r:id="rId277" o:title=""/>
            <o:lock v:ext="edit" aspectratio="f"/>
          </v:shape>
          <o:OLEObject Type="Embed" ProgID="Equation.DSMT4" ShapeID="_x0000_i1165" DrawAspect="Content" ObjectID="_1851682095" r:id="rId278"/>
        </w:object>
      </w:r>
      <w:r w:rsidRPr="00677CE8">
        <w:t xml:space="preserve"> and covariance matrix </w:t>
      </w:r>
      <w:r w:rsidR="00021884" w:rsidRPr="00FB443B">
        <w:rPr>
          <w:position w:val="-6"/>
        </w:rPr>
        <w:object w:dxaOrig="200" w:dyaOrig="220" w14:anchorId="040F22A3">
          <v:shape id="_x0000_i1166" type="#_x0000_t75" style="width:10.05pt;height:10.9pt" o:ole="" o:preferrelative="f">
            <v:imagedata r:id="rId279" o:title=""/>
            <o:lock v:ext="edit" aspectratio="f"/>
          </v:shape>
          <o:OLEObject Type="Embed" ProgID="Equation.DSMT4" ShapeID="_x0000_i1166" DrawAspect="Content" ObjectID="_1851682096" r:id="rId280"/>
        </w:object>
      </w:r>
      <w:r w:rsidRPr="00677CE8">
        <w:t xml:space="preserve">. The likelihood function for the entire sample of decision-makers is obtained as the product of the individual-level likelihood functions. </w:t>
      </w:r>
      <w:r w:rsidR="0048559B" w:rsidRPr="00677CE8">
        <w:t xml:space="preserve"> </w:t>
      </w:r>
      <w:r w:rsidRPr="00677CE8">
        <w:tab/>
      </w:r>
    </w:p>
    <w:p w14:paraId="2D073873" w14:textId="2E6AA1B2" w:rsidR="000E0C96" w:rsidRPr="00677CE8" w:rsidRDefault="000E0C96" w:rsidP="00DA7BF6">
      <w:pPr>
        <w:shd w:val="clear" w:color="auto" w:fill="FFFFFF"/>
        <w:spacing w:after="0" w:line="240" w:lineRule="auto"/>
        <w:jc w:val="both"/>
      </w:pPr>
      <w:r w:rsidRPr="00677CE8">
        <w:tab/>
        <w:t xml:space="preserve">Finally, because the estimated values of the latent constructs, </w:t>
      </w:r>
      <w:r w:rsidR="00021884" w:rsidRPr="00FB443B">
        <w:rPr>
          <w:position w:val="-4"/>
        </w:rPr>
        <w:object w:dxaOrig="260" w:dyaOrig="300" w14:anchorId="5F1892C2">
          <v:shape id="_x0000_i1167" type="#_x0000_t75" style="width:12.55pt;height:15.05pt" o:ole="" o:preferrelative="f">
            <v:imagedata r:id="rId281" o:title=""/>
            <o:lock v:ext="edit" aspectratio="f"/>
          </v:shape>
          <o:OLEObject Type="Embed" ProgID="Equation.DSMT4" ShapeID="_x0000_i1167" DrawAspect="Content" ObjectID="_1851682097" r:id="rId282"/>
        </w:object>
      </w:r>
      <w:r w:rsidRPr="00677CE8">
        <w:t xml:space="preserve">, are used as exogenous variables in the second stage of estimation, the covariance matrix of the parameters must be corrected. We apply the procedure suggested by </w:t>
      </w:r>
      <w:r w:rsidRPr="00677CE8">
        <w:fldChar w:fldCharType="begin"/>
      </w:r>
      <w:r w:rsidR="00B7697D" w:rsidRPr="00677CE8">
        <w:instrText xml:space="preserve"> ADDIN ZOTERO_ITEM CSL_CITATION {"citationID":"vhkqX5tR","properties":{"formattedCitation":"(Terza, 2016)","plainCitation":"(Terza, 2016)","noteIndex":0},"citationItems":[{"id":1565,"uris":["http://zotero.org/groups/6194892/items/QRXL8SUB"],"itemData":{"id":1565,"type":"webpage","DOI":"10.1177/1536867X1601600206","publisher":"The Strata Journal","title":"Simpler Standard Errors for Two-stage Optimization Estimators","URL":"https://journals.sagepub.com/doi/abs/10.1177/1536867X1601600206","author":[{"family":"Terza","given":"Joseph V."}],"accessed":{"date-parts":[["2026",4,5]]},"issued":{"date-parts":[["2016"]]}}}],"schema":"https://github.com/citation-style-language/schema/raw/master/csl-citation.json"} </w:instrText>
      </w:r>
      <w:r w:rsidRPr="00677CE8">
        <w:fldChar w:fldCharType="separate"/>
      </w:r>
      <w:r w:rsidR="00561EC0" w:rsidRPr="00677CE8">
        <w:t>(</w:t>
      </w:r>
      <w:r w:rsidR="00515A6F">
        <w:t xml:space="preserve">Murphy and Topel, 2002; </w:t>
      </w:r>
      <w:r w:rsidR="00561EC0" w:rsidRPr="00677CE8">
        <w:t>Terza, 2016)</w:t>
      </w:r>
      <w:r w:rsidRPr="00677CE8">
        <w:fldChar w:fldCharType="end"/>
      </w:r>
      <w:r w:rsidRPr="00677CE8">
        <w:t xml:space="preserve"> </w:t>
      </w:r>
      <w:r w:rsidR="00DA7BF6" w:rsidRPr="00677CE8">
        <w:t>to obtain the corrected asymptotic standard errors of this second stage estimator.</w:t>
      </w:r>
    </w:p>
    <w:p w14:paraId="1560421B" w14:textId="77777777" w:rsidR="00B95641" w:rsidRPr="00677CE8" w:rsidRDefault="00B95641" w:rsidP="00DA7BF6">
      <w:pPr>
        <w:shd w:val="clear" w:color="auto" w:fill="FFFFFF"/>
        <w:spacing w:after="0" w:line="240" w:lineRule="auto"/>
        <w:jc w:val="both"/>
      </w:pPr>
    </w:p>
    <w:p w14:paraId="4A126DEC" w14:textId="17706E66" w:rsidR="000E0C96" w:rsidRPr="00677CE8" w:rsidRDefault="000E0C96">
      <w:pPr>
        <w:pStyle w:val="Heading1"/>
        <w:numPr>
          <w:ilvl w:val="0"/>
          <w:numId w:val="7"/>
        </w:numPr>
        <w:tabs>
          <w:tab w:val="left" w:pos="270"/>
        </w:tabs>
        <w:spacing w:after="0" w:line="240" w:lineRule="auto"/>
      </w:pPr>
      <w:r w:rsidRPr="00677CE8">
        <w:t>DATA DESCRIPTION</w:t>
      </w:r>
    </w:p>
    <w:p w14:paraId="67D2D525" w14:textId="5D5ABAD2" w:rsidR="00E82D60" w:rsidRPr="00677CE8" w:rsidRDefault="000E0C96" w:rsidP="007B293E">
      <w:pPr>
        <w:pStyle w:val="Heading2"/>
        <w:spacing w:after="0" w:line="240" w:lineRule="auto"/>
        <w:jc w:val="both"/>
      </w:pPr>
      <w:r w:rsidRPr="00677CE8">
        <w:t>4</w:t>
      </w:r>
      <w:r w:rsidR="00994620" w:rsidRPr="00677CE8">
        <w:t xml:space="preserve">.1 </w:t>
      </w:r>
      <w:r w:rsidRPr="00677CE8">
        <w:t>Survey Characteristics</w:t>
      </w:r>
    </w:p>
    <w:p w14:paraId="129CBB1F" w14:textId="7077941A" w:rsidR="009D6F07" w:rsidRPr="00677CE8" w:rsidRDefault="00DC757C" w:rsidP="007B293E">
      <w:pPr>
        <w:spacing w:after="0" w:line="240" w:lineRule="auto"/>
        <w:jc w:val="both"/>
      </w:pPr>
      <w:r w:rsidRPr="00677CE8">
        <w:t xml:space="preserve">The data </w:t>
      </w:r>
      <w:r w:rsidR="00893044" w:rsidRPr="00677CE8">
        <w:t xml:space="preserve">for </w:t>
      </w:r>
      <w:r w:rsidRPr="00677CE8">
        <w:t xml:space="preserve">this study </w:t>
      </w:r>
      <w:r w:rsidR="00641FCA" w:rsidRPr="00677CE8">
        <w:t xml:space="preserve">were collected using </w:t>
      </w:r>
      <w:r w:rsidR="00894FA1" w:rsidRPr="00677CE8">
        <w:t>an</w:t>
      </w:r>
      <w:r w:rsidR="00641FCA" w:rsidRPr="00677CE8">
        <w:t xml:space="preserve"> online survey </w:t>
      </w:r>
      <w:r w:rsidR="00C51089" w:rsidRPr="00677CE8">
        <w:t>distributed</w:t>
      </w:r>
      <w:r w:rsidR="00641FCA" w:rsidRPr="00677CE8">
        <w:t xml:space="preserve"> </w:t>
      </w:r>
      <w:r w:rsidR="00894FA1" w:rsidRPr="00677CE8">
        <w:t>predomina</w:t>
      </w:r>
      <w:r w:rsidR="00893044" w:rsidRPr="00677CE8">
        <w:t>ntly</w:t>
      </w:r>
      <w:r w:rsidR="002E6B55" w:rsidRPr="00677CE8">
        <w:t xml:space="preserve">, although not exclusively, </w:t>
      </w:r>
      <w:r w:rsidR="00894FA1" w:rsidRPr="00677CE8">
        <w:t>within</w:t>
      </w:r>
      <w:r w:rsidRPr="00677CE8">
        <w:t xml:space="preserve"> Texas </w:t>
      </w:r>
      <w:r w:rsidR="00FB42FD" w:rsidRPr="00677CE8">
        <w:t xml:space="preserve">between </w:t>
      </w:r>
      <w:proofErr w:type="gramStart"/>
      <w:r w:rsidR="00FB42FD" w:rsidRPr="00677CE8">
        <w:t>March,</w:t>
      </w:r>
      <w:proofErr w:type="gramEnd"/>
      <w:r w:rsidR="00FB42FD" w:rsidRPr="00677CE8">
        <w:t xml:space="preserve"> 2025 and </w:t>
      </w:r>
      <w:proofErr w:type="gramStart"/>
      <w:r w:rsidR="00FB42FD" w:rsidRPr="00677CE8">
        <w:t>October,</w:t>
      </w:r>
      <w:proofErr w:type="gramEnd"/>
      <w:r w:rsidR="00FB42FD" w:rsidRPr="00677CE8">
        <w:t xml:space="preserve"> 2025</w:t>
      </w:r>
      <w:r w:rsidRPr="00677CE8">
        <w:t>.</w:t>
      </w:r>
      <w:r w:rsidR="00641FCA" w:rsidRPr="00677CE8">
        <w:t xml:space="preserve"> </w:t>
      </w:r>
      <w:r w:rsidR="006D64EC" w:rsidRPr="00677CE8">
        <w:t xml:space="preserve">The sampling approach was largely convenience </w:t>
      </w:r>
      <w:r w:rsidR="00650336" w:rsidRPr="00677CE8">
        <w:t>based</w:t>
      </w:r>
      <w:r w:rsidR="00FB42FD" w:rsidRPr="00677CE8">
        <w:t>, with distribution through social media and flyers, as well as through</w:t>
      </w:r>
      <w:r w:rsidR="002D5010" w:rsidRPr="00677CE8">
        <w:t xml:space="preserve"> the</w:t>
      </w:r>
      <w:r w:rsidR="00FB42FD" w:rsidRPr="00677CE8">
        <w:t xml:space="preserve"> email</w:t>
      </w:r>
      <w:r w:rsidR="002D5010" w:rsidRPr="00677CE8">
        <w:t xml:space="preserve"> networks of </w:t>
      </w:r>
      <w:r w:rsidR="00FB42FD" w:rsidRPr="00677CE8">
        <w:t>community and neighborhood associations</w:t>
      </w:r>
      <w:r w:rsidR="006D64EC" w:rsidRPr="00677CE8">
        <w:t xml:space="preserve"> in Austin, Dalla</w:t>
      </w:r>
      <w:r w:rsidR="00FB42FD" w:rsidRPr="00677CE8">
        <w:t>s</w:t>
      </w:r>
      <w:r w:rsidR="006D64EC" w:rsidRPr="00677CE8">
        <w:t>, Houston, San Antonio</w:t>
      </w:r>
      <w:r w:rsidR="00576BB1" w:rsidRPr="00677CE8">
        <w:t>, Lancaster, and Waco</w:t>
      </w:r>
      <w:r w:rsidR="002D5010" w:rsidRPr="00677CE8">
        <w:t xml:space="preserve">, enabling participation from </w:t>
      </w:r>
      <w:r w:rsidR="006D64EC" w:rsidRPr="00677CE8">
        <w:t xml:space="preserve">respondents across the state. </w:t>
      </w:r>
      <w:r w:rsidR="004F0A4B" w:rsidRPr="00677CE8">
        <w:t>In addition to the 890 responses collected within Texas,</w:t>
      </w:r>
      <w:r w:rsidR="0026387C" w:rsidRPr="00677CE8">
        <w:t xml:space="preserve"> </w:t>
      </w:r>
      <w:r w:rsidR="002E6B55" w:rsidRPr="00677CE8">
        <w:t>173 responses</w:t>
      </w:r>
      <w:r w:rsidR="00893044" w:rsidRPr="00677CE8">
        <w:t xml:space="preserve"> originated </w:t>
      </w:r>
      <w:r w:rsidR="002E6B55" w:rsidRPr="00677CE8">
        <w:t>from outside of Texas, reached by partners at the University of California Irvina and Iowa State University who aided in sample distribution.</w:t>
      </w:r>
      <w:r w:rsidR="0026387C" w:rsidRPr="00677CE8">
        <w:t xml:space="preserve"> </w:t>
      </w:r>
      <w:r w:rsidR="00576BB1" w:rsidRPr="00677CE8">
        <w:t xml:space="preserve">As an incentive, the first 150 participants were provided with a $10 e-gift </w:t>
      </w:r>
      <w:r w:rsidR="002D5010" w:rsidRPr="00677CE8">
        <w:t>card,</w:t>
      </w:r>
      <w:r w:rsidR="00576BB1" w:rsidRPr="00677CE8">
        <w:t xml:space="preserve"> and all subsequent participants were entered into a lottery for one of an additional 100 $10 e-gift cards. </w:t>
      </w:r>
      <w:r w:rsidR="006D64EC" w:rsidRPr="00677CE8">
        <w:t xml:space="preserve">This </w:t>
      </w:r>
      <w:r w:rsidR="00576BB1" w:rsidRPr="00677CE8">
        <w:t xml:space="preserve">approach </w:t>
      </w:r>
      <w:r w:rsidR="006D64EC" w:rsidRPr="00677CE8">
        <w:t xml:space="preserve">resulted in an overall </w:t>
      </w:r>
      <w:r w:rsidR="00C0371A" w:rsidRPr="00677CE8">
        <w:t>sample size of 1,063 respondents</w:t>
      </w:r>
      <w:r w:rsidR="00576BB1" w:rsidRPr="00677CE8">
        <w:t xml:space="preserve">. </w:t>
      </w:r>
      <w:r w:rsidR="00893044" w:rsidRPr="00677CE8">
        <w:t>A</w:t>
      </w:r>
      <w:r w:rsidR="00576BB1" w:rsidRPr="00677CE8">
        <w:t xml:space="preserve">dditional </w:t>
      </w:r>
      <w:r w:rsidR="00893044" w:rsidRPr="00677CE8">
        <w:t xml:space="preserve">residence-based neighborhood attributes from </w:t>
      </w:r>
      <w:r w:rsidR="00576BB1" w:rsidRPr="00677CE8">
        <w:t xml:space="preserve">the </w:t>
      </w:r>
      <w:r w:rsidR="009D6F07" w:rsidRPr="00677CE8">
        <w:t>202</w:t>
      </w:r>
      <w:r w:rsidR="00D77D88" w:rsidRPr="00677CE8">
        <w:t>3</w:t>
      </w:r>
      <w:r w:rsidR="009D6F07" w:rsidRPr="00677CE8">
        <w:t xml:space="preserve"> </w:t>
      </w:r>
      <w:r w:rsidR="00D77D88" w:rsidRPr="00677CE8">
        <w:t>American Communities Survey (ACS) Community Business Profile (CBP) database</w:t>
      </w:r>
      <w:r w:rsidR="00481409" w:rsidRPr="00677CE8">
        <w:t xml:space="preserve"> </w:t>
      </w:r>
      <w:r w:rsidR="00867D52" w:rsidRPr="00677CE8">
        <w:fldChar w:fldCharType="begin"/>
      </w:r>
      <w:r w:rsidR="00867D52" w:rsidRPr="00677CE8">
        <w:instrText xml:space="preserve"> ADDIN ZOTERO_ITEM CSL_CITATION {"citationID":"ZQPHcDGI","properties":{"unsorted":false,"formattedCitation":"(United States Census Bureau, 2023)","plainCitation":"(United States Census Bureau, 2023)","noteIndex":0},"citationItems":[{"id":2227,"uris":["http://zotero.org/groups/6194892/items/X4DHETGC"],"itemData":{"id":2227,"type":"webpage","abstract":"Provides subnational economic data by industry, including the number of establishments, employment, first quarter payroll, and annual payroll.","container-title":"Census.gov","language":"en","note":"section: Government","publisher":"United States Census Bureau","title":"County Business Patterns","URL":"https://www.census.gov/programs-surveys/cbp.html","accessed":{"date-parts":[["2026",7,18]]},"issued":{"date-parts":[["2023"]]}}}],"schema":"https://github.com/citation-style-language/schema/raw/master/csl-citation.json"} </w:instrText>
      </w:r>
      <w:r w:rsidR="00867D52" w:rsidRPr="00677CE8">
        <w:fldChar w:fldCharType="separate"/>
      </w:r>
      <w:r w:rsidR="00867D52" w:rsidRPr="00677CE8">
        <w:t>(United States Census Bureau, 2023)</w:t>
      </w:r>
      <w:r w:rsidR="00867D52" w:rsidRPr="00677CE8">
        <w:fldChar w:fldCharType="end"/>
      </w:r>
      <w:r w:rsidR="00A15214" w:rsidRPr="00677CE8">
        <w:t xml:space="preserve"> </w:t>
      </w:r>
      <w:r w:rsidR="00893044" w:rsidRPr="00677CE8">
        <w:t xml:space="preserve">were appended </w:t>
      </w:r>
      <w:r w:rsidR="009D6F07" w:rsidRPr="00677CE8">
        <w:t xml:space="preserve">based on respondent zip code. After cleaning and appending </w:t>
      </w:r>
      <w:r w:rsidR="00B85667" w:rsidRPr="00677CE8">
        <w:t xml:space="preserve">neighborhood </w:t>
      </w:r>
      <w:r w:rsidR="009D6F07" w:rsidRPr="00677CE8">
        <w:t xml:space="preserve">data, the final sample size </w:t>
      </w:r>
      <w:r w:rsidR="00B85667" w:rsidRPr="00677CE8">
        <w:t xml:space="preserve">for analysis comprised </w:t>
      </w:r>
      <w:r w:rsidR="009D6F07" w:rsidRPr="00677CE8">
        <w:t>1,057 respondent</w:t>
      </w:r>
      <w:r w:rsidR="00B85667" w:rsidRPr="00677CE8">
        <w:t>s</w:t>
      </w:r>
      <w:r w:rsidR="009D6F07" w:rsidRPr="00677CE8">
        <w:t xml:space="preserve">. </w:t>
      </w:r>
    </w:p>
    <w:p w14:paraId="165C275B" w14:textId="4B4E8527" w:rsidR="000B5145" w:rsidRPr="00677CE8" w:rsidRDefault="000B5145" w:rsidP="000B5145">
      <w:pPr>
        <w:spacing w:after="0" w:line="240" w:lineRule="auto"/>
        <w:ind w:firstLine="720"/>
        <w:jc w:val="both"/>
      </w:pPr>
      <w:r w:rsidRPr="00677CE8">
        <w:lastRenderedPageBreak/>
        <w:t xml:space="preserve">The survey design and development benefited from discussions and feedback received from key industry and public agency stakeholders, including Movability (a Central Texas Transportation Management Association), Capital Metro (the Austin public transportation provider), the Austin Justice Coalition, the Austin Urban Technology Movement (community non-profit organizations), the City of Austin, and the Texas Department of Transportation. These stakeholders provided insights into how UAM is being developed and envisioned, and key information that would aid in the assessment of adoption intentions. Informed by these discussions, the survey instrument contained sections designed to elicit information on exogenous variables (see Section 4.2), a set of indicators to develop individual-level latent constructs embodying attitudes and life-style preferences (discussed in Section 4.3), and responses to the human UAM </w:t>
      </w:r>
      <w:r w:rsidR="00964A21" w:rsidRPr="00677CE8">
        <w:t>SP</w:t>
      </w:r>
      <w:r w:rsidRPr="00677CE8">
        <w:t xml:space="preserve"> experiments (constituting the main endogenous outcome</w:t>
      </w:r>
      <w:r w:rsidR="00774FE2" w:rsidRPr="00677CE8">
        <w:t>s</w:t>
      </w:r>
      <w:r w:rsidRPr="00677CE8">
        <w:t xml:space="preserve">; see Section 4.4). </w:t>
      </w:r>
    </w:p>
    <w:p w14:paraId="331237F0" w14:textId="77777777" w:rsidR="000B5145" w:rsidRPr="00677CE8" w:rsidRDefault="000B5145" w:rsidP="000B5145">
      <w:pPr>
        <w:spacing w:after="0" w:line="240" w:lineRule="auto"/>
        <w:ind w:firstLine="720"/>
        <w:jc w:val="both"/>
      </w:pPr>
    </w:p>
    <w:p w14:paraId="7FCB6A90" w14:textId="66480E4C" w:rsidR="000B5145" w:rsidRPr="00677CE8" w:rsidRDefault="000B5145" w:rsidP="000B5145">
      <w:pPr>
        <w:pStyle w:val="Heading2"/>
        <w:spacing w:after="0" w:line="240" w:lineRule="auto"/>
        <w:jc w:val="both"/>
      </w:pPr>
      <w:r w:rsidRPr="00677CE8">
        <w:t>4.2 Exogenous Variables</w:t>
      </w:r>
    </w:p>
    <w:p w14:paraId="39C4238E" w14:textId="03B4CBBF" w:rsidR="000B5145" w:rsidRPr="00677CE8" w:rsidRDefault="000B5145" w:rsidP="000B5145">
      <w:pPr>
        <w:spacing w:after="0" w:line="240" w:lineRule="auto"/>
        <w:jc w:val="both"/>
      </w:pPr>
      <w:r w:rsidRPr="00677CE8">
        <w:t xml:space="preserve">As outlined in </w:t>
      </w:r>
      <w:r w:rsidR="00964A21" w:rsidRPr="00677CE8">
        <w:t>S</w:t>
      </w:r>
      <w:r w:rsidRPr="00677CE8">
        <w:t xml:space="preserve">ection 3.1, the exogenous variables used to predict the ranked mode choice outcomes include both contextual characteristics (service attributes and trip context) corresponding to the </w:t>
      </w:r>
      <w:r w:rsidR="00964A21" w:rsidRPr="00677CE8">
        <w:t>SP</w:t>
      </w:r>
      <w:r w:rsidRPr="00677CE8">
        <w:t xml:space="preserve"> scenarios, and individual-level characteristics (demographic characteristics). Table 2 summarizes the contextual characteristics included in the experimental design along with their corresponding levels which varied across scenarios. Because UAM services constitute an emerging technology that may be unfamiliar to many respondents, background information and descriptions were provided to add context to the UAM attributes and their associated levels. For instance, to help participants understand the different levels of noise, we presented noise-level comparisons to familiar sounds (for example, noise equivalent to “a heavy truck or motorcycle,” “moderate car traffic,” or “a quiet outdoor environment”). Similarly, to help participants visualize different UAM flight altitudes, we used images generated from a virtual reality simulation providing the view from the vehicle at each altitude (see the images embedded in Table </w:t>
      </w:r>
      <w:r w:rsidR="002C52B5" w:rsidRPr="00677CE8">
        <w:t>2</w:t>
      </w:r>
      <w:r w:rsidRPr="00677CE8">
        <w:t xml:space="preserve"> in the row labeled “</w:t>
      </w:r>
      <w:r w:rsidR="00D52F1B">
        <w:t xml:space="preserve">UAM Flight </w:t>
      </w:r>
      <w:r w:rsidRPr="00677CE8">
        <w:t xml:space="preserve">Altitude”). </w:t>
      </w:r>
    </w:p>
    <w:p w14:paraId="3EDBA8BD" w14:textId="6DCD3410" w:rsidR="000B5145" w:rsidRPr="00677CE8" w:rsidRDefault="000B5145" w:rsidP="000B5145">
      <w:pPr>
        <w:spacing w:after="0" w:line="240" w:lineRule="auto"/>
        <w:ind w:left="-5" w:right="-12"/>
        <w:jc w:val="both"/>
      </w:pPr>
      <w:r w:rsidRPr="00677CE8">
        <w:tab/>
      </w:r>
      <w:r w:rsidRPr="00677CE8">
        <w:tab/>
        <w:t xml:space="preserve">To effectively examine the large number of service attributes identified as potentially influential, a blocked survey structure was employed. In each scenario, the five following key modal service attributes were always presented: (a) in-vehicle travel time (based on speed in the experimental design and a specified scenario trip </w:t>
      </w:r>
      <w:r w:rsidR="00194F31" w:rsidRPr="00677CE8">
        <w:t>distance</w:t>
      </w:r>
      <w:r w:rsidRPr="00677CE8">
        <w:t xml:space="preserve">), (b) waiting time, (c) </w:t>
      </w:r>
      <w:r w:rsidR="00AF0356" w:rsidRPr="00677CE8">
        <w:t>distance to pick-up/drop-off locations</w:t>
      </w:r>
      <w:r w:rsidRPr="00677CE8">
        <w:t>, (d)</w:t>
      </w:r>
      <w:r w:rsidR="00AF0356" w:rsidRPr="00677CE8">
        <w:t xml:space="preserve"> cost</w:t>
      </w:r>
      <w:r w:rsidRPr="00677CE8">
        <w:t xml:space="preserve">, and (e) </w:t>
      </w:r>
      <w:r w:rsidR="00194F31" w:rsidRPr="00677CE8">
        <w:t xml:space="preserve">UAM </w:t>
      </w:r>
      <w:r w:rsidRPr="00677CE8">
        <w:t>flight altitude (please see the attribute listing in Table 2)</w:t>
      </w:r>
      <w:r w:rsidR="00274B64" w:rsidRPr="00677CE8">
        <w:t xml:space="preserve">. </w:t>
      </w:r>
      <w:r w:rsidRPr="00677CE8">
        <w:t>In addition</w:t>
      </w:r>
      <w:r w:rsidR="00A576C4" w:rsidRPr="00677CE8">
        <w:t xml:space="preserve">, each scenario presented </w:t>
      </w:r>
      <w:r w:rsidRPr="00677CE8">
        <w:t>a subset of three additional service attributes, selected from a larger list of the following eight service attributes</w:t>
      </w:r>
      <w:r w:rsidR="00A576C4" w:rsidRPr="00677CE8">
        <w:t>:</w:t>
      </w:r>
      <w:r w:rsidRPr="00677CE8">
        <w:t xml:space="preserve"> (i) </w:t>
      </w:r>
      <w:r w:rsidR="008333D4" w:rsidRPr="00677CE8">
        <w:t>UAM</w:t>
      </w:r>
      <w:r w:rsidRPr="00677CE8">
        <w:t xml:space="preserve"> availability, with variation in the availability of the two UAM modes based on weather conditions (clear </w:t>
      </w:r>
      <w:proofErr w:type="spellStart"/>
      <w:r w:rsidRPr="00677CE8">
        <w:t>weather</w:t>
      </w:r>
      <w:proofErr w:type="spellEnd"/>
      <w:r w:rsidRPr="00677CE8">
        <w:t xml:space="preserve"> or not), (ii)</w:t>
      </w:r>
      <w:r w:rsidR="00194F31" w:rsidRPr="00677CE8">
        <w:t xml:space="preserve"> n</w:t>
      </w:r>
      <w:r w:rsidRPr="00677CE8">
        <w:t xml:space="preserve">oise level, with variation in the noise level for the UAM modes (iii) UAM </w:t>
      </w:r>
      <w:r w:rsidR="00621405" w:rsidRPr="00677CE8">
        <w:t>in-flight experience</w:t>
      </w:r>
      <w:r w:rsidRPr="00677CE8">
        <w:t xml:space="preserve">, (iv) environmental sustainability, (v) UAM </w:t>
      </w:r>
      <w:r w:rsidR="00F3557E">
        <w:t xml:space="preserve">crash-related </w:t>
      </w:r>
      <w:r w:rsidRPr="00677CE8">
        <w:t>safety (relative to ground vehicles), (vi) in-vehicle personal safety monitoring, (vii)</w:t>
      </w:r>
      <w:r w:rsidR="00556040" w:rsidRPr="00677CE8">
        <w:t xml:space="preserve"> UAM pre-boarding security screening,</w:t>
      </w:r>
      <w:r w:rsidR="005B1DA0" w:rsidRPr="00677CE8">
        <w:t xml:space="preserve"> and (viii)</w:t>
      </w:r>
      <w:r w:rsidRPr="00677CE8">
        <w:t xml:space="preserve"> </w:t>
      </w:r>
      <w:r w:rsidR="00556040" w:rsidRPr="00677CE8">
        <w:t xml:space="preserve">level of automation </w:t>
      </w:r>
      <w:r w:rsidR="00A576C4" w:rsidRPr="00677CE8">
        <w:t>(please see the attribute listing in Table 2).</w:t>
      </w:r>
      <w:r w:rsidR="008333D4" w:rsidRPr="00677CE8">
        <w:t xml:space="preserve"> Two trip context variables, the trip purpose and trip distance (provided at the end of </w:t>
      </w:r>
      <w:r w:rsidR="00D44E3F">
        <w:t>T</w:t>
      </w:r>
      <w:r w:rsidR="008333D4" w:rsidRPr="00677CE8">
        <w:t>able 2), were also included in every scenario.</w:t>
      </w:r>
    </w:p>
    <w:p w14:paraId="71AD3A2F" w14:textId="2B15B738" w:rsidR="008171DB" w:rsidRPr="00677CE8" w:rsidRDefault="00A576C4" w:rsidP="008171DB">
      <w:pPr>
        <w:spacing w:after="0" w:line="240" w:lineRule="auto"/>
        <w:ind w:left="-5" w:right="-12" w:firstLine="725"/>
        <w:jc w:val="both"/>
      </w:pPr>
      <w:r w:rsidRPr="00677CE8">
        <w:t>In total, e</w:t>
      </w:r>
      <w:r w:rsidR="008171DB" w:rsidRPr="00677CE8">
        <w:t xml:space="preserve">ach scenario comprised </w:t>
      </w:r>
      <w:r w:rsidR="00194F31" w:rsidRPr="00677CE8">
        <w:t>ten</w:t>
      </w:r>
      <w:r w:rsidR="008171DB" w:rsidRPr="00677CE8">
        <w:t xml:space="preserve"> variables</w:t>
      </w:r>
      <w:r w:rsidR="00194F31" w:rsidRPr="00677CE8">
        <w:t xml:space="preserve"> (eight service attributes and two trip context variables)</w:t>
      </w:r>
      <w:r w:rsidR="008171DB" w:rsidRPr="00677CE8">
        <w:t xml:space="preserve">, as discussed above, with the attribute level combination set across these variables developed based on an orthogonal design to construct 64 unique scenarios, with emphasis on isolating the main effects and two-level interactions. The scenarios also generated realistic attributes for each mode, while providing good variation in the attribute levels between scenarios. Additionally, attribute level combinations were tailored to maintain consistency across modal alternatives (such as providing a consistent flight altitude for both aerial modes). The 64 scenarios </w:t>
      </w:r>
      <w:r w:rsidR="008171DB" w:rsidRPr="00677CE8">
        <w:lastRenderedPageBreak/>
        <w:t xml:space="preserve">were then grouped into 32 blocks of two scenarios each such that both scenarios within a block presented the same set of attributes (but with varying levels). Subsequently, a randomization feature in the survey platform was invoked to present a single block of two </w:t>
      </w:r>
      <w:r w:rsidR="00964A21" w:rsidRPr="00677CE8">
        <w:t>SP</w:t>
      </w:r>
      <w:r w:rsidR="008171DB" w:rsidRPr="00677CE8">
        <w:t xml:space="preserve"> scenarios to each participant. </w:t>
      </w:r>
    </w:p>
    <w:p w14:paraId="6CE1C384" w14:textId="18088DD0" w:rsidR="008171DB" w:rsidRPr="00677CE8" w:rsidRDefault="008171DB" w:rsidP="00194F31">
      <w:pPr>
        <w:spacing w:after="0" w:line="240" w:lineRule="auto"/>
        <w:ind w:left="-5" w:right="-12" w:firstLine="725"/>
        <w:jc w:val="both"/>
      </w:pPr>
      <w:r w:rsidRPr="00677CE8">
        <w:t xml:space="preserve">In addition to </w:t>
      </w:r>
      <w:r w:rsidR="00194F31" w:rsidRPr="00677CE8">
        <w:t>these scenario design-related exogenous variables</w:t>
      </w:r>
      <w:r w:rsidRPr="00677CE8">
        <w:t xml:space="preserve">, demographic characteristics were also collected. These included individual demographics (gender, age, </w:t>
      </w:r>
      <w:r w:rsidR="00437F92" w:rsidRPr="00677CE8">
        <w:t xml:space="preserve">level of </w:t>
      </w:r>
      <w:r w:rsidRPr="00677CE8">
        <w:t>education, race, ethnicity, and employment status</w:t>
      </w:r>
      <w:r w:rsidR="00706CAD" w:rsidRPr="00677CE8">
        <w:t>;</w:t>
      </w:r>
      <w:r w:rsidRPr="00677CE8">
        <w:t xml:space="preserve"> </w:t>
      </w:r>
      <w:r w:rsidR="00F72619" w:rsidRPr="00677CE8">
        <w:t>shown in</w:t>
      </w:r>
      <w:r w:rsidRPr="00677CE8">
        <w:t xml:space="preserve"> the left panel of Table</w:t>
      </w:r>
      <w:r w:rsidR="000D4094" w:rsidRPr="00677CE8">
        <w:t xml:space="preserve"> </w:t>
      </w:r>
      <w:r w:rsidR="006349F4" w:rsidRPr="00677CE8">
        <w:t>3</w:t>
      </w:r>
      <w:r w:rsidR="000D4094" w:rsidRPr="00677CE8">
        <w:t>)</w:t>
      </w:r>
      <w:r w:rsidRPr="00677CE8">
        <w:t xml:space="preserve"> and household demographics (</w:t>
      </w:r>
      <w:r w:rsidR="00774FE2" w:rsidRPr="00677CE8">
        <w:t xml:space="preserve">household </w:t>
      </w:r>
      <w:r w:rsidRPr="00677CE8">
        <w:t>income, housing type, housing tenure, residential location,</w:t>
      </w:r>
      <w:r w:rsidR="00774FE2" w:rsidRPr="00677CE8">
        <w:t xml:space="preserve"> household</w:t>
      </w:r>
      <w:r w:rsidRPr="00677CE8">
        <w:t xml:space="preserve"> </w:t>
      </w:r>
      <w:r w:rsidR="005F5B7A" w:rsidRPr="00677CE8">
        <w:t xml:space="preserve">composition, </w:t>
      </w:r>
      <w:r w:rsidR="00774FE2" w:rsidRPr="00677CE8">
        <w:t>household s</w:t>
      </w:r>
      <w:r w:rsidR="005F5B7A" w:rsidRPr="00677CE8">
        <w:t>ize</w:t>
      </w:r>
      <w:r w:rsidR="00AB02DC" w:rsidRPr="00677CE8">
        <w:t>,</w:t>
      </w:r>
      <w:r w:rsidRPr="00677CE8">
        <w:t xml:space="preserve"> number of motorized vehicles</w:t>
      </w:r>
      <w:r w:rsidR="00774FE2" w:rsidRPr="00677CE8">
        <w:t xml:space="preserve"> in household, and state of residence</w:t>
      </w:r>
      <w:r w:rsidR="00706CAD" w:rsidRPr="00677CE8">
        <w:t>;</w:t>
      </w:r>
      <w:r w:rsidR="000D4094" w:rsidRPr="00677CE8">
        <w:t xml:space="preserve"> </w:t>
      </w:r>
      <w:r w:rsidR="00F72619" w:rsidRPr="00677CE8">
        <w:t>shown in</w:t>
      </w:r>
      <w:r w:rsidR="000D4094" w:rsidRPr="00677CE8">
        <w:t xml:space="preserve"> the right panel of Table </w:t>
      </w:r>
      <w:r w:rsidR="00706CAD" w:rsidRPr="00677CE8">
        <w:t>3</w:t>
      </w:r>
      <w:r w:rsidRPr="00677CE8">
        <w:t>). Descriptive statistics of these variables are summarized in Table </w:t>
      </w:r>
      <w:r w:rsidR="00706CAD" w:rsidRPr="00677CE8">
        <w:t>3</w:t>
      </w:r>
      <w:r w:rsidRPr="00677CE8">
        <w:t xml:space="preserve"> alongside corresponding American Community Survey (ACS) 2023 one‑year estimates for the state of Texas. While the survey sample and state‑level population are not directly comparable due to the inclusion of out-of-state respondents in the sample, ACS estimates are included as a reference point for evaluating sample composition given that </w:t>
      </w:r>
      <w:proofErr w:type="gramStart"/>
      <w:r w:rsidRPr="00677CE8">
        <w:t>a majority of</w:t>
      </w:r>
      <w:proofErr w:type="gramEnd"/>
      <w:r w:rsidRPr="00677CE8">
        <w:t xml:space="preserve"> respondents (83.6%) were </w:t>
      </w:r>
      <w:r w:rsidR="00774FE2" w:rsidRPr="00677CE8">
        <w:t>Texas residents</w:t>
      </w:r>
      <w:r w:rsidRPr="00677CE8">
        <w:t xml:space="preserve">. Relative to state‑level ACS estimates, the sample overrepresents men and young people (18-23 and 25-34 age groups), those holding a </w:t>
      </w:r>
      <w:r w:rsidR="00B61852">
        <w:t>b</w:t>
      </w:r>
      <w:r w:rsidRPr="00677CE8">
        <w:t xml:space="preserve">achelor’s degree or higher, </w:t>
      </w:r>
      <w:r w:rsidR="00556040" w:rsidRPr="00677CE8">
        <w:t>W</w:t>
      </w:r>
      <w:r w:rsidRPr="00677CE8">
        <w:t>hite individuals, and students and individuals in the “</w:t>
      </w:r>
      <w:r w:rsidR="00556040" w:rsidRPr="00677CE8">
        <w:t>o</w:t>
      </w:r>
      <w:r w:rsidRPr="00677CE8">
        <w:t>ther” employment category (including those who selected volunteer, homemaker/caregiver, unemployed, or “other” to represent their employment status). In contrast, older individuals (55-64 and 65+ age groups), Hispanic individuals, and those in the “other” race category (including mixed race individuals, and races not represented by the other categories) are underrepresented within the sample. At the household level, there is an overrepresentation of high-income households (with incomes greater than $100,000), while medium income households ($35,000-$100,000), households living in single family (detached) homes, and single adult households are underrepresented. Finally, residential location</w:t>
      </w:r>
      <w:r w:rsidR="00774FE2" w:rsidRPr="00677CE8">
        <w:t xml:space="preserve"> and state of residence</w:t>
      </w:r>
      <w:r w:rsidRPr="00677CE8">
        <w:t xml:space="preserve"> </w:t>
      </w:r>
      <w:r w:rsidR="00774FE2" w:rsidRPr="00677CE8">
        <w:t>were</w:t>
      </w:r>
      <w:r w:rsidRPr="00677CE8">
        <w:t xml:space="preserve"> classified based on </w:t>
      </w:r>
      <w:r w:rsidR="00774FE2" w:rsidRPr="00677CE8">
        <w:t>respondents’ zip codes, with population density value appended from the</w:t>
      </w:r>
      <w:r w:rsidRPr="00677CE8">
        <w:t xml:space="preserve"> ACS CBP </w:t>
      </w:r>
      <w:r w:rsidR="00774FE2" w:rsidRPr="00677CE8">
        <w:t>dataset</w:t>
      </w:r>
      <w:r w:rsidRPr="00677CE8">
        <w:t xml:space="preserve">. </w:t>
      </w:r>
      <w:r w:rsidR="00774FE2" w:rsidRPr="00677CE8">
        <w:t xml:space="preserve">To categorize population densities, the sample was grouped </w:t>
      </w:r>
      <w:r w:rsidRPr="00677CE8">
        <w:t>approximately into thirds, with respondents categorized as residing in low-density areas (less than 6,600 persons per square mile), medium-density areas (6,600–15,999 persons per square mile), or high-density areas (16,000+ persons per square mile). Data is not readily available from the ACS regarding</w:t>
      </w:r>
      <w:r w:rsidR="001B4E98" w:rsidRPr="00677CE8">
        <w:t xml:space="preserve"> other gender identities,</w:t>
      </w:r>
      <w:r w:rsidRPr="00677CE8">
        <w:t xml:space="preserve"> residential location</w:t>
      </w:r>
      <w:r w:rsidR="001B4E98" w:rsidRPr="00677CE8">
        <w:t>,</w:t>
      </w:r>
      <w:r w:rsidRPr="00677CE8">
        <w:t xml:space="preserve"> </w:t>
      </w:r>
      <w:r w:rsidR="00774FE2" w:rsidRPr="00677CE8">
        <w:t xml:space="preserve">or </w:t>
      </w:r>
      <w:r w:rsidRPr="00677CE8">
        <w:t>the presence of children under 13 years in the household</w:t>
      </w:r>
      <w:r w:rsidR="00774FE2" w:rsidRPr="00677CE8">
        <w:t>.</w:t>
      </w:r>
    </w:p>
    <w:p w14:paraId="1389B95A" w14:textId="23B254F9" w:rsidR="000B5145" w:rsidRPr="00677CE8" w:rsidRDefault="000B5145" w:rsidP="000B5145">
      <w:pPr>
        <w:spacing w:after="0" w:line="240" w:lineRule="auto"/>
        <w:jc w:val="both"/>
      </w:pPr>
      <w:r w:rsidRPr="00677CE8">
        <w:tab/>
        <w:t xml:space="preserve">The skews observed within the sample are expected due to the largely convenience-based sampling approach. In particular, the overrepresentation of high-income and highly educated individuals aligns with the distribution process of the sample, as these individuals tend to be more able to engage with community organizations </w:t>
      </w:r>
      <w:r w:rsidRPr="00677CE8">
        <w:fldChar w:fldCharType="begin"/>
      </w:r>
      <w:r w:rsidR="00B7697D" w:rsidRPr="00677CE8">
        <w:instrText xml:space="preserve"> ADDIN ZOTERO_ITEM CSL_CITATION {"citationID":"vzLEBlS8","properties":{"formattedCitation":"(Dutta-Bergman, 2003; Sandstrom &amp; Alper, 2019)","plainCitation":"(Dutta-Bergman, 2003; Sandstrom &amp; Alper, 2019)","dontUpdate":true,"noteIndex":0},"citationItems":[{"id":1566,"uris":["http://zotero.org/groups/6194892/items/JM2EZI46"],"itemData":{"id":1566,"type":"article-journal","DOI":"10.1080/15245000309099","issue":"2","language":"en","note":"DOI: 10.1080/15245000309099","publisher":"Social Marketing Quarterly","title":"Demographic and Psychographic Antecedents of Community Participation: Applying a Social Marketing Model","title-short":"Demographic and Psychographic Antecedents of Community Participation","URL":"https://journals.sagepub.com/doi/epdf/10.1080/15245000309099","volume":"9","author":[{"family":"Dutta-Bergman","given":"Mohan J."}],"accessed":{"date-parts":[["2026",4,8]]},"issued":{"date-parts":[["2003"]]}}},{"id":1568,"uris":["http://zotero.org/groups/6194892/items/8AKYIZ2U"],"itemData":{"id":1568,"type":"webpage","abstract":"Nearly six-in-ten Americans participate in some type of community group or organization, including 11% who say they take part in at least four such groups.","container-title":"Pew Research Center","language":"en-US","title":"Who's active in community groups? Often, those with more education or income","title-short":"Who's active in community groups?","URL":"https://www.pewresearch.org/short-reads/2019/02/22/americans-with-higher-education-and-income-are-more-likely-to-be-involved-in-community-groups/","author":[{"family":"Sandstrom","given":"Aleksandra"},{"family":"Alper","given":"Becka A."}],"accessed":{"date-parts":[["2026",4,8]]},"issued":{"date-parts":[["2019",2,22]]}}}],"schema":"https://github.com/citation-style-language/schema/raw/master/csl-citation.json"} </w:instrText>
      </w:r>
      <w:r w:rsidRPr="00677CE8">
        <w:fldChar w:fldCharType="separate"/>
      </w:r>
      <w:r w:rsidRPr="00677CE8">
        <w:t>(Dutta-Bergman, 2003; Sandstrom and Alper, 2019)</w:t>
      </w:r>
      <w:r w:rsidRPr="00677CE8">
        <w:fldChar w:fldCharType="end"/>
      </w:r>
      <w:r w:rsidRPr="00677CE8">
        <w:t>. While the sample may not completely mirror the true demographic population of the state of Texas, this does not necessarily imply that the individual-level relationships between mode choice and explanatory variables cannot be generalized to the population at large to inform the design and future positioning of UAM services. Importantly, the sampling strategy employed corresponds to exogenous sampling, as respondents were not selected based on their UAM adoption preferences (the e</w:t>
      </w:r>
      <w:r w:rsidR="008171DB" w:rsidRPr="00677CE8">
        <w:t>ndo</w:t>
      </w:r>
      <w:r w:rsidRPr="00677CE8">
        <w:t xml:space="preserve">genous variable). In other words, inclusion in the sample is independent of adoption behavior, meaning the sample is not biased toward individuals who already prefer or reject UAM. In the exogenous sampling case, an unweighted approach provides more efficient parameter estimates </w:t>
      </w:r>
      <w:r w:rsidRPr="00677CE8">
        <w:fldChar w:fldCharType="begin"/>
      </w:r>
      <w:r w:rsidR="00B7697D" w:rsidRPr="00677CE8">
        <w:instrText xml:space="preserve"> ADDIN ZOTERO_ITEM CSL_CITATION {"citationID":"idwMsAY7","properties":{"formattedCitation":"(Robbennolt et al., 2026; Solon et al., 2015)","plainCitation":"(Robbennolt et al., 2026; Solon et al., 2015)","dontUpdate":true,"noteIndex":0},"citationItems":[{"id":1608,"uris":["http://zotero.org/groups/6194892/items/DHUHAK9K"],"itemData":{"id":1608,"type":"article-journal","abstract":"Empirical research studies regularly encounter sampling-related challenges that can impact the validity and reliability of model estimation results. This paper presents a comprehensive examination of the implications of nonrandom sampling for estimator consistency and asymptotic efficiency. Through theoretical and simulation-backed support, we underscore the importance of adopting appropriate sampling and estimation methods in two broad scenarios. First, we demonstrate that achieving range variation in exogenous variables, rather than strict population representativeness, is crucial for estimating individual-level causal relationships when sampling is based only on observed exogenous variables. Second, we investigate the efficacy of weighting approaches when sampling is endogenous and use a joint modeling approach to accommodate unobserved self-selection effects where traditional weighting approaches prove inadequate. Our proposed approach accommodates unobserved correlations and successfully recovers true population parameters when the joint distribution of exogenous variables in the population is known. The methodology also shows improved performance compared to existing methods even when only the population marginal distribution of exogenous variables is available. Notably, our simulation experiments extend beyond the conventional linear regression framework to include binary outcomes, providing crucial insights for nonlinear choice modeling applications. The findings underscore the importance of carefully considering sampling mechanisms and their implications for model estimation, while offering practical guidance for researchers facing various sampling-related challenges in empirical studies.","container-title":"Transportation Research Part B: Methodological","DOI":"10.1016/j.trb.2025.103349","ISSN":"0191-2615","journalAbbreviation":"Transportation Research Part B: Methodological","page":"103349","source":"ScienceDirect","title":"Data collection, weighting, and modeling techniques to estimate consistent population parameters","volume":"203","author":[{"family":"Robbennolt","given":"Dale"},{"family":"Pendyala","given":"Ram M."},{"family":"Bhat","given":"Chandra R."}],"issued":{"date-parts":[["2026",1,1]]}}},{"id":1611,"uris":["http://zotero.org/groups/6194892/items/P2XII9ZS"],"itemData":{"id":1611,"type":"article-journal","abstract":"When estimating population descriptive statistics, weighting is called for if needed to make the analysis sample representative of the target population. With regard to research directed instead at estimating causal effects, we discuss three distinct weighting motives: (1) to achieve precise estimates by correcting for heteroskedasticity; (2) to achieve consistent estimates by correcting for endogenous sampling; and (3) to identify average partial effects in the presence of unmodeled heterogeneity of effects. In each case, we find that the motive sometimes does not apply in situations where practitioners often assume it does.","container-title":"Journal of Human Resources","DOI":"10.3368/jhr.50.2.301","ISSN":"0022-166X, 1548-8004","issue":"2","language":"en","license":"© 2015 by the Board of Regents of the University of Wisconsin System","page":"301-316","publisher":"University of Wisconsin Press","section":"Symposium on Empirical Methods","source":"jhr.uwpress.org","title":"What Are We Weighting For?","volume":"50","author":[{"family":"Solon","given":"Gary"},{"family":"Haider","given":"Steven J."},{"family":"Wooldridge","given":"Jeffrey M."}],"issued":{"date-parts":[["2015",3,31]]}}}],"schema":"https://github.com/citation-style-language/schema/raw/master/csl-citation.json"} </w:instrText>
      </w:r>
      <w:r w:rsidRPr="00677CE8">
        <w:fldChar w:fldCharType="separate"/>
      </w:r>
      <w:r w:rsidRPr="00677CE8">
        <w:t>(</w:t>
      </w:r>
      <w:r w:rsidR="00D45F85" w:rsidRPr="00677CE8">
        <w:t xml:space="preserve">Solon et al., 2015; </w:t>
      </w:r>
      <w:r w:rsidRPr="00677CE8">
        <w:t>Robbennolt et al., 2026)</w:t>
      </w:r>
      <w:r w:rsidRPr="00677CE8">
        <w:fldChar w:fldCharType="end"/>
      </w:r>
      <w:r w:rsidRPr="00677CE8">
        <w:t>. Thus, we apply an unweighted estimation approach in this study, leveraging the adequate variation across the range of exogenous variables to estimate generalizable individual-level adoption trends.</w:t>
      </w:r>
    </w:p>
    <w:p w14:paraId="4E286C31" w14:textId="77777777" w:rsidR="000B5145" w:rsidRPr="00677CE8" w:rsidRDefault="000B5145" w:rsidP="000B5145">
      <w:pPr>
        <w:spacing w:after="0" w:line="240" w:lineRule="auto"/>
        <w:ind w:firstLine="720"/>
        <w:jc w:val="both"/>
      </w:pPr>
    </w:p>
    <w:p w14:paraId="6774B5BA" w14:textId="7772EA4B" w:rsidR="000B5145" w:rsidRPr="00677CE8" w:rsidRDefault="000B5145" w:rsidP="000B5145">
      <w:pPr>
        <w:pStyle w:val="Heading2"/>
        <w:spacing w:after="0" w:line="240" w:lineRule="auto"/>
        <w:jc w:val="both"/>
      </w:pPr>
      <w:r w:rsidRPr="00677CE8">
        <w:t>4.3 Latent Constructs</w:t>
      </w:r>
    </w:p>
    <w:p w14:paraId="036C83B4" w14:textId="2A9F16D8" w:rsidR="000B5145" w:rsidRPr="00677CE8" w:rsidRDefault="000B5145" w:rsidP="000B5145">
      <w:pPr>
        <w:spacing w:after="0" w:line="240" w:lineRule="auto"/>
        <w:jc w:val="both"/>
      </w:pPr>
      <w:r w:rsidRPr="00677CE8">
        <w:t>In the SEM component of the analytic framework, we incorporate latent constructs to account for unobserved individual attitudes and lifestyle preferences that are expected to influence UAM adoption patterns. These latent constructs are extracted using the responses to a series of attitudinal statements presented to respondents, asking respondents to indicate their agreement or disagreement with each statement on a five-point Likert</w:t>
      </w:r>
      <w:r w:rsidR="00437F92" w:rsidRPr="00677CE8">
        <w:t xml:space="preserve"> S</w:t>
      </w:r>
      <w:r w:rsidRPr="00677CE8">
        <w:t>cale ranging from “strongly disagree” to “strongly agree.”</w:t>
      </w:r>
      <w:r w:rsidRPr="00C91D5B">
        <w:rPr>
          <w:rStyle w:val="FootnoteReference"/>
        </w:rPr>
        <w:footnoteReference w:id="2"/>
      </w:r>
      <w:r w:rsidRPr="00677CE8">
        <w:t xml:space="preserve"> The observed responses to these statements serve as indicators of the underlying latent constructs. </w:t>
      </w:r>
    </w:p>
    <w:p w14:paraId="47258971" w14:textId="44FCC9AB" w:rsidR="00BA66E3" w:rsidRPr="00677CE8" w:rsidRDefault="000B5145" w:rsidP="00DA396B">
      <w:pPr>
        <w:spacing w:after="0" w:line="240" w:lineRule="auto"/>
        <w:ind w:firstLine="720"/>
        <w:jc w:val="both"/>
      </w:pPr>
      <w:r w:rsidRPr="00677CE8">
        <w:t xml:space="preserve">In our analysis, we include </w:t>
      </w:r>
      <w:r w:rsidR="00211771" w:rsidRPr="00677CE8">
        <w:t>three</w:t>
      </w:r>
      <w:r w:rsidRPr="00677CE8">
        <w:t xml:space="preserve"> latent constructs likely to impact UAM adoption patterns: tech-savviness, UAM noise sensitivity, and positive travel perceptions. Additional constructs designed to explain individuals’ green lifestyle propensity,</w:t>
      </w:r>
      <w:r w:rsidR="00211771" w:rsidRPr="00677CE8">
        <w:t xml:space="preserve"> attitudes toward control during travel,</w:t>
      </w:r>
      <w:r w:rsidRPr="00677CE8">
        <w:t xml:space="preserve"> adventurousness,</w:t>
      </w:r>
      <w:r w:rsidR="00211771" w:rsidRPr="00677CE8">
        <w:t xml:space="preserve"> air travel anxieties,</w:t>
      </w:r>
      <w:r w:rsidRPr="00677CE8">
        <w:t xml:space="preserve"> and UAM safety perceptions were also tested. The final set of </w:t>
      </w:r>
      <w:r w:rsidR="00437F92" w:rsidRPr="00677CE8">
        <w:t>three</w:t>
      </w:r>
      <w:r w:rsidRPr="00677CE8">
        <w:t xml:space="preserve"> latent constructs was determined by an analysis of “within construct” and “between construct” variance, as well as the relationships between latent constructs and the ranked outcomes.</w:t>
      </w:r>
      <w:r w:rsidR="00DA396B" w:rsidRPr="00677CE8">
        <w:t xml:space="preserve"> </w:t>
      </w:r>
      <w:r w:rsidR="00C975A7" w:rsidRPr="00677CE8">
        <w:t>C</w:t>
      </w:r>
      <w:r w:rsidR="00431989" w:rsidRPr="00677CE8">
        <w:t>onstructs relat</w:t>
      </w:r>
      <w:r w:rsidR="00C975A7" w:rsidRPr="00677CE8">
        <w:t>ed</w:t>
      </w:r>
      <w:r w:rsidR="00431989" w:rsidRPr="00677CE8">
        <w:t xml:space="preserve"> to</w:t>
      </w:r>
      <w:r w:rsidR="00DA396B" w:rsidRPr="00677CE8">
        <w:t xml:space="preserve"> green lifestyle propensity and</w:t>
      </w:r>
      <w:r w:rsidR="00431989" w:rsidRPr="00677CE8">
        <w:t xml:space="preserve"> control during travel did not demonstrate sufficient internal consistency, </w:t>
      </w:r>
      <w:r w:rsidR="00DA396B" w:rsidRPr="00677CE8">
        <w:t>with weak</w:t>
      </w:r>
      <w:r w:rsidR="00C975A7" w:rsidRPr="00677CE8">
        <w:t xml:space="preserve"> and inconsistent</w:t>
      </w:r>
      <w:r w:rsidR="00DA396B" w:rsidRPr="00677CE8">
        <w:t xml:space="preserve"> factor loadings </w:t>
      </w:r>
      <w:r w:rsidR="00C975A7" w:rsidRPr="00677CE8">
        <w:t>across associated indicators</w:t>
      </w:r>
      <w:r w:rsidR="005A1303" w:rsidRPr="00677CE8">
        <w:t xml:space="preserve"> (each of these </w:t>
      </w:r>
      <w:r w:rsidR="006203CA" w:rsidRPr="00677CE8">
        <w:t>had</w:t>
      </w:r>
      <w:r w:rsidR="00D52F1B">
        <w:t xml:space="preserve"> a</w:t>
      </w:r>
      <w:r w:rsidR="006203CA" w:rsidRPr="00677CE8">
        <w:t xml:space="preserve"> loading that differed by a factor greater than 2</w:t>
      </w:r>
      <w:r w:rsidR="00983687" w:rsidRPr="00677CE8">
        <w:t>, indicating unstable measurement behavior</w:t>
      </w:r>
      <w:r w:rsidR="006203CA" w:rsidRPr="00677CE8">
        <w:t>)</w:t>
      </w:r>
      <w:r w:rsidR="00DA396B" w:rsidRPr="00677CE8">
        <w:t xml:space="preserve">. </w:t>
      </w:r>
      <w:r w:rsidR="00C975A7" w:rsidRPr="00677CE8">
        <w:t>On the other hand,</w:t>
      </w:r>
      <w:r w:rsidR="00DA396B" w:rsidRPr="00677CE8">
        <w:t xml:space="preserve"> constructs representing adventurousness</w:t>
      </w:r>
      <w:r w:rsidR="00211771" w:rsidRPr="00677CE8">
        <w:t>, air travel anxieties,</w:t>
      </w:r>
      <w:r w:rsidR="00DA396B" w:rsidRPr="00677CE8">
        <w:t xml:space="preserve"> and safety perceptions</w:t>
      </w:r>
      <w:r w:rsidR="00C975A7" w:rsidRPr="00677CE8">
        <w:t xml:space="preserve"> demonstrated acceptable loadings but</w:t>
      </w:r>
      <w:r w:rsidR="00DA396B" w:rsidRPr="00677CE8">
        <w:t xml:space="preserve"> did not have </w:t>
      </w:r>
      <w:r w:rsidR="00C975A7" w:rsidRPr="00677CE8">
        <w:t>statistically</w:t>
      </w:r>
      <w:r w:rsidR="00DA396B" w:rsidRPr="00677CE8">
        <w:t xml:space="preserve"> </w:t>
      </w:r>
      <w:r w:rsidR="00C975A7" w:rsidRPr="00677CE8">
        <w:t>significant effects on the</w:t>
      </w:r>
      <w:r w:rsidR="00DA396B" w:rsidRPr="00677CE8">
        <w:t xml:space="preserve"> ranked outcomes</w:t>
      </w:r>
      <w:r w:rsidR="00C975A7" w:rsidRPr="00677CE8">
        <w:t xml:space="preserve"> after accounting for the effects of the retained latent constructs. This result is</w:t>
      </w:r>
      <w:r w:rsidR="00DA396B" w:rsidRPr="00677CE8">
        <w:t xml:space="preserve"> likely due</w:t>
      </w:r>
      <w:r w:rsidR="00C63D6F" w:rsidRPr="00677CE8">
        <w:t>, at least in part,</w:t>
      </w:r>
      <w:r w:rsidR="00DA396B" w:rsidRPr="00677CE8">
        <w:t xml:space="preserve"> to the high </w:t>
      </w:r>
      <w:r w:rsidR="00C975A7" w:rsidRPr="00677CE8">
        <w:t>correlation (0.733)</w:t>
      </w:r>
      <w:r w:rsidR="00DA396B" w:rsidRPr="00677CE8">
        <w:t xml:space="preserve"> of tech-savviness and adventurousness </w:t>
      </w:r>
      <w:r w:rsidR="00C975A7" w:rsidRPr="00677CE8">
        <w:t>constructs, which capture different but closely related aspects of an underlying affinity for new experiences and technologies. In addition,</w:t>
      </w:r>
      <w:r w:rsidR="00DA396B" w:rsidRPr="00677CE8">
        <w:t xml:space="preserve"> </w:t>
      </w:r>
      <w:r w:rsidR="00C975A7" w:rsidRPr="00677CE8">
        <w:t xml:space="preserve">the lack of significant effect for the safety perceptions construct may reflect the </w:t>
      </w:r>
      <w:r w:rsidR="00DA396B" w:rsidRPr="00677CE8">
        <w:t xml:space="preserve">explicit inclusion of </w:t>
      </w:r>
      <w:r w:rsidR="00C63D6F" w:rsidRPr="00677CE8">
        <w:t xml:space="preserve">UAM </w:t>
      </w:r>
      <w:r w:rsidR="00F3557E">
        <w:t xml:space="preserve">crash-related </w:t>
      </w:r>
      <w:r w:rsidR="00DA396B" w:rsidRPr="00677CE8">
        <w:t xml:space="preserve">safety levels as an exogenous variable within the survey design. </w:t>
      </w:r>
    </w:p>
    <w:p w14:paraId="75054FC7" w14:textId="42C9FF45" w:rsidR="000B5145" w:rsidRPr="00677CE8" w:rsidRDefault="006F3992" w:rsidP="00453A27">
      <w:pPr>
        <w:spacing w:after="0" w:line="240" w:lineRule="auto"/>
        <w:ind w:firstLine="720"/>
        <w:jc w:val="both"/>
      </w:pPr>
      <w:r w:rsidRPr="00677CE8">
        <w:t xml:space="preserve">The final </w:t>
      </w:r>
      <w:r w:rsidR="001405AB" w:rsidRPr="00677CE8">
        <w:t xml:space="preserve">first-stage </w:t>
      </w:r>
      <w:r w:rsidRPr="00677CE8">
        <w:t xml:space="preserve">model retained three latent constructs that </w:t>
      </w:r>
      <w:r w:rsidR="00D52F1B">
        <w:t xml:space="preserve">a) </w:t>
      </w:r>
      <w:r w:rsidRPr="00677CE8">
        <w:t xml:space="preserve">demonstrated reliable loading patterns (with </w:t>
      </w:r>
      <w:r w:rsidR="00DC0F81" w:rsidRPr="00677CE8">
        <w:t>all loadings for each retained latent construct differing by a factor less than 1.4)</w:t>
      </w:r>
      <w:r w:rsidRPr="00677CE8">
        <w:t>,</w:t>
      </w:r>
      <w:r w:rsidR="00D52F1B">
        <w:t xml:space="preserve"> b)</w:t>
      </w:r>
      <w:r w:rsidRPr="00677CE8">
        <w:t xml:space="preserve"> </w:t>
      </w:r>
      <w:r w:rsidR="00DC0F81" w:rsidRPr="00677CE8">
        <w:t>represent</w:t>
      </w:r>
      <w:r w:rsidRPr="00677CE8">
        <w:t xml:space="preserve"> distinct</w:t>
      </w:r>
      <w:r w:rsidR="00DC0F81" w:rsidRPr="00677CE8">
        <w:t xml:space="preserve"> and theoretically relevant</w:t>
      </w:r>
      <w:r w:rsidRPr="00677CE8">
        <w:t xml:space="preserve"> attitudinal </w:t>
      </w:r>
      <w:r w:rsidR="00DC0F81" w:rsidRPr="00677CE8">
        <w:t>characteristics</w:t>
      </w:r>
      <w:r w:rsidRPr="00677CE8">
        <w:t>, and</w:t>
      </w:r>
      <w:r w:rsidR="00D52F1B">
        <w:t xml:space="preserve"> c)</w:t>
      </w:r>
      <w:r w:rsidRPr="00677CE8">
        <w:t xml:space="preserve"> </w:t>
      </w:r>
      <w:r w:rsidR="00A10547" w:rsidRPr="00677CE8">
        <w:t xml:space="preserve">yield </w:t>
      </w:r>
      <w:r w:rsidRPr="00677CE8">
        <w:t xml:space="preserve">significant effects on </w:t>
      </w:r>
      <w:r w:rsidR="00A10547" w:rsidRPr="00677CE8">
        <w:t xml:space="preserve">the </w:t>
      </w:r>
      <w:r w:rsidRPr="00677CE8">
        <w:t>rank</w:t>
      </w:r>
      <w:r w:rsidR="00A10547" w:rsidRPr="00677CE8">
        <w:t>ed SP</w:t>
      </w:r>
      <w:r w:rsidRPr="00677CE8">
        <w:t xml:space="preserve"> outcomes. The resulting </w:t>
      </w:r>
      <w:r w:rsidR="007F655D" w:rsidRPr="00677CE8">
        <w:t xml:space="preserve">first-stage component of the model </w:t>
      </w:r>
      <w:r w:rsidRPr="00677CE8">
        <w:t xml:space="preserve">achieved </w:t>
      </w:r>
      <w:r w:rsidR="007F655D" w:rsidRPr="00677CE8">
        <w:t>a root mean square error of approximation (</w:t>
      </w:r>
      <w:r w:rsidRPr="00677CE8">
        <w:t>RMSEA</w:t>
      </w:r>
      <w:r w:rsidR="007F655D" w:rsidRPr="00677CE8">
        <w:t xml:space="preserve">) of </w:t>
      </w:r>
      <w:r w:rsidRPr="00677CE8">
        <w:t>0.042</w:t>
      </w:r>
      <w:r w:rsidR="00453A27" w:rsidRPr="00677CE8">
        <w:t xml:space="preserve"> and</w:t>
      </w:r>
      <w:r w:rsidRPr="00677CE8">
        <w:t xml:space="preserve"> </w:t>
      </w:r>
      <w:r w:rsidR="007F655D" w:rsidRPr="00677CE8">
        <w:t>a standardized mean square residual (</w:t>
      </w:r>
      <w:r w:rsidRPr="00677CE8">
        <w:t>SRMR</w:t>
      </w:r>
      <w:r w:rsidR="007F655D" w:rsidRPr="00677CE8">
        <w:t xml:space="preserve">) of </w:t>
      </w:r>
      <w:r w:rsidRPr="00677CE8">
        <w:t>0.031</w:t>
      </w:r>
      <w:r w:rsidR="00A4222F" w:rsidRPr="00677CE8">
        <w:t xml:space="preserve">. </w:t>
      </w:r>
      <w:r w:rsidR="00453A27" w:rsidRPr="00677CE8">
        <w:t>The low RMSEA and SRMR values indicate that the retained measurement structure provides a good representation of the observed covariance relationships among the indicators. Together with the strong and statistically</w:t>
      </w:r>
      <w:r w:rsidR="00D52F1B">
        <w:t xml:space="preserve"> </w:t>
      </w:r>
      <w:r w:rsidR="00453A27" w:rsidRPr="00677CE8">
        <w:t xml:space="preserve">significant factor loadings (as discussed in Section 5.1), the theoretical interpretability of the retained constructs, and their explanatory power in the subsequent rank-ordered choice model, these results support the conclusion that the latent constructs provide reliable and substantively meaningful attitudinal dimensions for explaining UAM adoption preferences. </w:t>
      </w:r>
      <w:r w:rsidRPr="00677CE8">
        <w:t>Indicator distributions</w:t>
      </w:r>
      <w:r w:rsidR="00D52F1B">
        <w:t xml:space="preserve"> of the latent constructs</w:t>
      </w:r>
      <w:r w:rsidRPr="00677CE8">
        <w:t xml:space="preserve"> for the final measurement model are shown in Figure 2.</w:t>
      </w:r>
      <w:r w:rsidR="007D067E" w:rsidRPr="00677CE8">
        <w:t xml:space="preserve"> </w:t>
      </w:r>
      <w:r w:rsidR="000B5145" w:rsidRPr="00677CE8">
        <w:t xml:space="preserve">Each latent construct </w:t>
      </w:r>
      <w:r w:rsidR="006F0BA6" w:rsidRPr="00677CE8">
        <w:t>is</w:t>
      </w:r>
      <w:r w:rsidR="000B5145" w:rsidRPr="00677CE8">
        <w:t xml:space="preserve"> discussed in more detail below. </w:t>
      </w:r>
    </w:p>
    <w:p w14:paraId="67D278C1" w14:textId="1AF79225" w:rsidR="000B5145" w:rsidRPr="00677CE8" w:rsidRDefault="000B5145" w:rsidP="00123F25">
      <w:pPr>
        <w:spacing w:after="0" w:line="240" w:lineRule="auto"/>
        <w:ind w:firstLine="720"/>
        <w:jc w:val="both"/>
      </w:pPr>
      <w:r w:rsidRPr="00677CE8">
        <w:lastRenderedPageBreak/>
        <w:t>The first latent construct represents an individual’s tech-savviness, with higher values indicating a greater inclination to engage with emerging technologies and automation</w:t>
      </w:r>
      <w:r w:rsidR="00A723DF" w:rsidRPr="00677CE8">
        <w:t xml:space="preserve">. </w:t>
      </w:r>
      <w:r w:rsidRPr="00677CE8">
        <w:t xml:space="preserve">Attitudes toward technology have been widely shown to influence adoption of emerging transportation modes </w:t>
      </w:r>
      <w:r w:rsidRPr="00677CE8">
        <w:fldChar w:fldCharType="begin"/>
      </w:r>
      <w:r w:rsidRPr="00677CE8">
        <w:instrText xml:space="preserve"> ADDIN ZOTERO_ITEM CSL_CITATION {"citationID":"cJTMdQfS","properties":{"formattedCitation":"(Asmussen et al., 2020; Ger\\uc0\\u382{}ini\\uc0\\u269{} et al., 2025; Zhang &amp; Kamargianni, 2023)","plainCitation":"(Asmussen et al., 2020; Geržinič et al., 2025; Zhang &amp; Kamargianni, 2023)","dontUpdate":true,"noteIndex":0},"citationItems":[{"id":1589,"uris":["http://zotero.org/groups/6194892/items/D7ZNN6ZK"],"itemData":{"id":1589,"type":"article-journal","abstract":"Understanding the “if” and “when” of autonomous vehicle (AV) adoption is of clear interest to car manufacturers in their positioning of business processes, but also to transportation planners and traffic engineers. In this paper, we examine the individual-level AV adoption and timing process, considering the psycho-social factors of driving control, mobility control, safety concerns, and tech-savviness. A ranked choice stated preference design is used to elicit responses from Austin area residents regarding AV adoption. Our results underscore the need to examine the adoption of technology through a psycho-social lens. In particular, technology developments and design should not be divorced from careful investigations of habits and consumption motivations of different groups of individuals in the population. The findings from our analysis are translated to specific policy actions to promote AV adoption and accelerate the adoption time frame.","container-title":"Transportation Research Part C: Emerging Technologies","DOI":"10.1016/j.trc.2020.102835","ISSN":"0968-090X","journalAbbreviation":"Transportation Research Part C: Emerging Technologies","page":"102835","source":"ScienceDirect","title":"A socio-technical model of autonomous vehicle adoption using ranked choice stated preference data","volume":"121","author":[{"family":"Asmussen","given":"Katherine E."},{"family":"Mondal","given":"Aupal"},{"family":"Bhat","given":"Chandra R."}],"issued":{"date-parts":[["2020",12,1]]}}},{"id":1592,"uris":["http://zotero.org/groups/6194892/items/ZRBWGBYN"],"itemData":{"id":1592,"type":"article-journal","abstract":"Shared micromobility (SMM), including bicycles, e-bikes, scooters, etc., is often cited as a solution to the first and especially the last mile problem of public transport (PT), yet when implemented, they often do not get adopted by a broader travelling public. As behavioural adaption is largely related to peoples’ attitudes and perceptions, we develop a behavioural framework based on the UTAUT2 framework to gain better understanding why individuals may (not) be willing to use SMM. Through an exploratory factor analysis (EFA) and a latent class cluster analysis (LCCA), we study the adoption potential of SMM and assess drivers and barriers as perceived by different user groups. Our findings uncover six user groups; Shared mobility positives, Car-oriented sharing neutrals, Older apprehensive sharers, Young eager adopters, (Shared) Mobility avoiders and Skilled sharing sceptics. The Young eager adopters and Shared mobility positives tend to be the most open to adopting SMM and able to do so. Older apprehensive sharers would like to, but find it difficult or dangerous to use, while Skilled sharing sceptics are capable and confident, but have limited intention of using it. Car-oriented sharing neutrals and (Shared) Mobility avoiders are most negative about SMM, finding it difficult to use and dangerous. Factors relating to technological savviness, ease-of-use, physical safety and societal perception seem to be the strongest adoption predictors. Younger, high-educated males are the group most likely and open to using SMM, while older individuals with lower incomes and a lower level of education tend to be the least likely.","container-title":"Journal of Cycling and Micromobility Research","DOI":"10.1016/j.jcmr.2025.100090","ISSN":"2950-1059","journalAbbreviation":"Journal of Cycling and Micromobility Research","page":"100090","source":"ScienceDirect","title":"Drivers and barriers to integrating shared micromobility with public transport A latent class clustering analysis of adoption attitudes in the Netherlands","volume":"6","author":[{"family":"Geržinič","given":"Nejc"},{"family":"Hagen","given":"Mark","non-dropping-particle":"van"},{"family":"Al-Tamimi","given":"Hussein"},{"family":"Oort","given":"Niels","non-dropping-particle":"van"},{"family":"Duives","given":"Dorine"}],"issued":{"date-parts":[["2025",12,1]]}}},{"id":1585,"uris":["http://zotero.org/groups/6194892/items/FJYLZJIU"],"itemData":{"id":1585,"type":"article-journal","abstract":"New mobility technologies and services could address a series of transport-related problems such as pollution, congestion, unpleasant travel experiences, as well as first- and last-mile in-connectivity. Understanding the key factors influencing adoption and enablers is critical to the rollout of the new mobility technologies and services. The objective of this paper is to conduct a systematic review of the new mobility technologies and services, especially on autonomous vehicles, drones, micromobility and Mobility as a Service (MaaS). The ultimate goal is to gain a deeper insight into the factors that affect the adoption or preferences of these technologies and services and thus provide policy implications at the strategic level. The results of the review identified several (1) shared, (2) exclusive, (3) opposing and (4) mixed impacts factors that strongly influence the uptake of new mobilities. The synthesised finding will contribute to policy decisions, particularly regarding the sequencing of the launch and development priorities of new mobility technologies and services. To encourage the uptake of new mobility technologies and services, further promotion would benefit from (1) embedding a spatio-temporal perspective, (2) undertaking a careful market segmentation and (3) a careful segmentation of technology and services based on features, application contexts and purposes.","container-title":"Transport Reviews","DOI":"10.1080/01441647.2022.2119297","ISSN":"0144-1647","issue":"3","note":"_eprint: https://doi.org/10.1080/01441647.2022.2119297","page":"407-429","publisher":"Routledge","source":"Taylor and Francis+NEJM","title":"A review on the factors influencing the adoption of new mobility technologies and services: autonomous vehicle, drone, micromobility and mobility as a service","title-short":"A review on the factors influencing the adoption of new mobility technologies and services","volume":"43","author":[{"family":"Zhang","given":"Yuerong"},{"family":"Kamargianni","given":"Maria"}],"issued":{"date-parts":[["2023",5,4]]}}}],"schema":"https://github.com/citation-style-language/schema/raw/master/csl-citation.json"} </w:instrText>
      </w:r>
      <w:r w:rsidRPr="00677CE8">
        <w:fldChar w:fldCharType="separate"/>
      </w:r>
      <w:r w:rsidRPr="00677CE8">
        <w:rPr>
          <w:kern w:val="0"/>
        </w:rPr>
        <w:t>(</w:t>
      </w:r>
      <w:r w:rsidR="00556040" w:rsidRPr="00677CE8">
        <w:rPr>
          <w:kern w:val="0"/>
        </w:rPr>
        <w:t xml:space="preserve">see, for example, </w:t>
      </w:r>
      <w:r w:rsidRPr="00677CE8">
        <w:rPr>
          <w:kern w:val="0"/>
        </w:rPr>
        <w:t>Asmussen et al., 2020; Zhang and Kamargianni, 2023</w:t>
      </w:r>
      <w:r w:rsidR="00D45F85" w:rsidRPr="00677CE8">
        <w:rPr>
          <w:kern w:val="0"/>
        </w:rPr>
        <w:t>; Geržinič et al., 2025</w:t>
      </w:r>
      <w:r w:rsidRPr="00677CE8">
        <w:rPr>
          <w:kern w:val="0"/>
        </w:rPr>
        <w:t>)</w:t>
      </w:r>
      <w:r w:rsidRPr="00677CE8">
        <w:fldChar w:fldCharType="end"/>
      </w:r>
      <w:r w:rsidRPr="00677CE8">
        <w:t xml:space="preserve">, and have also been linked to prospective UAM adoption behavior in prior research </w:t>
      </w:r>
      <w:r w:rsidRPr="00677CE8">
        <w:fldChar w:fldCharType="begin"/>
      </w:r>
      <w:r w:rsidRPr="00677CE8">
        <w:instrText xml:space="preserve"> ADDIN ZOTERO_ITEM CSL_CITATION {"citationID":"taMHxcCG","properties":{"formattedCitation":"(Johnson et al., 2022; Karami et al., 2024; Mostofi et al., 2024; Yavuz, 2024)","plainCitation":"(Johnson et al., 2022; Karami et al., 2024; Mostofi et al., 2024; Yavuz, 2024)","noteIndex":0},"citationItems":[{"id":486,"uris":["http://zotero.org/groups/6194892/items/URXXIJNY"],"itemData":{"id":486,"type":"article-journal","container-title":"The International Journal of Aerospace Psychology","DOI":"10.1080/24721840.2022.2100394","ISSN":"2472-1840","issue":"4","note":"_eprint: https://www.tandfonline.com/doi/pdf/10.1080/24721840.2022.2100394","page":"240-253","publisher":"Routledge","source":"Taylor and Francis+NEJM","title":"Technology Adoption and Acceptance of Urban Air Mobility Systems: Identifying Public Perceptions and Integration Factors","volume":"32","author":[{"family":"Johnson","given":"Ricole A."},{"family":"Miller","given":"Erika E."},{"family":"Conrad","given":"Steven"}],"issued":{"date-parts":[["2022",10,2]]}}},{"id":492,"uris":["http://zotero.org/groups/6194892/items/ANB97BVJ"],"itemData":{"id":492,"type":"article-journal","abstract":"The integration of shared, autonomous, electric, and on-demand mobility services introduces urban air mobility (UAM) as an emerging intra-city transportation service operated by vertical take-off and landing aircraft. Despite the potential benefits of UAM limited literature exists on the end user's perception and the challenges to its societal acceptance, especially in developing economies. This paper addresses this gap in the literature by investigating the factors influencing UAM usage intention in Tehran, a developing country capital. Within the framework of the extended technology acceptance model, the study collected 828 valid questionnaires through a face-to-face survey. Structural equation modeling is employed to highlight the effects of a wide range of factors associated with individual differences, system characteristics, and social influence. The findings indicate that attitude, subjective norms, trust, perceived usefulness, perceived enjoyment, personal innovativeness, ecological awareness, and price evaluation are positively associated with UAM usage intention, while perceived safety correlates with the attitude toward UAM negatively. These findings provide valuable insights for policymakers and industry stakeholders, fostering a deeper understanding of end-user perspectives in developing countries, and prudently promising the potential for its targeted implementation. The study suggests that although its widespread adoption in developing countries is unlikely to occur in the near future, UAM should be regarded as a viable early and timely solution to persistent issues such as chronic congestion in metropolitan areas of the global south.","container-title":"Transport Policy","DOI":"10.1016/j.tranpol.2023.10.010","ISSN":"0967-070X","page":"74-84","source":"ScienceDirect","title":"Unraveling Behavioral Factors Influencing the Adoption of Urban Air Mobility from the End User's Perspective in Tehran – A Developing Country Outlook","volume":"145","author":[{"family":"Karami","given":"Hossein"},{"family":"Abbasi","given":"Mohammadhossein"},{"family":"Samadzad","given":"Mahdi"},{"family":"Karami","given":"Ali"}],"issued":{"date-parts":[["2024",1,1]]}}},{"id":1339,"uris":["http://zotero.org/groups/6194892/items/LX4YIDQF"],"itemData":{"id":1339,"type":"article-journal","abstract":"Urban air mobility (UAM) holds great promise as an expansion of the transportation system in cities. Despite the progress in UAM technology, there remains significant uncertainty surrounding how the public will accept and react to these mobility services. This study employed a structural equation model (SEM) to construct a comprehensive framework that delves into the factors influencing public attitudes toward air taxis. Data for the model is derived from a sequential exploratory mixed methods approach. The initial phase involved identifying acceptance factors towards air taxis through five focus groups, laying the foundation for the subsequent structural model development. A survey involving 819 participants was conducted in Germany in the next phase. The latent variables in this model are the expected benefits, expected risks, and the personal level of technophilia. The results show that rising stress levels through new air traffic flows, noise, and blocking sky views affect negative attitudes toward air taxis in public spaces. In contrast, the user expectation of avoiding traffic jams and achieving time savings contributes positively. Additionally, people who are more technophilic tend to have a more positive attitude toward air taxis. However, the perceived negative consequences of air taxis exert more substantial and stronger influences on public attitude than the expected benefits. By introducing the acceptance factors and relevant dimensions of a public attitude, this study provides insights to shape the design of UAM in accordance with the common good.","container-title":"Transportation Research Interdisciplinary Perspectives","DOI":"10.1016/j.trip.2024.101045","ISSN":"2590-1982","journalAbbreviation":"Transportation Research Interdisciplinary Perspectives","page":"101045","source":"ScienceDirect","title":"Modelling public attitude towards air taxis in Germany","volume":"24","author":[{"family":"Mostofi","given":"Hamid"},{"family":"Biehle","given":"Tobias"},{"family":"Kellermann","given":"Robin"},{"family":"Dienel","given":"Hans-Liudger"}],"issued":{"date-parts":[["2024",3,1]]}}},{"id":496,"uris":["http://zotero.org/groups/6194892/</w:instrText>
      </w:r>
      <w:r w:rsidRPr="007806B4">
        <w:rPr>
          <w:lang w:val="es-MX"/>
        </w:rPr>
        <w:instrText xml:space="preserve">items/6UYT4TZT"],"itemData":{"id":496,"type":"article-journal","abstract":"AVs and UAM will provide many benefits. However, lack of user acceptance is the predominant barrier to the adoption of automated transport technologies. Yet, little is known about AV and UAM acceptability in developing countries. To this end, this study investigates the factors affecting the acceptability of AVs and UAM in Türkiye. The sample was drawn from 369 university students. An extended UTAUT model was established with additional hedonic motivation, perceived safety, and personal innovativeness constructs. Findings revealed that perceived safety and performance expectancy were the strongest determinants of behavioral intention to use AVs. On the other hand, social influence and hedonic motivation were the main drivers of UAM acceptability. Furthermore, personal innovativeness was a strong factor when estimating the utilitarian value in both models. The findings could guide the politicians, scholars, and stakeholders of the AV and the UAM market.","container-title":"Journal of Air Transport Management","DOI":"10.1016/j.jairtraman.2024.102546","ISSN":"0969-6997","page":"102546","source":"ScienceDirect","title":"Exploring University Students’ Acceptability of Autonomous Vehicles and Urban Air Mobility","volume":"115","author":[{"family":"Yavuz","given":"Yigit Can"}],"issued":{"date-parts":[["2024",3,1]]}}}],"schema":"https://github.com/citation-style-language/schema/raw/master/csl-citation.json"} </w:instrText>
      </w:r>
      <w:r w:rsidRPr="00677CE8">
        <w:fldChar w:fldCharType="separate"/>
      </w:r>
      <w:r w:rsidRPr="007806B4">
        <w:rPr>
          <w:lang w:val="es-MX"/>
        </w:rPr>
        <w:t>(Johnson et al., 2022; Karami et al., 2024; Mostofi et al., 2024; Yavuz, 2024)</w:t>
      </w:r>
      <w:r w:rsidRPr="00677CE8">
        <w:fldChar w:fldCharType="end"/>
      </w:r>
      <w:r w:rsidRPr="007806B4">
        <w:rPr>
          <w:lang w:val="es-MX"/>
        </w:rPr>
        <w:t xml:space="preserve">. </w:t>
      </w:r>
      <w:r w:rsidR="00123F25" w:rsidRPr="00677CE8">
        <w:t>Within the TAM</w:t>
      </w:r>
      <w:r w:rsidR="003F6E67" w:rsidRPr="00677CE8">
        <w:t xml:space="preserve"> and </w:t>
      </w:r>
      <w:r w:rsidR="00123F25" w:rsidRPr="00677CE8">
        <w:t xml:space="preserve">TPB behavioral frameworks, tech-savviness is often found to increase perceived usefulness of UAM as well as improving attitudes towards the technology </w:t>
      </w:r>
      <w:r w:rsidR="00123F25" w:rsidRPr="00677CE8">
        <w:fldChar w:fldCharType="begin"/>
      </w:r>
      <w:r w:rsidR="00123F25" w:rsidRPr="00677CE8">
        <w:instrText xml:space="preserve"> ADDIN ZOTERO_ITEM CSL_CITATION {"citationID":"Gh7Skz0X","properties":{"unsorted":false,"formattedCitation":"(Al Haddad et al., 2020; Karami et al., 2024; Mostofi et al., 2024)","plainCitation":"(Al Haddad et al., 2020; Karami et al., 2024; Mostofi et al., 2024)","noteIndex":0},"citationItems":[{"id":484,"uris":["http://zotero.org/groups/6194892/items/ZS2ZU8K2"],"itemData":{"id":484,"type":"article-journal","abstract":"Technological advances have recently led to the development of urban air mobility (UAM), an alternative transportation mode with several concepts including vehicles operated by on-demand fully-automated vertical take-off and landing aircraft (VTOL) for intra-city passenger transportation. However, despite a growing interest in UAM, understanding users’ perceptions to it remains limited. This research aims to identify and quantify the factors affecting the adoption and use of UAM, based on relevant tools from the literature, such as recurring factors in studies on aerial vehicle concepts, ground autonomous vehicles, but also acceptance models, such as the Technology Acceptance Model by Davis et al. (1989). A stated-preference survey was developed to assess the perception of users in terms of adoption time horizon, including options such as the first six years of the service’s implementation, “unsure”, and “never”. The obtained results were evaluated using exploratory factor analyses, and the specification and estimation of suitable discrete choice models, multinomial logit models (MNLs) and ordered logit models (OLMs), with adoption time horizon as dependent variable. Findings revealed the importance of safety and trust, affinity to automation, data concerns, social attitude, and socio-demographics for adoption. Factors, such as the value of time savings, the perception of automation costs, and service reliability, were also found to be highly influential. There was also an indication that skeptical respondents, i.e. answering “unsure”, had a behavior similar to late and non-adopters, i.e. adoption time horizon higher than six years or answering “never”. The summarized results were represented in an extended Technology Acceptance Model for urban air mobility, and provided insights for policymakers and industrial stakeholders.","container-title":"Transportation Research Part A: Policy and Practice","DOI":"10.1016/j.tra.2019.12.020","ISSN":"0965-8564","page":"696-712","source":"ScienceDirect","title":"Factors Affecting the Adoption and Use of Urban Air Mobility","volume":"132","author":[{"family":"Al Haddad","given":"Christelle"},{"family":"Chaniotakis","given":"Emmanouil"},{"family":"Straubinger","given":"Anna"},{"family":"Plötner","given":"Kay"},{"family":"Antoniou","given":"Constantinos"}],"issued":{"date-parts":[["2020",2,1]]}}},{"id":492,"uris":["http://zotero.org/groups/6194892/items/ANB97BVJ"],"itemData":{"id":492,"type":"article-journal","abstract":"The integration of shared, autonomous, electric, and on-demand mobility services introduces urban air mobility (UAM) as an emerging intra-city transportation service operated by vertical take-off and landing aircraft. Despite the potential benefits of UAM limited literature exists on the end user's perception and the challenges to its societal acceptance, especially in developing economies. This paper addresses this gap in the literature by investigating the factors influencing UAM usage intention in Tehran, a developing country capital. Within the framework of the extended technology acceptance model, the study collected 828 valid questionnaires through a face-to-face survey. Structural equation modeling is employed to highlight the effects of a wide range of factors associated with individual differences, system characteristics, and social influence. The findings indicate that attitude, subjective norms, trust, perceived usefulness, perceived enjoyment, personal innovativeness, ecological awareness, and price evaluation are positively associated with UAM usage intention, while perceived safety correlates with the attitude toward UAM negatively. These findings provide valuable insights for policymakers and industry stakeholders, fostering a deeper understanding of end-user perspectives in developing countries, and prudently promising the potential for its targeted implementation. The study suggests that although its widespread adoption in developing countries is unlikely to occur in the near future, UAM should be regarded as a viable early and timely solution to persistent issues such as chronic congestion in metropolitan areas of the global south.","container-title":"Transport Policy","DOI":"10.1016/j.tranpol.2023.10.010","ISSN":"0967-070X","page":"74-84","source":"ScienceDirect","title":"Unraveling Behavioral Factors Influencing the Adoption of Urban Air Mobility from the End User's Perspective in Tehran – A Developing Country Outlook","volume":"145","author":[{"family":"Karami","given":"Hossein"},{"family":"Abbasi","given":"Mohammadhossein"},{"family":"Samadzad","given":"Mahdi"},{"family":"Karami","given":"Ali"}],"issued":{"date-parts":[["2024",1,1]]}}},{"id":1339,"uris":["http://zotero.org/groups/6194892/items/LX4YIDQF"],"itemData":{"id":1339,"type":"article-journal","abstract":"Urban air mobility (UAM) holds great promise as an expansion of the transportation system in cities. Despite the progress in UAM technology, there remains significant uncertainty surrounding how the public will accept and react to these mobility services. This study employed a structural equation model (SEM) to construct a comprehensive framework that delves into the factors influencing public attitudes toward air taxis. Data for the model is derived from a sequential exploratory mixed methods approach. The initial phase involved identifying acceptance factors towards air taxis through five focus groups, laying the foundation for the subsequent structural model development. A survey involving 819 participants was conducted in Germany in the next phase. The latent variables in this model are the expected benefits, expected risks, and the personal level of technophilia. The results show that rising stress levels through new air traffic flows, noise, and blocking sky views affect negative attitudes toward air taxis in public spaces. In contrast, the user expectation of avoiding traffic jams and achieving time savings contributes positively. Additionally, people who are more technophilic tend to have a more positive attitude toward air taxis. However, the perceived negative consequences of air taxis exert more substantial and stronger influences on public attitude than the expected benefits. By introducing the acceptance factors and relevant dimensions of a public attitude, this study provides insights to shape the design of UAM in accordance with the common good.","container-title":"Transportation Research Interdisciplinary Perspectives","DOI":"10.1016/j.trip.2024.101045","ISSN":"2590-1982","journalAbbreviation":"Transportation Research Interdisciplinary Perspectives","page":"101045","source":"ScienceDirect","title":"Modelling public attitude towards air taxis in Germany","volume":"24","author":[{"family":"Mostofi","given":"Hamid"},{"family":"Biehle","given":"Tobias"},{"family":"Kellermann","given":"Robin"},{"family":"Dienel","given":"Hans-Liudger"}],"issued":{"date-parts":[["2024",3,1]]}}}],"schema":"https://github.com/citation-style-language/schema/raw/master/csl-citation.json"} </w:instrText>
      </w:r>
      <w:r w:rsidR="00123F25" w:rsidRPr="00677CE8">
        <w:fldChar w:fldCharType="separate"/>
      </w:r>
      <w:r w:rsidR="00123F25" w:rsidRPr="00677CE8">
        <w:t>(Al Haddad et al., 2020; Karami et al., 2024; Mostofi et al., 2024)</w:t>
      </w:r>
      <w:r w:rsidR="00123F25" w:rsidRPr="00677CE8">
        <w:fldChar w:fldCharType="end"/>
      </w:r>
      <w:r w:rsidR="00123F25" w:rsidRPr="00677CE8">
        <w:t xml:space="preserve"> </w:t>
      </w:r>
      <w:r w:rsidRPr="00677CE8">
        <w:t>Individuals with higher technological savviness are therefore expected to exhibit a greater openness toward UAM</w:t>
      </w:r>
      <w:r w:rsidR="003F6E67" w:rsidRPr="00677CE8">
        <w:t>,</w:t>
      </w:r>
      <w:r w:rsidR="004A3C2B" w:rsidRPr="00677CE8">
        <w:t xml:space="preserve"> and rank it more highly in general in the SP experiments</w:t>
      </w:r>
      <w:r w:rsidRPr="00677CE8">
        <w:t xml:space="preserve">. As shown in </w:t>
      </w:r>
      <w:r w:rsidR="00D57FD0">
        <w:t xml:space="preserve">the top panel of </w:t>
      </w:r>
      <w:r w:rsidRPr="00677CE8">
        <w:t xml:space="preserve">Figure 2, responses for </w:t>
      </w:r>
      <w:r w:rsidR="00437F92" w:rsidRPr="00677CE8">
        <w:t>tech-</w:t>
      </w:r>
      <w:r w:rsidRPr="00677CE8">
        <w:t xml:space="preserve">savviness are roughly uniformly distributed, though respondents display a higher </w:t>
      </w:r>
      <w:r w:rsidR="00D52F1B">
        <w:t xml:space="preserve">level of disagreement to the indicator “I would be comfortable flying in a self-flying </w:t>
      </w:r>
      <w:r w:rsidR="00D57FD0">
        <w:t xml:space="preserve">vehicle” </w:t>
      </w:r>
      <w:r w:rsidRPr="00677CE8">
        <w:t>relative to other indicators of technology affinity.</w:t>
      </w:r>
    </w:p>
    <w:p w14:paraId="79A8BE19" w14:textId="5F15E829" w:rsidR="008171DB" w:rsidRPr="00677CE8" w:rsidRDefault="008171DB" w:rsidP="00BD339D">
      <w:pPr>
        <w:spacing w:after="0" w:line="240" w:lineRule="auto"/>
        <w:ind w:firstLine="720"/>
        <w:jc w:val="both"/>
      </w:pPr>
      <w:r w:rsidRPr="00677CE8">
        <w:t xml:space="preserve">The second construct, UAM noise sensitivity, captures respondents’ sensitivity to UAM-related noise in residential contexts and during nighttime hours, with higher values indicating greater annoyance (for presentation conciseness, we will refer to this construct simply as UAM noise sensitivity, without the repeated explicit tie to noise in residential areas and around the home location of the individual). As mentioned previously, noise sensitivity has been identified in prior literature as an individual-level trait </w:t>
      </w:r>
      <w:r w:rsidRPr="00677CE8">
        <w:fldChar w:fldCharType="begin"/>
      </w:r>
      <w:r w:rsidR="00B7697D" w:rsidRPr="00677CE8">
        <w:instrText xml:space="preserve"> ADDIN ZOTERO_ITEM CSL_CITATION {"citationID":"FYoUkbdB","properties":{"unsorted":false,"formattedCitation":"(Aalmoes &amp; Sieben, 2021; Miedema &amp; Vos, 1999; Schutte et al., 2007; Shepherd et al., 2010)","plainCitation":"(Aalmoes &amp; Sieben, 2021; Miedema &amp; Vos, 1999; Schutte et al., 2007; Shepherd et al., 2010)","dontUpdate":true,"noteIndex":0},"citationItems":[{"id":2222,"uris":["http://zotero.org/groups/6194892/items/HP43NKQI"],"itemData":{"id":2222,"type":"paper-conference","container-title":"INTER-NOISE and NOISE-CON Congress and Confrence Proceedings","DOI":"10.3397/IN-2021-2160","event-place":"Washington D.C., USA","event-title":"InterNoise21","language":"en","note":"DOI: 10.3397/IN-2021-2160","page":"2510-2521","publisher":"Institute of Noise Control Engineering","title":"Visual and audio perception study on drone aircraft and similar sounds in an Urban Air Mobility setting","URL":"https://ince.publisher.ingentaconnect.com/content/ince/incecp/2021/00000263/00000004/art00060","author":[{"family":"Aalmoes","given":"Roalt"},{"family":"Sieben","given":"Naomi"}],"accessed":{"date-parts":[["2026",7,14]]},"issued":{"date-parts":[["2021",8,1]]}}},{"id":1485,"uris":["http://zotero.org/groups/6194892/items/YGCSPHTL"],"itemData":{"id":1485,"type":"article-journal","DOI":"https://doi.org/10.1121/1.424662","issue":"6","title":"Demographic and attitudinal factors that modify annoyance from transportation noise","URL":"https://pubs.aip.org/asa/jasa/article/105/6/3336/553454/Demographic-and-attitudinal-factors-that-modify","volume":"105","author":[{"family":"Miedema","given":"Henk"},{"family":"Vos","given":"Henk"}],"accessed":{"date-parts":[["2026",2,23]]},"issued":{"date-parts":[["1999",6]]}}},{"id":1481,"uris":["http://zotero.org/groups/6194892/items/IZSMZFYK"],"itemData":{"id":1481,"type":"article-journal","abstract":"The existing questionnaires for determining the noise sensitivity of individuals provide information only about global noise sensitivity, although empirical data suggest that measuring noise sensitivity for different situations in daily life might be more logical. Therefore, the “Noise-Sensitivity-Questionnaire” (NoiSeQ) was developed to measure global noise sensitivity as well as the sensitivity of five domains of daily life, namely, leisure, work, habitation, communication, and sleep. The assessment of the measurement characteristics was based on the Generalizability (G) theory. The results of the G-study (N = 66) proved that a single application of the questionnaire is sufficient for determining an individual's noise sensitivity. Furthermore, the ratings are age and gender independent. The subsequently conducted Decision (D)-study (N = 288) provides information on the reliability of NoiSeQ. If the questionnaire is used for measuring global noise sensitivity, the reliability (relative and absolute G-coefficient) reaches a value above 0.90. According to ISO 10075-3, the questionnaire satisfies the precision level 1 “accurate measurement” in this case. The G-coefficients for all the subscales exceed the lower limit 0.70, with the exception of subscale leisure, which did not prove satisfactory. However, this subscale can reach a reliability of more than 0.70 if additional items are included. The validity of the instrument was proven for the subscales habitation (N = 72) and work (N = 72). In both the studies, the participants were asked to rate the annoyance in the presence of several rail and traffic noise scenarios. The subjects were characterized as low and high noise sensitive according to their sensitivity values obtained from NoiSeQ. In conclusion, a significant difference in annoyance rates was observed between the low and high noise sensitive groups for both the subscales habitation and work. This data support the validity of NoiSeQ.","container-title":"Noise and Health","DOI":"10.4103/1463-1741.34700","ISSN":"1463-1741","issue":"34","language":"en-US","page":"15","source":"journals.lww.com","title":"The development of the noise sensitivity questionnaire","volume":"9","author":[{"family":"Schutte","given":"Martin"},{"family":"Marks","given":"Anke"},{"family":"Wenning","given":"Edna"},{"family":"Griefahn","given":"Barbara"}],"issued":{"date-parts":[["2007",3]]}}},{"id":1479,"uris":["http://zotero.org/groups/6194892/items/5KVP3V9K"],"itemData":{"id":1479,"type":"article-journal","abstract":"The relationship between environmental noise and health is poorly understood but of fundamental importance to public health. This study estimated the ...","container-title":"International Journal of Environmental Research and Public Health","DOI":"10.3390/ijerph7103580","ISSN":"1660-4601","issue":"10","language":"en","license":"http://creativecommons.org/licenses/by/3.0/","page":"3579-3594","publisher":"publisher","source":"www.mdpi.com","title":"Exploring the Relationship between Noise Sensitivity, Annoyance and Health-Related Quality of Life in a Sample of Adults Exposed to Environmental Noise","volume":"7","author":[{"family":"Shepherd","given":"Daniel"},{"family":"Welch","given":"David"},{"family":"Dirks","given":"Kim N."},{"family":"Mathews","given":"Renata"}],"issued":{"date-parts":[["2010",10,10]]}}}],"schema":"https://github.com/citation-style-language/schema/raw/master/csl-citation.json"} </w:instrText>
      </w:r>
      <w:r w:rsidRPr="00677CE8">
        <w:fldChar w:fldCharType="separate"/>
      </w:r>
      <w:r w:rsidR="00D45F85" w:rsidRPr="00677CE8">
        <w:t>(</w:t>
      </w:r>
      <w:r w:rsidR="003F6E67" w:rsidRPr="00677CE8">
        <w:t xml:space="preserve">Miedema </w:t>
      </w:r>
      <w:r w:rsidR="002F3BEB" w:rsidRPr="00677CE8">
        <w:t>and</w:t>
      </w:r>
      <w:r w:rsidR="003F6E67" w:rsidRPr="00677CE8">
        <w:t xml:space="preserve"> Vos, 1999; Schutte et al., 2007; Shepherd et al., 2010</w:t>
      </w:r>
      <w:r w:rsidR="00D45F85" w:rsidRPr="00677CE8">
        <w:t xml:space="preserve">; Aalmoes </w:t>
      </w:r>
      <w:r w:rsidR="002F3BEB" w:rsidRPr="00677CE8">
        <w:t>and</w:t>
      </w:r>
      <w:r w:rsidR="00D45F85" w:rsidRPr="00677CE8">
        <w:t xml:space="preserve"> Sieben, 2021</w:t>
      </w:r>
      <w:r w:rsidR="003F6E67" w:rsidRPr="00677CE8">
        <w:t>)</w:t>
      </w:r>
      <w:r w:rsidRPr="00677CE8">
        <w:fldChar w:fldCharType="end"/>
      </w:r>
      <w:r w:rsidRPr="00677CE8">
        <w:t xml:space="preserve">, with sensitivity levels elevated for those who exhibit anxiety or fear relating to the associated mode </w:t>
      </w:r>
      <w:r w:rsidRPr="00677CE8">
        <w:fldChar w:fldCharType="begin"/>
      </w:r>
      <w:r w:rsidR="00B7697D" w:rsidRPr="00677CE8">
        <w:instrText xml:space="preserve"> ADDIN ZOTERO_ITEM CSL_CITATION {"citationID":"tlzJO7Ys","properties":{"formattedCitation":"(Miedema &amp; Vos, 1999)","plainCitation":"(Miedema &amp; Vos, 1999)","dontUpdate":true,"noteIndex":0},"citationItems":[{"id":1485,"uris":["http://zotero.org/groups/6194892/items/YGCSPHTL"],"itemData":{"id":1485,"type":"article-journal","DOI":"https://doi.org/10.1121/1.424662","issue":"6","title":"Demographic and attitudinal factors that modify annoyance from transportation noise","URL":"https://pubs.aip.org/asa/jasa/article/105/6/3336/553454/Demographic-and-attitudinal-factors-that-modify","volume":"105","author":[{"family":"Miedema","given":"Henk"},{"family":"Vos","given":"Henk"}],"accessed":{"date-parts":[["2026",2,23]]},"issued":{"date-parts":[["1999",6]]}}}],"schema":"https://github.com/citation-style-language/schema/raw/master/csl-citation.json"} </w:instrText>
      </w:r>
      <w:r w:rsidRPr="00677CE8">
        <w:fldChar w:fldCharType="separate"/>
      </w:r>
      <w:r w:rsidRPr="00677CE8">
        <w:t xml:space="preserve">(Miedema </w:t>
      </w:r>
      <w:r w:rsidR="00DC5E7F" w:rsidRPr="00677CE8">
        <w:t>and</w:t>
      </w:r>
      <w:r w:rsidRPr="00677CE8">
        <w:t xml:space="preserve"> Vos, 1999)</w:t>
      </w:r>
      <w:r w:rsidRPr="00677CE8">
        <w:fldChar w:fldCharType="end"/>
      </w:r>
      <w:r w:rsidRPr="00677CE8">
        <w:t xml:space="preserve">. </w:t>
      </w:r>
      <w:r w:rsidR="00240738" w:rsidRPr="00677CE8">
        <w:t xml:space="preserve">While </w:t>
      </w:r>
      <w:r w:rsidR="00123F25" w:rsidRPr="00677CE8">
        <w:t>not commonly included</w:t>
      </w:r>
      <w:r w:rsidR="00BD339D" w:rsidRPr="00677CE8">
        <w:t xml:space="preserve"> as a distinct variable within</w:t>
      </w:r>
      <w:r w:rsidR="00123F25" w:rsidRPr="00677CE8">
        <w:t xml:space="preserve"> </w:t>
      </w:r>
      <w:r w:rsidR="000D429A" w:rsidRPr="00677CE8">
        <w:t>the</w:t>
      </w:r>
      <w:r w:rsidR="00240738" w:rsidRPr="00677CE8">
        <w:t xml:space="preserve"> traditional</w:t>
      </w:r>
      <w:r w:rsidR="000D429A" w:rsidRPr="00677CE8">
        <w:t xml:space="preserve"> </w:t>
      </w:r>
      <w:r w:rsidR="00123F25" w:rsidRPr="00677CE8">
        <w:t>TAM</w:t>
      </w:r>
      <w:r w:rsidR="000D429A" w:rsidRPr="00677CE8">
        <w:t xml:space="preserve"> (which instead generally focuses on perceived usefulness and perceived ease of use</w:t>
      </w:r>
      <w:r w:rsidR="00240738" w:rsidRPr="00677CE8">
        <w:t xml:space="preserve">), </w:t>
      </w:r>
      <w:r w:rsidR="00BD339D" w:rsidRPr="00677CE8">
        <w:t>UAM noise</w:t>
      </w:r>
      <w:r w:rsidR="00123F25" w:rsidRPr="00677CE8">
        <w:t xml:space="preserve"> sensitivity aligns closely with the attitudinal </w:t>
      </w:r>
      <w:r w:rsidR="00BD339D" w:rsidRPr="00677CE8">
        <w:t>component</w:t>
      </w:r>
      <w:r w:rsidR="00123F25" w:rsidRPr="00677CE8">
        <w:t xml:space="preserve"> of TPB</w:t>
      </w:r>
      <w:r w:rsidR="007E7607" w:rsidRPr="00677CE8">
        <w:t xml:space="preserve"> </w:t>
      </w:r>
      <w:r w:rsidR="00453A27" w:rsidRPr="00677CE8">
        <w:t>that</w:t>
      </w:r>
      <w:r w:rsidR="007E7607" w:rsidRPr="00677CE8">
        <w:t xml:space="preserve"> explicitly recognizes the importance of beliefs about the negative consequences of performing a behavior. </w:t>
      </w:r>
      <w:r w:rsidR="00D25978" w:rsidRPr="00677CE8">
        <w:t>In the UAM context, we capture noise sensitivity as a context specific attitudinal belief</w:t>
      </w:r>
      <w:r w:rsidR="00123F25" w:rsidRPr="00677CE8">
        <w:t xml:space="preserve">, capturing </w:t>
      </w:r>
      <w:r w:rsidR="00BD339D" w:rsidRPr="00677CE8">
        <w:t xml:space="preserve">the extent to which anticipated noise disruptions contribute to negative attitudes towards UAM technology. </w:t>
      </w:r>
      <w:r w:rsidRPr="00677CE8">
        <w:t>Incorporating this construct allows us to examine the role of general noise sensitivity and perceptions in shaping adoption intentions, while controlling separately for in-vehicle</w:t>
      </w:r>
      <w:r w:rsidR="003D4C3F" w:rsidRPr="00677CE8">
        <w:t xml:space="preserve"> </w:t>
      </w:r>
      <w:r w:rsidRPr="00677CE8">
        <w:t>noise</w:t>
      </w:r>
      <w:r w:rsidR="003D4C3F" w:rsidRPr="00677CE8">
        <w:t xml:space="preserve"> </w:t>
      </w:r>
      <w:r w:rsidRPr="00677CE8">
        <w:t>level</w:t>
      </w:r>
      <w:r w:rsidR="003D4C3F" w:rsidRPr="00677CE8">
        <w:t>s</w:t>
      </w:r>
      <w:r w:rsidRPr="00677CE8">
        <w:t xml:space="preserve"> as a service attribute. Within the sample,</w:t>
      </w:r>
      <w:r w:rsidR="003F6E67" w:rsidRPr="00677CE8">
        <w:t xml:space="preserve"> UAM</w:t>
      </w:r>
      <w:r w:rsidRPr="00677CE8">
        <w:t xml:space="preserve"> noise sensitivity responses appear somewhat skewed toward higher sensitivity, particularly for the second indicator related to </w:t>
      </w:r>
      <w:r w:rsidR="00D57FD0">
        <w:t xml:space="preserve">noise levels near the home during </w:t>
      </w:r>
      <w:r w:rsidRPr="00677CE8">
        <w:t>nighttime operations</w:t>
      </w:r>
      <w:r w:rsidR="00D57FD0">
        <w:t xml:space="preserve"> (see the middle panel of Figure 2).</w:t>
      </w:r>
    </w:p>
    <w:p w14:paraId="0EDB3681" w14:textId="11A7B87B" w:rsidR="000B5145" w:rsidRPr="00677CE8" w:rsidRDefault="000B5145" w:rsidP="00BD339D">
      <w:pPr>
        <w:spacing w:after="0" w:line="240" w:lineRule="auto"/>
        <w:ind w:firstLine="720"/>
        <w:jc w:val="both"/>
      </w:pPr>
      <w:r w:rsidRPr="00677CE8">
        <w:t>The final construct represents positive travel perceptions, measuring the degree to which individuals enjoy the act of traveling and perceive travel time as useful. This construct reflects general satisfaction with existing mobility options.</w:t>
      </w:r>
      <w:r w:rsidR="00BD339D" w:rsidRPr="00677CE8">
        <w:t xml:space="preserve"> This construct aligns with the perceived usefulness component of TAM, capturing the extent to which individuals view their current travel as providing value beyond merely reaching a destination.</w:t>
      </w:r>
      <w:r w:rsidRPr="00677CE8">
        <w:t xml:space="preserve"> As such, it is expected that individuals with more positive perceptions of their current travel experiences will display lower propensities to adopt UAM services </w:t>
      </w:r>
      <w:r w:rsidRPr="00677CE8">
        <w:fldChar w:fldCharType="begin"/>
      </w:r>
      <w:r w:rsidR="00B7697D" w:rsidRPr="00677CE8">
        <w:instrText xml:space="preserve"> ADDIN ZOTERO_ITEM CSL_CITATION {"citationID":"zmY184TJ","properties":{"formattedCitation":"(Adamidis et al., 2025; Brunelli et al., 2023; Karimi et al., 2024)","plainCitation":"(Adamidis et al., 2025; Brunelli et al., 2023; Karimi et al., 2024)","dontUpdate":true,"noteIndex":0},"citationItems":[{"id":560,"uris":["http://zotero.org/groups/6194892/items/MKSZW5M8"],"itemData":{"id":560,"type":"article-journal","abstract":"The increasing use of commercial aviation in the last decades has urged us to reconsider landside airport accessibility to meet the evolving demand. At the same time, the third (vertical) dimension in urban and suburban areas – i.e. the lower airspace up to 500 m above the ground – has yet to be substantially exploited for transportation. Soon, technological advances in electric vertical take-off and landing (eVTOL) aircraft could enable the commercial use of Urban Air Mobility (UAM) for airport access. Through a case study in Bavaria, Germany, and Austria, this research aims to investigate the potential users’ willingness to pay for a novel UAM AirShuttle service, which could connect the airport of Munich with important points in its catchment area, and to analyse their transportation mode choices when accessing the airport. A stated preference mode choice survey was disseminated through an online panel during March 2023 in the catchment area of the airport to assess the current travel behaviour of the population, including the ownership of mobility instruments, the current state of airport accessibility and the satisfaction of the respondents (N=218) with the currently available modes. Furthermore, the survey investigated directly how much the respondents were willing to pay to use the AirShuttle and their sociodemographic background. The results were evaluated using descriptive statistical analyses and discrete choice modelling. The findings reveal that most respondents were satisfied with the current access modes and found their pricing reasonable. On the other hand, their willingness to pay for UAM services was lower than expected. This study yields important implications for the industrial stakeholders of UAM and for policymakers; by analysing the results, it was concluded that the expectations of the industry and potential customers regarding UAM pricing in the short term could be different and that its benefits and implications for society should be carefully weighed by policymakers.","container-title":"Transport Policy","DOI":"10.1016/j.tranpol.2025.07.027","ISSN":"0967-070X","journalAbbreviation":"Transport Policy","page":"1025-1040","source":"ScienceDirect","title":"Urban air mobility for airport access: Mode choice preferences and pricing considerations","title-short":"Urban air mobility for airport access","volume":"171","author":[{"family":"Adamidis","given":"Filippos"},{"family":"Ditta","given":"Chiara Caterina"},{"family":"Wu","given":"Hao"},{"family":"Postorino","given":"Maria Nadia"},{"family":"Antoniou","given":"Constantinos"}],"issued":{"date-parts":[["2025",9,1]]}}},{"id":557,"uris":["http://zotero.org/groups/6194892/items/GBHAFU7L"],"itemData":{"id":557,"type":"article-journal","abstract":"Electric vertical take-off and landing vehicles (eVTOL) are expected to be the key drivers for Urban Air Mobility (UAM) scenarios, by satisfying on-demand air travel needs in the short or mid-term. Despite the high number of eVTOL prototypes, nowadays only few studies have focused on UAM travel demand estimation, in particular Airport Shuttle demand estimation. The aim of this work is to use Stated Preference methods to collect data necessary to understand the main features of the potential UAM Airport Shuttle trip demand, also by calibrating some discrete choice models. Data were collected by both on-line surveys and face-to-face interviews, which captured mainly the Italian context. Three different Multinominal Logit models and a Mixed Logit model have been calibrated in order to identify the main variables driving people's choices for Airport Shuttle services. The results show the positive impact of income, air travel frequency and shared ride in increasing the willingness to use Airport Shuttle services. On the other hand, user that still prefers the ground transportation modes to reach the airport, high ratio between the number of cars and the driving licenses per family unit and the lack of experience with autonomous systems (i.e., driving assistance systems) seem to have a negative impact on people intention to use Airport Shuttle services.","container-title":"Transport Policy","DOI":"10.1016/j.tranpol.2023.07.019","ISSN":"0967-070X","journalAbbreviation":"Transport Policy","page":"129-139","source":"ScienceDirect","title":"SP surveys to estimate Airport Shuttle demand in an Urban Air Mobility context","volume":"141","author":[{"family":"Brunelli","given":"Matteo"},{"family":"Ditta","given":"Chiara Caterina"},{"family":"Postorino","given":"Maria Nadia"}],"issued":{"date-parts":[["2023",9,1]]}}},{"id":493,"uris":["http://zotero.org/groups/6194892/items/H3TRCYG2"],"itemData":{"id":493,"type":"article-journal","abstract":"Urban air mobility (UAM) is a new mode of transportation which has the potential to curb congestion in urban areas by providing a fast alternative that bypasses surface-level traffic by employing low altitude urban airspace. However, the successful adoption of this innovation among other modes of transportation remains a critical challenge, as public acceptance plays a pivotal role in the uptake of any emerging technology or service. To transcend traditional ground transportation, it is imperative to investigate the factors that drive a transition from current modes, particularly private cars, to the utilization of urban air taxis (UATs). While prior research has explored different aspects of UAM adoption, there is a notable dearth of studies examining the influence of travel satisfaction and attitudes towards travel modes on the preference for UAM. Notably, existing transportation literature has established that both satisfaction and attitudes significantly shape travel behavior. To achieve this, a stated preference survey was conducted in the Tehran metropolitan area, and a multinomial logit model incorporating latent variables was developed to assess the influence of socio-demographic and psychological factors on UAM adoption in hypothetical scenarios with predetermined travel times and costs. The findings highlight the pivotal role of service cost and affordability, with individuals of higher incomes exhibiting a significant inclination toward UAT adoption. The adoption of UAT is significantly higher when the cost is comparable to the existing modes. Moreover, satisfaction components, specifically enjoyment and time-saving benefits, exert a significant influence on UAT preference. Unfavorable perceptions towards private cars and ride-hailing services positively contribute to the likelihood of preferring UAT, with a greater impact observed for negative attitudes towards ride-hailing. The study explicitly underscores the influence of travel satisfaction and attitudes towards conventional modes of transportation on the adoption of innovative alternatives such as air taxis within the context of mode choice scenarios.","container-title":"Transportation Research Part A: Policy and Practice","DOI":"10.1016/j.tra.2023.103885","ISSN":"0965-8564","source":"ScienceDirect","title":"The Role of Travel Satisfaction and Attitudes Toward Travel Modes in the Prospect of Adoption of Urban Air Taxis: Evidence from a Stated Preference Survey in Tehran","URL":"https://www.sciencedirect.com/science/article/pii/S0965856423003051","volume":"179","author":[{"family":"Karimi","given":"Sina"},{"family":"Karami","given":"Hossein"},{"family":"Samadzad","given":"Mahdi"}],"accessed":{"date-parts":[["2024",12,17]]},"issued":{"date-parts":[["2024",1,1]]}}}],"schema":"https://github.com/citation-style-language/schema/raw/master/csl-citation.json"} </w:instrText>
      </w:r>
      <w:r w:rsidRPr="00677CE8">
        <w:fldChar w:fldCharType="separate"/>
      </w:r>
      <w:r w:rsidR="00D45F85" w:rsidRPr="00677CE8">
        <w:t>(</w:t>
      </w:r>
      <w:r w:rsidRPr="00677CE8">
        <w:t>Brunelli et al., 2023; Karimi et al., 2024</w:t>
      </w:r>
      <w:r w:rsidR="00D45F85" w:rsidRPr="00677CE8">
        <w:t>; Adamidis et al., 2025</w:t>
      </w:r>
      <w:r w:rsidRPr="00677CE8">
        <w:t>)</w:t>
      </w:r>
      <w:r w:rsidRPr="00677CE8">
        <w:fldChar w:fldCharType="end"/>
      </w:r>
      <w:r w:rsidRPr="00677CE8">
        <w:t>. Conversely, individuals who are frustrated with existing modal options or dissatisfied with their current travel experiences are likely to have lower scores on this construct, which may increase their receptiveness to UAM. Responses related to positive travel perception</w:t>
      </w:r>
      <w:r w:rsidR="00D57FD0">
        <w:t xml:space="preserve"> (see the final panel of Figure 2)</w:t>
      </w:r>
      <w:r w:rsidRPr="00677CE8">
        <w:t xml:space="preserve"> suggest that most individuals view their current travel experiences favorably, with a small minority expressing negative perceptions of their travel time.</w:t>
      </w:r>
    </w:p>
    <w:p w14:paraId="24E7B0C2" w14:textId="77777777" w:rsidR="000B5145" w:rsidRPr="00677CE8" w:rsidRDefault="000B5145" w:rsidP="000B5145">
      <w:pPr>
        <w:spacing w:after="0" w:line="240" w:lineRule="auto"/>
        <w:jc w:val="both"/>
      </w:pPr>
    </w:p>
    <w:p w14:paraId="42945BA6" w14:textId="419A0B97" w:rsidR="007D644C" w:rsidRPr="00677CE8" w:rsidRDefault="007D644C" w:rsidP="00021884">
      <w:pPr>
        <w:pStyle w:val="Heading2"/>
        <w:keepNext/>
        <w:keepLines/>
        <w:spacing w:after="0" w:line="240" w:lineRule="auto"/>
        <w:jc w:val="both"/>
      </w:pPr>
      <w:r w:rsidRPr="00677CE8">
        <w:lastRenderedPageBreak/>
        <w:t>4.</w:t>
      </w:r>
      <w:r w:rsidR="000B5145" w:rsidRPr="00677CE8">
        <w:t>4</w:t>
      </w:r>
      <w:r w:rsidRPr="00677CE8">
        <w:t xml:space="preserve"> Endogenous Outcome</w:t>
      </w:r>
    </w:p>
    <w:p w14:paraId="38E9D5DC" w14:textId="75A04371" w:rsidR="009D6F07" w:rsidRPr="00677CE8" w:rsidRDefault="007D644C" w:rsidP="00021884">
      <w:pPr>
        <w:keepNext/>
        <w:keepLines/>
        <w:spacing w:after="0" w:line="240" w:lineRule="auto"/>
        <w:jc w:val="both"/>
      </w:pPr>
      <w:r w:rsidRPr="00677CE8">
        <w:t>The endogenous outcome in this study is an ordered ranking of preference across five modal alternatives presented</w:t>
      </w:r>
      <w:r w:rsidR="008171DB" w:rsidRPr="00677CE8">
        <w:t xml:space="preserve"> to </w:t>
      </w:r>
      <w:proofErr w:type="gramStart"/>
      <w:r w:rsidR="008171DB" w:rsidRPr="00677CE8">
        <w:t>each individual</w:t>
      </w:r>
      <w:proofErr w:type="gramEnd"/>
      <w:r w:rsidRPr="00677CE8">
        <w:t xml:space="preserve"> in each </w:t>
      </w:r>
      <w:r w:rsidR="003B2C06" w:rsidRPr="00677CE8">
        <w:t xml:space="preserve">of two </w:t>
      </w:r>
      <w:r w:rsidR="00964A21" w:rsidRPr="00677CE8">
        <w:t>SP</w:t>
      </w:r>
      <w:r w:rsidR="003B2C06" w:rsidRPr="00677CE8">
        <w:t xml:space="preserve"> </w:t>
      </w:r>
      <w:r w:rsidRPr="00677CE8">
        <w:t>scenario</w:t>
      </w:r>
      <w:r w:rsidR="003B2C06" w:rsidRPr="00677CE8">
        <w:t>s</w:t>
      </w:r>
      <w:r w:rsidRPr="00677CE8">
        <w:t>.</w:t>
      </w:r>
      <w:r w:rsidR="009D6F07" w:rsidRPr="00677CE8">
        <w:t xml:space="preserve"> The</w:t>
      </w:r>
      <w:r w:rsidR="003B2C06" w:rsidRPr="00677CE8">
        <w:t xml:space="preserve"> five alternatives</w:t>
      </w:r>
      <w:r w:rsidR="009D6F07" w:rsidRPr="00677CE8">
        <w:t xml:space="preserve"> include: (1) air taxi (an on-demand private service), (2) air metro (a public aerial service with fixed routes, set departure times, and shared vehicles), (3) </w:t>
      </w:r>
      <w:r w:rsidR="00EB7E70" w:rsidRPr="00677CE8">
        <w:t>GB</w:t>
      </w:r>
      <w:r w:rsidR="001041DD" w:rsidRPr="00677CE8">
        <w:t xml:space="preserve"> </w:t>
      </w:r>
      <w:proofErr w:type="spellStart"/>
      <w:r w:rsidR="009D6F07" w:rsidRPr="00677CE8">
        <w:t>ridehailing</w:t>
      </w:r>
      <w:proofErr w:type="spellEnd"/>
      <w:r w:rsidR="009D6F07" w:rsidRPr="00677CE8">
        <w:t xml:space="preserve"> services, (4) </w:t>
      </w:r>
      <w:r w:rsidR="00EB7E70" w:rsidRPr="00677CE8">
        <w:t>GB</w:t>
      </w:r>
      <w:r w:rsidR="001041DD" w:rsidRPr="00677CE8">
        <w:t xml:space="preserve"> </w:t>
      </w:r>
      <w:r w:rsidR="009D6F07" w:rsidRPr="00677CE8">
        <w:t>public transportation, and (5)</w:t>
      </w:r>
      <w:r w:rsidR="004C5503" w:rsidRPr="00677CE8">
        <w:t xml:space="preserve"> </w:t>
      </w:r>
      <w:r w:rsidR="00EB7E70" w:rsidRPr="00677CE8">
        <w:t>GB</w:t>
      </w:r>
      <w:r w:rsidR="001041DD" w:rsidRPr="00677CE8">
        <w:t xml:space="preserve"> </w:t>
      </w:r>
      <w:r w:rsidR="009D6F07" w:rsidRPr="00677CE8">
        <w:t>private vehicle. This design provides a realistic comparison between preferences</w:t>
      </w:r>
      <w:r w:rsidR="003B2C06" w:rsidRPr="00677CE8">
        <w:t>,</w:t>
      </w:r>
      <w:r w:rsidR="009D6F07" w:rsidRPr="00677CE8">
        <w:t xml:space="preserve"> including both on-demand and fixed-route alternatives for both </w:t>
      </w:r>
      <w:r w:rsidR="003D4C3F" w:rsidRPr="00677CE8">
        <w:t>aerial modes and GB modes</w:t>
      </w:r>
      <w:r w:rsidR="009D6F07" w:rsidRPr="00677CE8">
        <w:t>.</w:t>
      </w:r>
      <w:r w:rsidRPr="00677CE8">
        <w:t xml:space="preserve"> Each respondent was asked to rank all five alternatives in </w:t>
      </w:r>
      <w:r w:rsidR="003B2C06" w:rsidRPr="00677CE8">
        <w:t xml:space="preserve">each of the </w:t>
      </w:r>
      <w:r w:rsidRPr="00677CE8">
        <w:t xml:space="preserve">two </w:t>
      </w:r>
      <w:r w:rsidR="00964A21" w:rsidRPr="00677CE8">
        <w:t>SP</w:t>
      </w:r>
      <w:r w:rsidRPr="00677CE8">
        <w:t xml:space="preserve"> scenarios, yielding a total of 2,114 ranked observations (1,05</w:t>
      </w:r>
      <w:r w:rsidR="00E47978" w:rsidRPr="00677CE8">
        <w:t>7</w:t>
      </w:r>
      <w:r w:rsidRPr="00677CE8">
        <w:t xml:space="preserve"> respondents × 2 choice occasions). Table </w:t>
      </w:r>
      <w:r w:rsidR="00715EE3" w:rsidRPr="00677CE8">
        <w:t>4</w:t>
      </w:r>
      <w:r w:rsidRPr="00677CE8">
        <w:t xml:space="preserve"> presents the overall stated ranked mode preferences across both scenarios. </w:t>
      </w:r>
    </w:p>
    <w:p w14:paraId="6EA469DD" w14:textId="793FD12B" w:rsidR="007B293E" w:rsidRPr="00677CE8" w:rsidRDefault="007D644C" w:rsidP="003D4C3F">
      <w:pPr>
        <w:spacing w:after="0" w:line="240" w:lineRule="auto"/>
        <w:ind w:firstLine="720"/>
        <w:jc w:val="both"/>
      </w:pPr>
      <w:r w:rsidRPr="00677CE8">
        <w:t xml:space="preserve">The “First Rank” column of Table </w:t>
      </w:r>
      <w:r w:rsidR="00715EE3" w:rsidRPr="00677CE8">
        <w:t>4</w:t>
      </w:r>
      <w:r w:rsidRPr="00677CE8">
        <w:t xml:space="preserve"> indicates that air taxi is the </w:t>
      </w:r>
      <w:r w:rsidR="00BA0F35" w:rsidRPr="00677CE8">
        <w:t>second</w:t>
      </w:r>
      <w:r w:rsidRPr="00677CE8">
        <w:t xml:space="preserve"> most frequent</w:t>
      </w:r>
      <w:r w:rsidR="00BA0F35" w:rsidRPr="00677CE8">
        <w:t>ly selected</w:t>
      </w:r>
      <w:r w:rsidR="00D77D88" w:rsidRPr="00677CE8">
        <w:t xml:space="preserve"> first</w:t>
      </w:r>
      <w:r w:rsidR="000D3A20">
        <w:t>-</w:t>
      </w:r>
      <w:r w:rsidR="00D77D88" w:rsidRPr="00677CE8">
        <w:t>choice</w:t>
      </w:r>
      <w:r w:rsidRPr="00677CE8">
        <w:t xml:space="preserve"> </w:t>
      </w:r>
      <w:r w:rsidR="00BA0F35" w:rsidRPr="00677CE8">
        <w:t>mode</w:t>
      </w:r>
      <w:r w:rsidRPr="00677CE8">
        <w:t xml:space="preserve"> (22.2%), followed by air metro (12.4%). </w:t>
      </w:r>
      <w:r w:rsidR="001041DD" w:rsidRPr="00677CE8">
        <w:t xml:space="preserve">At </w:t>
      </w:r>
      <w:r w:rsidR="00BA0F35" w:rsidRPr="00677CE8">
        <w:t>an aggregate</w:t>
      </w:r>
      <w:r w:rsidR="00E813F6" w:rsidRPr="00677CE8">
        <w:t xml:space="preserve"> level, </w:t>
      </w:r>
      <w:r w:rsidR="001365DD" w:rsidRPr="00677CE8">
        <w:t xml:space="preserve">these results suggest that interest in UAM modes is </w:t>
      </w:r>
      <w:r w:rsidR="001041DD" w:rsidRPr="00677CE8">
        <w:t xml:space="preserve">quite </w:t>
      </w:r>
      <w:r w:rsidR="001365DD" w:rsidRPr="00677CE8">
        <w:t xml:space="preserve">substantial, </w:t>
      </w:r>
      <w:r w:rsidR="002F3F96" w:rsidRPr="00677CE8">
        <w:t xml:space="preserve">with </w:t>
      </w:r>
      <w:r w:rsidR="003D4C3F" w:rsidRPr="00677CE8">
        <w:t xml:space="preserve">an aerial mode selected as a </w:t>
      </w:r>
      <w:proofErr w:type="gramStart"/>
      <w:r w:rsidR="003D4C3F" w:rsidRPr="00677CE8">
        <w:t>first</w:t>
      </w:r>
      <w:r w:rsidR="000D3A20">
        <w:t>-</w:t>
      </w:r>
      <w:r w:rsidR="003D4C3F" w:rsidRPr="00677CE8">
        <w:t>choice</w:t>
      </w:r>
      <w:proofErr w:type="gramEnd"/>
      <w:r w:rsidR="003D4C3F" w:rsidRPr="00677CE8">
        <w:t xml:space="preserve"> in 34</w:t>
      </w:r>
      <w:r w:rsidR="002F3F96" w:rsidRPr="00677CE8">
        <w:t>.</w:t>
      </w:r>
      <w:r w:rsidR="003D4C3F" w:rsidRPr="00677CE8">
        <w:t>6</w:t>
      </w:r>
      <w:r w:rsidR="002F3F96" w:rsidRPr="00677CE8">
        <w:t>% of</w:t>
      </w:r>
      <w:r w:rsidR="003D4C3F" w:rsidRPr="00677CE8">
        <w:t xml:space="preserve"> the </w:t>
      </w:r>
      <w:r w:rsidR="00964A21" w:rsidRPr="00677CE8">
        <w:t>SP</w:t>
      </w:r>
      <w:r w:rsidR="003D4C3F" w:rsidRPr="00677CE8">
        <w:t xml:space="preserve"> experiments</w:t>
      </w:r>
      <w:r w:rsidR="002F3F96" w:rsidRPr="00677CE8">
        <w:t>.</w:t>
      </w:r>
      <w:r w:rsidR="008171DB" w:rsidRPr="00677CE8">
        <w:t xml:space="preserve"> </w:t>
      </w:r>
      <w:r w:rsidR="001365DD" w:rsidRPr="00677CE8">
        <w:t>At the same time, a</w:t>
      </w:r>
      <w:r w:rsidR="00A8354A" w:rsidRPr="00677CE8">
        <w:t>erial</w:t>
      </w:r>
      <w:r w:rsidR="001365DD" w:rsidRPr="00677CE8">
        <w:t xml:space="preserve"> modes also appear among </w:t>
      </w:r>
      <w:r w:rsidR="001041DD" w:rsidRPr="00677CE8">
        <w:t xml:space="preserve">the </w:t>
      </w:r>
      <w:r w:rsidR="001365DD" w:rsidRPr="00677CE8">
        <w:t xml:space="preserve">least-preferred alternatives for </w:t>
      </w:r>
      <w:r w:rsidR="00230858" w:rsidRPr="00677CE8">
        <w:t>comparable</w:t>
      </w:r>
      <w:r w:rsidR="001365DD" w:rsidRPr="00677CE8">
        <w:t xml:space="preserve"> shares of respondents. As shown in the final column of Table </w:t>
      </w:r>
      <w:r w:rsidR="002C6A4D" w:rsidRPr="00677CE8">
        <w:t>4</w:t>
      </w:r>
      <w:r w:rsidR="001365DD" w:rsidRPr="00677CE8">
        <w:t xml:space="preserve">, </w:t>
      </w:r>
      <w:r w:rsidRPr="00677CE8">
        <w:t xml:space="preserve">air taxi and air metro </w:t>
      </w:r>
      <w:r w:rsidR="001365DD" w:rsidRPr="00677CE8">
        <w:t>account</w:t>
      </w:r>
      <w:r w:rsidRPr="00677CE8">
        <w:t xml:space="preserve"> for 21.3% and 13.6% of fifth-ranked choices, respectively. </w:t>
      </w:r>
      <w:r w:rsidR="001365DD" w:rsidRPr="00677CE8">
        <w:t xml:space="preserve">This pattern of polarization suggests </w:t>
      </w:r>
      <w:r w:rsidR="00BA0F35" w:rsidRPr="00677CE8">
        <w:t>substantial</w:t>
      </w:r>
      <w:r w:rsidR="001041DD" w:rsidRPr="00677CE8">
        <w:t xml:space="preserve"> </w:t>
      </w:r>
      <w:r w:rsidR="00230858" w:rsidRPr="00677CE8">
        <w:t>variation</w:t>
      </w:r>
      <w:r w:rsidR="001365DD" w:rsidRPr="00677CE8">
        <w:t xml:space="preserve"> </w:t>
      </w:r>
      <w:r w:rsidR="00230858" w:rsidRPr="00677CE8">
        <w:t xml:space="preserve">in preferences across </w:t>
      </w:r>
      <w:r w:rsidR="001365DD" w:rsidRPr="00677CE8">
        <w:t>scenarios</w:t>
      </w:r>
      <w:r w:rsidR="001041DD" w:rsidRPr="00677CE8">
        <w:t xml:space="preserve"> </w:t>
      </w:r>
      <w:r w:rsidR="00BA0F35" w:rsidRPr="00677CE8">
        <w:t>or</w:t>
      </w:r>
      <w:r w:rsidR="001041DD" w:rsidRPr="00677CE8">
        <w:t xml:space="preserve"> </w:t>
      </w:r>
      <w:r w:rsidR="00230858" w:rsidRPr="00677CE8">
        <w:t>heterogeneity in individual attitudes toward</w:t>
      </w:r>
      <w:r w:rsidR="001041DD" w:rsidRPr="00677CE8">
        <w:t xml:space="preserve"> modal alternatives</w:t>
      </w:r>
      <w:r w:rsidR="001365DD" w:rsidRPr="00677CE8">
        <w:t xml:space="preserve">. </w:t>
      </w:r>
      <w:r w:rsidR="00BA0F35" w:rsidRPr="00677CE8">
        <w:t>Turning to GB modes, s</w:t>
      </w:r>
      <w:r w:rsidRPr="00677CE8">
        <w:t xml:space="preserve">hares for </w:t>
      </w:r>
      <w:proofErr w:type="spellStart"/>
      <w:r w:rsidRPr="00677CE8">
        <w:t>ridehailing</w:t>
      </w:r>
      <w:proofErr w:type="spellEnd"/>
      <w:r w:rsidRPr="00677CE8">
        <w:t xml:space="preserve"> are highest in the intermediate </w:t>
      </w:r>
      <w:r w:rsidR="008171DB" w:rsidRPr="00677CE8">
        <w:t xml:space="preserve">(third and fourth) </w:t>
      </w:r>
      <w:r w:rsidRPr="00677CE8">
        <w:t>ranks, peaking at 30.4% for the fourth-rank position.</w:t>
      </w:r>
      <w:r w:rsidR="00BA0F35" w:rsidRPr="00677CE8">
        <w:t xml:space="preserve"> P</w:t>
      </w:r>
      <w:r w:rsidRPr="00677CE8">
        <w:t xml:space="preserve">ublic transportation is the least preferred </w:t>
      </w:r>
      <w:r w:rsidR="00230858" w:rsidRPr="00677CE8">
        <w:t>alternative overall</w:t>
      </w:r>
      <w:r w:rsidRPr="00677CE8">
        <w:t xml:space="preserve">, with 38.0% of responses ranking it last. </w:t>
      </w:r>
      <w:r w:rsidR="00BA0F35" w:rsidRPr="00677CE8">
        <w:t xml:space="preserve">Finally, private </w:t>
      </w:r>
      <w:proofErr w:type="gramStart"/>
      <w:r w:rsidR="00BA0F35" w:rsidRPr="00677CE8">
        <w:t>vehicle is</w:t>
      </w:r>
      <w:proofErr w:type="gramEnd"/>
      <w:r w:rsidR="00BA0F35" w:rsidRPr="00677CE8">
        <w:t xml:space="preserve"> the </w:t>
      </w:r>
      <w:proofErr w:type="gramStart"/>
      <w:r w:rsidR="00BA0F35" w:rsidRPr="00677CE8">
        <w:t>most commonly selected</w:t>
      </w:r>
      <w:proofErr w:type="gramEnd"/>
      <w:r w:rsidR="00BA0F35" w:rsidRPr="00677CE8">
        <w:t xml:space="preserve"> first-ranked alternative, accounting for 51.2% of first-rank preferences. </w:t>
      </w:r>
      <w:r w:rsidR="001365DD" w:rsidRPr="00677CE8">
        <w:t>These descriptive patterns provide high-level insights into relative modal preferences, revealing both enthusiasm and hesitancy towards UAM services</w:t>
      </w:r>
      <w:r w:rsidR="00230858" w:rsidRPr="00677CE8">
        <w:t>. However,</w:t>
      </w:r>
      <w:r w:rsidR="001365DD" w:rsidRPr="00677CE8">
        <w:t xml:space="preserve"> they do not, on their own, explain the sources of these preferences.</w:t>
      </w:r>
      <w:r w:rsidR="00BA0F35" w:rsidRPr="00677CE8">
        <w:t xml:space="preserve"> </w:t>
      </w:r>
    </w:p>
    <w:p w14:paraId="1EC29734" w14:textId="77777777" w:rsidR="004E2DFF" w:rsidRPr="00677CE8" w:rsidRDefault="004E2DFF" w:rsidP="007B293E">
      <w:pPr>
        <w:spacing w:after="0" w:line="240" w:lineRule="auto"/>
        <w:ind w:firstLine="720"/>
        <w:jc w:val="both"/>
      </w:pPr>
    </w:p>
    <w:p w14:paraId="042AEE92" w14:textId="68DF600E" w:rsidR="0011417D" w:rsidRPr="00677CE8" w:rsidRDefault="0011417D">
      <w:pPr>
        <w:pStyle w:val="Heading1"/>
        <w:numPr>
          <w:ilvl w:val="0"/>
          <w:numId w:val="7"/>
        </w:numPr>
        <w:tabs>
          <w:tab w:val="left" w:pos="270"/>
        </w:tabs>
        <w:spacing w:after="0" w:line="240" w:lineRule="auto"/>
        <w:jc w:val="both"/>
      </w:pPr>
      <w:r w:rsidRPr="00677CE8">
        <w:t>RESULTS</w:t>
      </w:r>
    </w:p>
    <w:p w14:paraId="365F2521" w14:textId="27460690" w:rsidR="008171DB" w:rsidRPr="00677CE8" w:rsidRDefault="008171DB" w:rsidP="008171DB">
      <w:pPr>
        <w:pStyle w:val="ListParagraph"/>
        <w:spacing w:after="0" w:line="240" w:lineRule="auto"/>
        <w:ind w:left="0"/>
        <w:jc w:val="both"/>
      </w:pPr>
      <w:r w:rsidRPr="00677CE8">
        <w:t xml:space="preserve">The final </w:t>
      </w:r>
      <w:r w:rsidR="00556040" w:rsidRPr="00677CE8">
        <w:t>rank-ordered model</w:t>
      </w:r>
      <w:r w:rsidRPr="00677CE8">
        <w:t xml:space="preserve"> specification was developed through a systematic evaluation of various combinations of explanatory variables, including testing different functional forms and interaction effects. Continuous/count variables such as</w:t>
      </w:r>
      <w:r w:rsidR="00437F92" w:rsidRPr="00677CE8">
        <w:t xml:space="preserve"> travel time,</w:t>
      </w:r>
      <w:r w:rsidRPr="00677CE8">
        <w:t xml:space="preserve"> cost,</w:t>
      </w:r>
      <w:r w:rsidR="003D4C3F" w:rsidRPr="00677CE8">
        <w:t xml:space="preserve"> age,</w:t>
      </w:r>
      <w:r w:rsidRPr="00677CE8">
        <w:t xml:space="preserve"> household size, </w:t>
      </w:r>
      <w:r w:rsidR="003D4C3F" w:rsidRPr="00677CE8">
        <w:t xml:space="preserve">and </w:t>
      </w:r>
      <w:r w:rsidRPr="00677CE8">
        <w:t xml:space="preserve">number of </w:t>
      </w:r>
      <w:r w:rsidR="003D4C3F" w:rsidRPr="00677CE8">
        <w:t>motorized</w:t>
      </w:r>
      <w:r w:rsidRPr="00677CE8">
        <w:t xml:space="preserve"> vehicles</w:t>
      </w:r>
      <w:r w:rsidR="009D4341" w:rsidRPr="00677CE8">
        <w:t xml:space="preserve"> in household</w:t>
      </w:r>
      <w:r w:rsidR="003D4C3F" w:rsidRPr="00677CE8">
        <w:t xml:space="preserve"> </w:t>
      </w:r>
      <w:r w:rsidRPr="00677CE8">
        <w:t xml:space="preserve">were tested in both continuous, piecewise-linear, and dummy variable forms, and all except age turned out to be best included in continuous (linear) form in the final specification. Categorical variables were initially tested in their most </w:t>
      </w:r>
      <w:proofErr w:type="gramStart"/>
      <w:r w:rsidRPr="00677CE8">
        <w:t>disaggregate</w:t>
      </w:r>
      <w:proofErr w:type="gramEnd"/>
      <w:r w:rsidRPr="00677CE8">
        <w:t xml:space="preserve"> dummy variable </w:t>
      </w:r>
      <w:proofErr w:type="gramStart"/>
      <w:r w:rsidRPr="00677CE8">
        <w:t>form, and</w:t>
      </w:r>
      <w:proofErr w:type="gramEnd"/>
      <w:r w:rsidRPr="00677CE8">
        <w:t xml:space="preserve"> then combined based on statistical tests and behavioral interpretability.</w:t>
      </w:r>
      <w:r w:rsidR="00437F92" w:rsidRPr="00677CE8">
        <w:t xml:space="preserve"> </w:t>
      </w:r>
      <w:r w:rsidRPr="00677CE8">
        <w:t>Interaction effects between contextual and individual-level characteristics were also systematically tested. Latent constructs were incorporated directly, with additional interactions considered to capture the influence of attitudes on the perceptions of specific service attributes as well as interactions with individual characteristics. During the model estimation process, we used a t-statistic threshold of 1.</w:t>
      </w:r>
      <w:r w:rsidR="00437F92" w:rsidRPr="00677CE8">
        <w:t>28</w:t>
      </w:r>
      <w:r w:rsidRPr="00677CE8">
        <w:t xml:space="preserve"> corresponding to </w:t>
      </w:r>
      <w:r w:rsidR="000F4D2A" w:rsidRPr="00677CE8">
        <w:t>an</w:t>
      </w:r>
      <w:r w:rsidRPr="00677CE8">
        <w:t xml:space="preserve"> </w:t>
      </w:r>
      <w:r w:rsidR="00437F92" w:rsidRPr="00677CE8">
        <w:t>8</w:t>
      </w:r>
      <w:r w:rsidRPr="00677CE8">
        <w:t>0% confidence level</w:t>
      </w:r>
      <w:r w:rsidR="0007519F" w:rsidRPr="00677CE8">
        <w:t xml:space="preserve"> </w:t>
      </w:r>
      <w:r w:rsidRPr="00677CE8">
        <w:t>to retain variables for both the first-stage latent construct estimation, and second-stage ROP outcome</w:t>
      </w:r>
      <w:r w:rsidR="003D4C3F" w:rsidRPr="00677CE8">
        <w:t>.</w:t>
      </w:r>
      <w:r w:rsidR="0007519F" w:rsidRPr="00C91D5B">
        <w:rPr>
          <w:rStyle w:val="FootnoteReference"/>
        </w:rPr>
        <w:footnoteReference w:id="3"/>
      </w:r>
      <w:r w:rsidR="0007519F" w:rsidRPr="00677CE8">
        <w:t xml:space="preserve"> </w:t>
      </w:r>
      <w:r w:rsidRPr="00677CE8">
        <w:t xml:space="preserve"> </w:t>
      </w:r>
      <w:r w:rsidR="00437F92" w:rsidRPr="00677CE8">
        <w:t xml:space="preserve">However, the vast </w:t>
      </w:r>
      <w:r w:rsidR="00437F92" w:rsidRPr="00677CE8">
        <w:lastRenderedPageBreak/>
        <w:t xml:space="preserve">majority of the variables included in the final specification are statistically significant at much higher levels of confidence than this threshold, with only </w:t>
      </w:r>
      <w:r w:rsidR="007D28D6" w:rsidRPr="00677CE8">
        <w:t>two variables falling</w:t>
      </w:r>
      <w:r w:rsidR="00437F92" w:rsidRPr="00677CE8">
        <w:t xml:space="preserve"> below </w:t>
      </w:r>
      <w:r w:rsidR="00351AC3" w:rsidRPr="00677CE8">
        <w:t>a</w:t>
      </w:r>
      <w:r w:rsidR="00437F92" w:rsidRPr="00677CE8">
        <w:t xml:space="preserve"> 90% level of confidence. </w:t>
      </w:r>
    </w:p>
    <w:p w14:paraId="28A6BB14" w14:textId="7D3E1F3B" w:rsidR="00265FC5" w:rsidRPr="00677CE8" w:rsidRDefault="008171DB" w:rsidP="0070019B">
      <w:pPr>
        <w:pStyle w:val="ListParagraph"/>
        <w:spacing w:after="0" w:line="240" w:lineRule="auto"/>
        <w:ind w:left="0" w:firstLine="360"/>
        <w:jc w:val="both"/>
      </w:pPr>
      <w:r w:rsidRPr="00677CE8">
        <w:t>The final estimation results are shown in Tables 5</w:t>
      </w:r>
      <w:r w:rsidR="00265FC5" w:rsidRPr="00677CE8">
        <w:t xml:space="preserve"> </w:t>
      </w:r>
      <w:r w:rsidR="003D4C3F" w:rsidRPr="00677CE8">
        <w:t xml:space="preserve">and </w:t>
      </w:r>
      <w:r w:rsidRPr="00677CE8">
        <w:t>6. A “--” entry in these tables indicates that the corresponding exogenous variable does not have a statistically significant impact on the outcome column. The population density variable was not found to have a statistically significant impact on the outcomes and is therefore omitted. Similarly, we also tested for differential effects of Texan and non-Texan respondents in all model components, including interacting a dummy “Texa</w:t>
      </w:r>
      <w:r w:rsidR="00AA0A1D" w:rsidRPr="00677CE8">
        <w:t>n</w:t>
      </w:r>
      <w:r w:rsidRPr="00677CE8">
        <w:t xml:space="preserve">” variable with </w:t>
      </w:r>
      <w:r w:rsidR="00351AC3" w:rsidRPr="00677CE8">
        <w:t>contextual</w:t>
      </w:r>
      <w:r w:rsidRPr="00677CE8">
        <w:t xml:space="preserve"> characteristics</w:t>
      </w:r>
      <w:r w:rsidR="00C502EE" w:rsidRPr="00677CE8">
        <w:t xml:space="preserve">. </w:t>
      </w:r>
      <w:r w:rsidR="0070019B" w:rsidRPr="00677CE8">
        <w:t xml:space="preserve">However, </w:t>
      </w:r>
      <w:r w:rsidR="006943BE" w:rsidRPr="00677CE8">
        <w:t xml:space="preserve">these </w:t>
      </w:r>
      <w:r w:rsidR="00C502EE" w:rsidRPr="00677CE8">
        <w:t xml:space="preserve">interaction </w:t>
      </w:r>
      <w:r w:rsidR="0070019B" w:rsidRPr="00677CE8">
        <w:t>effects</w:t>
      </w:r>
      <w:r w:rsidR="00C502EE" w:rsidRPr="00677CE8">
        <w:t xml:space="preserve"> did not </w:t>
      </w:r>
      <w:r w:rsidR="0070019B" w:rsidRPr="00677CE8">
        <w:t>result in</w:t>
      </w:r>
      <w:r w:rsidR="00C502EE" w:rsidRPr="00677CE8">
        <w:t xml:space="preserve"> any statistically </w:t>
      </w:r>
      <w:r w:rsidR="0070019B" w:rsidRPr="00677CE8">
        <w:t xml:space="preserve">and behaviorally </w:t>
      </w:r>
      <w:r w:rsidR="00C502EE" w:rsidRPr="00677CE8">
        <w:t>meaningful relationships</w:t>
      </w:r>
      <w:r w:rsidR="006943BE" w:rsidRPr="00C91D5B">
        <w:rPr>
          <w:rStyle w:val="FootnoteReference"/>
        </w:rPr>
        <w:footnoteReference w:id="4"/>
      </w:r>
      <w:r w:rsidR="006943BE" w:rsidRPr="00677CE8">
        <w:t>, and</w:t>
      </w:r>
      <w:r w:rsidR="0070019B" w:rsidRPr="00677CE8">
        <w:t xml:space="preserve"> were</w:t>
      </w:r>
      <w:r w:rsidR="006943BE" w:rsidRPr="00677CE8">
        <w:t xml:space="preserve"> therefore excluded from the final model specification</w:t>
      </w:r>
      <w:r w:rsidR="0070019B" w:rsidRPr="00677CE8">
        <w:t xml:space="preserve">. As a result, </w:t>
      </w:r>
      <w:r w:rsidR="00667330" w:rsidRPr="00677CE8">
        <w:t>regional</w:t>
      </w:r>
      <w:r w:rsidR="0070019B" w:rsidRPr="00677CE8">
        <w:t xml:space="preserve"> effects</w:t>
      </w:r>
      <w:r w:rsidR="000F4D2A" w:rsidRPr="00677CE8">
        <w:t xml:space="preserve"> associated with state of residence</w:t>
      </w:r>
      <w:r w:rsidR="0070019B" w:rsidRPr="00677CE8">
        <w:t xml:space="preserve"> are captured only by alternative-specific “Texan” dummy variables, discussed in Section 5.2.2. </w:t>
      </w:r>
      <w:r w:rsidRPr="00677CE8">
        <w:t>The results for the impacts of the demographic variables on the latent constructs are presented in the following section, followed by the results of the ROP model for the effects of exogenous variables and latent constructs on the mode rankings</w:t>
      </w:r>
      <w:r w:rsidR="006607E6" w:rsidRPr="00677CE8">
        <w:t xml:space="preserve"> in Section 5.2</w:t>
      </w:r>
      <w:r w:rsidR="0070019B" w:rsidRPr="00677CE8">
        <w:t>.</w:t>
      </w:r>
    </w:p>
    <w:p w14:paraId="14E2D693" w14:textId="77777777" w:rsidR="009005F0" w:rsidRPr="00677CE8" w:rsidRDefault="009005F0" w:rsidP="00265FC5">
      <w:pPr>
        <w:pStyle w:val="ListParagraph"/>
        <w:spacing w:after="0" w:line="240" w:lineRule="auto"/>
        <w:ind w:left="0" w:firstLine="360"/>
        <w:jc w:val="both"/>
      </w:pPr>
    </w:p>
    <w:p w14:paraId="17897341" w14:textId="63864C5A" w:rsidR="00982D08" w:rsidRPr="00677CE8" w:rsidRDefault="00982D08">
      <w:pPr>
        <w:pStyle w:val="Heading2"/>
        <w:numPr>
          <w:ilvl w:val="1"/>
          <w:numId w:val="7"/>
        </w:numPr>
        <w:spacing w:after="0" w:line="240" w:lineRule="auto"/>
      </w:pPr>
      <w:r w:rsidRPr="00677CE8">
        <w:t>Latent Constructs</w:t>
      </w:r>
    </w:p>
    <w:p w14:paraId="75FA5FC7" w14:textId="722CC783" w:rsidR="008171DB" w:rsidRPr="00677CE8" w:rsidRDefault="008171DB" w:rsidP="008171DB">
      <w:pPr>
        <w:spacing w:after="0" w:line="240" w:lineRule="auto"/>
        <w:jc w:val="both"/>
      </w:pPr>
      <w:r w:rsidRPr="00677CE8">
        <w:t>The top panel of Table 5 presents the loading</w:t>
      </w:r>
      <w:r w:rsidR="00685D21" w:rsidRPr="00677CE8">
        <w:t>s</w:t>
      </w:r>
      <w:r w:rsidRPr="00677CE8">
        <w:t xml:space="preserve"> of the latent constructs on their respective indicator variables, with results exhibiting the expected signs as discussed in </w:t>
      </w:r>
      <w:r w:rsidR="00265FC5" w:rsidRPr="00677CE8">
        <w:t>S</w:t>
      </w:r>
      <w:r w:rsidRPr="00677CE8">
        <w:t>ection 4.</w:t>
      </w:r>
      <w:r w:rsidR="00265FC5" w:rsidRPr="00677CE8">
        <w:t>3</w:t>
      </w:r>
      <w:r w:rsidRPr="00677CE8">
        <w:t xml:space="preserve">. The </w:t>
      </w:r>
      <w:r w:rsidR="00685D21" w:rsidRPr="00677CE8">
        <w:t xml:space="preserve">“Correlations Between Latent Variables” panel </w:t>
      </w:r>
      <w:r w:rsidRPr="00677CE8">
        <w:t>of Table 5 reports the correlations among latent constructs (</w:t>
      </w:r>
      <w:r w:rsidR="00021884" w:rsidRPr="00677CE8">
        <w:rPr>
          <w:position w:val="-4"/>
        </w:rPr>
        <w:object w:dxaOrig="240" w:dyaOrig="260" w14:anchorId="2D58DAEE">
          <v:shape id="_x0000_i1168" type="#_x0000_t75" style="width:11.7pt;height:12.55pt" o:ole="" o:preferrelative="f">
            <v:imagedata r:id="rId283" o:title=""/>
            <o:lock v:ext="edit" aspectratio="f"/>
          </v:shape>
          <o:OLEObject Type="Embed" ProgID="Equation.DSMT4" ShapeID="_x0000_i1168" DrawAspect="Content" ObjectID="_1851682098" r:id="rId284"/>
        </w:object>
      </w:r>
      <w:r w:rsidRPr="00677CE8">
        <w:t>in Figure 1). Tech-savviness is negatively correlated with</w:t>
      </w:r>
      <w:r w:rsidR="00556040" w:rsidRPr="00677CE8">
        <w:t xml:space="preserve"> UAM</w:t>
      </w:r>
      <w:r w:rsidRPr="00677CE8">
        <w:t xml:space="preserve"> noise sensitivity, perhaps because technological inclination makes individuals more accepting of UAM-related noise. In contrast, tech-savviness is positively correlated with positive travel perceptions, presumably a reflection of</w:t>
      </w:r>
      <w:r w:rsidR="009D4341" w:rsidRPr="00677CE8">
        <w:t xml:space="preserve"> the enhanced ability of</w:t>
      </w:r>
      <w:r w:rsidRPr="00677CE8">
        <w:t xml:space="preserve"> tech-savvy individuals to use their travel time more productively through technological tools and platforms (see Dannemiller et al., 2021) </w:t>
      </w:r>
      <w:r w:rsidR="006607E6" w:rsidRPr="00677CE8">
        <w:t xml:space="preserve">Finally, the estimated correlation between </w:t>
      </w:r>
      <w:r w:rsidR="00211771" w:rsidRPr="00677CE8">
        <w:t>UAM noise sensitivity</w:t>
      </w:r>
      <w:r w:rsidR="00A723DF" w:rsidRPr="00677CE8">
        <w:t xml:space="preserve"> and positive</w:t>
      </w:r>
      <w:r w:rsidR="006607E6" w:rsidRPr="00677CE8">
        <w:t xml:space="preserve"> travel perceptions is </w:t>
      </w:r>
      <w:r w:rsidR="00211771" w:rsidRPr="00677CE8">
        <w:t>negative</w:t>
      </w:r>
      <w:r w:rsidR="009D4341" w:rsidRPr="00677CE8">
        <w:t>,</w:t>
      </w:r>
      <w:r w:rsidR="006607E6" w:rsidRPr="00677CE8">
        <w:t xml:space="preserve"> but not statistically significant.</w:t>
      </w:r>
    </w:p>
    <w:p w14:paraId="44D27C33" w14:textId="26AE5941" w:rsidR="003D417F" w:rsidRPr="00677CE8" w:rsidRDefault="0007519F" w:rsidP="008B24CE">
      <w:pPr>
        <w:spacing w:after="0" w:line="240" w:lineRule="auto"/>
        <w:ind w:firstLine="720"/>
        <w:jc w:val="both"/>
      </w:pPr>
      <w:r w:rsidRPr="00677CE8">
        <w:t xml:space="preserve">The bottom panel of </w:t>
      </w:r>
      <w:r w:rsidR="003D417F" w:rsidRPr="00677CE8">
        <w:t xml:space="preserve">Table </w:t>
      </w:r>
      <w:r w:rsidR="008B24CE" w:rsidRPr="00677CE8">
        <w:t>5</w:t>
      </w:r>
      <w:r w:rsidR="003D417F" w:rsidRPr="00677CE8">
        <w:t xml:space="preserve"> presents the effects of individual and household level demographic variables on the </w:t>
      </w:r>
      <w:r w:rsidR="00211771" w:rsidRPr="00677CE8">
        <w:t>three</w:t>
      </w:r>
      <w:r w:rsidR="003D417F" w:rsidRPr="00677CE8">
        <w:t xml:space="preserve"> latent constructs. The analysis indicates that men (compared with women</w:t>
      </w:r>
      <w:r w:rsidR="006607E6" w:rsidRPr="00677CE8">
        <w:t xml:space="preserve"> and other genders</w:t>
      </w:r>
      <w:r w:rsidR="003D417F" w:rsidRPr="00677CE8">
        <w:t xml:space="preserve">) tend to exhibit higher levels of tech-savviness. </w:t>
      </w:r>
      <w:r w:rsidR="00EF2F40" w:rsidRPr="00677CE8">
        <w:t>Elevated</w:t>
      </w:r>
      <w:r w:rsidR="003D417F" w:rsidRPr="00677CE8">
        <w:t xml:space="preserve"> tech-savviness among men </w:t>
      </w:r>
      <w:r w:rsidR="003B72FF" w:rsidRPr="00677CE8">
        <w:t>likely reflects greater interest in</w:t>
      </w:r>
      <w:r w:rsidR="00BE5E60" w:rsidRPr="00677CE8">
        <w:t xml:space="preserve">, </w:t>
      </w:r>
      <w:r w:rsidR="003B72FF" w:rsidRPr="00677CE8">
        <w:t>and engagement with</w:t>
      </w:r>
      <w:r w:rsidR="00BE5E60" w:rsidRPr="00677CE8">
        <w:t>,</w:t>
      </w:r>
      <w:r w:rsidR="003B72FF" w:rsidRPr="00677CE8">
        <w:t xml:space="preserve"> emerging technologies, as well as a tendency to view </w:t>
      </w:r>
      <w:r w:rsidR="00BE5E60" w:rsidRPr="00677CE8">
        <w:t>technological innovation</w:t>
      </w:r>
      <w:r w:rsidR="003B72FF" w:rsidRPr="00677CE8">
        <w:t xml:space="preserve"> </w:t>
      </w:r>
      <w:r w:rsidR="00BE5E60" w:rsidRPr="00677CE8">
        <w:t>as</w:t>
      </w:r>
      <w:r w:rsidR="003B72FF" w:rsidRPr="00677CE8">
        <w:t xml:space="preserve"> a source of novelty or </w:t>
      </w:r>
      <w:r w:rsidR="00BE5E60" w:rsidRPr="00677CE8">
        <w:t xml:space="preserve">personal </w:t>
      </w:r>
      <w:r w:rsidR="003B72FF" w:rsidRPr="00677CE8">
        <w:t>enrichment</w:t>
      </w:r>
      <w:r w:rsidR="003D417F" w:rsidRPr="00677CE8">
        <w:t xml:space="preserve">. </w:t>
      </w:r>
      <w:r w:rsidR="00BE5E60" w:rsidRPr="00677CE8">
        <w:t xml:space="preserve">These patterns may be rooted in part in </w:t>
      </w:r>
      <w:r w:rsidR="00D76348" w:rsidRPr="00677CE8">
        <w:t>persistent gendered gaps in technology access</w:t>
      </w:r>
      <w:r w:rsidR="00BE5E60" w:rsidRPr="00677CE8">
        <w:t xml:space="preserve"> and education</w:t>
      </w:r>
      <w:r w:rsidR="00E07968" w:rsidRPr="00677CE8">
        <w:t xml:space="preserve"> </w:t>
      </w:r>
      <w:r w:rsidR="00E07968" w:rsidRPr="00677CE8">
        <w:fldChar w:fldCharType="begin"/>
      </w:r>
      <w:r w:rsidR="00B7697D" w:rsidRPr="00677CE8">
        <w:instrText xml:space="preserve"> ADDIN ZOTERO_ITEM CSL_CITATION {"citationID":"LFrdtdmn","properties":{"unsorted":false,"formattedCitation":"(Galyani Moghaddam, 2010; Mushtaq &amp; Riyaz, 2020)","plainCitation":"(Galyani Moghaddam, 2010; Mushtaq &amp; Riyaz, 2020)","dontUpdate":true,"noteIndex":0},"citationItems":[{"id":1749,"uris":["http://zotero.org/groups/6194892/items/DFIV7UXS"],"itemData":{"id":1749,"type":"article-journal","abstract":"Purpose – The purpose of this paper is to present the gender gap in computer and internet usage from all over the world. Design/methodology/approach – The paper addresses some issues on gender and information technology (IT) with focus on gender gap drawn from a review of the literature. It also applies Hofstede's model to justify the gender differences. Findings – Information and communication technology has brought many changes in society in many aspects, has shaped new scenarios and provided new challenges for human beings. Women, comprising over half of society, are not waived of these changes, although, there is a gender gap to access and use of IT among all nations without exception. More recent studies, particularly in developed countries, show gender differences more than gender gap. Originality/value – The paper provides insights into the current computer and especially internet usage by gender among different countries.","container-title":"The Electronic Library","DOI":"10.1108/02640471011081997","ISSN":"0264-0473","issue":"5","journalAbbreviation":"The Electronic Library","page":"722-733","source":"Silverchair","title":"Information technology and gender gap: toward a global view","title-short":"Information technology and gender gap","volume":"28","author":[{"family":"Galyani Moghaddam","given":"Golnessa"}],"issued":{"date-parts":[["2010",10,5]]}}},{"id":2192,"uris":["http://zotero.org/groups/6194892/items/UA5PDGDE"],"itemData":{"id":2192,"type":"article-journal","abstract":"Our generation is defined by the use of technology. A lot of technological innovations like mobile phone and computers are omnipresent in our homes and workspaces. They have changed the way we live and the way we work. If we consider the demographic discrepancies of information and communication technologies (ICTs), we always think about age. We assume that young people are avid users of digital tools while older ones are uninterested in these tools. While assuming people somehow include another important factor as well, gender. The digital divide between the two genders is an inconclusive global debate nowadays. Research suggests that women lag behind men in the ownership of technology and the development of technological skills. For example, men own and use computers and the Internet more than women, spend more time online, take more technology classes, and show more motivation to learn digital skills. People claim that women are technophobic while men are much better users of the technology. Contradictory to this notion are researchers who argue that women embrace digital tools as enthusiastically as men.It would be interesting to explore the relationship between gender divide and digital divide. This paper puts this question to an empirical test. The paper will analyze the situation in University of Kashmir. The paper will try to answer some of the basic questions related to gender digital divide: Is it true that fewer women access and use internet? Are men more technology savvy than their female counterparts? Are men more aware about digital tools than women?.","container-title":"Global Academic Journal of Humanities and Social Sciences","issue":"2","language":"en","source":"Zotero","title":"The Gender Digital Divide: An Exploratory Research Of University Of Kashmir","volume":"2","author":[{"family":"Mushtaq","given":"Toyeba"},{"family":"Riyaz","given":"Saima"}],"issued":{"date-parts":[["2020"]]}}}],"schema":"https://github.com/citation-style-language/schema/raw/master/csl-citation.json"} </w:instrText>
      </w:r>
      <w:r w:rsidR="00E07968" w:rsidRPr="00677CE8">
        <w:fldChar w:fldCharType="separate"/>
      </w:r>
      <w:r w:rsidR="003B72FF" w:rsidRPr="00677CE8">
        <w:t xml:space="preserve">(Galyani Moghaddam, 2010; Mushtaq </w:t>
      </w:r>
      <w:r w:rsidR="00DC5E7F" w:rsidRPr="00677CE8">
        <w:t>and</w:t>
      </w:r>
      <w:r w:rsidR="003B72FF" w:rsidRPr="00677CE8">
        <w:t xml:space="preserve"> Riyaz, 2020)</w:t>
      </w:r>
      <w:r w:rsidR="00E07968" w:rsidRPr="00677CE8">
        <w:fldChar w:fldCharType="end"/>
      </w:r>
      <w:r w:rsidR="00E07968" w:rsidRPr="00677CE8">
        <w:t xml:space="preserve">, as well as </w:t>
      </w:r>
      <w:r w:rsidR="00BE5E60" w:rsidRPr="00677CE8">
        <w:t xml:space="preserve">higher levels of hedonism </w:t>
      </w:r>
      <w:r w:rsidR="00E07968" w:rsidRPr="00677CE8">
        <w:t>among men</w:t>
      </w:r>
      <w:r w:rsidR="00BE5E60" w:rsidRPr="00677CE8">
        <w:t xml:space="preserve"> </w:t>
      </w:r>
      <w:r w:rsidR="00BE5E60" w:rsidRPr="00677CE8">
        <w:fldChar w:fldCharType="begin"/>
      </w:r>
      <w:r w:rsidR="00867D52" w:rsidRPr="00677CE8">
        <w:instrText xml:space="preserve"> ADDIN ZOTERO_ITEM CSL_CITATION {"citationID":"AISIFcSj","properties":{"unsorted":false,"formattedCitation":"(Brakus et al., 2022; Schwartz, 1992; Vianello et al., 2013)","plainCitation":"(Brakus et al., 2022; Schwartz, 1992; Vianello et al., 2013)","noteIndex":0},"citationItems":[{"id":2229,"uris":["http://zotero.org/groups/6194892/items/VL6Y2MHR"],"itemData":{"id":2229,"type":"article-journal","abstract":"It is well established that experiences make people happy, but we still know little about how individual differences affect the relationship between consumption of experiences and happiness. This study focuses on gender as the predictor of happiness and addresses the following question: Do women and men differ in the way they attain happiness from consumption of experiences? Considering that research shows that women and men differ in how they process information, it is possible that they differ in how much they reflect on an experience too. Therefore, this study also investigates how the relationship between consumption of experiences and gender is moderated by Need for Cognition (NFC) in affecting subjective happiness. The results of a survey of adult consumers show than women derive more happiness and life satisfaction from meaningful experiences than men whereas men derive more happiness and satisfaction with life from pleasurable experiences than women. NFC moderates these results. The study provides evidence for the distinction between pleasure and meaning in consumption contexts and for the important role of gender in consumption of experiences. Its results imply that design and structuring of commercial experiences should take customer gender into account.","container-title":"Psychology &amp; Marketing","DOI":"10.1002/mar.21677","ISSN":"1520-6793","issue":"8","language":"en","license":"© 2022 The Authors. Psychology &amp; Marketing published by Wiley Periodicals LLC.","note":"_eprint: https://onlinelibrary.wiley.com/doi/pdf/10.1002/mar.21677","page":"1646-1659","source":"Wiley Online Library","title":"Experiences and happiness: The role of gender","title-short":"Experiences and happiness","volume":"39","author":[{"family":"Brakus","given":"J. Joško"},{"family":"Chen","given":"Weifeng"},{"family":"Schmitt","given":"Bernd"},{"family":"Zarantonello","given":"Lia"}],"issued":{"date-parts":[["2022"]]}}},{"id":1711,"uris":["http://zotero.org/groups/6194892/items/B5UHFQ2L"],"itemData":{"id":1711,"type":"article-journal","container-title":"Advances in Experimental and Social Psycology","DOI":"https://doi.org/10.1016/S0065-2601(08)60281-6","issue":"1","page":"1-65","title":"Universals in the content and structure of values: Theoretical advances and empirical tests in 20 countires","volume":"25","author":[{"family":"Schwartz","given":"Shalom H."}],"issued":{"date-parts":[["1992"]]}}},{"id":1706,"uris":["http://zotero.org/groups/6194892/items/UCN92ILH"],"itemData":{"id":1706,"type":"article-journal","abstract":"This article investigates gender differences in implicit and explicit measures of the Big Five traits of personality. In a high-powered study (N=14,348), we replicated previous research showing that women report higher levels of Agreeableness, Conscientiousness, Extraversion and Neuroticism. For implicit measures, gender differences were much smaller for all, and opposite in sign for Extraversion. Somewhat higher levels of implicit Neuroticism and Agreeableness were observed in women, and somewhat higher levels of implicit Extraversion and Openness were observed in men. There was no gender difference in implicit Conscientiousness. A possible explanation is that explicit self-concepts partly reflect social norms and self-expectations about gender roles, while implicit self-concepts may mostly reflect self-related experiences.","container-title":"Personality and Individual Differences","DOI":"10.1016/j.paid.2013.08.008","ISSN":"0191-8869","issue":"8","journalAbbreviation":"Personality and Individual Differences","page":"994-999","source":"ScienceDirect","title":"Gender differences in implicit and explicit personality traits","volume":"55","author":[{"family":"Vianello","given":"Michelangelo"},{"family":"Schnabel","given":"Konrad"},{"family":"Sriram","given":"N."},{"family":"Nosek","given":"Brian"}],"issued":{"date-parts":[["2013",11,1]]}}}],"schema":"https://github.com/citation-style-language/schema/raw/master/csl-citation.json"} </w:instrText>
      </w:r>
      <w:r w:rsidR="00BE5E60" w:rsidRPr="00677CE8">
        <w:fldChar w:fldCharType="separate"/>
      </w:r>
      <w:r w:rsidR="00867D52" w:rsidRPr="00677CE8">
        <w:t>(Schwartz, 1992; Vianello et al., 2013; Brakus et al., 2022)</w:t>
      </w:r>
      <w:r w:rsidR="00BE5E60" w:rsidRPr="00677CE8">
        <w:fldChar w:fldCharType="end"/>
      </w:r>
      <w:r w:rsidR="003D417F" w:rsidRPr="00677CE8">
        <w:t>.</w:t>
      </w:r>
      <w:r w:rsidR="00EF2F40" w:rsidRPr="00677CE8">
        <w:t xml:space="preserve"> </w:t>
      </w:r>
      <w:r w:rsidR="003B72FF" w:rsidRPr="00677CE8">
        <w:t>Women, on the other hand, have been found to exhibit greater caution toward emerging mobility technologies</w:t>
      </w:r>
      <w:r w:rsidR="00E07968" w:rsidRPr="00677CE8">
        <w:t xml:space="preserve"> </w:t>
      </w:r>
      <w:r w:rsidR="003B72FF" w:rsidRPr="00677CE8">
        <w:t>due</w:t>
      </w:r>
      <w:r w:rsidR="00E07968" w:rsidRPr="00677CE8">
        <w:t xml:space="preserve"> </w:t>
      </w:r>
      <w:r w:rsidR="00BE5E60" w:rsidRPr="00677CE8">
        <w:t xml:space="preserve">to </w:t>
      </w:r>
      <w:r w:rsidR="00E07968" w:rsidRPr="00677CE8">
        <w:t xml:space="preserve">heightened </w:t>
      </w:r>
      <w:r w:rsidR="00BE5E60" w:rsidRPr="00677CE8">
        <w:t xml:space="preserve">perceptions of </w:t>
      </w:r>
      <w:r w:rsidR="00E07968" w:rsidRPr="00677CE8">
        <w:t xml:space="preserve">risk </w:t>
      </w:r>
      <w:r w:rsidR="003B72FF" w:rsidRPr="00677CE8">
        <w:t xml:space="preserve">and </w:t>
      </w:r>
      <w:r w:rsidR="00BE5E60" w:rsidRPr="00677CE8">
        <w:t>lower perceived</w:t>
      </w:r>
      <w:r w:rsidR="003B72FF" w:rsidRPr="00677CE8">
        <w:t xml:space="preserve"> usefulness</w:t>
      </w:r>
      <w:r w:rsidR="00BE5E60" w:rsidRPr="00677CE8">
        <w:t xml:space="preserve">, </w:t>
      </w:r>
      <w:r w:rsidR="00BE5E60" w:rsidRPr="00677CE8">
        <w:lastRenderedPageBreak/>
        <w:t xml:space="preserve">particularly </w:t>
      </w:r>
      <w:r w:rsidR="00E07968" w:rsidRPr="00677CE8">
        <w:t>in the context of autonomous vehicle</w:t>
      </w:r>
      <w:r w:rsidR="00BE5E60" w:rsidRPr="00677CE8">
        <w:t xml:space="preserve"> technologies</w:t>
      </w:r>
      <w:r w:rsidR="003D417F" w:rsidRPr="00677CE8">
        <w:t xml:space="preserve"> </w:t>
      </w:r>
      <w:r w:rsidR="003D417F" w:rsidRPr="00677CE8">
        <w:fldChar w:fldCharType="begin"/>
      </w:r>
      <w:r w:rsidR="00B7697D" w:rsidRPr="00677CE8">
        <w:instrText xml:space="preserve"> ADDIN ZOTERO_ITEM CSL_CITATION {"citationID":"miV6fQKO","properties":{"unsorted":false,"formattedCitation":"(Acheampong &amp; Cugurullo, 2019; Asmussen et al., 2020, 2022; Dannemiller et al., 2021)","plainCitation":"(Acheampong &amp; Cugurullo, 2019; Asmussen et al., 2020, 2022; Dannemiller et al., 2021)","dontUpdate":true,"noteIndex":0},"citationItems":[{"id":2193,"uris":["http://zotero.org/groups/6194892/items/U8BCPQZX"],"itemData":{"id":2193,"type":"article-journal","abstract":"Autonomous Vehicles (AVs) have the potential to make motorized transport safer and more sustainable, by integrating clean technologies and supporting flexible shared-mobility services. Leveraging this new form of transport to transform mobility in cities will depend fundamentally on public acceptance of AVs, and the ways in which individuals choose to use them, to meet their daily travel needs. Empirical studies exploring public attitudes towards automated driving technologies and interest in AVs have emerged in the last few years. However, within this strand of research there is a paucity of theory-driven and behaviourally consistent methodologies to unpack the determinants of user adoption decisions with respect to AVs. In this paper, we seek to fill this gap, by advancing and testing four conceptual frameworks which could be deployed to capture the range of possible behavioural influences on individuals’ AV adoption decisions. The frameworks integrate socio-demographic variables and relevant latent behavioural factors, including perceived benefits and perceived ease of use of AVs, public fears and anxieties regarding AVs, subjective norm, perceived behavioural control, and attitudinal factors covering the environment, technology, collaborative consumption, public transit and car ownership. We demonstrate the utility and validity of the frameworks, by translating the latent variables into indicator items in a structured questionnaire, and administering it online to a random sample of adult individuals (n = 507). Using the survey data in confirmatory factor analyses, we specify and demonstrate scale reliability of indicator items, and convergent and discriminant validity of relationships among latent variables. Ultimately, we advance four measurement models. These theory-grounded measurement models are intended for application in research aimed at understanding and predicting (a) AV interest and adoption intentions, and (b) user adoption decisions regarding three different AV modes: ownership, sharing and public transport.","container-title":"Transportation Research Part F: Traffic Psychology and Behaviour","DOI":"10.1016/j.trf.2019.01.009","ISSN":"1369-8478","journalAbbreviation":"Transportation Research Part F: Traffic Psychology and Behaviour","page":"349-375","source":"ScienceDirect","title":"Capturing the behavioural determinants behind the adoption of autonomous vehicles: Conceptual frameworks and measurement models to predict public transport, sharing and ownership trends of self-driving cars","title-short":"Capturing the behavioural determinants behind the adoption of autonomous vehicles","volume":"62","author":[{"family":"Acheampong","given":"Ransford A."},{"family":"Cugurullo","given":"Federico"}],"issued":{"date-parts":[["2019",4,1]]}}},{"id":1589,"uris":["http://zotero.org/groups/6194892/items/D7ZNN6ZK"],"itemData":{"id":1589,"type":"article-journal","abstract":"Understanding the “if” and “when” of autonomous vehicle (AV) adoption is of clear interest to car manufacturers in their positioning of business processes, but also to transportation planners and traffic engineers. In this paper, we examine the individual-level AV adoption and timing process, considering the psycho-social factors of driving control, mobility control, safety concerns, and tech-savviness. A ranked choice stated preference design is used to elicit responses from Austin area residents regarding AV adoption. Our results underscore the need to examine the adoption of technology through a psycho-social lens. In particular, technology developments and design should not be divorced from careful investigations of habits and consumption motivations of different groups of individuals in the population. The findings from our analysis are translated to specific policy actions to promote AV adoption and accelerate the adoption time frame.","container-title":"Transportation Research Part C: Emerging Technologies","DOI":"10.1016/j.trc.2020.102835","ISSN":"0968-090X","journalAbbreviation":"Transportation Research Part C: Emerging Technologies","page":"102835","source":"ScienceDirect","title":"A socio-technical model of autonomous vehicle adoption using ranked choice stated preference data","volume":"121","author":[{"family":"Asmussen","given":"Katherine E."},{"family":"Mondal","given":"Aupal"},{"family":"Bhat","given":"Chandra R."}],"issued":{"date-parts":[["2020",12,1]]}}},{"id":1760,"uris":["http://zotero.org/groups/6194892/items/QU3SCSH6"],"itemData":{"id":1760,"type":"article-journal","abstract":"In this paper, we examine vehicle owners’ adoption of five different types of partially automated features (PAFs); lane keeping system, backup camera (BUC), adaptive cruise control (ACC), automatic braking system (ABS), and blind spot monitoring; as well as PAF effects on vehicle miles of travel (VMT). The joint modeling of PAF adoption and VMT is achieved using both individual demographic characteristics as well as psycho-social characteristics. A Generalized Heterogeneous Data Model (GHDM) is estimated, which controls for possible self-selection effects in PAF adoption based on VMT, and thus is able to provide “true” PAF effects on VMT. Our analysis specifically indicates that ignoring this self-selection can lead to a significant underestimation of the VMT increase due to PAF adoption. The results also indicate that women and older individuals (65 years or older) appear to be more inclined to invest in assistive PAFs, because of a perception that these assistive features still leave the human driver in control. However, women are less likely than men to invest in the more active ABS PAF because of heightened safety concerns with technology. In terms of PAF effects on VMT, PAFs focusing on lateral movement assistance appear to have a smaller VMT effect than those that serve longitudinal movement assistance. The highest estimated VMT change of 2,462 miles (13.8% change) is for the case when the package of BUC, ACC, and ABS is installed for middle-aged men. The highest percentage VMT change (40%), though, is for the same package of BUC, ACC, and ABS for older women. Overall, there are considerable variations in VMT impact across demographic groupings, suggesting that a single aggregate percentage improvement in safety benefits may suffer from the well-known ecological fallacy.","container-title":"Transportation Research Part A: Policy and Practice","DOI":"10.1016/j.tra.2022.02.010","ISSN":"0965-8564","journalAbbreviation":"Transportation Research Part A: Policy and Practice","page":"156-179","source":"ScienceDirect","title":"Adoption of partially automated vehicle technology features and impacts on vehicle miles of travel (VMT)","volume":"158","author":[{"family":"Asmussen","given":"Katherine E."},{"family":"Mondal","given":"Aupal"},{"family":"Bhat","given":"Chandra R."}],"issued":{"date-parts":[["2022",4,1]]}}},{"id":1743,"uris":["http://zotero.org/groups/6194892/items/7YTLNLTB"],"itemData":{"id":1743,"type":"article-journal","abstract":"This paper develops an analytic system to investigate the effects of AV availability on multiple dimensions of activity-travel behavior at once, based on a direct survey-based modeling approach. In particular, the model uses individual socio-demographics, built environment variables, as well as psycho-social variables (in the form of latent psychological constructs) as determinant variables to explain likely AV impacts on five dimensions of short-term activity-travel choices: (1) Additional local area trips (that is, those that would not characterized as long distance trips; a long distance trip was defined in the survey as a trip more than 75 miles one-way), (2) Trip distance to shop or eat-out activities in the local area, (3) Trip distance to leisure activities in the local area, (4) Additional long distance road trips beyond the local area, and (5) Commute travel time. The model system includes a confirmatory factor analysis step, a multivariate linear regression model for the latent constructs, and a multivariate ordered-response model for the five main outcomes just listed. Data from a 2019 Austin area survey of new mobility service adoption and use forms the basis for our empirical analysis. Our results, when aggregated across all respondents, does suggest that AVs may not after all have a substantial impact on overall trip-making levels, although local area trips are likely to become longer (for all purposes, including the commute). The highest impact of AVs will, it appears, be on the number of long distance trips (with such trips increasing). Our in-depth examination of the variations in AV activity-travel responses across population segments and geographies underscores the importance of modeling multiple activity-travel dimensions all at once. In addition, our results highlight the value of using psycho-social latent constructs in studies related to the adoption/use of current and emerging mobility services, both in terms of improved prediction fit as well as proactive strategies to design equitable, safe, and community-driven AV systems. There is likely to be considerable heterogeneity in how different population groups view and respond to AVs, and it is imperative that AV campaigns and AV design consider such heterogeneity so as to not “leave anyone behind”.","container-title":"Transportation Research Part A: Policy and Practice","DOI":"10.1016/j.tra.2021.04.006","ISSN":"0965-8564","journalAbbreviation":"Transportation Research Part A: Policy and Practice","page":"402-422","source":"ScienceDirect","title":"Investigating autonomous vehicle impacts on individual activity-travel behavior","volume":"148","author":[{"family":"Dannemiller","given":"Katherine A."},{"family":"Mondal","given":"Aupal"},{"family":"Asmussen","given":"Katherine E."},{"family":"Bhat","given":"Chandra R."}],"issued":{"date-parts":[["2021",6,1]]}}}],"schema":"https://github.com/citation-style-language/schema/raw/master/csl-citation.json"} </w:instrText>
      </w:r>
      <w:r w:rsidR="003D417F" w:rsidRPr="00677CE8">
        <w:fldChar w:fldCharType="separate"/>
      </w:r>
      <w:r w:rsidR="003B72FF" w:rsidRPr="00677CE8">
        <w:t xml:space="preserve">(Acheampong </w:t>
      </w:r>
      <w:r w:rsidR="00DC5E7F" w:rsidRPr="00677CE8">
        <w:t>and</w:t>
      </w:r>
      <w:r w:rsidR="003B72FF" w:rsidRPr="00677CE8">
        <w:t xml:space="preserve"> Cugurullo, 2019; Asmussen et al., 2020, </w:t>
      </w:r>
      <w:r w:rsidR="00D45F85" w:rsidRPr="00677CE8">
        <w:t xml:space="preserve">Dannemiller et al., 2021; Asmussen et al., </w:t>
      </w:r>
      <w:r w:rsidR="003B72FF" w:rsidRPr="00677CE8">
        <w:t>2022)</w:t>
      </w:r>
      <w:r w:rsidR="003D417F" w:rsidRPr="00677CE8">
        <w:fldChar w:fldCharType="end"/>
      </w:r>
      <w:r w:rsidR="003D417F" w:rsidRPr="00677CE8">
        <w:t xml:space="preserve">. The results also indicate that men tend to be less sensitive to UAM noise relative to women. While this finding contrasts with earlier literature suggesting that general noise sensitivity is largely independent of gender </w:t>
      </w:r>
      <w:r w:rsidR="003D417F" w:rsidRPr="00677CE8">
        <w:fldChar w:fldCharType="begin"/>
      </w:r>
      <w:r w:rsidR="00B7697D" w:rsidRPr="00677CE8">
        <w:instrText xml:space="preserve"> ADDIN ZOTERO_ITEM CSL_CITATION {"citationID":"MvRZNjE8","properties":{"unsorted":false,"formattedCitation":"(Miedema &amp; Vos, 1999; Schutte et al., 2007; Shepherd et al., 2010)","plainCitation":"(Miedema &amp; Vos, 1999; Schutte et al., 2007; Shepherd et al., 2010)","dontUpdate":true,"noteIndex":0},"citationItems":[{"id":1485,"uris":["http://zotero.org/groups/6194892/items/YGCSPHTL"],"itemData":{"id":1485,"type":"article-journal","DOI":"https://doi.org/10.1121/1.424662","issue":"6","title":"Demographic and attitudinal factors that modify annoyance from transportation noise","URL":"https://pubs.aip.org/asa/jasa/article/105/6/3336/553454/Demographic-and-attitudinal-factors-that-modify","volume":"105","author":[{"family":"Miedema","given":"Henk"},{"family":"Vos","given":"Henk"}],"accessed":{"date-parts":[["2026",2,23]]},"issued":{"date-parts":[["1999",6]]}}},{"id":1481,"uris":["http://zotero.org/groups/6194892/items/IZSMZFYK"],"itemData":{"id":1481,"type":"article-journal","abstract":"The existing questionnaires for determining the noise sensitivity of individuals provide information only about global noise sensitivity, although empirical data suggest that measuring noise sensitivity for different situations in daily life might be more logical. Therefore, the “Noise-Sensitivity-Questionnaire” (NoiSeQ) was developed to measure global noise sensitivity as well as the sensitivity of five domains of daily life, namely, leisure, work, habitation, communication, and sleep. The assessment of the measurement characteristics was based on the Generalizability (G) theory. The results of the G-study (N = 66) proved that a single application of the questionnaire is sufficient for determining an individual's noise sensitivity. Furthermore, the ratings are age and gender independent. The subsequently conducted Decision (D)-study (N = 288) provides information on the reliability of NoiSeQ. If the questionnaire is used for measuring global noise sensitivity, the reliability (relative and absolute G-coefficient) reaches a value above 0.90. According to ISO 10075-3, the questionnaire satisfies the precision level 1 “accurate measurement” in this case. The G-coefficients for all the subscales exceed the lower limit 0.70, with the exception of subscale leisure, which did not prove satisfactory. However, this subscale can reach a reliability of more than 0.70 if additional items are included. The validity of the instrument was proven for the subscales habitation (N = 72) and work (N = 72). In both the studies, the participants were asked to rate the annoyance in the presence of several rail and traffic noise scenarios. The subjects were characterized as low and high noise sensitive according to their sensitivity values obtained from NoiSeQ. In conclusion, a significant difference in annoyance rates was observed between the low and high noise sensitive groups for both the subscales habitation and work. This data support the validity of NoiSeQ.","container-title":"Noise and Health","DOI":"10.4103/1463-1741.34700","ISSN":"1463-1741","issue":"34","language":"en-US","page":"15","source":"journals.lww.com","title":"The development of the noise sensitivity questionnaire","volume":"9","author":[{"family":"Schutte","given":"Martin"},{"family":"Marks","given":"Anke"},{"family":"Wenning","given":"Edna"},{"family":"Griefahn","given":"Barbara"}],"issued":{"date-parts":[["2007",3]]}}},{"id":1479,"uris":["http://zotero.org/groups/6194892/items/5KVP3V9K"],"itemData":{"id":1479,"type":"article-journal","abstract":"The relationship between environmental noise and health is poorly understood but of fundamental importance to public health. This study estimated the ...","container-title":"International Journal of Environmental Research and Public Health","DOI":"10.3390/ijerph7103580","ISSN":"1660-4601","issue":"10","language":"en","license":"http://creativecommons.org/licenses/by/3.0/","page":"3579-3594","publisher":"publisher","source":"www.mdpi.com","title":"Exploring the Relationship between Noise Sensitivity, Annoyance and Health-Related Quality of Life in a Sample of Adults Exposed to Environmental Noise","volume":"7","author":[{"family":"Shepherd","given":"Daniel"},{"family":"Welch","given":"David"},{"family":"Dirks","given":"Kim N."},{"family":"Mathews","given":"Renata"}],"issued":{"date-parts":[["2010",10,10]]}}}],"schema":"https://github.com/citation-style-language/schema/raw/master/csl-citation.json"} </w:instrText>
      </w:r>
      <w:r w:rsidR="003D417F" w:rsidRPr="00677CE8">
        <w:fldChar w:fldCharType="separate"/>
      </w:r>
      <w:r w:rsidR="003D417F" w:rsidRPr="00677CE8">
        <w:t>(Schutte et al., 2007; Shepherd et al., 2010)</w:t>
      </w:r>
      <w:r w:rsidR="003D417F" w:rsidRPr="00677CE8">
        <w:fldChar w:fldCharType="end"/>
      </w:r>
      <w:r w:rsidR="003D417F" w:rsidRPr="00677CE8">
        <w:t xml:space="preserve">, the result may reflect the specific context of UAM-related noise in residential environments, as captured by the indicators in this study. The elevated sensitivity of women to noise near the home may be linked to their central role in managing household routines and caregiving, where noise disruptions can have a negative impact. Consistent with this interpretation, prior work has identified a greater sensitivity among women to transportation and construction-related noise specifically near the home </w:t>
      </w:r>
      <w:r w:rsidR="003D417F" w:rsidRPr="00677CE8">
        <w:fldChar w:fldCharType="begin"/>
      </w:r>
      <w:r w:rsidR="003D417F" w:rsidRPr="00677CE8">
        <w:instrText xml:space="preserve"> ADDIN ZOTERO_ITEM CSL_CITATION {"citationID":"Q3lNUKDM","properties":{"unsorted":false,"formattedCitation":"(Michaud et al., 2022)","plainCitation":"(Michaud et al., 2022)","noteIndex":0},"citationItems":[{"id":1691,"uris":["http://zotero.org/groups/6194892/items/DELDADSM"],"itemData":{"id":1691,"type":"article-journal","abstract":"The Canadian Perspectives on Environmental Noise Survey investigated expectations and attitudes toward environmental noise in rural/remote, suburban and urban regions across Canada. A 26-item online questionnaire was completed by 6647 randomly selected Canadians 18 years of age and older between April 12, 2021 and May 25, 2021. Stepwise multivariate logistic regression modelled the odds of reporting very or extreme (i.e., high) noise annoyance toward road traffic, aircraft/helicopter, trains and construction noise. Five variables were common to all noise sources; 1) reporting the living area as very quiet, calm and relaxing; 2) sleep disturbance in general; 3) sleep disturbance attributed to road traffic noise; 4) noise sensitivity; and 5) reporting worsened annoyance toward environmental noise due to the COVID-19 pandemic. Duration of residency, perceived changes in nighttime and daytime noise over time, expectations of quiet, other specific causes of sleep disturbance, hearing impairment, road traffic audibility, and the impact of the pandemic on physical health, mental health, stress and indoor noise annoyance, each impacted the odds of reporting high annoyance to some, but not all modelled sources. Gender, rated physical and mental health (in general), anxiety or depression, overall well-being, and Indigenous status did not enter any of the multivariate models. Results are discussed in relation to the provision of advice on noise under Canada's Impact Assessment Act.","container-title":"Environmental Impact Assessment Review","DOI":"10.1016/j.eiar.2022.106881","ISSN":"0195-9255","journalAbbreviation":"Environmental Impact Assessment Review","page":"106881","source":"ScienceDirect","title":"Annoyance toward transportation and construction noise in rural suburban and urban regions across Canada","volume":"97","author":[{"family":"Michaud","given":"David S."},{"family":"Marro","given":"Leonora"},{"family":"Denning","given":"Allison"},{"family":"Shackleton","given":"Shelley"},{"family":"Toutant","given":"Nicolas"},{"family":"McNamee","given":"James P."}],"issued":{"date-parts":[["2022",11,1]]}}}],"schema":"https://github.com/citation-style-language/schema/raw/master/csl-citation.json"} </w:instrText>
      </w:r>
      <w:r w:rsidR="003D417F" w:rsidRPr="00677CE8">
        <w:fldChar w:fldCharType="separate"/>
      </w:r>
      <w:r w:rsidR="003D417F" w:rsidRPr="00677CE8">
        <w:t>(Michaud et al., 2022)</w:t>
      </w:r>
      <w:r w:rsidR="003D417F" w:rsidRPr="00677CE8">
        <w:fldChar w:fldCharType="end"/>
      </w:r>
      <w:r w:rsidRPr="00677CE8">
        <w:t>.</w:t>
      </w:r>
      <w:r w:rsidR="003D417F" w:rsidRPr="00677CE8">
        <w:t xml:space="preserve"> </w:t>
      </w:r>
    </w:p>
    <w:p w14:paraId="389D8E5A" w14:textId="1F28C324" w:rsidR="003B26C8" w:rsidRPr="00677CE8" w:rsidRDefault="00D6535A" w:rsidP="007B293E">
      <w:pPr>
        <w:spacing w:after="0" w:line="240" w:lineRule="auto"/>
        <w:ind w:firstLine="720"/>
        <w:jc w:val="both"/>
      </w:pPr>
      <w:r w:rsidRPr="00677CE8">
        <w:t xml:space="preserve">An additional </w:t>
      </w:r>
      <w:r w:rsidR="0007519F" w:rsidRPr="00677CE8">
        <w:t xml:space="preserve">and strong </w:t>
      </w:r>
      <w:r w:rsidRPr="00677CE8">
        <w:t>attitudinal determinant is age</w:t>
      </w:r>
      <w:r w:rsidR="0016492E" w:rsidRPr="00677CE8">
        <w:t xml:space="preserve">, with increasing age </w:t>
      </w:r>
      <w:r w:rsidR="00580D4C" w:rsidRPr="00677CE8">
        <w:t>associated with lower levels of tech-savviness</w:t>
      </w:r>
      <w:r w:rsidR="0016492E" w:rsidRPr="00677CE8">
        <w:t xml:space="preserve">. The </w:t>
      </w:r>
      <w:r w:rsidR="00580D4C" w:rsidRPr="00677CE8">
        <w:t xml:space="preserve">reduction </w:t>
      </w:r>
      <w:r w:rsidR="003B26C8" w:rsidRPr="00677CE8">
        <w:t>in</w:t>
      </w:r>
      <w:r w:rsidR="00580D4C" w:rsidRPr="00677CE8">
        <w:t xml:space="preserve"> tech-savviness with age</w:t>
      </w:r>
      <w:r w:rsidR="0016492E" w:rsidRPr="00677CE8">
        <w:t xml:space="preserve"> is</w:t>
      </w:r>
      <w:r w:rsidR="00580D4C" w:rsidRPr="00677CE8">
        <w:t xml:space="preserve"> consistent with well-established findings</w:t>
      </w:r>
      <w:r w:rsidR="005028C7" w:rsidRPr="00677CE8">
        <w:t>, reflecting</w:t>
      </w:r>
      <w:r w:rsidR="00593023" w:rsidRPr="00677CE8">
        <w:t xml:space="preserve"> lower exposure to rapidly evolving digital technologies </w:t>
      </w:r>
      <w:r w:rsidR="005028C7" w:rsidRPr="00677CE8">
        <w:t>and</w:t>
      </w:r>
      <w:r w:rsidR="00593023" w:rsidRPr="00677CE8">
        <w:t xml:space="preserve"> greater difficulty adapting to new systems compared to younger individuals </w:t>
      </w:r>
      <w:r w:rsidR="006F45F1" w:rsidRPr="00677CE8">
        <w:fldChar w:fldCharType="begin"/>
      </w:r>
      <w:r w:rsidR="006F45F1" w:rsidRPr="00677CE8">
        <w:instrText xml:space="preserve"> ADDIN ZOTERO_ITEM CSL_CITATION {"citationID":"siXnhJVy","properties":{"unsorted":false,"formattedCitation":"(Blazanin et al., 2022; Mohan et al., 2024; Xu et al., 2025)","plainCitation":"(Blazanin et al., 2022; Mohan et al., 2024; Xu et al., 2025)","noteIndex":0},"citationItems":[{"id":2232,"uris":["http://zotero.org/groups/6194892/items/5ISZEKF2"],"itemData":{"id":2232,"type":"article-journal","abstract":"Shared micromobility modes have increasingly penetrated the mobility environment of cities in the U.S. and the world over. At the same time, to best integrate these emerging modes within the fabric of the existing (and larger) transportation ecosystem, it is critical to understand how individuals may respond and “who” the likely users of these relatively new modes may be. In this paper, we develop a model to analyze first-use and use frequency of two micromobility modes: E-scooter sharing systems (ESS) and Bike sharing systems (BSS). The model employs psycho-social constructs, built environment attributes, as well as individual-level demographics as determinants. In doing so, we explicitly recognize the role played by awareness/first-use of new technologies as a cognitive antecedent to subsequent frequency decisions. The main data source for this analysis is drawn from a 2019 survey of Austin, Texas area residents. Our results highlight the importance of considering psycho-social attitudes to both gain better insights into the behavioral process leading up to ESS/BSS adoption/use as well as ensure an accurate data fit. In particular, there are distinctive pathways of adoption/use frequency for each of the ESS and BSS modes, but also complementary processes and behavioral spillover effects at play that warrant a joint modeling of the ESS and BSS modes. Our results suggest that addressing safety concerns of micromobility modes should be the top priority of providers and public agencies. Efforts solely directed toward extoling the “green” virtues of micromobility modes is likely to have limited returns.","container-title":"Transportation Research Part C: Emerging Technologies","DOI":"10.1016/j.trc.2021.103515","ISSN":"0968-090X","journalAbbreviation":"Transportation Research Part C: Emerging Technologies","page":"103515","source":"ScienceDirect","title":"E-scooter sharing and bikesharing systems: An individual-level analysis of factors affecting first-use and use frequency","title-short":"E-scooter sharing and bikesharing systems","volume":"135","author":[{"family":"Blazanin","given":"Gina"},{"family":"Mondal","given":"Aupal"},{"family":"Asmussen","given":"Katherine E."},{"family":"Bhat","given":"Chandra R."}],"issued":{"date-parts":[["2022",2,1]]}}},{"id":2235,"uris":["http://zotero.org/groups/6194892/items/DHPQZ6Z7"],"itemData":{"id":2235,"type":"article-journal","abstract":"Advancements in digital technologies have transformed the world by providing more opportunities and possibilities.","container-title":"Sustainability","ISSN":"2071-1050","issue":"17","language":"en","license":"http://creativecommons.org/licenses/by/3.0/","publisher":"Multidisciplinary Digital Publishing Institute","source":"www.mdpi.com","title":"Ensuring Sustainable Digital Inclusion among the Elderly: A Comprehensive Analysis","title-short":"Ensuring Sustainable Digital Inclusion among the Elderly","URL":"https://www.mdpi.com/2071-1050/16/17/7485","volume":"16","author":[{"family":"Mohan","given":"Rinku"},{"family":"Saleem","given":"Farrukh"},{"family":"Voderhobli","given":"Kiran"},{"family":"Sheikh-Akbari","given":"Akbar"}],"accessed":{"date-parts":[["2026",7,18]]},"issued":{"date-parts":[["2024",8,29]]}}},{"id":2237,"uris":["http://zotero.org/groups/6194892/items/YSWRYSFL"],"itemData":{"id":2237,"type":"article-journal","abstract":"Developing digital literacy (DL) is essential for older adults to keep pace with the rapid advances of technologies. This review took an evidence-based approach to examine the effectiveness of digital training programs designed for older adults. Adopting the PRISMA guideline, a systematic search was conducted on Web of Science, Scopus, and EbscoHost, which yielded a total of 4552 empirical articles. Of these, 46 were further examined based on the DigComp 2.2 Framework to identify digital competencies for older adults. Results showed that wealthier nations have greater technological adoption, with their older adults having better access to learning resources and training. Despite various barriers faced by some older adults, it would be beneficial to design exemplary solutions that group learners with similar levels of digital competency. This review identified that providing step-by-step instructions and pacing the lessons carefully can greatly enhance the learning experience. Other approaches, such as intergenerational learning, personal tutoring, game-based learning, dialogic learning, and peer learning, can effectively address the cognitive, social, attitudinal, and health-related needs of older adults. In future lesson design, it is worth implementing training on a long-term basis, personalizing the learning experience, and eliminating any practical barriers that might hinder the learning process. Moreover, future research should consider geographic diversity when recruiting participants, customize lessons for different cultural backgrounds, integrate technologies further into the daily life of older adults, and examine how emerging technologies could enhance the health of older adults.","container-title":"Educational technology research and development","DOI":"10.1007/s11423-025-10530-w","ISSN":"1556-6501","issue":"6","language":"En","license":"2025 Association for Educational Communications and Technology","page":"3627-3674","publisher":"Springer","source":"link.springer.com","title":"A systematic review of digital literacy in lifelong learning for older adults: challenges, strategies, and learning outcomes","title-short":"A systematic review of digital literacy in lifelong learning for older adults","volume":"73","author":[{"family":"Xu","given":"Lingran"},{"family":"Ng","given":"Davy Tsz Kit"},{"family":"Lee","given":"Cameron Shum Yi"},{"family":"Peng","given":"Pei"},{"family":"Chu","given":"Samuel Kai Wah"}],"issued":{"date-parts":[["2025",7,8]]}}}],"schema":"https://github.com/citation-style-language/schema/raw/master/csl-citation.json"} </w:instrText>
      </w:r>
      <w:r w:rsidR="006F45F1" w:rsidRPr="00677CE8">
        <w:fldChar w:fldCharType="separate"/>
      </w:r>
      <w:r w:rsidR="006F45F1" w:rsidRPr="00677CE8">
        <w:t>(Blazanin et al., 2022; Mohan et al., 2024; Xu et al., 2025)</w:t>
      </w:r>
      <w:r w:rsidR="006F45F1" w:rsidRPr="00677CE8">
        <w:fldChar w:fldCharType="end"/>
      </w:r>
      <w:r w:rsidR="006F45F1" w:rsidRPr="00677CE8">
        <w:t xml:space="preserve">. </w:t>
      </w:r>
      <w:r w:rsidR="00230719" w:rsidRPr="00677CE8">
        <w:t>Age also shapes</w:t>
      </w:r>
      <w:r w:rsidR="00716EFE" w:rsidRPr="00677CE8">
        <w:t xml:space="preserve"> UAM</w:t>
      </w:r>
      <w:r w:rsidR="00230719" w:rsidRPr="00677CE8">
        <w:t xml:space="preserve"> noise sensitivity, with i</w:t>
      </w:r>
      <w:r w:rsidRPr="00677CE8">
        <w:t>ndividuals</w:t>
      </w:r>
      <w:r w:rsidR="00C16578" w:rsidRPr="00677CE8">
        <w:t xml:space="preserve"> in the </w:t>
      </w:r>
      <w:r w:rsidR="00580D4C" w:rsidRPr="00677CE8">
        <w:t>65 and older age group</w:t>
      </w:r>
      <w:r w:rsidR="00C16578" w:rsidRPr="00677CE8">
        <w:t xml:space="preserve"> exhibit</w:t>
      </w:r>
      <w:r w:rsidR="00230719" w:rsidRPr="00677CE8">
        <w:t>ing</w:t>
      </w:r>
      <w:r w:rsidR="00580D4C" w:rsidRPr="00677CE8">
        <w:t xml:space="preserve"> a decreased sensitivity to UAM-related noise</w:t>
      </w:r>
      <w:r w:rsidR="00265FC5" w:rsidRPr="00677CE8">
        <w:t xml:space="preserve"> disruptions</w:t>
      </w:r>
      <w:r w:rsidR="00580D4C" w:rsidRPr="00677CE8">
        <w:t>.</w:t>
      </w:r>
      <w:r w:rsidR="00E37584" w:rsidRPr="00677CE8">
        <w:t xml:space="preserve"> </w:t>
      </w:r>
      <w:r w:rsidR="003B26C8" w:rsidRPr="00677CE8">
        <w:t>Th</w:t>
      </w:r>
      <w:r w:rsidR="00A16EF2" w:rsidRPr="00677CE8">
        <w:t xml:space="preserve">is pattern has </w:t>
      </w:r>
      <w:r w:rsidR="003B26C8" w:rsidRPr="00677CE8">
        <w:t>been attributed</w:t>
      </w:r>
      <w:r w:rsidR="00E37584" w:rsidRPr="00677CE8">
        <w:t xml:space="preserve"> </w:t>
      </w:r>
      <w:r w:rsidR="003B26C8" w:rsidRPr="00677CE8">
        <w:t>to</w:t>
      </w:r>
      <w:r w:rsidR="00A16EF2" w:rsidRPr="00677CE8">
        <w:t xml:space="preserve"> less acute hearing </w:t>
      </w:r>
      <w:r w:rsidR="003D417F" w:rsidRPr="00677CE8">
        <w:t>among</w:t>
      </w:r>
      <w:r w:rsidR="00A16EF2" w:rsidRPr="00677CE8">
        <w:t xml:space="preserve"> seniors, and</w:t>
      </w:r>
      <w:r w:rsidR="003B26C8" w:rsidRPr="00677CE8">
        <w:t xml:space="preserve"> lifecycle differences in the importance of environmental quality</w:t>
      </w:r>
      <w:r w:rsidR="001E3F37" w:rsidRPr="00677CE8">
        <w:t xml:space="preserve"> which make </w:t>
      </w:r>
      <w:r w:rsidR="008B24CE" w:rsidRPr="00677CE8">
        <w:t>seniors less</w:t>
      </w:r>
      <w:r w:rsidR="001E3F37" w:rsidRPr="00677CE8">
        <w:t xml:space="preserve"> sensitive to residential disruptions</w:t>
      </w:r>
      <w:r w:rsidR="0016492E" w:rsidRPr="00677CE8">
        <w:t xml:space="preserve"> </w:t>
      </w:r>
      <w:r w:rsidR="0016492E" w:rsidRPr="00677CE8">
        <w:fldChar w:fldCharType="begin"/>
      </w:r>
      <w:r w:rsidR="005F3B24" w:rsidRPr="00677CE8">
        <w:instrText xml:space="preserve"> ADDIN ZOTERO_ITEM CSL_CITATION {"citationID":"I1usWiYB","properties":{"unsorted":false,"formattedCitation":"(Miedema &amp; Vos, 1999; Ni &amp; Huang, 2022; Zhu &amp; Chen, 2023)","plainCitation":"(Miedema &amp; Vos, 1999; Ni &amp; Huang, 2022; Zhu &amp; Chen, 2023)","noteIndex":0},"citationItems":[{"id":1485,"uris":["http://zotero.org/groups/6194892/items/YGCSPHTL"],"itemData":{"id":1485,"type":"article-journal","DOI":"https://doi.org/10.1121/1.424662","issue":"6","title":"Demographic and attitudinal factors that modify annoyance from transportation noise","URL":"https://pubs.aip.org/asa/jasa/article/105/6/3336/553454/Demographic-and-attitudinal-factors-that-modify","volume":"105","author":[{"family":"Miedema","given":"Henk"},{"family":"Vos","given":"Henk"}],"accessed":{"date-parts":[["2026",2,23]]},"issued":{"date-parts":[["1999",6]]}}},{"id":2239,"uris":["http://zotero.org/groups/6194892/items/V4S5NHSB"],"itemData":{"id":2239,"type":"article-journal","abstract":"Very few studies investigated the age effect on noise-induced annoyance (discomfort) among the many studies of subjective responses to noise. It is difficult to determine a quantitative model featuring the relationship between noise-induced annoyance and age from several laboratory studies due to relatively small samples and limited age groups. This paper investigated recent studies (published after the year 2000) on noise-induced annoyance by the literature review method. We classified the studies according to their rating scales and labels of anchors and transferred annoyance values of different studies to a unified scale. A probability density function represented the age distribution in each experiment under the small sample t-distribution assumption. A weight coefficient was applied to obtain the weighted average annoyance at the age range that overlapped several studies. The noise-induced annoyance changed significantly with age in a trend of “descending-rising-falling-stable” in the process of “children-teen-youth-middle age”. We proposed a set of tentative equations to describe the relationship between noise-induced annoyance at 55 dBA and age in the range 12–55 yrs.","container-title":"Applied Acoustics","DOI":"10.1016/j.apacoust.2022.108720","ISSN":"0003-682X","journalAbbreviation":"Applied Acoustics","page":"108720","source":"ScienceDirect","title":"An investigation of the age effect on acoustical annoyance developed from data of previous studies","volume":"192","author":[{"family":"Ni","given":"Ke"},{"family":"Huang","given":"Yu"}],"issued":{"date-parts":[["2022",4,1]]}}},{"id":2242,"uris":["http://zotero.org/groups/6194892/items/WWEJ25NE"],"itemData":{"id":2242,"type":"article-journal","abstract":"The small-scale green spaces next to major roads in old urban districts have long been subjected to traffic noise, posing health risks to the active people within these areas. In accordance with China's “Healthy China” national strategy and the construction of “pocket parks” in cities, it is of significant practical and research value to eliminate noise pollution and propose techniques for optimizing the noise environment of such traffic-type pocket parks. After conducting preliminary investigations and on-site monitoring, it was discovered that the level of noise pollution within the pocket park was relatively high. Given the limited noise reduction capabilities of green belts, it is worth exploring the potential of audio-visual interactions to improve and control noise perception in more detail. This study conducted panoramic image shooting and panorama-element-visibility calculations, generated a self-assessment report on noise perception using a questionnaire, and combined the report with structural equation model calculations. The findings revealed that the visual features of the pocket park environment have an impact on the noise perception of people from different age groups. This paper proposes an optimal range of indicators for the visibility of green space landscape elements related to noise-environment subjective perception improvement and establishes technological methods for noise-pollution control. It also offers insights and examples for promoting the development of healthy green spaces.","container-title":"Applied Acoustics","DOI":"10.1016/j.apacoust.2023.109628","ISSN":"0003-682X","journalAbbreviation":"Applied Acoustics","page":"109628","source":"ScienceDirect","title":"A study of noise exposure of traffic-type pocket parks in old urban districts based on audio-visual interaction","volume":"213","author":[{"family":"Zhu","given":"Yuqi"},{"family":"Chen","given":"Ye"}],"issued":{"date-parts":[["2023",10,1]]}}}],"schema":"https://github.com/citation-style-language/schema/raw/master/csl-citation.json"} </w:instrText>
      </w:r>
      <w:r w:rsidR="0016492E" w:rsidRPr="00677CE8">
        <w:fldChar w:fldCharType="separate"/>
      </w:r>
      <w:r w:rsidR="005F3B24" w:rsidRPr="00677CE8">
        <w:t xml:space="preserve">(Miedema </w:t>
      </w:r>
      <w:r w:rsidR="00963916" w:rsidRPr="00677CE8">
        <w:t>and</w:t>
      </w:r>
      <w:r w:rsidR="005F3B24" w:rsidRPr="00677CE8">
        <w:t xml:space="preserve"> Vos, 1999; Ni </w:t>
      </w:r>
      <w:r w:rsidR="00963916" w:rsidRPr="00677CE8">
        <w:t>and</w:t>
      </w:r>
      <w:r w:rsidR="005F3B24" w:rsidRPr="00677CE8">
        <w:t xml:space="preserve"> Huang, 2022; Zhu </w:t>
      </w:r>
      <w:r w:rsidR="00963916" w:rsidRPr="00677CE8">
        <w:t>and</w:t>
      </w:r>
      <w:r w:rsidR="005F3B24" w:rsidRPr="00677CE8">
        <w:t xml:space="preserve"> Chen, 2023)</w:t>
      </w:r>
      <w:r w:rsidR="0016492E" w:rsidRPr="00677CE8">
        <w:fldChar w:fldCharType="end"/>
      </w:r>
      <w:r w:rsidR="0016492E" w:rsidRPr="00677CE8">
        <w:t xml:space="preserve">. </w:t>
      </w:r>
    </w:p>
    <w:p w14:paraId="7C1D5772" w14:textId="0C11042C" w:rsidR="003D417F" w:rsidRPr="00677CE8" w:rsidRDefault="004329AF" w:rsidP="003D417F">
      <w:pPr>
        <w:spacing w:after="0" w:line="240" w:lineRule="auto"/>
        <w:jc w:val="both"/>
      </w:pPr>
      <w:r w:rsidRPr="00677CE8">
        <w:tab/>
      </w:r>
      <w:r w:rsidR="003D417F" w:rsidRPr="00677CE8">
        <w:t xml:space="preserve">Individuals with higher levels of formal educational attainment tend to exhibit increased tech-savviness and more positive perceptions of travel. Elevated tech-savviness among this group likely reflects greater exposure to technology in both educational and professional settings </w:t>
      </w:r>
      <w:r w:rsidR="003D417F" w:rsidRPr="00677CE8">
        <w:fldChar w:fldCharType="begin"/>
      </w:r>
      <w:r w:rsidR="003D417F" w:rsidRPr="00677CE8">
        <w:instrText xml:space="preserve"> ADDIN ZOTERO_ITEM CSL_CITATION {"citationID":"vaU7GatV","properties":{"unsorted":false,"formattedCitation":"(Nair &amp; Bhat, 2021; van Laar et al., 2017)","plainCitation":"(Nair &amp; Bhat, 2021; van Laar et al., 2017)","dontUpdate":true,"noteIndex":0},"citationItems":[{"id":1736,"uris":["http://zotero.org/groups/6194892/items/P4WXXPT6"],"itemData":{"id":1736,"type":"article-journal","abstract":"Technology providers, car manufacturers, and public agencies all need to work together to undertake extensive testing of fully autonomous vehicles (AVs) on public roads before such AVs are allowed to freely travel in ways similar to human-driven vehicles. This raises the importance of understanding public perceptions regarding safety considerations when traveling alongside AVs. This study makes use of a national survey conducted by the Pew Research Center to identify the affective, socio-demographic and technology-use attributes that affect an individual’s perception of the safety of sharing the road with AVs (PSSRAV) and identifies measures and interventions that can be undertaken to improve PSSRAV. Additionally, we evaluate individual preferences for AV regulations. Our results underscore the importance of the need for service providers and public agencies to be cognizant of the demographic and lifestyle/affective emotion considerations shaping AV safety perceptions and opinions about AV regulations. In particular, there is a need not only to focus on technological and other infrastructure components of AV development, but also to recognize the socio-technical considerations and human-related factors of the end-users. Our findings should be of substantial interest in the planning, design, deployment, and introduction of AVs within a safe and minimally regulated public operating arena.","container-title":"Transportation Research Part C: Emerging Technologies","DOI":"10.1016/j.trc.2020.102885","ISSN":"0968-090X","journalAbbreviation":"Transportation Research Part C: Emerging Technologies","page":"102885","source":"ScienceDirect","title":"Sharing the road with autonomous vehicles: Perceived safety and regulatory preferences","title-short":"Sharing the road with autonomous vehicles","volume":"122","author":[{"family":"Nair","given":"Gopindra S."},{"family":"Bhat","given":"Chandra R."}],"issued":{"date-parts":[["2021",1,1]]}}},{"id":1728,"uris":["http://zotero.org/groups/6194892/items/ICYWRZNH"],"itemData":{"id":1728,"type":"article-journal","abstract":"Innovation starts with people, making the human capital within the workforce decisive. In a fast-changing knowledge economy, 21st-century digital skills drive organizations' competitiveness and innovation capacity. Although such skills are seen as crucial, the digital aspect integrated with 21st-century skills is not yet sufficiently defined. The main objectives of this study were to (1) examine the relation between 21st-century skills and digital skills; and (2) provide a framework of 21st-century digital skills with conceptual dimensions and key operational components aimed at the knowledge worker. A systematic literature review was conducted to synthesize the relevant academic literature concerned with 21st-century digital skills. In total, 1592 different articles were screened from which 75 articles met the predefined inclusion criteria. The results show that 21st-century skills are broader than digital skills – the list of mentioned skills is far more extensive. In addition, in contrast to digital skills, 21st-century skills are not necessarily underpinned by ICT. Furthermore, we identified seven core skills: technical, information management, communication, collaboration, creativity, critical thinking and problem solving. Five contextual skills were also identified: ethical awareness, cultural awareness, flexibility, self-direction and lifelong learning.","container-title":"Computers in Human Behavior","DOI":"10.1016/j.chb.2017.03.010","ISSN":"0747-5632","journalAbbreviation":"Computers in Human Behavior","page":"577-588","source":"ScienceDirect","title":"The relation between 21st-century skills and digital skills: A systematic literature review","title-short":"The relation between 21st-century skills and digital skills","volume":"72","author":[{"family":"Laar","given":"Ester","non-dropping-particle":"van"},{"family":"Deursen","given":"Alexander J. A. M.","non-dropping-particle":"van"},{"family":"Dijk","given":"Jan A. G. M.","non-dropping-particle":"van"},{"family":"Haan","given":"Jos","non-dropping-particle":"de"}],"issued":{"date-parts":[["2017",7,1]]}}}],"schema":"https://github.com/citation-style-language/schema/raw/master/csl-citation.json"} </w:instrText>
      </w:r>
      <w:r w:rsidR="003D417F" w:rsidRPr="00677CE8">
        <w:fldChar w:fldCharType="separate"/>
      </w:r>
      <w:r w:rsidR="003D417F" w:rsidRPr="00677CE8">
        <w:t>(see</w:t>
      </w:r>
      <w:r w:rsidR="00D45F85" w:rsidRPr="00677CE8">
        <w:t xml:space="preserve"> van Laar et al., 2017;</w:t>
      </w:r>
      <w:r w:rsidR="003D417F" w:rsidRPr="00677CE8">
        <w:t xml:space="preserve"> Nair and Bhat, 2021)</w:t>
      </w:r>
      <w:r w:rsidR="003D417F" w:rsidRPr="00677CE8">
        <w:fldChar w:fldCharType="end"/>
      </w:r>
      <w:r w:rsidR="003D417F" w:rsidRPr="00677CE8">
        <w:t xml:space="preserve">. In addition, more positive perceptions of travel may be attributable to increased levels of schedule flexibility among highly-educated individuals, which can reduce time-related stress and enable productive use of travel time </w:t>
      </w:r>
      <w:r w:rsidR="003D417F" w:rsidRPr="00677CE8">
        <w:fldChar w:fldCharType="begin"/>
      </w:r>
      <w:r w:rsidR="003D417F" w:rsidRPr="00677CE8">
        <w:instrText xml:space="preserve"> ADDIN ZOTERO_ITEM CSL_CITATION {"citationID":"dnuSrIdA","properties":{"unsorted":false,"formattedCitation":"(Anderson et al., 2024; Hwang et al., 2025)","plainCitation":"(Anderson et al., 2024; Hwang et al., 2025)","noteIndex":0},"citationItems":[{"id":1752,"uris":["http://zotero.org/groups/6194892/items/KU6NN896"],"itemData":{"id":1752,"type":"article-journal","abstract":"The remote work arrangement trend engendered by the pandemic continues to be prevalent today in most work sectors. But some employers have reverted to an all in-person office workday system recently, with no allowance for remote work despite their employees’ desire for such flexibility. At the same time, some employees may prefer more office-based workdays than what their employer is able to offer today based on office rotation schemes and office downsizing. The challenge to find a harmonious balance between employee and employer preferences and perceptions regarding telework raises the issue of telework frequency dissonance (TFD). The purpose of this study is to investigate this pandemic-induced TFD. The data for our study is derived from the third wave of the COVID Future Panel Survey which was deployed across the United States in the Fall of 2021. The survey includes information regarding employees' existing telework frequency (ETF) and ideal telework frequency (ITF). These two dimensions are jointly modeled as a function of socioeconomic and demographic explanatory variables. The findings from this study provide important insights regarding how best to balance employee and employer preferences regarding work arrangements. Given the important effects of work arrangements on commute and non-commute travel, the findings from our study should help inform land use and travel models regarding predicting our transportation future.","container-title":"Transportation Research Part C: Emerging Technologies","DOI":"10.1016/j.trc.2024.104712","ISSN":"0968-090X","journalAbbreviation":"Transportation Research Part C: Emerging Technologies","page":"104712","source":"ScienceDirect","title":"An investigation of dissonance in telework frequency","volume":"166","author":[{"family":"Anderson","given":"Samantha M."},{"family":"Asmussen","given":"Katherine E."},{"family":"Saxena","given":"Shobhit"},{"family":"Batur","given":"Irfan"},{"family":"Pendyala","given":"Ram M."},{"family":"Bhat","given":"Chandra R."}],"issued":{"date-parts":[["2024",9,1]]}}},{"id":1703,"uris":["http://zotero.org/groups/6194892/items/L89E4K7K"],"itemData":{"id":1703,"type":"article-journal","publisher":"The University of Texas at Austin Department of Civil, Architectural, and Environmental Engineering","title":"Understanding Public Perceptions of Congestion Pricing - A U.S. Perspective","URL":"http://caee.webhost.utexas.edu/prof/bhat/ABSTRACTS/CongestionPricing.pdf","author":[{"family":"Hwang","given":"Hyunjun"},{"family":"Batur","given":"Irfan"},{"family":"Yu","given":"Fan"},{"family":"Robbennolt","given":"Dale"},{"family":"Pendyala","given":"Ram M."},{"family":"Bhat","given":"Chandra R."}],"issued":{"date-parts":[["2025"]]}}}],"schema":"https://github.com/citation-style-language/schema/raw/master/csl-citation.json"} </w:instrText>
      </w:r>
      <w:r w:rsidR="003D417F" w:rsidRPr="00677CE8">
        <w:fldChar w:fldCharType="separate"/>
      </w:r>
      <w:r w:rsidR="003D417F" w:rsidRPr="00677CE8">
        <w:t>(Anderson et al., 2024; Hwang et al., 2025)</w:t>
      </w:r>
      <w:r w:rsidR="003D417F" w:rsidRPr="00677CE8">
        <w:fldChar w:fldCharType="end"/>
      </w:r>
      <w:r w:rsidR="003D417F" w:rsidRPr="00677CE8">
        <w:t xml:space="preserve">. The results also indicate that Black respondents exhibit more positive perceptions of both technology and travel relative to </w:t>
      </w:r>
      <w:r w:rsidR="00556040" w:rsidRPr="00677CE8">
        <w:t>W</w:t>
      </w:r>
      <w:r w:rsidR="003D417F" w:rsidRPr="00677CE8">
        <w:t>hite individuals</w:t>
      </w:r>
      <w:r w:rsidR="00484579" w:rsidRPr="00677CE8">
        <w:t xml:space="preserve">. Respondents in </w:t>
      </w:r>
      <w:r w:rsidR="003D417F" w:rsidRPr="00677CE8">
        <w:t xml:space="preserve">the “other” race category </w:t>
      </w:r>
      <w:r w:rsidR="00484579" w:rsidRPr="00677CE8">
        <w:t xml:space="preserve">likewise tend to be more tech-savvy, </w:t>
      </w:r>
      <w:r w:rsidR="00556040" w:rsidRPr="00677CE8">
        <w:t>while Hispanic respondents tend to hold more positive perceptions of travel.</w:t>
      </w:r>
      <w:r w:rsidR="003D417F" w:rsidRPr="00677CE8">
        <w:t xml:space="preserve"> Improved technology perceptions among </w:t>
      </w:r>
      <w:r w:rsidR="00484579" w:rsidRPr="00677CE8">
        <w:t>these racial groups</w:t>
      </w:r>
      <w:r w:rsidR="003D417F" w:rsidRPr="00677CE8">
        <w:t xml:space="preserve"> may reflect existing transportation disparities that make transportation technologies feel more empowering compared with existing conditions.</w:t>
      </w:r>
      <w:r w:rsidR="00484579" w:rsidRPr="00677CE8">
        <w:t xml:space="preserve"> </w:t>
      </w:r>
      <w:r w:rsidR="001F18CB" w:rsidRPr="00677CE8">
        <w:t>Similarly, positive</w:t>
      </w:r>
      <w:r w:rsidR="00484579" w:rsidRPr="00677CE8">
        <w:t xml:space="preserve"> travel perceptions </w:t>
      </w:r>
      <w:r w:rsidR="001F18CB" w:rsidRPr="00677CE8">
        <w:t>among Black</w:t>
      </w:r>
      <w:r w:rsidR="00556040" w:rsidRPr="00677CE8">
        <w:t xml:space="preserve"> and Hispanic</w:t>
      </w:r>
      <w:r w:rsidR="001F18CB" w:rsidRPr="00677CE8">
        <w:t xml:space="preserve"> respondents may be related to experiences of time poverty </w:t>
      </w:r>
      <w:r w:rsidR="001F18CB" w:rsidRPr="00677CE8">
        <w:fldChar w:fldCharType="begin"/>
      </w:r>
      <w:r w:rsidR="00B7697D" w:rsidRPr="00677CE8">
        <w:instrText xml:space="preserve"> ADDIN ZOTERO_ITEM CSL_CITATION {"citationID":"E7Wug84f","properties":{"unsorted":false,"formattedCitation":"(Gee et al., 2019; Hess et al., 2020; Kwate, 2017)","plainCitation":"(Gee et al., 2019; Hess et al., 2020; Kwate, 2017)","dontUpdate":true,"noteIndex":0},"citationItems":[{"id":2195,"uris":["http://zotero.org/groups/6194892/items/S28YMGXP"],"itemData":{"id":2195,"type":"article-journal","abstract":"The adage “time is money” signifies that time itself is a major social resource, but the role of time as a determinant of health inequities remains underappreciated. Time is fundamental to health promotion and human agency, as in having time to exercise and maintain social relationships. Further, scarcity in time is related to stress and illness. Time is also racialized, such that racial/ethnic minorities often have less free time and suffer a time penalty in multiple facets of life. Such penalties manifest in problems such as greater time in prison or more time spent accessing services. We argue that time may be a social determinant of health that is shaped by racism across the life course. We focus on three aspects: time as age, time as exposure, and time as a resource and privilege. We distinguish between chronological age, biological age, and social age. We discuss issues of accelerated aging and potential interconnections with critical periods. We also examine racial inequities in time. By more deeply considering time, we may advance our understanding of racial inequities in health.","container-title":"American Journal of Public Health","DOI":"10.2105/AJPH.2018.304766","ISSN":"0090-0036","issue":"S1","journalAbbreviation":"Am J Public Health","page":"S43-S47","publisher":"American Public Health Association","source":"ajph.aphapublications.org (Atypon)","title":"Racism and the Life Course: Taking Time Seriously","title-short":"Racism and the Life Course","volume":"109","author":[{"family":"Gee","given":"Gilbert C."},{"family":"Hing","given":"Anna"},{"family":"Mohammed","given":"Selina"},{"family":"Tabor","given":"Derrick C."},{"family":"Williams","given":"David R."}],"issued":{"date-parts":[["2019",1]]}}},{"id":2194,"uris":["http://zotero.org/groups/6194892/items/8TTML69A"],"itemData":{"id":2194,"type":"report","publisher":"Institute for Women's Policy Research","source":"JSTOR","title":"Providing Unpaid Household and Care Work in the United States: Uncovering Inequality","title-short":"Providing Unpaid Household and Care Work in the United States","URL":"https://www.jstor.org/stable/resrep34503","author":[{"family":"Hess","given":"Cynthia"},{"family":"Ahmed","given":"Tanima"},{"family":"Hayes","given":"Jeff"}],"accessed":{"date-parts":[["2026",7,8]]},"issued":{"date-parts":[["2020"]]}}},{"id":2197,"uris":["http://zotero.org/groups/6194892/items/FP8YCJM5"],"itemData":{"id":2197,"type":"article-journal","abstract":"THE RACE AGAINST TIME - Volume 14 Issue 2","container-title":"Cambridge Core","DOI":"10.1017/S1742058X17000145","issue":"2","language":"en","publisher":"Cambridge University Press","source":"www.cambridge.org","title":"THE RACE AGAINST TIME | Du Bois Review: Social Science Research on Race","title-short":"THE RACE AGAINST TIME | Du Bois Review","URL":"https://www.cambridge.org/core/journals/du-bois-review-social-science-research-on-race/article/abs/race-against-time/2A984819148143D3CED9FB71C568C60C","volume":"14","author":[{"family":"Kwate","given":"Naa Oyo A."}],"accessed":{"date-parts":[["2026",7,8]]},"issued":{"date-parts":[["2017"]]}}}],"schema":"https://github.com/citation-style-language/schema/raw/master/csl-citation.json"} </w:instrText>
      </w:r>
      <w:r w:rsidR="001F18CB" w:rsidRPr="00677CE8">
        <w:fldChar w:fldCharType="separate"/>
      </w:r>
      <w:r w:rsidR="001F18CB" w:rsidRPr="00677CE8">
        <w:t>(</w:t>
      </w:r>
      <w:r w:rsidR="00D45F85" w:rsidRPr="00677CE8">
        <w:t xml:space="preserve">Kwate, 2017; </w:t>
      </w:r>
      <w:r w:rsidR="001F18CB" w:rsidRPr="00677CE8">
        <w:t>Gee et al., 2019; Hess et al., 2020)</w:t>
      </w:r>
      <w:r w:rsidR="001F18CB" w:rsidRPr="00677CE8">
        <w:fldChar w:fldCharType="end"/>
      </w:r>
      <w:r w:rsidR="001F18CB" w:rsidRPr="00677CE8">
        <w:t xml:space="preserve">, which can increase the value placed on travel as a productive reprieve </w:t>
      </w:r>
      <w:r w:rsidR="00D57FD0">
        <w:t>that</w:t>
      </w:r>
      <w:r w:rsidR="001F18CB" w:rsidRPr="00677CE8">
        <w:t xml:space="preserve"> enables transitions between competing responsibilities.</w:t>
      </w:r>
      <w:r w:rsidR="003D417F" w:rsidRPr="00677CE8">
        <w:t xml:space="preserve"> </w:t>
      </w:r>
      <w:r w:rsidR="005433BB" w:rsidRPr="00677CE8">
        <w:t xml:space="preserve">The final individual-level variable affecting the latent constructs is full-time employment status, which has a negative effect on UAM noise sensitivity. </w:t>
      </w:r>
      <w:r w:rsidR="003D417F" w:rsidRPr="00677CE8">
        <w:t>As shown in Table 5, the</w:t>
      </w:r>
      <w:r w:rsidR="009D4341" w:rsidRPr="00677CE8">
        <w:t xml:space="preserve"> UAM</w:t>
      </w:r>
      <w:r w:rsidR="003D417F" w:rsidRPr="00677CE8">
        <w:t xml:space="preserve"> noise sensitivity construct in this study is derived from indicators </w:t>
      </w:r>
      <w:r w:rsidR="00DB5587" w:rsidRPr="00677CE8">
        <w:t>relating specifically to disruptions in residential areas</w:t>
      </w:r>
      <w:r w:rsidR="003D417F" w:rsidRPr="00677CE8">
        <w:t xml:space="preserve">. Given this residential location emphasis, individuals such as </w:t>
      </w:r>
      <w:r w:rsidR="00E64878" w:rsidRPr="00677CE8">
        <w:t xml:space="preserve">part-time workers, </w:t>
      </w:r>
      <w:r w:rsidR="003D417F" w:rsidRPr="00677CE8">
        <w:t>students, retired individuals, and ot</w:t>
      </w:r>
      <w:r w:rsidR="00DB5587" w:rsidRPr="00677CE8">
        <w:t xml:space="preserve">hers </w:t>
      </w:r>
      <w:r w:rsidR="003D417F" w:rsidRPr="00677CE8">
        <w:t xml:space="preserve">not employed in full-time work may report higher </w:t>
      </w:r>
      <w:r w:rsidR="009D4341" w:rsidRPr="00677CE8">
        <w:t xml:space="preserve">UAM </w:t>
      </w:r>
      <w:r w:rsidR="003D417F" w:rsidRPr="00677CE8">
        <w:t>noise sensitivity due to a greater portion of time spent at home.</w:t>
      </w:r>
    </w:p>
    <w:p w14:paraId="44F84FD2" w14:textId="2427F166" w:rsidR="00235293" w:rsidRPr="00677CE8" w:rsidRDefault="00235293" w:rsidP="003B23ED">
      <w:pPr>
        <w:spacing w:after="0" w:line="240" w:lineRule="auto"/>
        <w:ind w:firstLine="720"/>
        <w:jc w:val="both"/>
      </w:pPr>
      <w:r w:rsidRPr="00677CE8">
        <w:t xml:space="preserve">At the household level, </w:t>
      </w:r>
      <w:r w:rsidR="003B23ED" w:rsidRPr="00677CE8">
        <w:t xml:space="preserve">individuals from </w:t>
      </w:r>
      <w:r w:rsidRPr="00677CE8">
        <w:t xml:space="preserve">lower-income households exhibit a reduced inclination toward technology, a well-documented trend attributable to higher levels of technology access and exposure among </w:t>
      </w:r>
      <w:r w:rsidR="003B23ED" w:rsidRPr="00677CE8">
        <w:t>those</w:t>
      </w:r>
      <w:r w:rsidRPr="00677CE8">
        <w:t xml:space="preserve"> from high-income households </w:t>
      </w:r>
      <w:r w:rsidRPr="00677CE8">
        <w:fldChar w:fldCharType="begin"/>
      </w:r>
      <w:r w:rsidR="00B7697D" w:rsidRPr="00677CE8">
        <w:instrText xml:space="preserve"> ADDIN ZOTERO_ITEM CSL_CITATION {"citationID":"bmO9SOrY","properties":{"unsorted":false,"formattedCitation":"(Dannemiller et al., 2021; Kalba, 2008; Lavieri et al., 2017; Nair &amp; Bhat, 2021)","plainCitation":"(Dannemiller et al., 2021; Kalba, 2008; Lavieri et al., 2017; Nair &amp; Bhat, 2021)","dontUpdate":true,"noteIndex":0},"citationItems":[{"id":1743,"uris":["http://zotero.org/groups/6194892/items/7YTLNLTB"],"itemData":{"id":1743,"type":"article-journal","abstract":"This paper develops an analytic system to investigate the effects of AV availability on multiple dimensions of activity-travel behavior at once, based on a direct survey-based modeling approach. In particular, the model uses individual socio-demographics, built environment variables, as well as psycho-social variables (in the form of latent psychological constructs) as determinant variables to explain likely AV impacts on five dimensions of short-term activity-travel choices: (1) Additional local area trips (that is, those that would not characterized as long distance trips; a long distance trip was defined in the survey as a trip more than 75 miles one-way), (2) Trip distance to shop or eat-out activities in the local area, (3) Trip distance to leisure activities in the local area, (4) Additional long distance road trips beyond the local area, and (5) Commute travel time. The model system includes a confirmatory factor analysis step, a multivariate linear regression model for the latent constructs, and a multivariate ordered-response model for the five main outcomes just listed. Data from a 2019 Austin area survey of new mobility service adoption and use forms the basis for our empirical analysis. Our results, when aggregated across all respondents, does suggest that AVs may not after all have a substantial impact on overall trip-making levels, although local area trips are likely to become longer (for all purposes, including the commute). The highest impact of AVs will, it appears, be on the number of long distance trips (with such trips increasing). Our in-depth examination of the variations in AV activity-travel responses across population segments and geographies underscores the importance of modeling multiple activity-travel dimensions all at once. In addition, our results highlight the value of using psycho-social latent constructs in studies related to the adoption/use of current and emerging mobility services, both in terms of improved prediction fit as well as proactive strategies to design equitable, safe, and community-driven AV systems. There is likely to be considerable heterogeneity in how different population groups view and respond to AVs, and it is imperative that AV campaigns and AV design consider such heterogeneity so as to not “leave anyone behind”.","container-title":"Transportation Research Part A: Policy and Practice","DOI":"10.1016/j.tra.2021.04.006","ISSN":"0965-8564","journalAbbreviation":"Transportation Research Part A: Policy and Practice","page":"402-422","source":"ScienceDirect","title":"Investigating autonomous vehicle impacts on individual activity-travel behavior","volume":"148","author":[{"family":"Dannemiller","given":"Katherine A."},{"family":"Mondal","given":"Aupal"},{"family":"Asmussen","given":"Katherine E."},{"family":"Bhat","given":"Chandra R."}],"issued":{"date-parts":[["2021",6,1]]}}},{"id":1741,"uris":["http://zotero.org/groups/6194892/items/HB9NR82B"],"itemData":{"id":1741,"type":"article-journal","abstract":"This paper offers an assessment of the drivers of mobile phone diffusion in emerging markets. It addresses both demand- and supply-side factors and provides an outlook on the diffusion process going forward, as two or three billion more mobile users are accommodated by mobile networks in addition to today’s 3.5 billion subscribers and users . \n\nThe paper focuses on several specific issues, namely the relationship of mobile phone adoption to income levels and legacy phone service as well as the role of prepaid phones and asymmetrical interconnection fees in hastening mobile diffusion in emerging markets. It also analyzes the impact of different levels of competition on mobile phone adoption, indicating that the diffusion benefits may recede as the number of operators increases. Finally, it attempts to explain why mobile penetration has been higher in Eastern Europe than in Latin America and in China than in India. \n\nLooking forward, the paper addresses the major challenges the mobile industry faces in extending mobile networks to rural regions in Africa, Asia, Latin America and elsewhere. The paper questions whether the market will be able to serve the last one or two billion potential subscribers or whether subsidies will be required, and notes the emerging use of infrastructure sharing and output-based subsidy schemes to foster rural network deployment. In also calls for research on mobile phone awareness and ability-to-pay levels among the world’s non-users and non-subscribers to help determine whether the recent 25% annual growth in worldwide mobile phone diffusion is sustainable. \n\nInputs to the paper include a literature review, comparative databases, the author’s studies of mobile adoption in individual countries, and the comments of reviewers of earlier drafts.","container-title":"International Journal of Communication","ISSN":"1932-8036","language":"en","page":"31-31","source":"ijoc.org","title":"The Adoption of Mobile Phones in Emerging Markets: Global Diffusion and the Rural Challenge","title-short":"The Adoption of Mobile Phones in Emerging Markets","volume":"2","author":[{"family":"Kalba","given":"Kas"}],"issued":{"date-parts":[["2008",6,23]]}}},{"id":1739,"uris":["http://zotero.org/groups/6194892/items/7K43I7QP"],"itemData":{"id":1739,"type":"article-journal","abstract":"Considerable interest exists in modeling and forecasting the effects of autonomous vehicles on travel behavior and transportation network performance. In an autonomous vehicle (AV) future, individuals may privately own such vehicles, use mobility-on-demand services provided by transportation network companies that operate shared AV fleets, or adopt a combination of those two options. This paper presents a comprehensive model system of AV adoption and use. A generalized, heterogeneous data model system was estimated with data collected as part of the Puget Sound, Washington, Regional Travel Study. The results showed that lifestyle factors play an important role in shaping AV usage. Younger, urban residents who are more educated and technologically savvy are more likely to be early adopters of AV technologies than are older, suburban and rural individuals, a fact that favors a sharing-based service model over private ownership. Models such as the one presented in this paper can be used to predict the adoption of AV technologies, and such predictions will, in turn, help forecast the effects of AVs under alternative future scenarios.","container-title":"Transportation Research Record","DOI":"10.3141/2665-01","ISSN":"0361-1981","issue":"1","language":"EN","page":"1-10","publisher":"SAGE Publications Inc","source":"SAGE Journals","title":"Modeling Individual Preferences for Ownership and Sharing of Autonomous Vehicle Technologies","volume":"2665","author":[{"family":"Lavieri","given":"Patrícia S."},{"family":"Garikapati","given":"Venu M."},{"family":"Bhat","given":"Chandra R."},{"family":"Pendyala","given":"Ram M."},{"family":"Astroza","given":"Sebastian"},{"family":"Dias","given":"Felipe F."}],"issued":{"date-parts":[["2017",1,1]]}}},{"id":1736,"uris":["http://zotero.org/groups/6194892/items/P4WXXPT6"],"itemData":{"id":1736,"type":"article-journal","abstract":"Technology providers, car manufacturers, and public agencies all need to work together to undertake extensive testing of fully autonomous vehicles (AVs) on public roads before such AVs are allowed to freely travel in ways similar to human-driven vehicles. This raises the importance of understanding public perceptions regarding safety considerations when traveling alongside AVs. This study makes use of a national survey conducted by the Pew Research Center to identify the affective, socio-demographic and technology-use attributes that affect an individual’s perception of the safety of sharing the road with AVs (PSSRAV) and identifies measures and interventions that can be undertaken to improve PSSRAV. Additionally, we evaluate individual preferences for AV regulations. Our results underscore the importance of the need for service providers and public agencies to be cognizant of the demographic and lifestyle/affective emotion considerations shaping AV safety perceptions and opinions about AV regulations. In particular, there is a need not only to focus on technological and other infrastructure components of AV development, but also to recognize the socio-technical considerations and human-related factors of the end-users. Our findings should be of substantial interest in the planning, design, deployment, and introduction of AVs within a safe and minimally regulated public operating arena.","container-title":"Transportation Research Part C: Emerging Technologies","DOI":"10.1016/j.trc.2020.102885","ISSN":"0968-090X","journalAbbreviation":"Transportation Research Part C: Emerging Technologies","page":"102885","source":"ScienceDirect","title":"Sharing the road with autonomous vehicles: Perceived safety and regulatory preferences","title-short":"Sharing the road with autonomous vehicles","volume":"122","author":[{"family":"Nair","given":"Gopindra S."},{"family":"Bhat","given":"Chandra R."}],"issued":{"date-parts":[["2021",1,1]]}}}],"schema":"https://github.com/citation-style-language/schema/raw/master/csl-citation.json"} </w:instrText>
      </w:r>
      <w:r w:rsidRPr="00677CE8">
        <w:fldChar w:fldCharType="separate"/>
      </w:r>
      <w:r w:rsidR="00D45F85" w:rsidRPr="00677CE8">
        <w:t>(</w:t>
      </w:r>
      <w:r w:rsidRPr="00677CE8">
        <w:t>Kalba, 2008; Lavieri et al., 2017;</w:t>
      </w:r>
      <w:r w:rsidR="00D45F85" w:rsidRPr="00677CE8">
        <w:t xml:space="preserve"> Dannemiller et al., 2021; </w:t>
      </w:r>
      <w:r w:rsidRPr="00677CE8">
        <w:t xml:space="preserve">Nair </w:t>
      </w:r>
      <w:r w:rsidR="00DC5E7F" w:rsidRPr="00677CE8">
        <w:t>and</w:t>
      </w:r>
      <w:r w:rsidRPr="00677CE8">
        <w:t xml:space="preserve"> Bhat, 2021)</w:t>
      </w:r>
      <w:r w:rsidRPr="00677CE8">
        <w:fldChar w:fldCharType="end"/>
      </w:r>
      <w:r w:rsidRPr="00677CE8">
        <w:t xml:space="preserve">. </w:t>
      </w:r>
      <w:r w:rsidR="003B23ED" w:rsidRPr="00677CE8">
        <w:t>Respondents in low</w:t>
      </w:r>
      <w:r w:rsidR="008B24CE" w:rsidRPr="00677CE8">
        <w:t>er</w:t>
      </w:r>
      <w:r w:rsidR="003B23ED" w:rsidRPr="00677CE8">
        <w:t xml:space="preserve">-income households also exhibit lower levels of UAM noise sensitivity than those in higher-income categories, </w:t>
      </w:r>
      <w:r w:rsidR="00087EE1" w:rsidRPr="00677CE8">
        <w:t>potentially reflecting a greater baseline exposure to transportation noise</w:t>
      </w:r>
      <w:r w:rsidR="008B24CE" w:rsidRPr="00677CE8">
        <w:t xml:space="preserve"> in economically disadvantaged </w:t>
      </w:r>
      <w:r w:rsidR="008B24CE" w:rsidRPr="00677CE8">
        <w:lastRenderedPageBreak/>
        <w:t>neighborhoods</w:t>
      </w:r>
      <w:r w:rsidR="00087EE1" w:rsidRPr="00677CE8">
        <w:t xml:space="preserve"> </w:t>
      </w:r>
      <w:r w:rsidR="003B23ED" w:rsidRPr="00677CE8">
        <w:fldChar w:fldCharType="begin"/>
      </w:r>
      <w:r w:rsidR="003B23ED" w:rsidRPr="00677CE8">
        <w:instrText xml:space="preserve"> ADDIN ZOTERO_ITEM CSL_CITATION {"citationID":"M2GhisAO","properties":{"unsorted":false,"formattedCitation":"(Collins et al., 2020; Letellier et al., 2023)","plainCitation":"(Collins et al., 2020; Letellier et al., 2023)","noteIndex":0},"citationItems":[{"id":2198,"uris":["http://zotero.org/groups/6194892/items/CMZP7KIT"],"itemData":{"id":2198,"type":"article-journal","abstract":"Noise from road and air traffic is known to harm human health, reduce mobility and accessibility, undermine community well-being, precipitate socio-environmental conflict, and depress land values. However, there have been surprisingly few studies of social inequities in noise exposure in the United States (US). This is the first US national-level study of social inequities in residential noise exposure from transport sources. We integrated data on the socio-demographic characteristics of census tracts in the continental US (n = 70,780) with the most advanced spatial estimates of road and aviation transport noise available. Using bivariate correlations and multivariate generalized estimating equations that account for geographic clustering and effects of other relevant variables, we tested for social disparities in road and aviation noise exposure across US census tracts. Noise from road vs. aviation transport sources was not highly correlated, yet results revealed a clear, convergent pattern of higher road and aviation noise exposures for census tracts characterized by lower socioeconomic status (i.e., higher deprivation and proportion renter occupancy) and greater proportions of Hispanic, black, Asian, Pacific Islander, and middle/working-aged residents. Overall, findings indicate that American neighborhoods with high concentrations of racial/ethnic minority and economically deprived residents bear the brunt of transport noise exposures. Given this study's scope and findings, policy actions to reduce social disparities in transport noise exposures nationwide are warranted.","container-title":"Journal of Transport Geography","DOI":"10.1016/j.jtrangeo.2019.102604","ISSN":"0966-6923","journalAbbreviation":"Journal of Transport Geography","page":"102604","source":"ScienceDirect","title":"Sonic injustice: Disparate residential exposures to transport noise from road and aviation sources in the continental United States","title-short":"Sonic injustice","volume":"82","author":[{"family":"Collins","given":"Timothy W."},{"family":"Nadybal","given":"Shawna"},{"family":"Grineski","given":"Sara E."}],"issued":{"date-parts":[["2020",1,1]]}}},{"id":2200,"uris":["http://zotero.org/groups/6194892/items/B3EWES5W"],"itemData":{"id":2200,"type":"article-journal","abstract":"Evidence linking traffic noise to insulin resistance and diabetes is limited and unanswered questions remain regarding the potential effect modification by neighborhood socioeconomic status (nSES). We aimed to assess socioeconomic inequalities in noise exposure, whether road and aircraft noise exposures were associated with insulin resistance or diabetes, and whether nSES modified these relationships. Among the Community of Mine Study in San Diego County, road and aircraft noise exposure at enrollment was calculated based on the static (participant's administrative boundary, and circular buffer around participant homes), and dynamic (mobility data by global positioning system, GPS) spatio-temporal aggregation methods. Associations of noise with insulin resistance (HOMA-IR) or type 2 diabetes (T2DM) were quantified using generalized estimating equation models adjusted for sex, age, ethnicity, individual income, and air pollution (nitrogen dioxide) exposure. Additive interaction between noise and nSES was assessed. Among 573 participants (mean age 58.7 y), participants living in low nSES were exposed to higher levels of aircraft and road noise using noise level at the census tract, circular buffer, or Kernel Density Estimation (KDE) of GPS data. Participants exposed to road noise greater or equal to the median (53 dB(A)) at the census tract and living in low nSES had an increased level of insulin resistance (β = 0.15, 95%CI: −0.04, 0.34) and higher odds of T2DM (Odds Ratio = 2.34, 95%CI: 1.12, 4.90). A positive additive interaction was found as participants living in low nSES had higher odds of T2DM. The impact of noise exposure on insulin resistance and T2DM differs substantially by nSES. Public health benefits of reducing exposure to road or aircraft noise would be larger in individuals living in low nSES.","container-title":"Environmental Pollution","DOI":"10.1016/j.envpol.2023.122277","ISSN":"0269-7491","journalAbbreviation":"Environmental Pollution","page":"122277","source":"ScienceDirect","title":"Aircraft and road traffic noise, insulin resistance, and diabetes: The role of neighborhood socioeconomic status in San Diego County","title-short":"Aircraft and road traffic noise, insulin resistance, and diabetes","volume":"335","author":[{"family":"Letellier","given":"Noémie"},{"family":"Yang","given":"Jiue-An"},{"family":"Cavaillès","given":"Clémence"},{"family":"Casey","given":"Joan A."},{"family":"Carrasco-Escobar","given":"Gabriel"},{"family":"Zamora","given":"Steven"},{"family":"Jankowska","given":"Marta M."},{"family":"Benmarhnia","given":"Tarik"}],"issued":{"date-parts":[["2023",10,15]]}}}],"schema":"https://github.com/citation-style-language/schema/raw/master/csl-citation.json"} </w:instrText>
      </w:r>
      <w:r w:rsidR="003B23ED" w:rsidRPr="00677CE8">
        <w:fldChar w:fldCharType="separate"/>
      </w:r>
      <w:r w:rsidR="003B23ED" w:rsidRPr="00677CE8">
        <w:t>(Collins et al., 2020; Letellier et al., 2023)</w:t>
      </w:r>
      <w:r w:rsidR="003B23ED" w:rsidRPr="00677CE8">
        <w:fldChar w:fldCharType="end"/>
      </w:r>
      <w:r w:rsidR="00087EE1" w:rsidRPr="00677CE8">
        <w:t xml:space="preserve">. </w:t>
      </w:r>
      <w:r w:rsidRPr="00677CE8">
        <w:t xml:space="preserve">This finding </w:t>
      </w:r>
      <w:r w:rsidR="003B23ED" w:rsidRPr="00677CE8">
        <w:t xml:space="preserve">is </w:t>
      </w:r>
      <w:r w:rsidR="00AB01F6" w:rsidRPr="00677CE8">
        <w:t xml:space="preserve">also </w:t>
      </w:r>
      <w:r w:rsidR="003B23ED" w:rsidRPr="00677CE8">
        <w:t>consistent</w:t>
      </w:r>
      <w:r w:rsidRPr="00677CE8">
        <w:t xml:space="preserve"> with previous </w:t>
      </w:r>
      <w:r w:rsidR="003B23ED" w:rsidRPr="00677CE8">
        <w:t>studies identifying reduced</w:t>
      </w:r>
      <w:r w:rsidRPr="00677CE8">
        <w:t xml:space="preserve"> noise level sensitivities </w:t>
      </w:r>
      <w:r w:rsidR="003B23ED" w:rsidRPr="00677CE8">
        <w:t>among low-</w:t>
      </w:r>
      <w:r w:rsidRPr="00677CE8">
        <w:t xml:space="preserve">income groups in the context of commercial aircraft and helicopter noise </w:t>
      </w:r>
      <w:r w:rsidRPr="00677CE8">
        <w:fldChar w:fldCharType="begin"/>
      </w:r>
      <w:r w:rsidRPr="00677CE8">
        <w:instrText xml:space="preserve"> ADDIN ZOTERO_ITEM CSL_CITATION {"citationID":"BHjmle5M","properties":{"unsorted":false,"formattedCitation":"(Michaud et al., 2022)","plainCitation":"(Michaud et al., 2022)","noteIndex":0},"citationItems":[{"id":1691,"uris":["http://zotero.org/groups/6194892/items/DELDADSM"],"itemData":{"id":1691,"type":"article-journal","abstract":"The Canadian Perspectives on Environmental Noise Survey investigated expectations and attitudes toward environmental noise in rural/remote, suburban and urban regions across Canada. A 26-item online questionnaire was completed by 6647 randomly selected Canadians 18 years of age and older between April 12, 2021 and May 25, 2021. Stepwise multivariate logistic regression modelled the odds of reporting very or extreme (i.e., high) noise annoyance toward road traffic, aircraft/helicopter, trains and construction noise. Five variables were common to all noise sources; 1) reporting the living area as very quiet, calm and relaxing; 2) sleep disturbance in general; 3) sleep disturbance attributed to road traffic noise; 4) noise sensitivity; and 5) reporting worsened annoyance toward environmental noise due to the COVID-19 pandemic. Duration of residency, perceived changes in nighttime and daytime noise over time, expectations of quiet, other specific causes of sleep disturbance, hearing impairment, road traffic audibility, and the impact of the pandemic on physical health, mental health, stress and indoor noise annoyance, each impacted the odds of reporting high annoyance to some, but not all modelled sources. Gender, rated physical and mental health (in general), anxiety or depression, overall well-being, and Indigenous status did not enter any of the multivariate models. Results are discussed in relation to the provision of advice on noise under Canada's Impact Assessment Act.","container-title":"Environmental Impact Assessment Review","DOI":"10.1016/j.eiar.2022.106881","ISSN":"0195-9255","journalAbbreviation":"Environmental Impact Assessment Review","page":"106881","source":"ScienceDirect","title":"Annoyance toward transportation and construction noise in rural suburban and urban regions across Canada","volume":"97","author":[{"family":"Michaud","given":"David S."},{"family":"Marro","given":"Leonora"},{"family":"Denning","given":"Allison"},{"family":"Shackleton","given":"Shelley"},{"family":"Toutant","given":"Nicolas"},{"family":"McNamee","given":"James P."}],"issued":{"date-parts":[["2022",11,1]]}}}],"schema":"https://github.com/citation-style-language/schema/raw/master/csl-citation.json"} </w:instrText>
      </w:r>
      <w:r w:rsidRPr="00677CE8">
        <w:fldChar w:fldCharType="separate"/>
      </w:r>
      <w:r w:rsidRPr="00677CE8">
        <w:t>(Michaud et al., 2022)</w:t>
      </w:r>
      <w:r w:rsidRPr="00677CE8">
        <w:fldChar w:fldCharType="end"/>
      </w:r>
      <w:r w:rsidRPr="00677CE8">
        <w:t xml:space="preserve">. </w:t>
      </w:r>
    </w:p>
    <w:p w14:paraId="051AF3C0" w14:textId="7C8B3E77" w:rsidR="00235293" w:rsidRPr="00677CE8" w:rsidRDefault="00235293" w:rsidP="00235293">
      <w:pPr>
        <w:spacing w:after="0" w:line="240" w:lineRule="auto"/>
        <w:ind w:firstLine="720"/>
        <w:jc w:val="both"/>
      </w:pPr>
      <w:r w:rsidRPr="00677CE8">
        <w:t xml:space="preserve">Moving onto other </w:t>
      </w:r>
      <w:r w:rsidR="002725C4" w:rsidRPr="00677CE8">
        <w:t xml:space="preserve">household-related </w:t>
      </w:r>
      <w:r w:rsidRPr="00677CE8">
        <w:t>variables,</w:t>
      </w:r>
      <w:r w:rsidR="00E64878" w:rsidRPr="00677CE8">
        <w:t xml:space="preserve"> </w:t>
      </w:r>
      <w:r w:rsidRPr="00677CE8">
        <w:t>homeowners</w:t>
      </w:r>
      <w:r w:rsidR="00484579" w:rsidRPr="00677CE8">
        <w:t xml:space="preserve"> </w:t>
      </w:r>
      <w:r w:rsidR="002725C4" w:rsidRPr="00677CE8">
        <w:t xml:space="preserve">and individuals in households with young children (less than 13 years of age) </w:t>
      </w:r>
      <w:r w:rsidR="00484579" w:rsidRPr="00677CE8">
        <w:t>tend to</w:t>
      </w:r>
      <w:r w:rsidRPr="00677CE8">
        <w:t xml:space="preserve"> manifest more positive travel perceptions than non-homeowners</w:t>
      </w:r>
      <w:r w:rsidR="002725C4" w:rsidRPr="00677CE8">
        <w:t xml:space="preserve"> and individuals in households without children, respectively</w:t>
      </w:r>
      <w:r w:rsidRPr="00677CE8">
        <w:t xml:space="preserve">. </w:t>
      </w:r>
      <w:r w:rsidR="002725C4" w:rsidRPr="00677CE8">
        <w:t xml:space="preserve">The latter result may be attributable to travel time being </w:t>
      </w:r>
      <w:r w:rsidRPr="00677CE8">
        <w:t xml:space="preserve">viewed as a period of peace within the day, offering a respite from the household responsibilities associated with caring for children </w:t>
      </w:r>
      <w:r w:rsidRPr="00677CE8">
        <w:fldChar w:fldCharType="begin"/>
      </w:r>
      <w:r w:rsidR="00B7697D" w:rsidRPr="00677CE8">
        <w:instrText xml:space="preserve"> ADDIN ZOTERO_ITEM CSL_CITATION {"citationID":"5yocBdfz","properties":{"unsorted":false,"formattedCitation":"(Asmussen et al., 2022; Craig &amp; Mullan, 2010)","plainCitation":"(Asmussen et al., 2022; Craig &amp; Mullan, 2010)","dontUpdate":true,"noteIndex":0},"citationItems":[{"id":1760,"uris":["http://zotero.org/groups/6194892/items/QU3SCSH6"],"itemData":{"id":1760,"type":"article-journal","abstract":"In this paper, we examine vehicle owners’ adoption of five different types of partially automated features (PAFs); lane keeping system, backup camera (BUC), adaptive cruise control (ACC), automatic braking system (ABS), and blind spot monitoring; as well as PAF effects on vehicle miles of travel (VMT). The joint modeling of PAF adoption and VMT is achieved using both individual demographic characteristics as well as psycho-social characteristics. A Generalized Heterogeneous Data Model (GHDM) is estimated, which controls for possible self-selection effects in PAF adoption based on VMT, and thus is able to provide “true” PAF effects on VMT. Our analysis specifically indicates that ignoring this self-selection can lead to a significant underestimation of the VMT increase due to PAF adoption. The results also indicate that women and older individuals (65 years or older) appear to be more inclined to invest in assistive PAFs, because of a perception that these assistive features still leave the human driver in control. However, women are less likely than men to invest in the more active ABS PAF because of heightened safety concerns with technology. In terms of PAF effects on VMT, PAFs focusing on lateral movement assistance appear to have a smaller VMT effect than those that serve longitudinal movement assistance. The highest estimated VMT change of 2,462 miles (13.8% change) is for the case when the package of BUC, ACC, and ABS is installed for middle-aged men. The highest percentage VMT change (40%), though, is for the same package of BUC, ACC, and ABS for older women. Overall, there are considerable variations in VMT impact across demographic groupings, suggesting that a single aggregate percentage improvement in safety benefits may suffer from the well-known ecological fallacy.","container-title":"Transportation Research Part A: Policy and Practice","DOI":"10.1016/j.tra.2022.02.010","ISSN":"0965-8564","journalAbbreviation":"Transportation Research Part A: Policy and Practice","page":"156-179","source":"ScienceDirect","title":"Adoption of partially automated vehicle technology features and impacts on vehicle miles of travel (VMT)","volume":"158","author":[{"family":"Asmussen","given":"Katherine E."},{"family":"Mondal","given":"Aupal"},{"family":"Bhat","given":"Chandra R."}],"issued":{"date-parts":[["2022",4,1]]}}},{"id":1757,"uris":["http://zotero.org/groups/6194892/items/VXWCN4EG"],"itemData":{"id":1757,"type":"article-journal","abstract":"Research has associated parenthood with greater daily time commitments for fathers and mothers than for childless men and women, and with deeper gendered division of labor in households. How do these outcomes vary across countries with different average employment hours, family and social policies, and cultural attitudes to family care provision? Using nationally representative time-use data from the United States, Australia, Italy, France, and Denmark (N = 5,337), we compare the paid and unpaid work of childless partnered adults and parents of young children in each country. Couples were matched (except for the United States). We found parents have higher, less gender-equal workloads than nonparents in all five countries, but overall time commitments and the difference by parenthood status were most pronounced in the United States and Australia.","container-title":"Journal of Marriage and Family","DOI":"10.1111/j.1741-3737.2010.00769.x","ISSN":"1741-3737","issue":"5","language":"en","license":"Copyright © National Council on Family Relations, 2010","note":"_eprint: https://onlinelibrary.wiley.com/doi/pdf/10.1111/j.1741-3737.2010.00769.x","page":"1344-1361","source":"Wiley Online Library","title":"Parenthood, Gender and Work-Family Time in the United States, Australia, Italy, France, and Denmark","volume":"72","author":[{"family":"Craig","given":"Lyn"},{"family":"Mullan","given":"Killian"}],"issued":{"date-parts":[["2010"]]}}}],"schema":"https://github.com/citation-style-language/schema/raw/master/csl-citation.json"} </w:instrText>
      </w:r>
      <w:r w:rsidRPr="00677CE8">
        <w:fldChar w:fldCharType="separate"/>
      </w:r>
      <w:r w:rsidRPr="00677CE8">
        <w:t>(</w:t>
      </w:r>
      <w:r w:rsidR="00D45F85" w:rsidRPr="00677CE8">
        <w:t xml:space="preserve">Craig and Mullan, 2010; </w:t>
      </w:r>
      <w:r w:rsidRPr="00677CE8">
        <w:t>Asmussen et al., 2022</w:t>
      </w:r>
      <w:r w:rsidR="00D45F85" w:rsidRPr="00677CE8">
        <w:t>)</w:t>
      </w:r>
      <w:r w:rsidRPr="00677CE8">
        <w:fldChar w:fldCharType="end"/>
      </w:r>
      <w:r w:rsidR="00D45F85" w:rsidRPr="00677CE8">
        <w:t>.</w:t>
      </w:r>
      <w:r w:rsidRPr="00677CE8">
        <w:t xml:space="preserve"> As a result,</w:t>
      </w:r>
      <w:r w:rsidR="002725C4" w:rsidRPr="00677CE8">
        <w:t xml:space="preserve"> </w:t>
      </w:r>
      <w:r w:rsidRPr="00677CE8">
        <w:t xml:space="preserve">individuals </w:t>
      </w:r>
      <w:r w:rsidR="002725C4" w:rsidRPr="00677CE8">
        <w:t xml:space="preserve">in households with young children </w:t>
      </w:r>
      <w:r w:rsidRPr="00677CE8">
        <w:t xml:space="preserve">may evaluate travel time more positively, not solely based on duration or efficiency, but in terms of its mental benefits as a structured break from domestic responsibilities. On the other hand, larger households tend to exhibit less positive travel perceptions, potentially due to the increased logistic complexity of coordinating travel among larger households </w:t>
      </w:r>
      <w:r w:rsidRPr="00677CE8">
        <w:fldChar w:fldCharType="begin"/>
      </w:r>
      <w:r w:rsidR="00B7697D" w:rsidRPr="00677CE8">
        <w:instrText xml:space="preserve"> ADDIN ZOTERO_ITEM CSL_CITATION {"citationID":"pQzEUbN0","properties":{"unsorted":false,"formattedCitation":"(Ho &amp; Mulley, 2015)","plainCitation":"(Ho &amp; Mulley, 2015)","dontUpdate":true,"noteIndex":0},"citationItems":[{"id":1842,"uris":["http://zotero.org/groups/6194892/items/LA2JT3SJ"],"itemData":{"id":1842,"type":"article-journal","abstract":"Recognition that individuals do not make their travel decisions in isolation of the household context has produced a growing interest in intra-household interactions and group decision-making. The behavioural realism of travel demand models that explicitly accommodate intra-household interactions is expected to provide more insight into travel behaviour and a more credible analysis of travellers’ response to transport policy than models that deal with household interactions in a ‘black box’. This paper reviews the literature on group decisions and intra-household interactions. How intra-household interactions influence the way in which decisions are made is expounded and empirical findings are drawn upon to argue for why the study of intra-household interactions is important. Various analytical techniques and data requirements are discussed to show how intra-household interactions can be handled. Drawing on this review, the impact of intra-household interactions on travel behaviour and implications for transport policy are identified and directions for further study suggested.","container-title":"Transport Reviews","DOI":"10.1080/01441647.2014.993745","ISSN":"0144-1647","issue":"1","note":"_eprint: https://doi.org/10.1080/01441647.2014.993745","page":"33-55","publisher":"Routledge","source":"Taylor and Francis+NEJM","title":"Intra-household interactions in transport research: a review","title-short":"Intra-household interactions in transport research","volume":"35","author":[{"family":"Ho","given":"Chinh"},{"family":"Mulley","given":"Corinne"}],"issued":{"date-parts":[["2015",1,2]]}}}],"schema":"https://github.com/citation-style-language/schema/raw/master/csl-citation.json"} </w:instrText>
      </w:r>
      <w:r w:rsidRPr="00677CE8">
        <w:fldChar w:fldCharType="separate"/>
      </w:r>
      <w:r w:rsidRPr="00677CE8">
        <w:t xml:space="preserve">(Ho </w:t>
      </w:r>
      <w:r w:rsidR="00DC5E7F" w:rsidRPr="00677CE8">
        <w:t>and</w:t>
      </w:r>
      <w:r w:rsidRPr="00677CE8">
        <w:t xml:space="preserve"> Mulley, 2015)</w:t>
      </w:r>
      <w:r w:rsidRPr="00677CE8">
        <w:fldChar w:fldCharType="end"/>
      </w:r>
      <w:r w:rsidRPr="00677CE8">
        <w:t>.</w:t>
      </w:r>
    </w:p>
    <w:p w14:paraId="22BFD79B" w14:textId="77777777" w:rsidR="007B293E" w:rsidRPr="00677CE8" w:rsidRDefault="007B293E" w:rsidP="00993297">
      <w:pPr>
        <w:spacing w:after="0" w:line="240" w:lineRule="auto"/>
        <w:jc w:val="both"/>
      </w:pPr>
    </w:p>
    <w:p w14:paraId="5EFC4BCC" w14:textId="7AEDBA44" w:rsidR="00982D08" w:rsidRPr="00677CE8" w:rsidRDefault="00982D08" w:rsidP="007B293E">
      <w:pPr>
        <w:pStyle w:val="Heading2"/>
        <w:spacing w:after="0" w:line="240" w:lineRule="auto"/>
      </w:pPr>
      <w:r w:rsidRPr="00677CE8">
        <w:t xml:space="preserve">5.2 Main </w:t>
      </w:r>
      <w:r w:rsidR="00021884">
        <w:t>O</w:t>
      </w:r>
      <w:r w:rsidRPr="00677CE8">
        <w:t>utcomes</w:t>
      </w:r>
    </w:p>
    <w:p w14:paraId="56622E56" w14:textId="77777777" w:rsidR="000F4D2A" w:rsidRPr="00677CE8" w:rsidRDefault="00235293" w:rsidP="00235293">
      <w:pPr>
        <w:pStyle w:val="FootnoteText"/>
        <w:jc w:val="both"/>
        <w:rPr>
          <w:sz w:val="24"/>
          <w:szCs w:val="24"/>
        </w:rPr>
      </w:pPr>
      <w:r w:rsidRPr="00677CE8">
        <w:rPr>
          <w:sz w:val="24"/>
          <w:szCs w:val="24"/>
        </w:rPr>
        <w:t xml:space="preserve">Table 6 presents the estimation results for the main ROP mode choice outcome. The coefficients represent the impact of variables on the utility of each alternative. The constants in the first row of the table do not have any meaningful </w:t>
      </w:r>
      <w:proofErr w:type="gramStart"/>
      <w:r w:rsidRPr="00677CE8">
        <w:rPr>
          <w:sz w:val="24"/>
          <w:szCs w:val="24"/>
        </w:rPr>
        <w:t>interpretation, and</w:t>
      </w:r>
      <w:proofErr w:type="gramEnd"/>
      <w:r w:rsidRPr="00677CE8">
        <w:rPr>
          <w:sz w:val="24"/>
          <w:szCs w:val="24"/>
        </w:rPr>
        <w:t xml:space="preserve"> are simply estimated to best match predicted and observed ranked proportions, given the estimated effects of the exogenous variables and latent constructs. </w:t>
      </w:r>
    </w:p>
    <w:p w14:paraId="0F784775" w14:textId="32F404A0" w:rsidR="00235293" w:rsidRPr="00677CE8" w:rsidRDefault="00235293" w:rsidP="000F4D2A">
      <w:pPr>
        <w:pStyle w:val="FootnoteText"/>
        <w:ind w:firstLine="540"/>
        <w:jc w:val="both"/>
      </w:pPr>
      <w:r w:rsidRPr="00677CE8">
        <w:rPr>
          <w:sz w:val="24"/>
          <w:szCs w:val="24"/>
        </w:rPr>
        <w:t xml:space="preserve">A couple of notes before we proceed to a discussion of the results. First, we tested extensively for alternative-specific effects of service attributes (such as in-vehicle travel time, waiting time, and cost), but many of these were not statistically significant. The ones that came out to be important are included in the </w:t>
      </w:r>
      <w:proofErr w:type="gramStart"/>
      <w:r w:rsidRPr="00677CE8">
        <w:rPr>
          <w:sz w:val="24"/>
          <w:szCs w:val="24"/>
        </w:rPr>
        <w:t>table, and</w:t>
      </w:r>
      <w:proofErr w:type="gramEnd"/>
      <w:r w:rsidRPr="00677CE8">
        <w:rPr>
          <w:sz w:val="24"/>
          <w:szCs w:val="24"/>
        </w:rPr>
        <w:t xml:space="preserve"> are discussed along with other effects. Second, for the service attributes that were not presented to all individuals, we tested if individuals may have responded differently if they were not at all shown the attribute relative to being shown the attribute. But invariably, we found that the “not shown” case was not different from the base case used for the service attribute. For instance, in the case of the service attribute of UAM availability, the base used is “UAM always available” and a separate dummy variable for “not shown” came out to be statistically insignificant with respect to zero. The implication here would be that, when </w:t>
      </w:r>
      <w:r w:rsidR="008B24CE" w:rsidRPr="00677CE8">
        <w:rPr>
          <w:sz w:val="24"/>
          <w:szCs w:val="24"/>
        </w:rPr>
        <w:t>UAM availability levels were not shown</w:t>
      </w:r>
      <w:r w:rsidRPr="00677CE8">
        <w:rPr>
          <w:sz w:val="24"/>
          <w:szCs w:val="24"/>
        </w:rPr>
        <w:t>, individuals presumed that the UAM service would always be available</w:t>
      </w:r>
      <w:r w:rsidR="008B24CE" w:rsidRPr="00677CE8">
        <w:rPr>
          <w:sz w:val="24"/>
          <w:szCs w:val="24"/>
        </w:rPr>
        <w:t>. Thus,</w:t>
      </w:r>
      <w:r w:rsidRPr="00677CE8">
        <w:rPr>
          <w:sz w:val="24"/>
          <w:szCs w:val="24"/>
        </w:rPr>
        <w:t xml:space="preserve"> the dummy variable effect for “UAM available only in clear weather” reflects the difference from the base case of “UAM always available</w:t>
      </w:r>
      <w:r w:rsidR="008B24CE" w:rsidRPr="00677CE8">
        <w:rPr>
          <w:sz w:val="24"/>
          <w:szCs w:val="24"/>
        </w:rPr>
        <w:t>.</w:t>
      </w:r>
      <w:r w:rsidRPr="00677CE8">
        <w:rPr>
          <w:sz w:val="24"/>
          <w:szCs w:val="24"/>
        </w:rPr>
        <w:t>”</w:t>
      </w:r>
    </w:p>
    <w:p w14:paraId="11199F0F" w14:textId="77777777" w:rsidR="007B293E" w:rsidRPr="00677CE8" w:rsidRDefault="007B293E" w:rsidP="007B293E">
      <w:pPr>
        <w:spacing w:after="0" w:line="240" w:lineRule="auto"/>
        <w:jc w:val="both"/>
      </w:pPr>
    </w:p>
    <w:p w14:paraId="646EFCE1" w14:textId="71A62530" w:rsidR="00982D08" w:rsidRPr="00C91D5B" w:rsidRDefault="00982D08">
      <w:pPr>
        <w:pStyle w:val="Heading3"/>
        <w:numPr>
          <w:ilvl w:val="2"/>
          <w:numId w:val="5"/>
        </w:numPr>
        <w:ind w:left="540" w:hanging="540"/>
      </w:pPr>
      <w:r w:rsidRPr="00C91D5B">
        <w:t>Effects of Contextual Characteristics</w:t>
      </w:r>
    </w:p>
    <w:p w14:paraId="2F99E993" w14:textId="28D28D2E" w:rsidR="00595212" w:rsidRPr="00677CE8" w:rsidRDefault="00235293" w:rsidP="00235293">
      <w:pPr>
        <w:spacing w:after="0" w:line="240" w:lineRule="auto"/>
        <w:jc w:val="both"/>
      </w:pPr>
      <w:r w:rsidRPr="00C91D5B">
        <w:rPr>
          <w:b/>
          <w:bCs/>
        </w:rPr>
        <w:t>Service Attribute Effects:</w:t>
      </w:r>
      <w:r w:rsidRPr="00677CE8">
        <w:t xml:space="preserve"> </w:t>
      </w:r>
      <w:r w:rsidR="00274689" w:rsidRPr="00677CE8">
        <w:t xml:space="preserve">The first </w:t>
      </w:r>
      <w:r w:rsidR="00956FA6" w:rsidRPr="00677CE8">
        <w:t xml:space="preserve">section </w:t>
      </w:r>
      <w:r w:rsidR="00274689" w:rsidRPr="00677CE8">
        <w:t>of T</w:t>
      </w:r>
      <w:r w:rsidR="001C4F1C" w:rsidRPr="00677CE8">
        <w:t>able 6 presents the</w:t>
      </w:r>
      <w:r w:rsidR="00987249" w:rsidRPr="00677CE8">
        <w:t xml:space="preserve"> effects of the</w:t>
      </w:r>
      <w:r w:rsidR="001C4F1C" w:rsidRPr="00677CE8">
        <w:t xml:space="preserve"> </w:t>
      </w:r>
      <w:r w:rsidRPr="00677CE8">
        <w:t>service attribute</w:t>
      </w:r>
      <w:r w:rsidR="00987249" w:rsidRPr="00677CE8">
        <w:t>s</w:t>
      </w:r>
      <w:r w:rsidRPr="00677CE8">
        <w:t xml:space="preserve">, </w:t>
      </w:r>
      <w:r w:rsidR="001C4F1C" w:rsidRPr="00677CE8">
        <w:t>along with</w:t>
      </w:r>
      <w:r w:rsidRPr="00677CE8">
        <w:t xml:space="preserve"> any interaction effects with trip context (trip purpose and distance) variables. </w:t>
      </w:r>
      <w:r w:rsidR="001C4F1C" w:rsidRPr="00677CE8">
        <w:t>The results reveal</w:t>
      </w:r>
      <w:r w:rsidRPr="00677CE8">
        <w:t xml:space="preserve"> that, as expected, a longer in-vehicle travel time (IVTT) reduces the attractiveness of </w:t>
      </w:r>
      <w:r w:rsidR="00274689" w:rsidRPr="00677CE8">
        <w:t>each mode</w:t>
      </w:r>
      <w:r w:rsidRPr="00677CE8">
        <w:t xml:space="preserve">, aligning with previous findings for both aerial and GB travel </w:t>
      </w:r>
      <w:r w:rsidRPr="00677CE8">
        <w:fldChar w:fldCharType="begin"/>
      </w:r>
      <w:r w:rsidR="00B7697D" w:rsidRPr="00677CE8">
        <w:instrText xml:space="preserve"> ADDIN ZOTERO_ITEM CSL_CITATION {"citationID":"pLP6DSVH","properties":{"unsorted":false,"formattedCitation":"(Cho &amp; Kim, 2022; Frank et al., 2008; Fu et al., 2019; Ranjan &amp; Sinha, 2025)","plainCitation":"(Cho &amp; Kim, 2022; Frank et al., 2008; Fu et al., 2019; Ranjan &amp; Sinha, 2025)","dontUpdate":true,"noteIndex":0},"citationItems":[{"id":566,"uris":["http://zotero.org/groups/6194892/items/ZEA76TL3"],"itemData":{"id":566,"type":"article-journal","abstract":"Urban air mobility (UAM) is expected to be a new alternative future transportation system to overcome the limitations of infrastructure investment and resolve traffic congestion cost issues in urban areas. This study aims to estimate the parameters of the mode choice model incorporating the cleaner transportation mode and evaluate the environmental impact by calculating the reduction of greenhouse gas emissions from ground traffic. A stated preference survey is employed to estimate the parameters for each travel mode, including the emerging travel mode. The awareness and experience of the air travel modes remove the hesitation concerning travel mode choice having positive values, but concerns about taking new types of air mobility reduce the probability of choosing urban air mobility. The macroscopic travel demand forecasting program simulates the travel demand of urban air mobility to calculate the reduction of CO2 emissions between before and after the introduction. While about 30 thousand of urban air mobility travel demand are generated after the introduction of urban air mobility in the urban area, it reduces about 90 thousand tons of CO2 emissions from the ground traffic. The introduction of urban air mobility causes modal shifts from ground traffic, reducing climate change and global warming. Policymakers should evaluate the feasibility of introducing urban air mobility, including environmental impact assessment, and an appropriate transit fare policy is required for the proliferation of urban air mobility.","container-title":"Journal of Cleaner Production","DOI":"10.1016/j.jclepro.2022.132139","ISSN":"0959-6526","journalAbbreviation":"Journal of Cleaner Production","page":"132139","source":"ScienceDirect","title":"Assessment of the environmental impact and policy responses for urban air mobility: A case study of Seoul metropolitan area","title-short":"Assessment of the environmental impact and policy responses for urban air mobility","volume":"360","author":[{"family":"Cho","given":"Shin-Hyung"},{"family":"Kim","given":"Myeonghyeon"}],"issued":{"date-parts":[["2022",8,1]]}}},{"id":1613,"uris":["http://zotero.org/groups/6194892/items/ZWEU4ZXN"],"itemData":{"id":1613,"type":"article-journal","abstract":"The primary purpose of this study was to investigate how relative associations between travel time, costs, and land use patterns where people live and work impact modal choice and trip chaining patterns in the Central Puget Sound (Seattle) region. By using a tour-based modeling framework and highly detailed land use and travel data, this study attempts to add detail on the specific land use changes necessary to address different types of travel, and to develop a comparative framework by which the relative impact of travel time and urban form changes can be assessed. A discrete choice modeling framework adjusted for demographic factors and assessed the relative effect of travel time, costs, and urban form on mode choice and trip chaining characteristics for the three tour types. The tour based modeling approach increased the ability to understand the relative contribution of urban form, time, and costs in explaining mode choice and tour complexity for home and work related travel. Urban form at residential and employment locations, and travel time and cost were significant predictors of travel choice. Travel time was the strongest predictor of mode choice while urban form the strongest predictor of the number of stops within a tour. Results show that reductions in highway travel time are associated with less transit use and walking. Land use patterns where respondents work predicted mode choice for mid day and journey to work travel.","container-title":"Transportation","DOI":"10.1007/s11116-007-9136-6","ISSN":"1572-9435","issue":"1","journalAbbreviation":"Transportation","language":"en","page":"37-54","source":"Springer Link","title":"Urban form, travel time, and cost relationships with tour complexity and mode choice","volume":"35","author":[{"family":"Frank","given":"Lawrence"},{"family":"Bradley","given":"Mark"},{"family":"Kavage","given":"Sarah"},{"family":"Chapman","given":"James"},{"family":"Lawton","given":"T. Keith"}],"issued":{"date-parts":[["2008",1,1]]}}},{"id":482,"uris":["http://zotero.org/groups/6194892/items/97M5RJ6T"],"itemData":{"id":482,"type":"article-journal","abstract":"Urban Air Mobility (UAM) is a recent mobility concept with the potential to reduce travel time and change travel patterns. When evaluating the introduction of UAM, understanding the potential users’ choice behavior regarding current available urban transportation modes and autonomous transportation services is essential to demand estimation. This preliminary research intends to gain insight into the travel behavior impacts of autonomous transportation modes, especially UAM, by deriving measures for transportation service attributes and identifying characteristics of potential users who might adopt autonomous transportation services, particularly the services of UAM. Thus, a stated preference questionnaire was designed and distributed in Munich metropolitan region. A main mode choice multinomial logit model and several sub-models, based on market segmentation, were estimated regarding four transportation alternatives: private car, public transportation, autonomous taxi, and autonomous flying taxi. The results indicate that travel time, travel cost, and safety may be critical determinants in autonomous transportation mode adoption. The potential consumers may be willing to pay more for using autonomous transportation modes, especially the service of UAM. Among different market segments, younger individuals, as well as older individuals with high household income, are more likely to adopt UAM. In addition, during the market entry stage, potential travelers may favor UAM particularly for performing non-commuting trips.","container-title":"Transportation Research Record","DOI":"10.1177/0361198119843858","ISSN":"0361-1981","issue":"10","language":"en","page":"427-442","publisher":"SAGE Publications Inc","source":"SAGE Journals","title":"Exploring Preferences for Transportation Modes in an Urban Air Mobility Environment: Munich Case Study","volume":"2673","author":[{"family":"Fu","given":"Mengying"},{"family":"Rothfeld","given":"Raoul"},{"family":"Antoniou","given":"Constantinos"}],"issued":{"date-parts":[["2019",10,1]]}}},{"id":1615,"uris":["http://zotero.org/groups/6194892/items/3EL9Q2R2"],"itemData":{"id":1615,"type":"article-journal","abstract":"Understanding urban mode choice behavior is critical for designing inclusive, efficient, and sustainable public transportation systems. This study presents a systematic literature review (SLR) of 290 peer-reviewed journal articles published between 2010 and March 2025, aimed at identifying and synthesizing the key determinants that influence individuals’ decisions to use public transport. The analysis organizes these determinants into four primary domains: demographic and socio-economic attributes, trip-specific characteristics, transportation system performance, and environmental and contextual factors. Variables such as income, gender, age, education level, vehicle ownership, trip purpose, travel duration, service reliability, affordability, accessibility, and land-use patterns consistently emerge as influential. The synthesis reveals notable regional variations: in Asia, trip-related and system-level factors predominate, whereas in North America, socio-economic attributes and infrastructural conditions play a more significant role. The findings also highlight the growing relevance of emerging mobility trends, including shared transportation services, real-time transit information applications, and autonomous vehicle technologies. Despite the extensive body of literature, substantial research gaps remain, particularly in the creation of integrated frameworks that capture the interactions among demographic, infrastructural, and behavioral variables. Moreover, critical factors such as traffic congestion, weather conditions, social structures, and post-pandemic behavioral shifts are insufficiently addressed, especially in underrepresented regions such as Africa and South America. By consolidating fragmented insights from global studies, this review underscores the multidimensional and context-dependent nature of public transport mode choice. The results provide actionable guidance for policymakers and transportation planners, emphasizing the need for context-sensitive, user-centered strategies that address both regional priorities and global sustainability objectives. Through this synthesis, the study contribute a comprehensive evidence base to support informed decision-making and strategic initiatives aimed at increasing public transport ridership and advancing sustainable urban mobility.","container-title":"Discover Cities","DOI":"10.1007/s44327-025-00138-3","ISSN":"3004-8311","issue":"1","journalAbbreviation":"Discov Cities","language":"en","page":"98","source":"Springer Link","title":"A systematic review of mode choice behavior in urban transportation with emphasis on individual preferences and influencing factor","volume":"2","author":[{"family":"Ranjan","given":"Rajesh"},{"family":"Sinha","given":"Sanjeev"}],"issued":{"date-parts":[["2025",10,13]]}}}],"schema":"https://github.com/citation-style-language/schema/raw/master/csl-citation.json"} </w:instrText>
      </w:r>
      <w:r w:rsidRPr="00677CE8">
        <w:fldChar w:fldCharType="separate"/>
      </w:r>
      <w:r w:rsidRPr="00677CE8">
        <w:t>(</w:t>
      </w:r>
      <w:r w:rsidR="00D45F85" w:rsidRPr="00677CE8">
        <w:t>Frank et al., 2008;</w:t>
      </w:r>
      <w:r w:rsidR="002E3E33">
        <w:t xml:space="preserve"> </w:t>
      </w:r>
      <w:r w:rsidR="002E3E33" w:rsidRPr="00677CE8">
        <w:t>Fu et al., 2019;</w:t>
      </w:r>
      <w:r w:rsidR="00D45F85" w:rsidRPr="00677CE8">
        <w:t xml:space="preserve"> </w:t>
      </w:r>
      <w:r w:rsidRPr="00677CE8">
        <w:t xml:space="preserve">Cho </w:t>
      </w:r>
      <w:r w:rsidR="00DC5E7F" w:rsidRPr="00677CE8">
        <w:t>and</w:t>
      </w:r>
      <w:r w:rsidRPr="00677CE8">
        <w:t xml:space="preserve"> Kim, 2022; Ranjan </w:t>
      </w:r>
      <w:r w:rsidR="00DC5E7F" w:rsidRPr="00677CE8">
        <w:t>and</w:t>
      </w:r>
      <w:r w:rsidRPr="00677CE8">
        <w:t xml:space="preserve"> Sinha, 2025)</w:t>
      </w:r>
      <w:r w:rsidRPr="00677CE8">
        <w:fldChar w:fldCharType="end"/>
      </w:r>
      <w:r w:rsidRPr="00677CE8">
        <w:t>.</w:t>
      </w:r>
      <w:r w:rsidR="001C4F1C" w:rsidRPr="00677CE8">
        <w:t xml:space="preserve"> </w:t>
      </w:r>
      <w:r w:rsidR="00274689" w:rsidRPr="00677CE8">
        <w:t>However, the</w:t>
      </w:r>
      <w:r w:rsidR="001C4F1C" w:rsidRPr="00677CE8">
        <w:t xml:space="preserve"> negative impact of IVTT</w:t>
      </w:r>
      <w:r w:rsidR="00274689" w:rsidRPr="00677CE8">
        <w:t xml:space="preserve"> is stronger</w:t>
      </w:r>
      <w:r w:rsidR="001C4F1C" w:rsidRPr="00677CE8">
        <w:t xml:space="preserve"> for aerial modes than GB alternatives</w:t>
      </w:r>
      <w:r w:rsidR="002E0CA6" w:rsidRPr="00677CE8">
        <w:t xml:space="preserve"> (a coefficient of -0.1449 for the aerial modes relative to -0.0918 for the GB modes)</w:t>
      </w:r>
      <w:r w:rsidR="0004101E" w:rsidRPr="00677CE8">
        <w:t xml:space="preserve">. This </w:t>
      </w:r>
      <w:r w:rsidR="001C4F1C" w:rsidRPr="00677CE8">
        <w:t>suggest</w:t>
      </w:r>
      <w:r w:rsidR="0004101E" w:rsidRPr="00677CE8">
        <w:t>s</w:t>
      </w:r>
      <w:r w:rsidR="001C4F1C" w:rsidRPr="00677CE8">
        <w:t xml:space="preserve"> that prospective users</w:t>
      </w:r>
      <w:r w:rsidR="00274689" w:rsidRPr="00677CE8">
        <w:t xml:space="preserve"> have a greater disutility associated with longer UAM travel times, </w:t>
      </w:r>
      <w:r w:rsidR="0004101E" w:rsidRPr="00677CE8">
        <w:t>likely because IVTT reductions are viewed as one of the principal advantages of UAM modes</w:t>
      </w:r>
      <w:r w:rsidR="001B4F98" w:rsidRPr="00677CE8">
        <w:t xml:space="preserve">. </w:t>
      </w:r>
      <w:r w:rsidR="0004101E" w:rsidRPr="00677CE8">
        <w:t xml:space="preserve">Consequently, longer travel times may undermine one of the </w:t>
      </w:r>
      <w:r w:rsidR="00987249" w:rsidRPr="00677CE8">
        <w:t>main</w:t>
      </w:r>
      <w:r w:rsidR="0004101E" w:rsidRPr="00677CE8">
        <w:t xml:space="preserve"> motivations for adopting UAM over GB alternatives. </w:t>
      </w:r>
      <w:r w:rsidR="00274689" w:rsidRPr="00677CE8">
        <w:t>The impact of IVTT is further shaped by trip context</w:t>
      </w:r>
      <w:r w:rsidR="0004101E" w:rsidRPr="00677CE8">
        <w:t>. For errand trips, the disutility associated with IVTT declines substantially</w:t>
      </w:r>
      <w:r w:rsidR="008B24CE" w:rsidRPr="00677CE8">
        <w:t xml:space="preserve"> </w:t>
      </w:r>
      <w:r w:rsidRPr="00677CE8">
        <w:lastRenderedPageBreak/>
        <w:t>across all modes</w:t>
      </w:r>
      <w:r w:rsidR="00274689" w:rsidRPr="00677CE8">
        <w:t xml:space="preserve">, </w:t>
      </w:r>
      <w:r w:rsidR="001C4F1C" w:rsidRPr="00677CE8">
        <w:t xml:space="preserve">resulting in a small </w:t>
      </w:r>
      <w:r w:rsidR="00556040" w:rsidRPr="00677CE8">
        <w:t xml:space="preserve">IVTT </w:t>
      </w:r>
      <w:r w:rsidR="001C4F1C" w:rsidRPr="00677CE8">
        <w:t>impact for UAM modes (</w:t>
      </w:r>
      <w:r w:rsidR="00274689" w:rsidRPr="00677CE8">
        <w:t>the net effect is -0.1449 + 0.0756 = -0.0693</w:t>
      </w:r>
      <w:r w:rsidR="001C4F1C" w:rsidRPr="00677CE8">
        <w:t xml:space="preserve">) and almost no impact for GB modes </w:t>
      </w:r>
      <w:r w:rsidRPr="00677CE8">
        <w:t>(</w:t>
      </w:r>
      <w:r w:rsidR="00274689" w:rsidRPr="00677CE8">
        <w:t>net effect of -0.0918 + 0.0756 = -0.0162</w:t>
      </w:r>
      <w:r w:rsidRPr="00677CE8">
        <w:t>). Errands are primarily task-oriented, and often involve flexible, multi-stop travel patterns</w:t>
      </w:r>
      <w:r w:rsidR="00140481" w:rsidRPr="00677CE8">
        <w:t xml:space="preserve"> </w:t>
      </w:r>
      <w:r w:rsidR="00140481" w:rsidRPr="00677CE8">
        <w:fldChar w:fldCharType="begin"/>
      </w:r>
      <w:r w:rsidR="00F57837" w:rsidRPr="00677CE8">
        <w:instrText xml:space="preserve"> ADDIN ZOTERO_ITEM CSL_CITATION {"citationID":"SR4IKrGy","properties":{"unsorted":false,"formattedCitation":"(Wallius et al., 2026)","plainCitation":"(Wallius et al., 2026)","noteIndex":0},"citationItems":[{"id":2245,"uris":["http://zotero.org/groups/6194892/items/WXX6HDXZ"],"itemData":{"id":2245,"type":"article-journal","abstract":"Human mobility is often characterized by trip chains with multiple destinations. However, the reasons behind mode choices have been mostly studied in single-purpose travel contexts. To address this gap, we examine how trip chain length, complexity (number of trip legs), and purposes are linked to situational factors influencing the decision to use a private car (i.e., context-dependent considerations that affect travel decisions, such as the need to save time, avoid bad weather, or be able to relax). Data was collected through a survey where participants described a recent private car trip chain, including items about trip purposes, the number of trips and trip legs, trip length, and the importance of various situational factors on mode choice decision. The survey was conducted in two major urban areas in Finland, yielding 731 valid responses. The results of a regression analysis show that all examined trip chain characteristics impact on the prevalence of different situational factors. Leisure being a trip purpose was associated with non-utilitarian factors influencing car use, and errands and commuting with both utilitarian and non-utilitarian factors. Trips involving errands appeared more habitual than trips for other purposes. Furthermore, complexity was not only associated with utilitarian factors, but also non-utilitarian. The findings suggest that trip chain complexity and purposes should be considered by practitioners and policymakers in sustainable mobility campaigns, passenger information systems that account for trip chain characteristics should be developed, and targeted interventions to reduce habitual car use, especially for errands, should be created.","container-title":"Transportation Research Interdisciplinary Perspectives","DOI":"10.1016/j.trip.2025.101821","ISSN":"2590-1982","journalAbbreviation":"Transportation Research Interdisciplinary Perspectives","page":"101821","source":"ScienceDirect","title":"Trip chain characteristics and situational factors influencing private car mode choices – A survey study in two Finnish urban areas","volume":"36","author":[{"family":"Wallius","given":"Eetu"},{"family":"Kaipainen","given":"Kirsikka"},{"family":"Pihlajamaa","given":"Olli"}],"issued":{"date-parts":[["2026",3,1]]}}}],"schema":"https://github.com/citation-style-language/schema/raw/master/csl-citation.json"} </w:instrText>
      </w:r>
      <w:r w:rsidR="00140481" w:rsidRPr="00677CE8">
        <w:fldChar w:fldCharType="separate"/>
      </w:r>
      <w:r w:rsidR="00F57837" w:rsidRPr="00677CE8">
        <w:t>(Wallius et al., 2026)</w:t>
      </w:r>
      <w:r w:rsidR="00140481" w:rsidRPr="00677CE8">
        <w:fldChar w:fldCharType="end"/>
      </w:r>
      <w:r w:rsidRPr="00677CE8">
        <w:t xml:space="preserve">, and so flexibility and convenience dominate relative to travel time. </w:t>
      </w:r>
      <w:r w:rsidR="001C4F1C" w:rsidRPr="00677CE8">
        <w:t xml:space="preserve">In contrast, </w:t>
      </w:r>
      <w:r w:rsidR="00274689" w:rsidRPr="00677CE8">
        <w:t>the importance of IVTT</w:t>
      </w:r>
      <w:r w:rsidR="001C4F1C" w:rsidRPr="00677CE8">
        <w:t xml:space="preserve"> </w:t>
      </w:r>
      <w:r w:rsidR="00274689" w:rsidRPr="00677CE8">
        <w:t xml:space="preserve">is elevated </w:t>
      </w:r>
      <w:r w:rsidR="001C4F1C" w:rsidRPr="00677CE8">
        <w:t xml:space="preserve">for </w:t>
      </w:r>
      <w:r w:rsidR="00D57FD0">
        <w:t xml:space="preserve">aerial </w:t>
      </w:r>
      <w:r w:rsidR="001C4F1C" w:rsidRPr="00677CE8">
        <w:t>medical trips</w:t>
      </w:r>
      <w:r w:rsidR="00274689" w:rsidRPr="00677CE8">
        <w:t>,</w:t>
      </w:r>
      <w:r w:rsidR="001C4F1C" w:rsidRPr="00677CE8">
        <w:t xml:space="preserve"> indicating a much stronger emphasis on minimizing travel time for emergency situations when using aerial modes</w:t>
      </w:r>
      <w:r w:rsidR="00987249" w:rsidRPr="00677CE8">
        <w:t xml:space="preserve"> (net effect of -0.1449 + -0.0771 = -0.2220)</w:t>
      </w:r>
      <w:r w:rsidR="001C4F1C" w:rsidRPr="00677CE8">
        <w:t>. This reflects the urgency associated with medical emergencies,</w:t>
      </w:r>
      <w:r w:rsidR="0004101E" w:rsidRPr="00677CE8">
        <w:t xml:space="preserve"> and the expectation that aerial transportation should provide fast </w:t>
      </w:r>
      <w:r w:rsidR="001C4F1C" w:rsidRPr="00677CE8">
        <w:t xml:space="preserve">and efficient transportation </w:t>
      </w:r>
      <w:r w:rsidR="0004101E" w:rsidRPr="00677CE8">
        <w:t>when time is critical</w:t>
      </w:r>
      <w:r w:rsidR="001C4F1C" w:rsidRPr="00677CE8">
        <w:t xml:space="preserve">. </w:t>
      </w:r>
      <w:r w:rsidRPr="00677CE8">
        <w:t>Overall, IVTT has a negative effect for non-errand trips for all travel modes</w:t>
      </w:r>
      <w:r w:rsidR="001C4F1C" w:rsidRPr="00677CE8">
        <w:t xml:space="preserve">, although its </w:t>
      </w:r>
      <w:r w:rsidR="008B24CE" w:rsidRPr="00677CE8">
        <w:t>impact is</w:t>
      </w:r>
      <w:r w:rsidR="001C4F1C" w:rsidRPr="00677CE8">
        <w:t xml:space="preserve"> </w:t>
      </w:r>
      <w:r w:rsidR="008B24CE" w:rsidRPr="00677CE8">
        <w:t>larger</w:t>
      </w:r>
      <w:r w:rsidR="001C4F1C" w:rsidRPr="00677CE8">
        <w:t xml:space="preserve"> for UAM modes</w:t>
      </w:r>
      <w:r w:rsidRPr="00677CE8">
        <w:t xml:space="preserve">, with this negative effect peaking for medical emergency trips </w:t>
      </w:r>
      <w:r w:rsidR="001C4F1C" w:rsidRPr="00677CE8">
        <w:t>by</w:t>
      </w:r>
      <w:r w:rsidRPr="00677CE8">
        <w:t xml:space="preserve"> UAM. </w:t>
      </w:r>
    </w:p>
    <w:p w14:paraId="7C5266B3" w14:textId="4030D10E" w:rsidR="00595212" w:rsidRPr="00677CE8" w:rsidRDefault="00AE5A13" w:rsidP="00595212">
      <w:pPr>
        <w:spacing w:after="0" w:line="240" w:lineRule="auto"/>
        <w:ind w:firstLine="720"/>
        <w:jc w:val="both"/>
      </w:pPr>
      <w:r w:rsidRPr="00677CE8">
        <w:t>Similarly, l</w:t>
      </w:r>
      <w:r w:rsidR="00595212" w:rsidRPr="00677CE8">
        <w:t xml:space="preserve">onger waiting times reduce the attractiveness </w:t>
      </w:r>
      <w:r w:rsidR="0004101E" w:rsidRPr="00677CE8">
        <w:t xml:space="preserve">across </w:t>
      </w:r>
      <w:r w:rsidR="002E0CA6" w:rsidRPr="00677CE8">
        <w:t xml:space="preserve">all </w:t>
      </w:r>
      <w:r w:rsidR="00595212" w:rsidRPr="00677CE8">
        <w:t>mode</w:t>
      </w:r>
      <w:r w:rsidR="0004101E" w:rsidRPr="00677CE8">
        <w:t>s</w:t>
      </w:r>
      <w:r w:rsidR="00595212" w:rsidRPr="00677CE8">
        <w:t>. Individuals do not show a meaningful distinction between no wait time and a very short wait of 5 minutes, suggesting that some level of brief delay is generally acceptable. However, preferences begin to decline for wait times of 10-15 minutes</w:t>
      </w:r>
      <w:r w:rsidR="006177E9" w:rsidRPr="00677CE8">
        <w:t xml:space="preserve"> and continue to decrease in attractiveness for wait times </w:t>
      </w:r>
      <w:r w:rsidR="00595212" w:rsidRPr="00677CE8">
        <w:t xml:space="preserve">of 30 minutes. </w:t>
      </w:r>
      <w:r w:rsidR="001732E1" w:rsidRPr="00677CE8">
        <w:t>Specifically</w:t>
      </w:r>
      <w:r w:rsidR="00945750" w:rsidRPr="00677CE8">
        <w:t>,</w:t>
      </w:r>
      <w:r w:rsidR="00595212" w:rsidRPr="00677CE8">
        <w:t xml:space="preserve"> a </w:t>
      </w:r>
      <w:r w:rsidR="0013259B" w:rsidRPr="00677CE8">
        <w:t>10</w:t>
      </w:r>
      <w:r w:rsidR="00595212" w:rsidRPr="00677CE8">
        <w:t xml:space="preserve">-minute wait time </w:t>
      </w:r>
      <w:r w:rsidR="002E4770" w:rsidRPr="00677CE8">
        <w:t xml:space="preserve">(compared to having no wait time, </w:t>
      </w:r>
      <w:r w:rsidR="00595212" w:rsidRPr="00677CE8">
        <w:t>for any trip purpose and any trip length</w:t>
      </w:r>
      <w:r w:rsidR="002E4770" w:rsidRPr="00677CE8">
        <w:t>)</w:t>
      </w:r>
      <w:r w:rsidR="00595212" w:rsidRPr="00677CE8">
        <w:t xml:space="preserve"> is considered about as onerous as </w:t>
      </w:r>
      <w:r w:rsidR="00BC6667" w:rsidRPr="00677CE8">
        <w:t>20 minutes</w:t>
      </w:r>
      <w:r w:rsidR="00595212" w:rsidRPr="00677CE8">
        <w:t xml:space="preserve"> of additional</w:t>
      </w:r>
      <w:r w:rsidR="00987249" w:rsidRPr="00677CE8">
        <w:t xml:space="preserve"> IVTT for</w:t>
      </w:r>
      <w:r w:rsidR="00595212" w:rsidRPr="00677CE8">
        <w:t xml:space="preserve"> </w:t>
      </w:r>
      <w:r w:rsidR="00802632" w:rsidRPr="00677CE8">
        <w:t>non-errand, non-medical emergency (NENME) trip</w:t>
      </w:r>
      <w:r w:rsidR="00987249" w:rsidRPr="00677CE8">
        <w:t>s by</w:t>
      </w:r>
      <w:r w:rsidR="00BC6667" w:rsidRPr="00677CE8">
        <w:t xml:space="preserve"> UAM</w:t>
      </w:r>
      <w:r w:rsidR="00595212" w:rsidRPr="00677CE8">
        <w:t xml:space="preserve"> (notice that the coefficient for a 1</w:t>
      </w:r>
      <w:r w:rsidR="0013259B" w:rsidRPr="00677CE8">
        <w:t>0</w:t>
      </w:r>
      <w:r w:rsidR="00595212" w:rsidRPr="00677CE8">
        <w:t>-minute wait time is -0.</w:t>
      </w:r>
      <w:r w:rsidR="0013259B" w:rsidRPr="00677CE8">
        <w:t>0509</w:t>
      </w:r>
      <w:r w:rsidR="00595212" w:rsidRPr="00677CE8">
        <w:t xml:space="preserve">, while the coefficient for an additional hour of </w:t>
      </w:r>
      <w:r w:rsidR="00DF2B78" w:rsidRPr="00677CE8">
        <w:t xml:space="preserve">UAM </w:t>
      </w:r>
      <w:r w:rsidR="00595212" w:rsidRPr="00677CE8">
        <w:t xml:space="preserve">IVTT for </w:t>
      </w:r>
      <w:r w:rsidR="000F4D2A" w:rsidRPr="00677CE8">
        <w:t>NENME trips</w:t>
      </w:r>
      <w:r w:rsidR="00595212" w:rsidRPr="00677CE8">
        <w:t xml:space="preserve"> is -0.</w:t>
      </w:r>
      <w:r w:rsidR="00DF2B78" w:rsidRPr="00677CE8">
        <w:t>1449</w:t>
      </w:r>
      <w:r w:rsidR="00595212" w:rsidRPr="00677CE8">
        <w:t xml:space="preserve">). </w:t>
      </w:r>
      <w:r w:rsidR="00490C85" w:rsidRPr="00677CE8">
        <w:t>A</w:t>
      </w:r>
      <w:r w:rsidR="00595212" w:rsidRPr="00677CE8">
        <w:t xml:space="preserve"> 30-minute delay is viewed as more burdensome, equating to </w:t>
      </w:r>
      <w:r w:rsidR="00987249" w:rsidRPr="00677CE8">
        <w:t xml:space="preserve">approximately </w:t>
      </w:r>
      <w:r w:rsidR="00EA2FEE" w:rsidRPr="00677CE8">
        <w:t>50 minutes</w:t>
      </w:r>
      <w:r w:rsidR="00595212" w:rsidRPr="00677CE8">
        <w:t xml:space="preserve"> of</w:t>
      </w:r>
      <w:r w:rsidR="008B24CE" w:rsidRPr="00677CE8">
        <w:t xml:space="preserve"> additional</w:t>
      </w:r>
      <w:r w:rsidR="00595212" w:rsidRPr="00677CE8">
        <w:t xml:space="preserve"> IVTT for </w:t>
      </w:r>
      <w:r w:rsidR="00EA2FEE" w:rsidRPr="00677CE8">
        <w:t xml:space="preserve">UAM NENME </w:t>
      </w:r>
      <w:r w:rsidR="00595212" w:rsidRPr="00677CE8">
        <w:t xml:space="preserve">trips. </w:t>
      </w:r>
      <w:r w:rsidR="00490C85" w:rsidRPr="00677CE8">
        <w:t xml:space="preserve">These findings indicate that travelers place a substantial penalty on out-of-vehicle waiting time, valuing reductions in waiting time more highly than equivalent reductions in </w:t>
      </w:r>
      <w:r w:rsidR="00556040" w:rsidRPr="00677CE8">
        <w:t>IVTT</w:t>
      </w:r>
      <w:r w:rsidR="00490C85" w:rsidRPr="00677CE8">
        <w:t xml:space="preserve">. This result is consistent with a large body of research </w:t>
      </w:r>
      <w:r w:rsidR="00987249" w:rsidRPr="00677CE8">
        <w:t xml:space="preserve">on GB modes </w:t>
      </w:r>
      <w:r w:rsidR="00490C85" w:rsidRPr="00677CE8">
        <w:t xml:space="preserve">demonstrating that out-of-vehicle time is perceived as more burdensome than time spent </w:t>
      </w:r>
      <w:r w:rsidR="002E0CA6" w:rsidRPr="00677CE8">
        <w:t xml:space="preserve">inside a vehicle </w:t>
      </w:r>
      <w:r w:rsidR="00D30314" w:rsidRPr="00677CE8">
        <w:fldChar w:fldCharType="begin"/>
      </w:r>
      <w:r w:rsidR="00B7697D" w:rsidRPr="00677CE8">
        <w:instrText xml:space="preserve"> ADDIN ZOTERO_ITEM CSL_CITATION {"citationID":"34SY9z3S","properties":{"unsorted":false,"formattedCitation":"(Hamadneh et al., 2023; Wardman et al., 2016)","plainCitation":"(Hamadneh et al., 2023; Wardman et al., 2016)","dontUpdate":true,"noteIndex":0},"citationItems":[{"id":2226,"uris":["http://zotero.org/groups/6194892/items/KGJGUP4Q"],"itemData":{"id":2226,"type":"article-journal","abstract":"AbstractTravelers choose transport modes on the basis of their preferences in which the features\nonboard vehicles affect the choice of transport modes. In economic theory, it is found\nthat travelers seek to maximize their travel utilities. Autonomous ...","container-title":"Journal of Transportation Engineering, Part A: Systems","issue":"1","language":"en","source":"ASCE","title":"Users’ Transport Mode Choices in the Autonomous Vehicle Age in Urban Areas","title-short":"Users’ Transport Mode Choices in the Autonomous Vehicle Age in Urban Areas | Journal of Transportation Engineering, Part A","URL":"https://ascelibrary.org/doi/10.1061/JTEPBS.TEENG-7961","volume":"150","author":[{"family":"Hamadneh","given":"Jamil"},{"family":"Hamdan","given":"Noura"},{"family":"Mahdi","given":"Ali"}],"accessed":{"date-parts":[["2026",7,14]]},"issued":{"date-parts":[["2023"]]}}},{"id":2224,"uris":["http://zotero.org/groups/6194892/items/AMGVKESY"],"itemData":{"id":2224,"type":"article-journal","abstract":"This paper reports the most extensive meta-analysis of values of time yet conducted, covering 3109 monetary valuations assembled from 389 European studies conducted between 1963 and 2011. It aims to explain how valuations vary across studies, including over time and between countries. In addition to the customary coverage of in-vehicle time in review studies, this paper covers valuations of walk time, wait time, service headway, parking space search time, departure time switching, time in congested traffic, schedule delay early and late, mean lateness and the standard deviation of travel time. Valuations are found to vary with type of time, GDP, distance, journey purpose, mode, the monetary numeraire and a number of factors related to estimation. Model output values of time compare favourably with earnings data, replicate well official recommended values obtained from major national studies, and are transferable across countries. These implied monetary values serve as very useful benchmarks against which new evidence can be assessed and the meta-model provides parameters and values for countries and contexts where there is no other such evidence.","container-title":"Transportation Research Part A: Policy and Practice","DOI":"10.1016/j.tra.2016.08.019","ISSN":"0965-8564","journalAbbreviation":"Transportation Research Part A: Policy and Practice","page":"93-111","source":"ScienceDirect","title":"Values of travel time in Europe: Review and meta-analysis","title-short":"Values of travel time in Europe","volume":"94","author":[{"family":"Wardman","given":"Mark"},{"family":"Chintakayala","given":"V. Phani K."},{"family":"Jong","given":"Gerard","non-dropping-particle":"de"}],"issued":{"date-parts":[["2016",12,1]]}}}],"schema":"https://github.com/citation-style-language/schema/raw/master/csl-citation.json"} </w:instrText>
      </w:r>
      <w:r w:rsidR="00D30314" w:rsidRPr="00677CE8">
        <w:fldChar w:fldCharType="separate"/>
      </w:r>
      <w:r w:rsidR="00490C85" w:rsidRPr="00677CE8">
        <w:t>(</w:t>
      </w:r>
      <w:r w:rsidR="00D45F85" w:rsidRPr="00677CE8">
        <w:t xml:space="preserve">Wardman et al., 2016; </w:t>
      </w:r>
      <w:r w:rsidR="00490C85" w:rsidRPr="00677CE8">
        <w:t>Hamadneh et al., 2023)</w:t>
      </w:r>
      <w:r w:rsidR="00D30314" w:rsidRPr="00677CE8">
        <w:fldChar w:fldCharType="end"/>
      </w:r>
      <w:r w:rsidR="00595212" w:rsidRPr="00677CE8">
        <w:t xml:space="preserve">. </w:t>
      </w:r>
    </w:p>
    <w:p w14:paraId="35BBFA7A" w14:textId="47EC277C" w:rsidR="00E94205" w:rsidRPr="00677CE8" w:rsidRDefault="00750AEC" w:rsidP="0086750D">
      <w:pPr>
        <w:spacing w:after="0" w:line="240" w:lineRule="auto"/>
        <w:ind w:firstLine="720"/>
        <w:jc w:val="both"/>
      </w:pPr>
      <w:r w:rsidRPr="00677CE8">
        <w:t xml:space="preserve">In addition to IVTT and waiting times, </w:t>
      </w:r>
      <w:r w:rsidR="00AF0356" w:rsidRPr="00677CE8">
        <w:t xml:space="preserve">distance to pick-up/drop-off </w:t>
      </w:r>
      <w:r w:rsidRPr="00677CE8">
        <w:t>locations</w:t>
      </w:r>
      <w:r w:rsidR="00AF0356" w:rsidRPr="00677CE8">
        <w:t xml:space="preserve"> </w:t>
      </w:r>
      <w:r w:rsidRPr="00677CE8">
        <w:t xml:space="preserve">also play a role. </w:t>
      </w:r>
      <w:r w:rsidR="002E0CA6" w:rsidRPr="00677CE8">
        <w:t xml:space="preserve">Shorter </w:t>
      </w:r>
      <w:r w:rsidR="0013259B" w:rsidRPr="00677CE8">
        <w:t>a</w:t>
      </w:r>
      <w:r w:rsidR="00AF0356" w:rsidRPr="00677CE8">
        <w:t>ccess</w:t>
      </w:r>
      <w:r w:rsidR="00987249" w:rsidRPr="00677CE8">
        <w:t>/egress</w:t>
      </w:r>
      <w:r w:rsidR="00AF0356" w:rsidRPr="00677CE8">
        <w:t xml:space="preserve"> distance to pick-up/drop-off locations </w:t>
      </w:r>
      <w:r w:rsidR="002E0CA6" w:rsidRPr="00677CE8">
        <w:t>increase the attractiveness of any mode</w:t>
      </w:r>
      <w:r w:rsidR="00AF0356" w:rsidRPr="00677CE8">
        <w:t xml:space="preserve">, </w:t>
      </w:r>
      <w:r w:rsidR="002E0CA6" w:rsidRPr="00677CE8">
        <w:t>consistent</w:t>
      </w:r>
      <w:r w:rsidR="00AF0356" w:rsidRPr="00677CE8">
        <w:t xml:space="preserve"> with previous findings for both aerial and GB mode </w:t>
      </w:r>
      <w:r w:rsidR="002E0CA6" w:rsidRPr="00677CE8">
        <w:t>choice</w:t>
      </w:r>
      <w:r w:rsidR="00AF0356" w:rsidRPr="00677CE8">
        <w:t xml:space="preserve"> </w:t>
      </w:r>
      <w:r w:rsidR="00AF0356" w:rsidRPr="00677CE8">
        <w:fldChar w:fldCharType="begin"/>
      </w:r>
      <w:r w:rsidR="00B7697D" w:rsidRPr="00677CE8">
        <w:instrText xml:space="preserve"> ADDIN ZOTERO_ITEM CSL_CITATION {"citationID":"yQb4AdCc","properties":{"unsorted":false,"formattedCitation":"(Adamidis et al., 2025; Durand et al., 2016; Hwang &amp; Hong, 2023; Lam &amp; Xie, 2002)","plainCitation":"(Adamidis et al., 2025; Durand et al., 2016; Hwang &amp; Hong, 2023; Lam &amp; Xie, 2002)","dontUpdate":true,"noteIndex":0},"citationItems":[{"id":560,"uris":["http://zotero.org/groups/6194892/items/MKSZW5M8"],"itemData":{"id":560,"type":"article-journal","abstract":"The increasing use of commercial aviation in the last decades has urged us to reconsider landside airport accessibility to meet the evolving demand. At the same time, the third (vertical) dimension in urban and suburban areas – i.e. the lower airspace up to 500 m above the ground – has yet to be substantially exploited for transportation. Soon, technological advances in electric vertical take-off and landing (eVTOL) aircraft could enable the commercial use of Urban Air Mobility (UAM) for airport access. Through a case study in Bavaria, Germany, and Austria, this research aims to investigate the potential users’ willingness to pay for a novel UAM AirShuttle service, which could connect the airport of Munich with important points in its catchment area, and to analyse their transportation mode choices when accessing the airport. A stated preference mode choice survey was disseminated through an online panel during March 2023 in the catchment area of the airport to assess the current travel behaviour of the population, including the ownership of mobility instruments, the current state of airport accessibility and the satisfaction of the respondents (N=218) with the currently available modes. Furthermore, the survey investigated directly how much the respondents were willing to pay to use the AirShuttle and their sociodemographic background. The results were evaluated using descriptive statistical analyses and discrete choice modelling. The findings reveal that most respondents were satisfied with the current access modes and found their pricing reasonable. On the other hand, their willingness to pay for UAM services was lower than expected. This study yields important implications for the industrial stakeholders of UAM and for policymakers; by analysing the results, it was concluded that the expectations of the industry and potential customers regarding UAM pricing in the short term could be different and that its benefits and implications for society should be carefully weighed by policymakers.","container-title":"Transport Policy","DOI":"10.1016/j.tranpol.2025.07.027","ISSN":"0967-070X","journalAbbreviation":"Transport Policy","page":"1025-1040","source":"ScienceDirect","title":"Urban air mobility for airport access: Mode choice preferences and pricing considerations","title-short":"Urban air mobility for airport access","volume":"171","author":[{"family":"Adamidis","given":"Filippos"},{"family":"Ditta","given":"Chiara Caterina"},{"family":"Wu","given":"Hao"},{"family":"Postorino","given":"Maria Nadia"},{"family":"Antoniou","given":"Constantinos"}],"issued":{"date-parts":[["2025",9,1]]}}},{"id":1802,"uris":["http://zotero.org/groups/6194892/items/AUMAQKVP"],"itemData":{"id":1802,"type":"article-journal","abstract":"Introduction\nUse of public transit is cited as a way to help individuals incorporate regular physical activity into their day. As a novel research topic, however, there is much we do not know. The aim of this analysis was to identify the correlation between distance to a transit stop and the probability it will be accessed by walking. We also sought to understand if this relation was moderated by trip, personal or household factors.\nMethods\nData from the 2012 California Household Travel Survey was used for this cross-sectional analysis. 2573 individuals were included, representing 6949 transit trips. Generalized estimating equations modeled the probability of actively accessing public transit as a function of distance from origin to transit stop, and multiple trip, personal and household variables. Analyses were conducted in 2014 and 2015.\nResults\nFor each mile increase in distance from the point of origin to the transit stop, the probability of active access decreased by 12%. With other factors held equal, at two miles from a transit stop there is a 50% chance someone will walk to a stop versus non-active means. The distance–walking relation was modified by month the trips were taken.\nConclusions\nIndividuals appear to be willing to walk further to reach transit than existing guidelines indicate. This implies that for any given transit stop, the zone of potential riders who will walk to reach transit is relatively large. Future research should clarify who transit-related walkers are, and why some are more willing to walk longer distances to transit than others.","collection-title":"Special Issue: Public Transport and Health","container-title":"Journal of Transport &amp; Health","DOI":"10.1016/j.jth.2015.08.007","ISSN":"2214-1405","issue":"2","journalAbbreviation":"Journal of Transport &amp; Health","page":"154-160","source":"ScienceDirect","title":"The association of trip distance with walking to reach public transit: Data from the California Household Travel Survey","title-short":"The association of trip distance with walking to reach public transit","volume":"3","author":[{"family":"Durand","given":"Casey P."},{"family":"Tang","given":"Xiaohui"},{"family":"Gabriel","given":"Kelley P."},{"family":"Sener","given":"Ipek N."},{"family":"Oluyomi","given":"Abiodun O."},{"family":"Knell","given":"Gregory"},{"family":"Porter","given":"Anna K."},{"family":"Hoelscher","given":"Deanna M."},{"family":"Kohl","given":"Harold W."}],"issued":{"date-parts":[["2016",6,1]]}}},{"id":488,"uris":["http://zotero.org/groups/6194892/items/JMT46ABB"],"itemData":{"id":488,"type":"article-journal","abstract":"This study analyzed commuters’ intention to use urban air mobility (UAM) and the future demand for UAM based on its service characteristics and the personal characteristics of the potential users. The Seoul Metropolitan Area (SMA) was selected as the study area as it is expected to have the highest demand for UAM in South Korea. Three UAM operation scenarios were set: short-distance intra-city trips, long-distance intra-city trips, and inter-city trips. Five alternatives were assumed for the stated preference (SP) survey: bus, subway, taxi, private car, and UAM. Six alternative-specific variables were selected: access time, waiting time, boarding time, cost, autonomous mode, and the presence of other passengers. An online survey of 300 residents of SMA was conducted with 100 residents for each scenario. The residents were briefed on the modes of transportation and service characteristic of alternatives. The analysis results were as follows: (1) cost and access time significantly influenced the intention to use UAM in all scenarios. However, the effects of waiting time, boarding time, and autonomous driving on intention to use UAM differed based on the scenarios; (2) the individual characteristics of potential users had varying effects on their preference for UAM depending on the scenarios and the means of transportation, which was a counterpart to UAM. (3) The probability of choosing UAM for commuting was expected to be 10–20%, with the highest modal split for long-distance intra-city trips and the lowest modal split for short-distance intra-city trips. Among the six alternative-specific variables, autonomous driving and cost had the most significant effect on the change of the probability for using UAM. The results of this study are expected to be used as basic data for designing an effective strategy for the introduction of UAM in South Korea.","container-title":"Journal of Air Transport Management","DOI":"10.1016/j.jairtraman.2023.102467","ISSN":"0969-6997","source":"ScienceDirect","title":"A Study on the Factors Influencing the Adoption of Urban Air Mobility and the Future Demand: Using the Stated Preference Survey for Three UAM Operational Scenarios in South Korea","URL":"https://www.sciencedirect.com/science/article/pii/S0969699723001102","volume":"112","author":[{"family":"Hwang","given":"Ji-Hyon"},{"family":"Hong","given":"Sungjo"}],"accessed":{"date-parts":[["2023",9,22]]},"issued":{"date-parts":[["2023",9,1]]}}},{"id":1800,"uris":["http://zotero.org/groups/6194892/items/XL2DZP7D"],"itemData":{"id":1800,"type":"article-journal","abstract":"A study was conducted of the trip-making behavior of transit users in a complex transit network with input of travel information in an increasingly complex and information-rich transit environment. A modeling framework to assess the preferences of commuters toward a range of factors and alternatives was produced. Path-choice models on transit services of Singapore were developed using mixed revealed preference (RP) and stated preference (SP) data. RP models were estimated using data obtained in the 1997 Household Interview Survey. An SP survey based on 44 scenarios was conducted, which yielded 307 responses at 12 different locations in Singapore. Models based on pure RP data, pure SP data, and mixed RP and SP data were estimated. For transit users, the decision of which path to take relies on the trade-offs among attributes of journey time and other factors. The significant attributes in the models indicate that the transit path choice is a multi-criteria decision-making process. This suggests that the usual way of transit path assignment in many planning models based on single criterion, such as minimum time, may not be appropriate in choice situations. Path-choice models developed and calibrated provide important fundamental knowledge of the way transit services are to be utilized by travelers, for use in a wide range of applications, such as multimodal transit service planning models, transit demand modeling, and integration of the transit path-choice models in intelligent transportation systems applications.","container-title":"Transportation Research Record","DOI":"10.3141/1799-08","ISSN":"0361-1981","issue":"1","language":"EN","page":"58-65","publisher":"SAGE Publications Inc","source":"SAGE Journals","title":"Transit Path-Choice Models That Use Revealed Preference and Stated Preference Data","volume":"1799","author":[{"family":"Lam","given":"Soi-Hoi"},{"family":"Xie","given":"Feng"}],"issued":{"date-parts":[["2002",1,1]]}}}],"schema":"https://github.com/citation-style-language/schema/raw/master/csl-citation.json"} </w:instrText>
      </w:r>
      <w:r w:rsidR="00AF0356" w:rsidRPr="00677CE8">
        <w:fldChar w:fldCharType="separate"/>
      </w:r>
      <w:r w:rsidR="00AF0356" w:rsidRPr="00677CE8">
        <w:t>(</w:t>
      </w:r>
      <w:r w:rsidR="00D45F85" w:rsidRPr="00677CE8">
        <w:t xml:space="preserve">Lam and Xie, 2002; </w:t>
      </w:r>
      <w:r w:rsidR="00AF0356" w:rsidRPr="00677CE8">
        <w:t xml:space="preserve">Durand et al., 2016; Hwang </w:t>
      </w:r>
      <w:r w:rsidR="00DC5E7F" w:rsidRPr="00677CE8">
        <w:t>and</w:t>
      </w:r>
      <w:r w:rsidR="00AF0356" w:rsidRPr="00677CE8">
        <w:t xml:space="preserve"> Hong, 2023;</w:t>
      </w:r>
      <w:r w:rsidR="00D45F85" w:rsidRPr="00677CE8">
        <w:t xml:space="preserve"> Adamidis et al., 2025</w:t>
      </w:r>
      <w:r w:rsidR="00AF0356" w:rsidRPr="00677CE8">
        <w:t>)</w:t>
      </w:r>
      <w:r w:rsidR="00AF0356" w:rsidRPr="00677CE8">
        <w:fldChar w:fldCharType="end"/>
      </w:r>
      <w:r w:rsidR="00AF0356" w:rsidRPr="00677CE8">
        <w:t xml:space="preserve">. This pattern is also consistent with prior work showing that vertiport placement near the home is associated with higher levels of UAM adoption, while more distant locations are considered less attractive </w:t>
      </w:r>
      <w:r w:rsidR="00AF0356" w:rsidRPr="00677CE8">
        <w:fldChar w:fldCharType="begin"/>
      </w:r>
      <w:r w:rsidR="00AF0356" w:rsidRPr="00677CE8">
        <w:instrText xml:space="preserve"> ADDIN ZOTERO_ITEM CSL_CITATION {"citationID":"pH2Pcsw6","properties":{"unsorted":false,"formattedCitation":"(Lotz et al., 2023)","plainCitation":"(Lotz et al., 2023)","noteIndex":0},"citationItems":[{"id":558,"uris":["http://zotero.org/groups/6194892/items/GBFUCQFB"],"itemData":{"id":558,"type":"paper-conference","abstract":"Urban air mobility (UAM) has gained increased attention as a promising new solution to tackle issues such as traffic congestion. This study aims to assess users’ perception and usage intentions and identify and weigh success-critical acceptance factors against each other. Further, user-related differences in the underlying decision patterns are analyzed. A mixed-methods approach was employed, including a prior interview study with laypeople and experts (N = 16), calculations of feasible prices via agent-based símulations, and the main survey study (N = 135) – a Choice-Based Conjoint (CBC) with the attributes: environmental impact, costs, placement of take-off and landing stations (vertiports), automation level, and onboard benefits. Results indicated that environmental impact, costs, and vertiport placement were the top three factors influencing user acceptance. The relative importance of these attributes differed, however, depending on the user group. Based on the results, three user segments were identified: automation-skeptical users, environmentally-conscious users, and cost-conscious users. The findings provide valuable insights for UAM providers and policymakers to understand the attitudes and needs of potential users and to design effective strategies for promoting the adoption of UAM.","container-title":"HCI in Mobility, Transport, and Automotive Systems","DOI":"10.1007/978-3-031-35678-0_20","ISBN":"978-3-031-35678-0","language":"en","page":"296-315","publisher":"Springer Nature Switzerland","publisher-place":"Cham","source":"Springer Link","title":"User Acceptance of Urban Air Mobility (UAM) for Passenger Transport: A Choice-Based Conjoint Study","title-short":"User Acceptance of Urban Air Mobility (UAM) for Passenger Transport","author":[{"family":"Lotz","given":"Vivian"},{"family":"Kirste","given":"Ansgar"},{"family":"Lidynia","given":"Chantal"},{"family":"Stumpf","given":"Eike"},{"family":"Ziefle","given":"Martina"}],"editor":[{"family":"Krömker","given":"Heidi"}],"issued":{"date-parts":[["2023"]]}}}],"schema":"https://github.com/citation-style-language/schema/raw/master/csl-citation.json"} </w:instrText>
      </w:r>
      <w:r w:rsidR="00AF0356" w:rsidRPr="00677CE8">
        <w:fldChar w:fldCharType="separate"/>
      </w:r>
      <w:r w:rsidR="00AF0356" w:rsidRPr="00677CE8">
        <w:t>(Lotz et al., 2023)</w:t>
      </w:r>
      <w:r w:rsidR="00AF0356" w:rsidRPr="00677CE8">
        <w:fldChar w:fldCharType="end"/>
      </w:r>
      <w:r w:rsidR="00AF0356" w:rsidRPr="00677CE8">
        <w:t xml:space="preserve">. </w:t>
      </w:r>
      <w:r w:rsidR="0086750D" w:rsidRPr="00677CE8">
        <w:t>To provide context regarding the magnitude of this effect, reducing access</w:t>
      </w:r>
      <w:r w:rsidR="00E94205" w:rsidRPr="00677CE8">
        <w:t>/</w:t>
      </w:r>
      <w:r w:rsidR="0086750D" w:rsidRPr="00677CE8">
        <w:t>egress distance from more than a mile to</w:t>
      </w:r>
      <w:r w:rsidR="0013259B" w:rsidRPr="00677CE8">
        <w:t xml:space="preserve"> within 0.5-1 miles is comparable to around</w:t>
      </w:r>
      <w:r w:rsidR="0086750D" w:rsidRPr="00677CE8">
        <w:t xml:space="preserve"> a</w:t>
      </w:r>
      <w:r w:rsidR="0013259B" w:rsidRPr="00677CE8">
        <w:t xml:space="preserve"> </w:t>
      </w:r>
      <w:r w:rsidR="00E165C6" w:rsidRPr="00677CE8">
        <w:t>2</w:t>
      </w:r>
      <w:r w:rsidR="0086750D" w:rsidRPr="00677CE8">
        <w:t>0-minute</w:t>
      </w:r>
      <w:r w:rsidR="0013259B" w:rsidRPr="00677CE8">
        <w:t xml:space="preserve"> reduction in IVTT for </w:t>
      </w:r>
      <w:r w:rsidR="00E165C6" w:rsidRPr="00677CE8">
        <w:t xml:space="preserve">NENME </w:t>
      </w:r>
      <w:r w:rsidR="0013259B" w:rsidRPr="00677CE8">
        <w:t>trips</w:t>
      </w:r>
      <w:r w:rsidR="00E165C6" w:rsidRPr="00677CE8">
        <w:t xml:space="preserve"> by UAM</w:t>
      </w:r>
      <w:r w:rsidR="0013259B" w:rsidRPr="00677CE8">
        <w:t>.</w:t>
      </w:r>
      <w:r w:rsidR="0086750D" w:rsidRPr="00677CE8">
        <w:t xml:space="preserve"> </w:t>
      </w:r>
      <w:r w:rsidR="00675A7B" w:rsidRPr="00677CE8">
        <w:t xml:space="preserve">But </w:t>
      </w:r>
      <w:proofErr w:type="gramStart"/>
      <w:r w:rsidR="00675A7B" w:rsidRPr="00677CE8">
        <w:t>a caveat</w:t>
      </w:r>
      <w:proofErr w:type="gramEnd"/>
      <w:r w:rsidR="00675A7B" w:rsidRPr="00677CE8">
        <w:t xml:space="preserve"> here. For the UAM modes, this attractiveness of having vertiports within 0.5-1 mile is more than offset if UAM services are accompanied by high noise levels (equivalent of a heavy truck or a motorcycle) for those individuals with high UAM noise sensitivity (that is, for women, individuals younger than 65 years of age, non-full-time-</w:t>
      </w:r>
      <w:proofErr w:type="gramStart"/>
      <w:r w:rsidR="00675A7B" w:rsidRPr="00677CE8">
        <w:t>employed  individuals</w:t>
      </w:r>
      <w:proofErr w:type="gramEnd"/>
      <w:r w:rsidR="00675A7B" w:rsidRPr="00677CE8">
        <w:t>, and individuals from medium-</w:t>
      </w:r>
      <w:r w:rsidR="00556040" w:rsidRPr="00677CE8">
        <w:t xml:space="preserve"> or </w:t>
      </w:r>
      <w:r w:rsidR="00675A7B" w:rsidRPr="00677CE8">
        <w:t>high</w:t>
      </w:r>
      <w:r w:rsidR="00556040" w:rsidRPr="00677CE8">
        <w:t>-</w:t>
      </w:r>
      <w:r w:rsidR="00675A7B" w:rsidRPr="00677CE8">
        <w:t xml:space="preserve">income households), as we discuss further in </w:t>
      </w:r>
      <w:r w:rsidR="005658AB">
        <w:t>the next section</w:t>
      </w:r>
      <w:r w:rsidR="00675A7B" w:rsidRPr="00677CE8">
        <w:t xml:space="preserve">. </w:t>
      </w:r>
      <w:r w:rsidR="0086750D" w:rsidRPr="00677CE8">
        <w:t>The appeal of door-to-door service</w:t>
      </w:r>
      <w:r w:rsidR="00675A7B" w:rsidRPr="00677CE8">
        <w:t>, however,</w:t>
      </w:r>
      <w:r w:rsidR="0086750D" w:rsidRPr="00677CE8">
        <w:t xml:space="preserve"> is </w:t>
      </w:r>
      <w:r w:rsidR="00675A7B" w:rsidRPr="00677CE8">
        <w:t xml:space="preserve">very </w:t>
      </w:r>
      <w:r w:rsidR="00691140" w:rsidRPr="00677CE8">
        <w:t>pronounced</w:t>
      </w:r>
      <w:r w:rsidR="0086750D" w:rsidRPr="00677CE8">
        <w:t xml:space="preserve">, </w:t>
      </w:r>
      <w:r w:rsidR="00675A7B" w:rsidRPr="00677CE8">
        <w:t xml:space="preserve">dominating any noise-level related issues even for noise-sensitive individuals. </w:t>
      </w:r>
      <w:r w:rsidR="001A6644" w:rsidRPr="00677CE8">
        <w:t>T</w:t>
      </w:r>
      <w:r w:rsidR="00675A7B" w:rsidRPr="00677CE8">
        <w:t>he convenience of door-to-door UA</w:t>
      </w:r>
      <w:r w:rsidR="00CA7451" w:rsidRPr="00677CE8">
        <w:t>M</w:t>
      </w:r>
      <w:r w:rsidR="00675A7B" w:rsidRPr="00677CE8">
        <w:t xml:space="preserve"> t</w:t>
      </w:r>
      <w:r w:rsidR="00CA7451" w:rsidRPr="00677CE8">
        <w:t>r</w:t>
      </w:r>
      <w:r w:rsidR="00675A7B" w:rsidRPr="00677CE8">
        <w:t>anspo</w:t>
      </w:r>
      <w:r w:rsidR="00CA7451" w:rsidRPr="00677CE8">
        <w:t>r</w:t>
      </w:r>
      <w:r w:rsidR="00675A7B" w:rsidRPr="00677CE8">
        <w:t xml:space="preserve">tation </w:t>
      </w:r>
      <w:r w:rsidR="0086750D" w:rsidRPr="00677CE8">
        <w:t>correspond</w:t>
      </w:r>
      <w:r w:rsidR="00CA7451" w:rsidRPr="00677CE8">
        <w:t>s</w:t>
      </w:r>
      <w:r w:rsidR="0086750D" w:rsidRPr="00677CE8">
        <w:t xml:space="preserve"> approximately </w:t>
      </w:r>
      <w:r w:rsidR="00CA7451" w:rsidRPr="00677CE8">
        <w:t xml:space="preserve">to </w:t>
      </w:r>
      <w:r w:rsidR="00E165C6" w:rsidRPr="00677CE8">
        <w:t xml:space="preserve">a </w:t>
      </w:r>
      <w:r w:rsidR="001A6644" w:rsidRPr="00677CE8">
        <w:t>one-hour</w:t>
      </w:r>
      <w:r w:rsidR="001C545C" w:rsidRPr="00677CE8">
        <w:t xml:space="preserve"> </w:t>
      </w:r>
      <w:r w:rsidR="00945750" w:rsidRPr="00677CE8">
        <w:t>reduction in</w:t>
      </w:r>
      <w:r w:rsidR="0086750D" w:rsidRPr="00677CE8">
        <w:t xml:space="preserve"> IVTT for </w:t>
      </w:r>
      <w:r w:rsidR="001C545C" w:rsidRPr="00677CE8">
        <w:t xml:space="preserve">NENME </w:t>
      </w:r>
      <w:r w:rsidR="0086750D" w:rsidRPr="00677CE8">
        <w:t>trips</w:t>
      </w:r>
      <w:r w:rsidR="001C545C" w:rsidRPr="00677CE8">
        <w:t xml:space="preserve"> by UAM compared with an access/egress distance of more than a mile</w:t>
      </w:r>
      <w:r w:rsidR="0086750D" w:rsidRPr="00677CE8">
        <w:t xml:space="preserve">. </w:t>
      </w:r>
    </w:p>
    <w:p w14:paraId="697AC65B" w14:textId="2097FE22" w:rsidR="00750AEC" w:rsidRPr="00677CE8" w:rsidRDefault="00750AEC" w:rsidP="00C8203B">
      <w:pPr>
        <w:spacing w:after="0" w:line="240" w:lineRule="auto"/>
        <w:ind w:firstLine="720"/>
        <w:jc w:val="both"/>
      </w:pPr>
      <w:r w:rsidRPr="00677CE8">
        <w:t xml:space="preserve">As expected, higher costs reduce the attractiveness of any mode, with the cost sensitivity varying based on household income level; individuals from lower-income households exhibit greater sensitivity to travel cost than individuals from higher-income </w:t>
      </w:r>
      <w:r w:rsidR="00E94205" w:rsidRPr="00677CE8">
        <w:t>households</w:t>
      </w:r>
      <w:r w:rsidRPr="00677CE8">
        <w:t xml:space="preserve">. </w:t>
      </w:r>
      <w:r w:rsidR="0086750D" w:rsidRPr="00677CE8">
        <w:t xml:space="preserve">Additionally, </w:t>
      </w:r>
      <w:r w:rsidR="00E94205" w:rsidRPr="00677CE8">
        <w:t>respondents exhibit a reduced sensitivity</w:t>
      </w:r>
      <w:r w:rsidR="0086750D" w:rsidRPr="00677CE8">
        <w:t xml:space="preserve"> to the cost of inter-city trips (</w:t>
      </w:r>
      <w:r w:rsidR="00987249" w:rsidRPr="00677CE8">
        <w:t>~</w:t>
      </w:r>
      <w:r w:rsidR="0086750D" w:rsidRPr="00677CE8">
        <w:t>120 miles</w:t>
      </w:r>
      <w:r w:rsidR="001A6644" w:rsidRPr="00677CE8">
        <w:t xml:space="preserve"> one-way</w:t>
      </w:r>
      <w:r w:rsidR="0086750D" w:rsidRPr="00677CE8">
        <w:t xml:space="preserve">), with </w:t>
      </w:r>
      <w:r w:rsidR="0086750D" w:rsidRPr="00677CE8">
        <w:lastRenderedPageBreak/>
        <w:t xml:space="preserve">all income levels exhibiting a higher willingness to pay for longer-distance travel. </w:t>
      </w:r>
      <w:r w:rsidR="00C8203B" w:rsidRPr="00677CE8">
        <w:t xml:space="preserve">Notably, the reduction in cost sensitivity associated with </w:t>
      </w:r>
      <w:r w:rsidR="00987249" w:rsidRPr="00677CE8">
        <w:t>inter-city trips</w:t>
      </w:r>
      <w:r w:rsidR="00C8203B" w:rsidRPr="00677CE8">
        <w:t xml:space="preserve"> (</w:t>
      </w:r>
      <w:r w:rsidR="00987249" w:rsidRPr="00677CE8">
        <w:t>~</w:t>
      </w:r>
      <w:r w:rsidR="00C8203B" w:rsidRPr="00677CE8">
        <w:t>120</w:t>
      </w:r>
      <w:r w:rsidR="00987249" w:rsidRPr="00677CE8">
        <w:t xml:space="preserve"> </w:t>
      </w:r>
      <w:r w:rsidR="00C8203B" w:rsidRPr="00677CE8">
        <w:t>mile</w:t>
      </w:r>
      <w:r w:rsidR="00987249" w:rsidRPr="00677CE8">
        <w:t>s</w:t>
      </w:r>
      <w:r w:rsidR="001A6644" w:rsidRPr="00677CE8">
        <w:t xml:space="preserve"> one-way</w:t>
      </w:r>
      <w:r w:rsidR="00C8203B" w:rsidRPr="00677CE8">
        <w:t xml:space="preserve">) is most pronounced among lower-income households. As a result, the effective cost sensitivities of the low- and middle-income groups become nearly identical in the </w:t>
      </w:r>
      <w:r w:rsidR="00987249" w:rsidRPr="00677CE8">
        <w:t>inter-city</w:t>
      </w:r>
      <w:r w:rsidR="00C8203B" w:rsidRPr="00677CE8">
        <w:t xml:space="preserve"> travel context (for </w:t>
      </w:r>
      <w:proofErr w:type="gramStart"/>
      <w:r w:rsidR="00C8203B" w:rsidRPr="00677CE8">
        <w:t>low income</w:t>
      </w:r>
      <w:proofErr w:type="gramEnd"/>
      <w:r w:rsidR="00C8203B" w:rsidRPr="00677CE8">
        <w:t xml:space="preserve"> individuals: -0.238</w:t>
      </w:r>
      <w:r w:rsidR="00CA7451" w:rsidRPr="00677CE8">
        <w:t>3</w:t>
      </w:r>
      <w:r w:rsidR="00987249" w:rsidRPr="00677CE8">
        <w:t xml:space="preserve"> </w:t>
      </w:r>
      <w:r w:rsidR="00C8203B" w:rsidRPr="00677CE8">
        <w:t>+</w:t>
      </w:r>
      <w:r w:rsidR="00987249" w:rsidRPr="00677CE8">
        <w:t xml:space="preserve"> </w:t>
      </w:r>
      <w:r w:rsidR="00C8203B" w:rsidRPr="00677CE8">
        <w:t>0.1320</w:t>
      </w:r>
      <w:r w:rsidR="00987249" w:rsidRPr="00677CE8">
        <w:t xml:space="preserve"> </w:t>
      </w:r>
      <w:r w:rsidR="00C8203B" w:rsidRPr="00677CE8">
        <w:t>=</w:t>
      </w:r>
      <w:r w:rsidR="00987249" w:rsidRPr="00677CE8">
        <w:t xml:space="preserve"> </w:t>
      </w:r>
      <w:r w:rsidR="00C8203B" w:rsidRPr="00677CE8">
        <w:t>-0.106</w:t>
      </w:r>
      <w:r w:rsidR="00CA7451" w:rsidRPr="00677CE8">
        <w:t>3</w:t>
      </w:r>
      <w:r w:rsidR="00C8203B" w:rsidRPr="00677CE8">
        <w:t>, while for middle-income individuals: -0.2083</w:t>
      </w:r>
      <w:r w:rsidR="00987249" w:rsidRPr="00677CE8">
        <w:t xml:space="preserve"> </w:t>
      </w:r>
      <w:r w:rsidR="00C8203B" w:rsidRPr="00677CE8">
        <w:t>+</w:t>
      </w:r>
      <w:r w:rsidR="00987249" w:rsidRPr="00677CE8">
        <w:t xml:space="preserve"> </w:t>
      </w:r>
      <w:r w:rsidR="00C8203B" w:rsidRPr="00677CE8">
        <w:t>0.1020</w:t>
      </w:r>
      <w:r w:rsidR="00987249" w:rsidRPr="00677CE8">
        <w:t xml:space="preserve"> </w:t>
      </w:r>
      <w:r w:rsidR="00C8203B" w:rsidRPr="00677CE8">
        <w:t>=</w:t>
      </w:r>
      <w:r w:rsidR="00987249" w:rsidRPr="00677CE8">
        <w:t xml:space="preserve"> </w:t>
      </w:r>
      <w:r w:rsidR="00C8203B" w:rsidRPr="00677CE8">
        <w:t xml:space="preserve">-0.1063). One possible explanation is that long-distance trips occur relatively infrequently and are therefore more likely to be planned and budgeted for in advance, allowing lower-income households to pay higher travel costs than they would for more routine intra-city trips. Consequently, cost considerations appear to play a somewhat smaller role in </w:t>
      </w:r>
      <w:r w:rsidR="00987249" w:rsidRPr="00677CE8">
        <w:t>inter-city</w:t>
      </w:r>
      <w:r w:rsidR="00C8203B" w:rsidRPr="00677CE8">
        <w:t xml:space="preserve"> (</w:t>
      </w:r>
      <w:r w:rsidR="00987249" w:rsidRPr="00677CE8">
        <w:t>~</w:t>
      </w:r>
      <w:r w:rsidR="00C8203B" w:rsidRPr="00677CE8">
        <w:t>120</w:t>
      </w:r>
      <w:r w:rsidR="00987249" w:rsidRPr="00677CE8">
        <w:t xml:space="preserve"> </w:t>
      </w:r>
      <w:r w:rsidR="00C8203B" w:rsidRPr="00677CE8">
        <w:t>mile</w:t>
      </w:r>
      <w:r w:rsidR="00987249" w:rsidRPr="00677CE8">
        <w:t>s</w:t>
      </w:r>
      <w:r w:rsidR="001A6644" w:rsidRPr="00677CE8">
        <w:t xml:space="preserve"> one-way</w:t>
      </w:r>
      <w:r w:rsidR="00C8203B" w:rsidRPr="00677CE8">
        <w:t>) travel decisions than in shorter-distance (</w:t>
      </w:r>
      <w:r w:rsidR="001A6644" w:rsidRPr="00677CE8">
        <w:t>~</w:t>
      </w:r>
      <w:r w:rsidR="00C8203B" w:rsidRPr="00677CE8">
        <w:t>10 or 40 mile</w:t>
      </w:r>
      <w:r w:rsidR="00987249" w:rsidRPr="00677CE8">
        <w:t>s</w:t>
      </w:r>
      <w:r w:rsidR="00C8203B" w:rsidRPr="00677CE8">
        <w:t xml:space="preserve">) travel contexts, particularly among lower-income travelers. </w:t>
      </w:r>
      <w:r w:rsidR="0086750D" w:rsidRPr="00677CE8">
        <w:t xml:space="preserve">Together, the IVTT and cost coefficient values </w:t>
      </w:r>
      <w:r w:rsidR="00691140" w:rsidRPr="00677CE8">
        <w:t xml:space="preserve">provide the basis for the estimation of value of travel time savings (VTTS) across trip contexts and income groups. These results are </w:t>
      </w:r>
      <w:r w:rsidR="0086750D" w:rsidRPr="00677CE8">
        <w:t>discussed in detail in Section 6.1.</w:t>
      </w:r>
    </w:p>
    <w:p w14:paraId="00C27940" w14:textId="564A443E" w:rsidR="00AE5A13" w:rsidRPr="00677CE8" w:rsidRDefault="00750AEC" w:rsidP="00691140">
      <w:pPr>
        <w:spacing w:after="0" w:line="240" w:lineRule="auto"/>
        <w:ind w:firstLine="720"/>
        <w:jc w:val="both"/>
      </w:pPr>
      <w:r w:rsidRPr="00677CE8">
        <w:t xml:space="preserve">Turning to UAM-specific service attributes, results relating to UAM availability, UAM </w:t>
      </w:r>
      <w:r w:rsidR="00621405" w:rsidRPr="00677CE8">
        <w:t>in-flight experience</w:t>
      </w:r>
      <w:r w:rsidRPr="00677CE8">
        <w:t xml:space="preserve">, and environmental </w:t>
      </w:r>
      <w:r w:rsidR="00D80FD8" w:rsidRPr="00677CE8">
        <w:t>sustainability</w:t>
      </w:r>
      <w:r w:rsidRPr="00677CE8">
        <w:t xml:space="preserve"> provide additional insights into user preferences. UAM availability emerges as an important factor, with utility </w:t>
      </w:r>
      <w:r w:rsidR="00691140" w:rsidRPr="00677CE8">
        <w:t>decreasing dramatically</w:t>
      </w:r>
      <w:r w:rsidRPr="00677CE8">
        <w:t xml:space="preserve"> </w:t>
      </w:r>
      <w:r w:rsidR="00814AF5" w:rsidRPr="00677CE8">
        <w:t>when</w:t>
      </w:r>
      <w:r w:rsidRPr="00677CE8">
        <w:t xml:space="preserve"> aerial services are </w:t>
      </w:r>
      <w:r w:rsidR="00691140" w:rsidRPr="00677CE8">
        <w:t xml:space="preserve">only </w:t>
      </w:r>
      <w:r w:rsidRPr="00677CE8">
        <w:t xml:space="preserve">available </w:t>
      </w:r>
      <w:r w:rsidR="00691140" w:rsidRPr="00677CE8">
        <w:t>during clear</w:t>
      </w:r>
      <w:r w:rsidRPr="00677CE8">
        <w:t xml:space="preserve"> weather conditions</w:t>
      </w:r>
      <w:r w:rsidR="00814AF5" w:rsidRPr="00677CE8">
        <w:t>. This suggests that respondents’</w:t>
      </w:r>
      <w:r w:rsidRPr="00677CE8">
        <w:t xml:space="preserve"> desire for consistent availability </w:t>
      </w:r>
      <w:r w:rsidR="00814AF5" w:rsidRPr="00677CE8">
        <w:t xml:space="preserve">outweighs </w:t>
      </w:r>
      <w:r w:rsidR="00E94205" w:rsidRPr="00677CE8">
        <w:t>potential</w:t>
      </w:r>
      <w:r w:rsidRPr="00677CE8">
        <w:t xml:space="preserve"> fears related to UAM travel during inclement weather. </w:t>
      </w:r>
      <w:r w:rsidR="00691140" w:rsidRPr="00677CE8">
        <w:t>Th</w:t>
      </w:r>
      <w:r w:rsidR="00CA7451" w:rsidRPr="00677CE8">
        <w:t>is</w:t>
      </w:r>
      <w:r w:rsidR="00691140" w:rsidRPr="00677CE8">
        <w:t xml:space="preserve"> impact of inconsistent availability of UAMs is large, equating to approximately 1.4 hours of </w:t>
      </w:r>
      <w:r w:rsidR="00BB72B9" w:rsidRPr="00677CE8">
        <w:t xml:space="preserve">additional </w:t>
      </w:r>
      <w:r w:rsidR="00691140" w:rsidRPr="00677CE8">
        <w:t xml:space="preserve">IVTT for </w:t>
      </w:r>
      <w:r w:rsidR="006177E9" w:rsidRPr="00677CE8">
        <w:t>UAM NENME</w:t>
      </w:r>
      <w:r w:rsidR="00BB72B9" w:rsidRPr="00677CE8">
        <w:t xml:space="preserve"> trips</w:t>
      </w:r>
      <w:r w:rsidR="00691140" w:rsidRPr="00677CE8">
        <w:t xml:space="preserve">. </w:t>
      </w:r>
      <w:r w:rsidRPr="00677CE8">
        <w:t xml:space="preserve">Preferences for UAM alternatives also decrease when the cabin interior is described as cramped. It may be that UAM is perceived as a premium mode, leading individuals to expect higher-quality travel conditions as a baseline, as also indicated by the fact that there was no statistically significant difference between the base category of “spacious interior with room for belongings” and when this UAM attribute was not shown to respondents. The negative utility associated with cramped UAM </w:t>
      </w:r>
      <w:r w:rsidR="00E94205" w:rsidRPr="00677CE8">
        <w:t>interiors</w:t>
      </w:r>
      <w:r w:rsidRPr="00677CE8">
        <w:t xml:space="preserve"> </w:t>
      </w:r>
      <w:r w:rsidR="00AE5A13" w:rsidRPr="00677CE8">
        <w:t>mirrors</w:t>
      </w:r>
      <w:r w:rsidRPr="00677CE8">
        <w:t xml:space="preserve"> the reduced passenger satisfaction </w:t>
      </w:r>
      <w:r w:rsidR="00AE5A13" w:rsidRPr="00677CE8">
        <w:t xml:space="preserve">observed in studies of current air travel when cabin space is cramped </w:t>
      </w:r>
      <w:r w:rsidRPr="00677CE8">
        <w:fldChar w:fldCharType="begin"/>
      </w:r>
      <w:r w:rsidRPr="00677CE8">
        <w:instrText xml:space="preserve"> ADDIN ZOTERO_ITEM CSL_CITATION {"citationID":"5vpx4TTC","properties":{"unsorted":false,"formattedCitation":"(Ahmadpour et al., 2014; Sezgen et al., 2019)","plainCitation":"(Ahmadpour et al., 2014; Sezgen et al., 2019)","noteIndex":0},"citationItems":[{"id":1813,"uris":["http://zotero.org/groups/6194892/items/47S8TTP2"],"itemData":{"id":1813,"type":"article-journal","abstract":"This paper describes passenger comfort as an experience generated by the cabin interior features. The findings of previous studies are affirmed regarding a set of 22 context features. Passengers experience a certain level of comfort when these features impact their body and elicit subjective perceptions. New findings characterise these perceptions in the form of eight themes and outline their particular eliciting features. Comfort is depicted as a complex construct derived by passengers' perceptions beyond the psychological (i.e. peace of mind) and physical (i.e. physical well-being) aspects, and includes perceptual (e.g. proxemics) and semantic (e.g. association) aspects. The seat was shown to have a focal role in eliciting seven of those themes and impacting comfort through its diverse characteristics. In a subsequent study, a group of aircraft cabin interior designers highlighted the possibility of employing the eight themes and their eliciting features as a framework for design and evaluation of new aircraft interiors. Practitioner Summary: Improving aircraft passenger's comfort requires knowledge about their perception and eliciting conditions. Passenger's perception is conceptualised by eight themes among which peace of mind, physical well-being and proxemics are prominent for comfort experience. Certain context features such as seat have parallel impact on several themes but through their diverse characteristics.","container-title":"Ergonomics","DOI":"10.1080/00140139.2014.899632","ISSN":"0014-0139","issue":"6","note":"_eprint: https://doi.org/10.1080/00140139.2014.899632","page":"801-815","PMID":"24684659","publisher":"Taylor &amp; Francis","source":"Taylor and Francis+NEJM","title":"The thematic structure of passenger comfort experience and its relationship to the context features in the aircraft cabin","volume":"57","author":[{"family":"Ahmadpour","given":"Naseem"},{"family":"Lindgaard","given":"Gitte"},{"family":"Robert","given":"Jean-Marc"},{"family":"Pownall","given":"Bernard"}],"issued":{"date-parts":[["2014",6,3]]}}},{"id":1810,"uris":["http://zotero.org/groups/6194892/items/4I97PSFA"],"itemData":{"id":1810,"type":"article-journal","abstract":"This paper investigates the key drivers of customer satisfaction and dissatisfaction towards both, full-service and low-cost carriers and also towards, economy and premium cabins. Latent Semantic Analysis - a text mining and categorisation technique ─ is applied to analyse online user-generated airline reviews. Over five thousand passenger reviews for fifty (50) airlines were collected from the online review site, TripAdvisor. Findings show that there are fundamental differences in the drivers of passenger satisfaction depending on the class of air travel purchased, and whether the airline is a low cost or a full service carrier. Friendliness and helpfulness of staff are the key factors for those travelling in Economy Class, product value is key for those in premium cabins, and a low price is the key satisfaction driver for those that choose to travel on a low cost airline. The research also shows that the service attributes seat comfort and legroom, luggage/flight disruptions and staff behaviours are the main reasons for passengers’ dissatisfaction among all groups. This study provides an alternative customer satisfaction analysis for managers to hear the voice of their customers by using a well-established text mining technique and by analysing the reviews of satisfied and dissatisfied customers.","container-title":"Journal of Air Transport Management","DOI":"10.1016/j.jairtraman.2019.04.001","ISSN":"0969-6997","journalAbbreviation":"Journal of Air Transport Management","page":"65-74","source":"ScienceDirect","title":"Voice of airline passenger: A text mining approach to understand customer satisfaction","title-short":"Voice of airline passenger","volume":"77","author":[{"family":"Sezgen","given":"Eren"},{"family":"Mason","given":"Keith J."},{"family":"Mayer","given":"Robert"}],"issued":{"date-parts":[["2019",6,1]]}}}],"schema":"https://github.com/citation-style-language/schema/raw/master/csl-citation.json"} </w:instrText>
      </w:r>
      <w:r w:rsidRPr="00677CE8">
        <w:fldChar w:fldCharType="separate"/>
      </w:r>
      <w:r w:rsidRPr="00677CE8">
        <w:t>(Ahmadpour et al., 2014; Sezgen et al., 2019)</w:t>
      </w:r>
      <w:r w:rsidRPr="00677CE8">
        <w:fldChar w:fldCharType="end"/>
      </w:r>
      <w:r w:rsidRPr="00677CE8">
        <w:t>.</w:t>
      </w:r>
      <w:r w:rsidR="00691140" w:rsidRPr="00677CE8">
        <w:t xml:space="preserve"> Cramped spaces are </w:t>
      </w:r>
      <w:proofErr w:type="gramStart"/>
      <w:r w:rsidR="00691140" w:rsidRPr="00677CE8">
        <w:t>considered about</w:t>
      </w:r>
      <w:proofErr w:type="gramEnd"/>
      <w:r w:rsidR="00691140" w:rsidRPr="00677CE8">
        <w:t xml:space="preserve"> as onerous as a </w:t>
      </w:r>
      <w:proofErr w:type="gramStart"/>
      <w:r w:rsidR="00691140" w:rsidRPr="00677CE8">
        <w:t>1.</w:t>
      </w:r>
      <w:r w:rsidR="00530D7A" w:rsidRPr="00677CE8">
        <w:t>2</w:t>
      </w:r>
      <w:r w:rsidR="00691140" w:rsidRPr="00677CE8">
        <w:t xml:space="preserve"> hour</w:t>
      </w:r>
      <w:proofErr w:type="gramEnd"/>
      <w:r w:rsidR="00691140" w:rsidRPr="00677CE8">
        <w:t xml:space="preserve"> increase in </w:t>
      </w:r>
      <w:r w:rsidR="00530D7A" w:rsidRPr="00677CE8">
        <w:t>IVTT for UAM</w:t>
      </w:r>
      <w:r w:rsidR="00691140" w:rsidRPr="00677CE8">
        <w:t xml:space="preserve"> </w:t>
      </w:r>
      <w:r w:rsidR="00530D7A" w:rsidRPr="00677CE8">
        <w:t>NENME trips</w:t>
      </w:r>
      <w:r w:rsidR="00691140" w:rsidRPr="00677CE8">
        <w:t>, suggesting that in-flight experience is</w:t>
      </w:r>
      <w:r w:rsidR="00E94205" w:rsidRPr="00677CE8">
        <w:t xml:space="preserve"> a</w:t>
      </w:r>
      <w:r w:rsidR="00691140" w:rsidRPr="00677CE8">
        <w:t xml:space="preserve"> highly valued</w:t>
      </w:r>
      <w:r w:rsidR="00E94205" w:rsidRPr="00677CE8">
        <w:t xml:space="preserve"> aspect of UAM utility</w:t>
      </w:r>
      <w:r w:rsidR="00691140" w:rsidRPr="00677CE8">
        <w:t>.</w:t>
      </w:r>
    </w:p>
    <w:p w14:paraId="3758216C" w14:textId="656C6593" w:rsidR="0094460F" w:rsidRPr="00677CE8" w:rsidRDefault="00AE5A13" w:rsidP="00BA556C">
      <w:pPr>
        <w:spacing w:after="0" w:line="240" w:lineRule="auto"/>
        <w:ind w:firstLine="720"/>
        <w:jc w:val="both"/>
      </w:pPr>
      <w:r w:rsidRPr="00677CE8">
        <w:t>Wi</w:t>
      </w:r>
      <w:r w:rsidR="00750AEC" w:rsidRPr="00677CE8">
        <w:t xml:space="preserve">th respect to environmental sustainability, UAM mode utilities increase when aerial operations have a low environmental </w:t>
      </w:r>
      <w:r w:rsidR="006F48CB" w:rsidRPr="00677CE8">
        <w:t>impact</w:t>
      </w:r>
      <w:r w:rsidR="00BA556C" w:rsidRPr="00677CE8">
        <w:t>.</w:t>
      </w:r>
      <w:r w:rsidR="00750AEC" w:rsidRPr="00677CE8">
        <w:t xml:space="preserve"> </w:t>
      </w:r>
      <w:r w:rsidR="00BA556C" w:rsidRPr="00677CE8">
        <w:t xml:space="preserve">Although </w:t>
      </w:r>
      <w:r w:rsidR="00814AF5" w:rsidRPr="00677CE8">
        <w:t>the magnitude of this effect is smaller than those associated with</w:t>
      </w:r>
      <w:r w:rsidR="00BA556C" w:rsidRPr="00677CE8">
        <w:t xml:space="preserve"> UAM availability or</w:t>
      </w:r>
      <w:r w:rsidR="00556040" w:rsidRPr="00677CE8">
        <w:t xml:space="preserve"> UAM</w:t>
      </w:r>
      <w:r w:rsidR="00BA556C" w:rsidRPr="00677CE8">
        <w:t xml:space="preserve"> in-flight experience, </w:t>
      </w:r>
      <w:r w:rsidR="00BB72B9" w:rsidRPr="00677CE8">
        <w:t>its impact is still substantial</w:t>
      </w:r>
      <w:r w:rsidR="00BA556C" w:rsidRPr="00677CE8">
        <w:t xml:space="preserve">, with low environmental impact being </w:t>
      </w:r>
      <w:proofErr w:type="gramStart"/>
      <w:r w:rsidR="00BA556C" w:rsidRPr="00677CE8">
        <w:t>valued about</w:t>
      </w:r>
      <w:proofErr w:type="gramEnd"/>
      <w:r w:rsidR="00BA556C" w:rsidRPr="00677CE8">
        <w:t xml:space="preserve"> as much as </w:t>
      </w:r>
      <w:r w:rsidR="00BB72B9" w:rsidRPr="00677CE8">
        <w:t xml:space="preserve">a </w:t>
      </w:r>
      <w:r w:rsidR="00530D7A" w:rsidRPr="00677CE8">
        <w:t>35</w:t>
      </w:r>
      <w:r w:rsidR="00BB72B9" w:rsidRPr="00677CE8">
        <w:t>-</w:t>
      </w:r>
      <w:r w:rsidR="00530D7A" w:rsidRPr="00677CE8">
        <w:t>minute</w:t>
      </w:r>
      <w:r w:rsidR="00BB72B9" w:rsidRPr="00677CE8">
        <w:t xml:space="preserve"> reduction in IVTT</w:t>
      </w:r>
      <w:r w:rsidR="00BA556C" w:rsidRPr="00677CE8">
        <w:t xml:space="preserve"> </w:t>
      </w:r>
      <w:r w:rsidR="00BB72B9" w:rsidRPr="00677CE8">
        <w:t>for</w:t>
      </w:r>
      <w:r w:rsidR="00BA556C" w:rsidRPr="00677CE8">
        <w:t xml:space="preserve"> </w:t>
      </w:r>
      <w:r w:rsidR="00530D7A" w:rsidRPr="00677CE8">
        <w:t>UAM NENME</w:t>
      </w:r>
      <w:r w:rsidR="00BA556C" w:rsidRPr="00677CE8">
        <w:t xml:space="preserve"> </w:t>
      </w:r>
      <w:r w:rsidR="00BB72B9" w:rsidRPr="00677CE8">
        <w:t>trips</w:t>
      </w:r>
      <w:r w:rsidR="00BA556C" w:rsidRPr="00677CE8">
        <w:t>.</w:t>
      </w:r>
      <w:r w:rsidR="00814AF5" w:rsidRPr="00677CE8">
        <w:t xml:space="preserve"> This suggests that prospective users are conscious of</w:t>
      </w:r>
      <w:r w:rsidR="00BB72B9" w:rsidRPr="00677CE8">
        <w:t>,</w:t>
      </w:r>
      <w:r w:rsidR="00E94205" w:rsidRPr="00677CE8">
        <w:t xml:space="preserve"> </w:t>
      </w:r>
      <w:r w:rsidR="00814AF5" w:rsidRPr="00677CE8">
        <w:t>and responsive to</w:t>
      </w:r>
      <w:r w:rsidR="00BB72B9" w:rsidRPr="00677CE8">
        <w:t>,</w:t>
      </w:r>
      <w:r w:rsidR="00814AF5" w:rsidRPr="00677CE8">
        <w:t xml:space="preserve"> the broader environmental consequences of UAM technology. From a methodological perspective, it is important to mention that t</w:t>
      </w:r>
      <w:r w:rsidR="00BA556C" w:rsidRPr="00677CE8">
        <w:t xml:space="preserve">his </w:t>
      </w:r>
      <w:r w:rsidR="0094460F" w:rsidRPr="00677CE8">
        <w:t xml:space="preserve">relatively </w:t>
      </w:r>
      <w:r w:rsidR="00BA556C" w:rsidRPr="00677CE8">
        <w:t xml:space="preserve">strong and </w:t>
      </w:r>
      <w:r w:rsidR="0094460F" w:rsidRPr="00677CE8">
        <w:t xml:space="preserve">statistically </w:t>
      </w:r>
      <w:r w:rsidR="00BA556C" w:rsidRPr="00677CE8">
        <w:t>significant effect</w:t>
      </w:r>
      <w:r w:rsidR="00814AF5" w:rsidRPr="00677CE8">
        <w:t xml:space="preserve"> emerges </w:t>
      </w:r>
      <w:proofErr w:type="gramStart"/>
      <w:r w:rsidR="00814AF5" w:rsidRPr="00677CE8">
        <w:t>as a result of</w:t>
      </w:r>
      <w:proofErr w:type="gramEnd"/>
      <w:r w:rsidR="00814AF5" w:rsidRPr="00677CE8">
        <w:t xml:space="preserve"> the</w:t>
      </w:r>
      <w:r w:rsidR="0094460F" w:rsidRPr="00677CE8">
        <w:t xml:space="preserve"> comprehensive modeling approach. During the model specification process</w:t>
      </w:r>
      <w:r w:rsidR="00814AF5" w:rsidRPr="00677CE8">
        <w:t>,</w:t>
      </w:r>
      <w:r w:rsidR="00BA556C" w:rsidRPr="00677CE8">
        <w:t xml:space="preserve"> many of </w:t>
      </w:r>
      <w:r w:rsidR="0094460F" w:rsidRPr="00677CE8">
        <w:t>the</w:t>
      </w:r>
      <w:r w:rsidR="00BA556C" w:rsidRPr="00677CE8">
        <w:t xml:space="preserve"> effects </w:t>
      </w:r>
      <w:r w:rsidR="0094460F" w:rsidRPr="00677CE8">
        <w:t xml:space="preserve">of service attributes </w:t>
      </w:r>
      <w:r w:rsidR="00BA556C" w:rsidRPr="00677CE8">
        <w:t xml:space="preserve">varied (producing statistically insignificant effects and even changing signs in some cases) when ignoring other </w:t>
      </w:r>
      <w:r w:rsidR="0094460F" w:rsidRPr="00677CE8">
        <w:t>service attributes</w:t>
      </w:r>
      <w:r w:rsidR="00BA556C" w:rsidRPr="00677CE8">
        <w:t>, trip contextual variables, and attitudinal effects. The</w:t>
      </w:r>
      <w:r w:rsidR="0094460F" w:rsidRPr="00677CE8">
        <w:t>se variations imply</w:t>
      </w:r>
      <w:r w:rsidR="00BA556C" w:rsidRPr="00677CE8">
        <w:t xml:space="preserve"> that accommodating a comprehensive set of factors is important to uncover the direction and magnitude of UAM service attributes, and hence for the design and operational features of UAM services. </w:t>
      </w:r>
      <w:r w:rsidR="00750AEC" w:rsidRPr="00677CE8">
        <w:t xml:space="preserve">For instance, our results show clear evidence that environmental sustainability can be an important determinant of UAM adoption, while earlier literature accommodating only a more limited set of factors (see, for example, </w:t>
      </w:r>
      <w:r w:rsidR="00750AEC" w:rsidRPr="00677CE8">
        <w:fldChar w:fldCharType="begin"/>
      </w:r>
      <w:r w:rsidR="00B7697D" w:rsidRPr="00677CE8">
        <w:instrText xml:space="preserve"> ADDIN ZOTERO_ITEM CSL_CITATION {"citationID":"cF83imlu","properties":{"unsorted":false,"formattedCitation":"(Karami et al., 2024; Lotz et al., 2023; Zaps &amp; Chankov, 2022)","plainCitation":"(Karami et al., 2024; Lotz et al., 2023; Zaps &amp; Chankov, 2022)","dontUpdate":true,"noteIndex":0},"citationItems":[{"id":492,"uris":["http://zotero.org/groups/6194892/items/ANB97BVJ"],"itemData":{"id":492,"type":"article-journal","abstract":"The integration of shared, autonomous, electric, and on-demand mobility services introduces urban air mobility (UAM) as an emerging intra-city transportation service operated by vertical take-off and landing aircraft. Despite the potential benefits of UAM limited literature exists on the end user's perception and the challenges to its societal acceptance, especially in developing economies. This paper addresses this gap in the literature by investigating the factors influencing UAM usage intention in Tehran, a developing country capital. Within the framework of the extended technology acceptance model, the study collected 828 valid questionnaires through a face-to-face survey. Structural equation modeling is employed to highlight the effects of a wide range of factors associated with individual differences, system characteristics, and social influence. The findings indicate that attitude, subjective norms, trust, perceived usefulness, perceived enjoyment, personal innovativeness, ecological awareness, and price evaluation are positively associated with UAM usage intention, while perceived safety correlates with the attitude toward UAM negatively. These findings provide valuable insights for policymakers and industry stakeholders, fostering a deeper understanding of end-user perspectives in developing countries, and prudently promising the potential for its targeted implementation. The study suggests that although its widespread adoption in developing countries is unlikely to occur in the near future, UAM should be regarded as a viable early and timely solution to persistent issues such as chronic congestion in metropolitan areas of the global south.","container-title":"Transport Policy","DOI":"10.1016/j.tranpol.2023.10.010","ISSN":"0967-070X","page":"74-84","source":"ScienceDirect","title":"Unraveling Behavioral Factors Influencing the Adoption of Urban Air Mobility from the End User's Perspective in Tehran – A Developing Country Outlook","volume":"145","author":[{"family":"Karami","given":"Hossein"},{"family":"Abbasi","given":"Mohammadhossein"},{"family":"Samadzad","given":"Mahdi"},{"family":"Karami","given":"Ali"}],"issued":{"date-parts":[["2024",1,1]]}}},{"id":558,"uris":["http://zotero.org/groups/6194892/items/GBFUCQFB"],"itemData":{"id":558,"type":"paper-conference","abstract":"Urban air mobility (UAM) has gained increased attention as a promising new solution to tackle issues such as traffic congestion. This study aims to assess users’ perception and usage intentions and identify and weigh success-critical acceptance factors against each other. Further, user-related differences in the underlying decision patterns are analyzed. A mixed-methods approach was employed, including a prior interview study with laypeople and experts (N = 16), calculations of feasible prices via agent-based símulations, and the main survey study (N = 135) – a Choice-Based Conjoint (CBC) with the attributes: environmental impact, costs, placement of take-off and landing stations (vertiports), automation level, and onboard benefits. Results indicated that environmental impact, costs, and vertiport placement were the top three factors influencing user acceptance. The relative importance of these attributes differed, however, depending on the user group. Based on the results, three user segments were identified: automation-skeptical users, environmentally-conscious users, and cost-conscious users. The findings provide valuable insights for UAM providers and policymakers to understand the attitudes and needs of potential users and to design effective strategies for promoting the adoption of UAM.","container-title":"HCI in Mobility, Transport, and Automotive Systems","DOI":"10.1007/978-3-031-35678-0_20","ISBN":"978-3-031-35678-0","language":"en","page":"296-315","publisher":"Springer Nature Switzerland","publisher-place":"Cham","source":"Springer Link","title":"User Acceptance of Urban Air Mobility (UAM) for Passenger Transport: A Choice-Based Conjoint Study","title-short":"User Acceptance of Urban Air Mobility (UAM) for Passenger Transport","author":[{"family":"Lotz","given":"Vivian"},{"family":"Kirste","given":"Ansgar"},{"family":"Lidynia","given":"Chantal"},{"family":"Stumpf","given":"Eike"},{"family":"Ziefle","given":"Martina"}],"editor":[{"family":"Krömker","given":"Heidi"}],"issued":{"date-parts":[["2023"]]}}},{"id":564,"uris":["http://zotero.org/groups/6194892/items/S97V5A4I"],"itemData":{"id":564,"type":"paper-conference","abstract":"Increased urbanization leads to urban traffic challenges such as increased congestion, longer travel times and more transport emissions. Electric Vertical Take-Off and Landing (eVTOL) aircrafts may offer the answer to these challenges as they can act as flying taxis and transport passengers in a fast and eco-friendly way. However, it is still unclear under what conditions consumers will prefer flying taxis over traditional transport modes. Hence, the purpose of this paper is to compare consumer preferences for eVTOLs, public transport and taxis across different travel scenarios. Thus, we perform a choice-based conjoint analysis with travelers in Germany considering price, travel time and CO2 emissions. Conducting conditional logistic regressions, we show that consumers prefer eVTOLs over traditional taxis, and also over public transport for time-sensitive trips.","container-title":"2022 IEEE International Conference on Industrial Engineering and Engineering Management (IEEM)","DOI":"10.1109/IEEM55944.2022.9989956","event-title":"2022 IEEE International Conference on Industrial Engineering and Engineering Management (IEEM)","page":"1337-1341","source":"IEEE Xplore","title":"Are Consumers Ready for Flying Taxis? A Choice-based Conjoint Analysis of eVTOLs in Germany","title-short":"Are Consumers Ready for Flying Taxis?","URL":"https://ieeexplore.ieee.org/abstract/document/9989956","author":[{"family":"Zaps","given":"R."},{"family":"Chankov","given":"S. M."}],"accessed":{"date-parts":[["2025",9,27]]},"issued":{"date-parts":[["2022",12]]}}}],"schema":"https://github.com/citation-style-language/schema/raw/master/csl-citation.json"} </w:instrText>
      </w:r>
      <w:r w:rsidR="00750AEC" w:rsidRPr="00677CE8">
        <w:fldChar w:fldCharType="separate"/>
      </w:r>
      <w:r w:rsidR="00D45F85" w:rsidRPr="00677CE8">
        <w:t xml:space="preserve">Zaps and Chankov, 2022; Lotz et al., 2023; </w:t>
      </w:r>
      <w:r w:rsidR="00750AEC" w:rsidRPr="00677CE8">
        <w:t>Karami et al., 2024)</w:t>
      </w:r>
      <w:r w:rsidR="00750AEC" w:rsidRPr="00677CE8">
        <w:fldChar w:fldCharType="end"/>
      </w:r>
      <w:r w:rsidR="00750AEC" w:rsidRPr="00677CE8">
        <w:t xml:space="preserve"> has shown mixed results.</w:t>
      </w:r>
      <w:r w:rsidR="00750AEC" w:rsidRPr="00677CE8" w:rsidDel="007A2748">
        <w:t xml:space="preserve"> </w:t>
      </w:r>
    </w:p>
    <w:p w14:paraId="6DEADB73" w14:textId="39CB29BE" w:rsidR="00750AEC" w:rsidRPr="00677CE8" w:rsidRDefault="00750AEC" w:rsidP="00750AEC">
      <w:pPr>
        <w:spacing w:after="0" w:line="240" w:lineRule="auto"/>
        <w:ind w:firstLine="720"/>
        <w:jc w:val="both"/>
      </w:pPr>
      <w:r w:rsidRPr="00677CE8">
        <w:lastRenderedPageBreak/>
        <w:t xml:space="preserve">Results related to UAM </w:t>
      </w:r>
      <w:r w:rsidR="00F3557E">
        <w:t xml:space="preserve">crash-related </w:t>
      </w:r>
      <w:r w:rsidRPr="00677CE8">
        <w:t xml:space="preserve">safety reveal </w:t>
      </w:r>
      <w:r w:rsidR="00BB72B9" w:rsidRPr="00677CE8">
        <w:t>a</w:t>
      </w:r>
      <w:r w:rsidRPr="00677CE8">
        <w:t xml:space="preserve"> negative effect on UAM mod</w:t>
      </w:r>
      <w:r w:rsidR="00BB72B9" w:rsidRPr="00677CE8">
        <w:t>al</w:t>
      </w:r>
      <w:r w:rsidRPr="00677CE8">
        <w:t xml:space="preserve"> utilities when aerial travel is presented as </w:t>
      </w:r>
      <w:r w:rsidR="00F3557E">
        <w:t>more prone to crashes</w:t>
      </w:r>
      <w:r w:rsidRPr="00677CE8">
        <w:t xml:space="preserve"> on a per-mile basis than GB alternatives. This finding is consistent with prior research highlighting the central role of </w:t>
      </w:r>
      <w:r w:rsidR="00F3557E">
        <w:t xml:space="preserve">crash-related </w:t>
      </w:r>
      <w:r w:rsidRPr="00677CE8">
        <w:t xml:space="preserve">safety in UAM adoption </w:t>
      </w:r>
      <w:r w:rsidRPr="00677CE8">
        <w:fldChar w:fldCharType="begin"/>
      </w:r>
      <w:r w:rsidRPr="00677CE8">
        <w:instrText xml:space="preserve"> ADDIN ZOTERO_ITEM CSL_CITATION {"citationID":"lfIE3h7q","properties":{"unsorted":false,"formattedCitation":"(Fu et al., 2019)","plainCitation":"(Fu et al., 2019)","noteIndex":0},"citationItems":[{"id":482,"uris":["http://zotero.org/groups/6194892/items/97M5RJ6T"],"itemData":{"id":482,"type":"article-journal","abstract":"Urban Air Mobility (UAM) is a recent mobility concept with the potential to reduce travel time and change travel patterns. When evaluating the introduction of UAM, understanding the potential users’ choice behavior regarding current available urban transportation modes and autonomous transportation services is essential to demand estimation. This preliminary research intends to gain insight into the travel behavior impacts of autonomous transportation modes, especially UAM, by deriving measures for transportation service attributes and identifying characteristics of potential users who might adopt autonomous transportation services, particularly the services of UAM. Thus, a stated preference questionnaire was designed and distributed in Munich metropolitan region. A main mode choice multinomial logit model and several sub-models, based on market segmentation, were estimated regarding four transportation alternatives: private car, public transportation, autonomous taxi, and autonomous flying taxi. The results indicate that travel time, travel cost, and safety may be critical determinants in autonomous transportation mode adoption. The potential consumers may be willing to pay more for using autonomous transportation modes, especially the service of UAM. Among different market segments, younger individuals, as well as older individuals with high household income, are more likely to adopt UAM. In addition, during the market entry stage, potential travelers may favor UAM particularly for performing non-commuting trips.","container-title":"Transportation Research Record","DOI":"10.1177/0361198119843858","ISSN":"0361-1981","issue":"10","language":"en","page":"427-442","publisher":"SAGE Publications Inc","source":"SAGE Journals","title":"Exploring Preferences for Transportation Modes in an Urban Air Mobility Environment: Munich Case Study","volume":"2673","author":[{"family":"Fu","given":"Mengying"},{"family":"Rothfeld","given":"Raoul"},{"family":"Antoniou","given":"Constantinos"}],"issued":{"date-parts":[["2019",10,1]]}}}],"schema":"https://github.com/citation-style-language/schema/raw/master/csl-citation.json"} </w:instrText>
      </w:r>
      <w:r w:rsidRPr="00677CE8">
        <w:fldChar w:fldCharType="separate"/>
      </w:r>
      <w:r w:rsidRPr="00677CE8">
        <w:t>(Fu et al., 2019)</w:t>
      </w:r>
      <w:r w:rsidRPr="00677CE8">
        <w:fldChar w:fldCharType="end"/>
      </w:r>
      <w:r w:rsidRPr="00677CE8">
        <w:t>. Further insight is provided by the fact that</w:t>
      </w:r>
      <w:r w:rsidR="00D95F44" w:rsidRPr="00677CE8">
        <w:t xml:space="preserve"> when UAM </w:t>
      </w:r>
      <w:r w:rsidR="00F3557E">
        <w:t xml:space="preserve">crash-related </w:t>
      </w:r>
      <w:r w:rsidR="00D95F44" w:rsidRPr="00677CE8">
        <w:t>safety was not presented</w:t>
      </w:r>
      <w:r w:rsidR="00E94205" w:rsidRPr="00677CE8">
        <w:t>,</w:t>
      </w:r>
      <w:r w:rsidRPr="00677CE8">
        <w:t xml:space="preserve"> </w:t>
      </w:r>
      <w:r w:rsidR="00D95F44" w:rsidRPr="00677CE8">
        <w:t>respondents did not evaluate UAM modes statistically different</w:t>
      </w:r>
      <w:r w:rsidR="00E94205" w:rsidRPr="00677CE8">
        <w:t>ly</w:t>
      </w:r>
      <w:r w:rsidR="00D95F44" w:rsidRPr="00677CE8">
        <w:t xml:space="preserve"> from the </w:t>
      </w:r>
      <w:r w:rsidRPr="00677CE8">
        <w:t>base case of “fewer crashes per mile than ground vehicles</w:t>
      </w:r>
      <w:r w:rsidR="0094460F" w:rsidRPr="00677CE8">
        <w:t>,</w:t>
      </w:r>
      <w:r w:rsidRPr="00677CE8">
        <w:t xml:space="preserve">” suggesting that prospective users </w:t>
      </w:r>
      <w:r w:rsidR="00E94205" w:rsidRPr="00677CE8">
        <w:t>assume</w:t>
      </w:r>
      <w:r w:rsidRPr="00677CE8">
        <w:t xml:space="preserve"> (as a baseline) that UAM services would involve fewer crashes than ground vehicles. But when expressly told that this would not be the case in the </w:t>
      </w:r>
      <w:r w:rsidR="00964A21" w:rsidRPr="00677CE8">
        <w:t>SP</w:t>
      </w:r>
      <w:r w:rsidRPr="00677CE8">
        <w:t xml:space="preserve"> experiments, a strong negative response was expressed for the UAM modes (</w:t>
      </w:r>
      <w:r w:rsidR="0094460F" w:rsidRPr="00677CE8">
        <w:t xml:space="preserve">equating to around </w:t>
      </w:r>
      <w:r w:rsidR="00530D7A" w:rsidRPr="00677CE8">
        <w:t>50 minutes</w:t>
      </w:r>
      <w:r w:rsidRPr="00677CE8">
        <w:t xml:space="preserve"> </w:t>
      </w:r>
      <w:r w:rsidR="00530D7A" w:rsidRPr="00677CE8">
        <w:t>of</w:t>
      </w:r>
      <w:r w:rsidRPr="00677CE8">
        <w:t xml:space="preserve"> additional IVTT for </w:t>
      </w:r>
      <w:r w:rsidR="00530D7A" w:rsidRPr="00677CE8">
        <w:t>UAM NENME</w:t>
      </w:r>
      <w:r w:rsidRPr="00677CE8">
        <w:t xml:space="preserve"> trips). </w:t>
      </w:r>
    </w:p>
    <w:p w14:paraId="64D0AEFA" w14:textId="2E3F3B42" w:rsidR="00750AEC" w:rsidRPr="00677CE8" w:rsidRDefault="00750AEC" w:rsidP="00377C6B">
      <w:pPr>
        <w:spacing w:after="0" w:line="240" w:lineRule="auto"/>
        <w:ind w:firstLine="720"/>
        <w:jc w:val="both"/>
      </w:pPr>
      <w:r w:rsidRPr="00677CE8">
        <w:t>Finally, fully autonomous operation is found to reduce preferences for both aerial and GB modes, indicating that the absence of a human operator in the vehicle introduces discomfort.</w:t>
      </w:r>
      <w:r w:rsidR="00377C6B" w:rsidRPr="00677CE8">
        <w:t xml:space="preserve"> This effect is large</w:t>
      </w:r>
      <w:r w:rsidR="00CA7451" w:rsidRPr="00677CE8">
        <w:t>;</w:t>
      </w:r>
      <w:r w:rsidR="00377C6B" w:rsidRPr="00677CE8">
        <w:t xml:space="preserve"> travel in an autonomous </w:t>
      </w:r>
      <w:r w:rsidR="00530D7A" w:rsidRPr="00677CE8">
        <w:t xml:space="preserve">UAM </w:t>
      </w:r>
      <w:r w:rsidR="00377C6B" w:rsidRPr="00677CE8">
        <w:t xml:space="preserve">vehicle is considered </w:t>
      </w:r>
      <w:r w:rsidR="00BB72B9" w:rsidRPr="00677CE8">
        <w:t xml:space="preserve">around </w:t>
      </w:r>
      <w:r w:rsidR="00530D7A" w:rsidRPr="00677CE8">
        <w:t>1.6</w:t>
      </w:r>
      <w:r w:rsidR="00377C6B" w:rsidRPr="00677CE8">
        <w:t xml:space="preserve"> times as undesirable as an hour increase in IVTT for </w:t>
      </w:r>
      <w:r w:rsidR="00530D7A" w:rsidRPr="00677CE8">
        <w:t>UAM NENME</w:t>
      </w:r>
      <w:r w:rsidR="00377C6B" w:rsidRPr="00677CE8">
        <w:t xml:space="preserve"> trips. </w:t>
      </w:r>
      <w:r w:rsidRPr="00677CE8">
        <w:t xml:space="preserve">Notably, when automation is not specified during the choice experiment, utilities are </w:t>
      </w:r>
      <w:proofErr w:type="gramStart"/>
      <w:r w:rsidRPr="00677CE8">
        <w:t>similar to</w:t>
      </w:r>
      <w:proofErr w:type="gramEnd"/>
      <w:r w:rsidRPr="00677CE8">
        <w:t xml:space="preserve"> the case when a human pilot is present</w:t>
      </w:r>
      <w:r w:rsidR="00E94205" w:rsidRPr="00677CE8">
        <w:t xml:space="preserve"> in the vehicle</w:t>
      </w:r>
      <w:r w:rsidRPr="00677CE8">
        <w:t>, suggesting that individuals assume some level of human oversight of UAM operations as a baseline presumption. Despite lower preferences for automation across modes, the reduction in utility is smaller for aerial modes than for GB alternatives (though, admittedly, this reduction is not statistically significant). Th</w:t>
      </w:r>
      <w:r w:rsidR="006524CF" w:rsidRPr="00677CE8">
        <w:t xml:space="preserve">is result suggests </w:t>
      </w:r>
      <w:r w:rsidRPr="00677CE8">
        <w:t>that</w:t>
      </w:r>
      <w:r w:rsidR="006524CF" w:rsidRPr="00677CE8">
        <w:t xml:space="preserve"> automation appears to be somewhat more accepted in</w:t>
      </w:r>
      <w:r w:rsidRPr="00677CE8">
        <w:t xml:space="preserve"> aerial </w:t>
      </w:r>
      <w:r w:rsidR="006524CF" w:rsidRPr="00677CE8">
        <w:t>contexts.</w:t>
      </w:r>
      <w:r w:rsidRPr="00677CE8">
        <w:t xml:space="preserve"> One possible explanation is that air travel is already associated with system-level control and high degrees of automation, where safe operation depends on complex systems rather than solely on a human operator. This perception may extend to emerging UAM services, leading automation to be viewed as an extension of existing aviation practices </w:t>
      </w:r>
      <w:r w:rsidRPr="00677CE8">
        <w:fldChar w:fldCharType="begin"/>
      </w:r>
      <w:r w:rsidR="00B7697D" w:rsidRPr="00677CE8">
        <w:instrText xml:space="preserve"> ADDIN ZOTERO_ITEM CSL_CITATION {"citationID":"aUnweUL1","properties":{"unsorted":false,"formattedCitation":"(Bennett &amp; Vijaygopal, 2021; Fondevila-Gasc\\uc0\\u243{}n et al., 2025)","plainCitation":"(Bennett &amp; Vijaygopal, 2021; Fondevila-Gascón et al., 2025)","dontUpdate":true,"noteIndex":0},"citationItems":[{"id":1822,"uris":["http://zotero.org/groups/6194892/items/LM9KJP8U"],"itemData":{"id":1822,"type":"article-journal","abstract":"This paper presents the results of an investigation into attitudes towards and willingness to fly in pilotless aircraft (PAs) among a sample of 711 UK people known to fly at least occasionally. A problem with past studies in the area is that attitudes have only been measured explicitly, using questionnaire items drawn from literature in the field. Also, distinctions between attitude strength and attitude structure have not been considered. The present investigation employed an implicit measure of attitudes and examined attitudes via (i) a structural topic modelling procedure (in order to measure the structure of attitudes within the sample) and (ii) an Implicit Association Test (to evaluate attitude strength). Outcomes to the Implicit Association Test contributed significantly and substantially to the explanation of the sample members' degrees of willingness to fly in PAs. These are important matters considering the need for airlines, government agencies and aircraft manufacturers to induce public acceptance of PAs. Determinants of attitudes were posited to include self-image congruence, fear of flying, general anxiety syndrome, interest in new technologies, age, gender, and exposure to information about pilotless aircraft. A model containing these variables was assembled and estimated, the results providing a good fit (R2 = 0.58) with data obtained from the sample. Three primary components of attitude emerged from the investigation: risk, excitement and innovation. Four variables exerted the greatest effects on attitude structure, namely self-congruence, interest in new technologies, prior knowledge of PAs, and the age of the participant. Fear of flying and generalised anxiety impacted on the risk element of attitude structure, but not on excitement, innovation or attitude strength. Neither the fear of flying variable nor generalised anxiety had significant influences on attitude strength, although they did have significantly negative effects on willingness to fly in a pilotless airplane. Thirty-one per cent of the sample members disagreed or strongly disagreed with a question (five-point scale) asking whether a person was willing to fly in a pilotless aircraft. The results of the study have important implications for public information campaigns initiated by state agencies and for the marketing activities and promotional messages of airlines that will need to seek public acceptance of pilotless aircraft.","container-title":"Research in Transportation Business &amp; Management","DOI":"10.1016/j.rtbm.2021.100656","ISSN":"2210-5395","journalAbbreviation":"Research in Transportation Business &amp; Management","page":"100656","source":"ScienceDirect","title":"Air passenger attitudes towards pilotless aircraft","volume":"41","author":[{"family":"Bennett","given":"Roger"},{"family":"Vijaygopal","given":"Rohini"}],"issued":{"date-parts":[["2021",12,1]]}}},{"id":1817,"uris":["http://zotero.org/groups/6194892/items/JMXY24U3"],"itemData":{"id":1817,"type":"article-journal","abstract":"Artificial Intelligence (AI) is reshaping the aviation industry, driving efficiency, automation, and innovation across multiple operational domains. This study examines commercial airline passengers’ perceptions of AI’s role in addressing key industry challenges, including air traffic management, predictive maintenance, passenger experience, and sustainability. Using a quantitative approach, a survey was conducted among 320 airline passengers in Spain to assess their attitudes toward AI-driven applications in aviation. The findings reveal strong support for AI in optimizing flight operations, reducing delays, and enhancing security procedures. However, significant skepticism remains regarding AI’s autonomy in decision-making, particularly in pilot replacement and automated flight rerouting. Statistical analyses indicate that younger and frequent travelers exhibit higher confidence in AI’s potential, whereas older passengers demonstrate greater reluctance toward AI-driven automation. Additionally, AI is perceived as a crucial enabler of environmental sustainability, with respondents acknowledging its role in reducing fuel consumption and emissions. These insights provide valuable implications for policymakers, airlines, and technology developers seeking to align AI adoption with passenger expectations while ensuring safety, efficiency, and regulatory compliance. The study highlights the need for a balanced approach that integrates AI’s technological advancements with human oversight to foster trust and acceptance in the future of AI-powered aviation.","container-title":"Journal of Air Transport Management","DOI":"10.1016/j.jairtraman.2025.102874","ISSN":"0969-6997","journalAbbreviation":"Journal of Air Transport Management","page":"102874","source":"ScienceDirect","title":"Passenger perceptions of Artificial Intelligence in airline operations: Implications for air transport management","title-short":"Passenger perceptions of Artificial Intelligence in airline operations","volume":"129","author":[{"family":"Fondevila-Gascón","given":"Joan-Francesc"},{"family":"Gutiérrez-Aragón","given":"Óscar"},{"family":"Lopez-Lopez","given":"David"},{"family":"Curiel-Barrios","given":"Gonzalo"},{"family":"Alabart-Algueró","given":"Júlia"}],"issued":{"date-parts":[["2025",11,1]]}}}],"schema":"https://github.com/citation-style-language/schema/raw/master/csl-citation.json"} </w:instrText>
      </w:r>
      <w:r w:rsidRPr="00677CE8">
        <w:fldChar w:fldCharType="separate"/>
      </w:r>
      <w:r w:rsidRPr="00677CE8">
        <w:rPr>
          <w:kern w:val="0"/>
        </w:rPr>
        <w:t xml:space="preserve">(Bennett </w:t>
      </w:r>
      <w:r w:rsidR="00DC5E7F" w:rsidRPr="00677CE8">
        <w:rPr>
          <w:kern w:val="0"/>
        </w:rPr>
        <w:t>and</w:t>
      </w:r>
      <w:r w:rsidRPr="00677CE8">
        <w:rPr>
          <w:kern w:val="0"/>
        </w:rPr>
        <w:t xml:space="preserve"> Vijaygopal, 2021; Fondevila-Gascón et al., 2025)</w:t>
      </w:r>
      <w:r w:rsidRPr="00677CE8">
        <w:fldChar w:fldCharType="end"/>
      </w:r>
      <w:r w:rsidRPr="00677CE8">
        <w:t xml:space="preserve">. In contrast, GB travel is more strongly associated with individual control and personal agency, and as most users have much more experience driving themselves (compared with piloting an aircraft), they may be less comfortable deferring control to automated systems in GB contexts </w:t>
      </w:r>
      <w:r w:rsidRPr="00677CE8">
        <w:fldChar w:fldCharType="begin"/>
      </w:r>
      <w:r w:rsidR="00B7697D" w:rsidRPr="00677CE8">
        <w:instrText xml:space="preserve"> ADDIN ZOTERO_ITEM CSL_CITATION {"citationID":"uzchS3Cy","properties":{"unsorted":false,"formattedCitation":"(Anna\\uc0\\u231{} G\\uc0\\u246{}v, 2023; Fondevila-Gasc\\uc0\\u243{}n et al., 2025)","plainCitation":"(Annaç Göv, 2023; Fondevila-Gascón et al., 2025)","noteIndex":0},"citationItems":[{"id":1825,"uris":["http://zotero.org/groups/6194892/items/EAQ2BBU9"],"itemData":{"id":1825,"type":"chapter","abstract":"Digital transformation has created an important framework for the commercial aviation industry. Aviation companies that develop a digital strategy or implement the strategies successfully are seeing improvements in their overall efficiency, cost, flexibility and security performances with the effect of digitalization. For aviation businesses, digitalization is seen as one of the important conditions of competition. For this reason, many aviation businesses prioritize digital investments and make the major strategic moves necessary to gain a competitive advantage. However, the digitization of aviation businesses cannot be achieved by investing in technology alone. Digital arguments need to be aligned with customer expectations and the goals of the business. The increase in the number of airline companies has caused airline companies to create new strategies that will increase cost efficiency. IATA (International Air Transport Association), which is a member of airline companies and works for the efficiency of commercial air transportation revealed its vision of a ‘Digital Airline’, which represents what an airline can look like in 2025. Digitalization and efficiency, reflections on human resources, digital applications of airlines, benefits of airline companies from digital transformation, airline mobile applications, online check-in and boarding services (self-check-in, kiosk), online travel assistant, digital baggage cards (RFID – radio frequency identification), digital cabin management systems, in-flight entertainment systems, cabin cleaning robots, digital loyalty programmes, a new perspective in aviation education, interactive virtual reality environments, big data technology and applications and disadvantages of digital transformation are evaluated in the chapter.","container-title":"Two Faces of Digital Transformation: Technological Opportunities versus Social Threats","DOI":"10.1108/978-1-83753-096-020231011","ISBN":"978-1-83753-097-7","page":"0","publisher":"Emerald Publishing Limited","source":"Silverchair","title":"Air Transportation Management and the Effects of Digital Transformation Strategies","URL":"https://doi.org/10.1108/978-1-83753-096-020231011","author":[{"family":"Annaç Göv","given":"Sabiha"}],"editor":[{"family":"Akkaya","given":"Bülent"},{"family":"Tabak","given":"Akif"}],"accessed":{"date-parts":[["2026",5,10]]},"issued":{"date-parts":[["2023",7,13]]}}},{"id":1817,"uris":["http://zotero.org/groups/6194892/items/JMXY24U3"],"itemData":{"id":1817,"type":"article-journal","abstract":"Artificial Intelligence (AI) is reshaping the aviation industry, driving efficiency, automation, and innovation across multiple operational domains. This study examines commercial airline passengers’ perceptions of AI’s role in addressing key industry challenges, including air traffic management, predictive maintenance, passenger experience, and sustainability. Using a quantitative approach, a survey was conducted among 320 airline passengers in Spain to assess their attitudes toward AI-driven applications in aviation. The findings reveal strong support for AI in optimizing flight operations, reducing delays, and enhancing security procedures. However, significant skepticism remains regarding AI’s autonomy in decision-making, particularly in pilot replacement and automated flight rerouting. Statistical analyses indicate that younger and frequent travelers exhibit higher confidence in AI’s potential, whereas older passengers demonstrate greater reluctance toward AI-driven automation. Additionally, AI is perceived as a crucial enabler of environmental sustainability, with respondents acknowledging its role in reducing fuel consumption and emissions. These insights provide valuable implications for policymakers, airlines, and technology developers seeking to align AI adoption with passenger expectations while ensuring safety, efficiency, and regulatory compliance. The study highlights the need for a balanced approach that integrates AI’s technological advancements with human oversight to foster trust and acceptance in the future of AI-powered aviation.","container-title":"Journal of Air Transport Management","DOI":"10.1016/j.jairtraman.2025.102874","ISSN":"0969-6997","journalAbbreviation":"Journal of Air Transport Management","page":"102874","source":"ScienceDirect","title":"Passenger perceptions of Artificial Intelligence in airline operations: Implications for air transport management","title-short":"Passenger perceptions of Artificial Intelligence in airline operations","volume":"129","author":[{"family":"Fondevila-Gascón","given":"Joan-Francesc"},{"family":"Gutiérrez-Aragón","given":"Óscar"},{"family":"Lopez-Lopez","given":"David"},{"family":"Curiel-Barrios","given":"Gonzalo"},{"family":"Alabart-Algueró","given":"Júlia"}],"issued":{"date-parts":[["2025",11,1]]}}}],"schema":"https://github.com/citation-style-language/schema/raw/master/csl-citation.json"} </w:instrText>
      </w:r>
      <w:r w:rsidRPr="00677CE8">
        <w:fldChar w:fldCharType="separate"/>
      </w:r>
      <w:r w:rsidRPr="00677CE8">
        <w:rPr>
          <w:kern w:val="0"/>
        </w:rPr>
        <w:t>(Annaç Göv, 2023; Fondevila-Gascón et al., 2025)</w:t>
      </w:r>
      <w:r w:rsidRPr="00677CE8">
        <w:fldChar w:fldCharType="end"/>
      </w:r>
      <w:r w:rsidRPr="00677CE8">
        <w:t xml:space="preserve">. </w:t>
      </w:r>
    </w:p>
    <w:p w14:paraId="7DD7759F" w14:textId="77777777" w:rsidR="005D470B" w:rsidRPr="00677CE8" w:rsidRDefault="005D470B" w:rsidP="007B293E">
      <w:pPr>
        <w:spacing w:after="0" w:line="240" w:lineRule="auto"/>
        <w:ind w:firstLine="720"/>
        <w:jc w:val="both"/>
      </w:pPr>
    </w:p>
    <w:p w14:paraId="5E558D55" w14:textId="401EF181" w:rsidR="00750AEC" w:rsidRPr="00677CE8" w:rsidRDefault="00750AEC" w:rsidP="00750AEC">
      <w:pPr>
        <w:spacing w:after="0" w:line="240" w:lineRule="auto"/>
        <w:jc w:val="both"/>
      </w:pPr>
      <w:r w:rsidRPr="00C91D5B">
        <w:rPr>
          <w:b/>
          <w:bCs/>
        </w:rPr>
        <w:t>Trip Context:</w:t>
      </w:r>
      <w:r w:rsidRPr="00677CE8">
        <w:t xml:space="preserve"> In addition to the interaction effects of service attributes with trip context variables, as discussed earlier, modal selection is also impacted directly by trip purpose, as shown at the top of the second page of Table 6. The results indicate a decreased utility for public transportation when trips are made for errands or emergency medical transport. The limited flexibility of public transportation and the need to carry items such as groceries may reduce its suitability for errands </w:t>
      </w:r>
      <w:r w:rsidRPr="00677CE8">
        <w:fldChar w:fldCharType="begin"/>
      </w:r>
      <w:r w:rsidR="00140481" w:rsidRPr="00677CE8">
        <w:instrText xml:space="preserve"> ADDIN ZOTERO_ITEM CSL_CITATION {"citationID":"ttJZphfU","properties":{"unsorted":false,"formattedCitation":"(Schneider et al., 2021; Wallius et al., 2026)","plainCitation":"(Schneider et al., 2021; Wallius et al., 2026)","noteIndex":0},"citationItems":[{"id":2248,"uris":["http://zotero.org/groups/6194892/items/Z7JFRC63"],"itemData":{"id":2248,"type":"article-journal","abstract":"This paper studies the relationship between trip chain complexity and daily travel behaviour of travellers. While trip chain complexity is conventionally investigated between travel modes, our scope is the more aggregated level of a person’s activity-travel pattern. Using data from the Netherlands Mobility Panel, a latent class cluster analysis was performed to group people with similar mode choice behaviour in distinct mobility pattern classes. All trip chains were assigned to both a travel mode and the mobility pattern class of the traveller. Subsequently, differences in trip chain complexity distributions were analysed between travel modes and between mobility pattern classes. Results indicate considerable differences between travel modes, particularly between multimodal and unimodal trip chains, but also between the unimodal travel modes car, bicycle, walking and public transport trip chains. No substantial differences in trip chain complexity were found between mobility pattern classes. Independently of the included travel modes, the distributions of trip chain complexity degrees were similar across mobility pattern classes. This means that personal circumstances such as the number of working hours or household members are not systematically translated into specific mobility patterns.","container-title":"Transportation","DOI":"10.1007/s11116-020-10084-1","ISSN":"1572-9435","issue":"2","language":"En","license":"2020 The Author(s)","page":"953-975","publisher":"Springer","source":"link.springer.com","title":"Trip chain complexity: a comparison among latent classes of daily mobility patterns","title-short":"Trip chain complexity","volume":"48","author":[{"family":"Schneider","given":"Florian"},{"family":"Ton","given":"Danique"},{"family":"Zomer","given":"Lara-Britt"},{"family":"Daamen","given":"Winnie"},{"family":"Duives","given":"Dorine"},{"family":"Hoogendoorn-Lanser","given":"Sascha"},{"family":"Hoogendoorn","given":"Serge"}],"issued":{"date-parts":[["2021"]]}}},{"id":2245,"uris":["http://zotero.org/groups/6194892/items/WXX6HDXZ"],"itemData":{"id":2245,"type":"article-journal","abstract":"Human mobility is often characterized by trip chains with multiple destinations. However, the reasons behind mode choices have been mostly studied in single-purpose travel contexts. To address this gap, we examine how trip chain length, complexity (number of trip legs), and purposes are linked to situational factors influencing the decision to use a private car (i.e., context-dependent considerations that affect travel decisions, such as the need to save time, avoid bad weather, or be able to relax). Data was collected through a survey where participants described a recent private car trip chain, including items about trip purposes, the number of trips and trip legs, trip length, and the importance of various situational factors on mode choice decision. The survey was conducted in two major urban areas in Finland, yielding 731 valid responses. The results of a regression analysis show that all examined trip chain characteristics impact on the prevalence of different situational factors. Leisure being a trip purpose was associated with non-utilitarian factors influencing car use, and errands and commuting with both utilitarian and non-utilitarian factors. Trips involving errands appeared more habitual than trips for other purposes. Furthermore, complexity was not only associated with utilitarian factors, but also non-utilitarian. The findings suggest that trip chain complexity and purposes should be considered by practitioners and policymakers in sustainable mobility campaigns, passenger information systems that account for trip chain characteristics should be developed, and targeted interventions to reduce habitual car use, especially for errands, should be created.","container-title":"Transportation Research Interdisciplinary Perspectives","DOI":"10.1016/j.trip.2025.101821","ISSN":"2590-1982","journalAbbreviation":"Transportation Research Interdisciplinary Perspectives","page":"101821","source":"ScienceDirect","title":"Trip chain characteristics and situational factors influencing private car mode choices – A survey study in two Finnish urban areas","volume":"36","author":[{"family":"Wallius","given":"Eetu"},{"family":"Kaipainen","given":"Kirsikka"},{"family":"Pihlajamaa","given":"Olli"}],"issued":{"date-parts":[["2026",3,1]]}}}],"schema":"https://github.com/citation-style-language/schema/raw/master/csl-citation.json"} </w:instrText>
      </w:r>
      <w:r w:rsidRPr="00677CE8">
        <w:fldChar w:fldCharType="separate"/>
      </w:r>
      <w:r w:rsidR="00140481" w:rsidRPr="00677CE8">
        <w:t>(Schneider et al., 2021; Wallius et al., 2026)</w:t>
      </w:r>
      <w:r w:rsidRPr="00677CE8">
        <w:fldChar w:fldCharType="end"/>
      </w:r>
      <w:r w:rsidRPr="00677CE8">
        <w:t xml:space="preserve">, while its shared nature likely contributes to the reduced preferences for emergency medical trips. For leisure trips, there is an elevated preference for the </w:t>
      </w:r>
      <w:proofErr w:type="spellStart"/>
      <w:r w:rsidRPr="00677CE8">
        <w:t>ridehailing</w:t>
      </w:r>
      <w:proofErr w:type="spellEnd"/>
      <w:r w:rsidRPr="00677CE8">
        <w:t xml:space="preserve"> mode, attributable to a wide range of benefits specific to </w:t>
      </w:r>
      <w:proofErr w:type="spellStart"/>
      <w:r w:rsidRPr="00677CE8">
        <w:t>ridehailing</w:t>
      </w:r>
      <w:proofErr w:type="spellEnd"/>
      <w:r w:rsidRPr="00677CE8">
        <w:t xml:space="preserve">, including the quick and easy digital access, alleviation of parking concerns, and the safe consumption of alcohol </w:t>
      </w:r>
      <w:r w:rsidRPr="00677CE8">
        <w:fldChar w:fldCharType="begin"/>
      </w:r>
      <w:r w:rsidR="00B7697D" w:rsidRPr="00677CE8">
        <w:instrText xml:space="preserve"> ADDIN ZOTERO_ITEM CSL_CITATION {"citationID":"Sgm6Gm0p","properties":{"unsorted":false,"formattedCitation":"(MacLeod et al., 2020; Tarabay &amp; Abou-Zeid, 2020; Tirachini, 2020)","plainCitation":"(MacLeod et al., 2020; Tarabay &amp; Abou-Zeid, 2020; Tirachini, 2020)","dontUpdate":true,"noteIndex":0},"citationItems":[{"id":1838,"uris":["http://zotero.org/groups/6194892/items/UEDI8E3F"],"itemData":{"id":1838,"type":"article-journal","abstract":"Despite decades of education and enforcement campaigns, alcohol-impaired driving persists as a social problem in the U.S. Are there other factors influencing decisions to drive after alcohol consumption that may be amenable to change? We conducted a roadside survey in California in 2012 to assess whether residential accessibility, travel attitudes (indicated by ratings of convenience and safety for travel options), and perceptions of arrest risk affect travel choices made subsequent to alcohol consumption. We conducted hybrid choice modeling for 580 participants. Mode-specific travel attitudes were valid constructs and predictive of travel behavior. Perceived level of service (speed) increased the utility for taxi and getting a ride. Perceiving high risk of arrest affected mode choice through travel attitudes. Not everyone assessed their mode options in the same way. For example, frequent binge drinkers appear to be more willing to consider taxis, men had stronger preferences towards active modes, and younger drivers were less pro-driving in this context. Past drinking and driving behavior affected one’s attitude towards driving, while the number of drinks was related to mode choice. While our accessibility measure was not significantly related to attitudes or choice, decreasing urbanicity corresponded with stronger preferences for driving. This pilot study suggests that improving level of service (speed), convenience, and overall safety are considerations for public health in terms of promoting alternatives to drinking and driving. This line of research also has implications for emerging options, such as ride hailing, and how these might be optimized for specific segments of the population.","container-title":"Travel Behaviour and Society","DOI":"10.1016/j.tbs.2020.02.008","ISSN":"2214-367X","journalAbbreviation":"Travel Behaviour and Society","page":"74-82","source":"ScienceDirect","title":"To drive or not to drive? A study of travel behavior for a recent drinking occasion","title-short":"To drive or not to drive?","volume":"20","author":[{"family":"MacLeod","given":"Kara E."},{"family":"Thorhauge","given":"Mikkel"},{"family":"Villalobos","given":"Victor"},{"family":"Meijgaard","given":"Jeroen","non-dropping-particle":"van"},{"family":"Karriker-Jaffe","given":"Katherine J."},{"family":"Kelley-Baker","given":"Tara"},{"family":"Ragland","given":"David R."}],"issued":{"date-parts":[["2020",7,1]]}}},{"id":1836,"uris":["http://zotero.org/groups/6194892/items/A9BHJCIT"],"itemData":{"id":1836,"type":"article-journal","abstract":"This study investigates the current and potential uptake of ridesourcing services, such as Uber and Careem, by the students of the American University of Beirut, Lebanon. A hybrid choice model is developed to predict the switching choice from traditional modes of transport to ridesourcing services for social/recreational trips made by these students in Lebanon. Data are provided by a web-based survey that includes revealed and stated preferences, besides demographics. It is found that the switching choice is determined by several observed factors, such as door-to-door travel time, waiting time for pick-up, and one-way fares, in addition to a latent variable that captures individual differences in perceptions and attitudes towards ridesourcing services. A base switching probability from traditional modes to ridesourcing services (calculated under a base scenario representing realistic values of the attributes of ridesourcing services if the latter were used to make the most recent social/recreational trip) is estimated to be 0.22. This probability is expected to reach 0.31 under a forecasted policy scenario consisting of 40% reduction in ridesourcing fares. Car users will be more sensitive to switch to ridesourcing services for their social/recreational trips if the ridesourcing fare reduction (40%) is associated with restricted parking conditions consisting of (a) 100% increase of parking fees from actual prices, and (b) 20-minute increase of parking search time and parking time from the actual car travel time. In this case, the resulting switching probability is expected to reach 0.38. By using the estimated choice model to forecast policy scenarios as such, this study can guide planners, policymakers, and service operators to prioritize effective policies in response to the behavioral change caused by the diffusion of innovative transport services and technologies. The study also contributes to a better understanding of the uptake of ridesourcing services in developing country contexts where public transport services are often inadequate.","container-title":"Transportation","DOI":"10.1007/s11116-019-09973-x","ISSN":"1572-9435","issue":"4","journalAbbreviation":"Transportation","language":"en","page":"1733-1763","source":"Springer Link","title":"Modeling the choice to switch from traditional modes to ridesourcing services for social/recreational trips in Lebanon","volume":"47","author":[{"family":"Tarabay","given":"Rana"},{"family":"Abou-Zeid","given":"Maya"}],"issued":{"date-parts":[["2020",8,1]]}}},{"id":1840,"uris":["http://zotero.org/groups/6194892/items/NDYZNSTJ"],"itemData":{"id":1840,"type":"article-journal","abstract":"A discussion of the sustainability and travel behaviour impacts of ride-hailing is provided, based on an extensive literature review of studies from both developed and developing countries. The effects of ride-hailing on vehicle-kilometres travelled (VKT) and traffic externalities such as congestion, pollution and crashes are analysed. Modal substitution, user characterisation and induced travel outputs are also examined. A summary of findings follows. On the one hand, ride-hailing improves the comfort and security of riders for several types of trips and increases mobility for car-free households and for people with physical and cognitive limitations. Ride-hailing has the potential to be more efficient for rider-driver matching than street-hailing. Ride-hailing is expected to reduce parking requirements, shifting attention towards curb management. On the other hand, results on the degree of complementarity and substitution between ride-hailing and public transport and on the impact of ride-hailing on VKT are mixed; however, there is a tendency from studies with updated data to show that the ride-hailing substitution effect of public transport is stronger than the complementarity effect in several cities and that ride-hailing has incremented motorised traffic and congestion. Early evidence on the impact of ride-hailing on the environment and energy consumption is also concerning. A longer-term assessment must estimate the ride-hailing effect on car ownership. A social welfare analysis that accounts for both the benefits and costs of ride-hailing remains unexplored. The relevance of shared rides in a scenario with mobility-as-a-service subscription packages and automated vehicles is also highlighted.","container-title":"Transportation","DOI":"10.1007/s11116-019-10070-2","ISSN":"1572-9435","issue":"4","journalAbbreviation":"Transportation","language":"en","page":"2011-2047","source":"Springer Link","title":"Ride-hailing, travel behaviour and sustainable mobility: an international review","title-short":"Ride-hailing, travel behaviour and sustainable mobility","volume":"47","author":[{"family":"Tirachini","given":"Alejandro"}],"issued":{"date-parts":[["2020",8,1]]}}}],"schema":"https://github.com/citation-style-language/schema/raw/master/csl-citation.json"} </w:instrText>
      </w:r>
      <w:r w:rsidRPr="00677CE8">
        <w:fldChar w:fldCharType="separate"/>
      </w:r>
      <w:r w:rsidRPr="00677CE8">
        <w:t xml:space="preserve">(MacLeod et al., 2020; Tarabay </w:t>
      </w:r>
      <w:r w:rsidR="00DC5E7F" w:rsidRPr="00677CE8">
        <w:t>and</w:t>
      </w:r>
      <w:r w:rsidRPr="00677CE8">
        <w:t xml:space="preserve"> Abou-Zeid, 2020; Tirachini, 2020)</w:t>
      </w:r>
      <w:r w:rsidRPr="00677CE8">
        <w:fldChar w:fldCharType="end"/>
      </w:r>
      <w:r w:rsidRPr="00677CE8">
        <w:t>.</w:t>
      </w:r>
    </w:p>
    <w:p w14:paraId="2BE928BA" w14:textId="4C0D4131" w:rsidR="00B71D28" w:rsidRPr="00677CE8" w:rsidRDefault="00372F33" w:rsidP="007B293E">
      <w:pPr>
        <w:spacing w:after="0" w:line="240" w:lineRule="auto"/>
        <w:ind w:firstLine="720"/>
        <w:jc w:val="both"/>
      </w:pPr>
      <w:r w:rsidRPr="00677CE8">
        <w:t xml:space="preserve">Trip distance also emerges as an influential factor, with </w:t>
      </w:r>
      <w:r w:rsidR="008549AD" w:rsidRPr="00677CE8">
        <w:t>utilities</w:t>
      </w:r>
      <w:r w:rsidRPr="00677CE8">
        <w:t xml:space="preserve"> for aerial modes</w:t>
      </w:r>
      <w:r w:rsidR="00C92882" w:rsidRPr="00677CE8">
        <w:t xml:space="preserve"> </w:t>
      </w:r>
      <w:r w:rsidRPr="00677CE8">
        <w:t xml:space="preserve">significantly </w:t>
      </w:r>
      <w:r w:rsidR="00B71D28" w:rsidRPr="00677CE8">
        <w:t>reduced</w:t>
      </w:r>
      <w:r w:rsidRPr="00677CE8">
        <w:t xml:space="preserve"> for the shortest trip length of</w:t>
      </w:r>
      <w:r w:rsidR="00BB72B9" w:rsidRPr="00677CE8">
        <w:t xml:space="preserve"> around</w:t>
      </w:r>
      <w:r w:rsidRPr="00677CE8">
        <w:t xml:space="preserve"> 10 miles. This finding suggests that prospective users </w:t>
      </w:r>
      <w:r w:rsidR="006F3194" w:rsidRPr="00677CE8">
        <w:t xml:space="preserve">view travel by aerial modes as </w:t>
      </w:r>
      <w:r w:rsidR="0049608D" w:rsidRPr="00677CE8">
        <w:t>most beneficial</w:t>
      </w:r>
      <w:r w:rsidR="006F3194" w:rsidRPr="00677CE8">
        <w:t xml:space="preserve"> for longer trips such as </w:t>
      </w:r>
      <w:r w:rsidR="002B2634" w:rsidRPr="00677CE8">
        <w:t>for</w:t>
      </w:r>
      <w:r w:rsidR="006F3194" w:rsidRPr="00677CE8">
        <w:t xml:space="preserve"> </w:t>
      </w:r>
      <w:r w:rsidR="00BB72B9" w:rsidRPr="00677CE8">
        <w:t xml:space="preserve">long </w:t>
      </w:r>
      <w:r w:rsidR="006F3194" w:rsidRPr="00677CE8">
        <w:t>intra-city trip</w:t>
      </w:r>
      <w:r w:rsidR="002B2634" w:rsidRPr="00677CE8">
        <w:t>s</w:t>
      </w:r>
      <w:r w:rsidR="00BB72B9" w:rsidRPr="00677CE8">
        <w:t xml:space="preserve"> (~40 miles</w:t>
      </w:r>
      <w:r w:rsidR="002B2634" w:rsidRPr="00677CE8">
        <w:t xml:space="preserve"> one-way</w:t>
      </w:r>
      <w:r w:rsidR="00BB72B9" w:rsidRPr="00677CE8">
        <w:t>)</w:t>
      </w:r>
      <w:r w:rsidR="006F3194" w:rsidRPr="00677CE8">
        <w:t xml:space="preserve"> and inter-city trip</w:t>
      </w:r>
      <w:r w:rsidR="002B2634" w:rsidRPr="00677CE8">
        <w:t>s</w:t>
      </w:r>
      <w:r w:rsidR="006F3194" w:rsidRPr="00677CE8">
        <w:t xml:space="preserve"> </w:t>
      </w:r>
      <w:r w:rsidR="00BB72B9" w:rsidRPr="00677CE8">
        <w:t>(~120 miles</w:t>
      </w:r>
      <w:r w:rsidR="002B2634" w:rsidRPr="00677CE8">
        <w:t xml:space="preserve"> one-way</w:t>
      </w:r>
      <w:r w:rsidR="00BB72B9" w:rsidRPr="00677CE8">
        <w:t>)</w:t>
      </w:r>
      <w:r w:rsidR="006F3194" w:rsidRPr="00677CE8">
        <w:t xml:space="preserve">. Although we </w:t>
      </w:r>
      <w:r w:rsidR="008549AD" w:rsidRPr="00677CE8">
        <w:t>control for the impacts</w:t>
      </w:r>
      <w:r w:rsidR="006F3194" w:rsidRPr="00677CE8">
        <w:t xml:space="preserve"> of travel time savings and pick-up and drop-off locations within the modeling framework, respondents</w:t>
      </w:r>
      <w:r w:rsidR="0049608D" w:rsidRPr="00677CE8">
        <w:t>’ preferences</w:t>
      </w:r>
      <w:r w:rsidR="006F3194" w:rsidRPr="00677CE8">
        <w:t xml:space="preserve"> may </w:t>
      </w:r>
      <w:r w:rsidR="0049608D" w:rsidRPr="00677CE8">
        <w:t>be driven by a mental</w:t>
      </w:r>
      <w:r w:rsidR="006F3194" w:rsidRPr="00677CE8">
        <w:t xml:space="preserve"> barrier to entry involved with </w:t>
      </w:r>
      <w:r w:rsidR="008549AD" w:rsidRPr="00677CE8">
        <w:t xml:space="preserve">UAM </w:t>
      </w:r>
      <w:r w:rsidR="006F3194" w:rsidRPr="00677CE8">
        <w:t>adoption that goes beyond service attributes. The effort required to</w:t>
      </w:r>
      <w:r w:rsidR="0049608D" w:rsidRPr="00677CE8">
        <w:t xml:space="preserve"> </w:t>
      </w:r>
      <w:r w:rsidR="00B71D28" w:rsidRPr="00677CE8">
        <w:t>learn</w:t>
      </w:r>
      <w:r w:rsidR="0049608D" w:rsidRPr="00677CE8">
        <w:t xml:space="preserve"> how to</w:t>
      </w:r>
      <w:r w:rsidR="006F3194" w:rsidRPr="00677CE8">
        <w:t xml:space="preserve"> use this </w:t>
      </w:r>
      <w:r w:rsidR="002B2634" w:rsidRPr="00677CE8">
        <w:lastRenderedPageBreak/>
        <w:t xml:space="preserve">(relatively) </w:t>
      </w:r>
      <w:r w:rsidR="006F3194" w:rsidRPr="00677CE8">
        <w:t>unfamiliar mode</w:t>
      </w:r>
      <w:r w:rsidR="0049608D" w:rsidRPr="00677CE8">
        <w:t>,</w:t>
      </w:r>
      <w:r w:rsidR="006F3194" w:rsidRPr="00677CE8">
        <w:t xml:space="preserve"> </w:t>
      </w:r>
      <w:r w:rsidR="00B71D28" w:rsidRPr="00677CE8">
        <w:t>particularly for a first-time user</w:t>
      </w:r>
      <w:r w:rsidR="0049608D" w:rsidRPr="00677CE8">
        <w:t>,</w:t>
      </w:r>
      <w:r w:rsidR="006F3194" w:rsidRPr="00677CE8">
        <w:t xml:space="preserve"> may</w:t>
      </w:r>
      <w:r w:rsidR="00B71D28" w:rsidRPr="00677CE8">
        <w:t xml:space="preserve"> outweigh its benefits for short trips</w:t>
      </w:r>
      <w:r w:rsidR="00C92882" w:rsidRPr="00677CE8">
        <w:t>,</w:t>
      </w:r>
      <w:r w:rsidR="00B71D28" w:rsidRPr="00677CE8">
        <w:t xml:space="preserve"> discouraging adoption</w:t>
      </w:r>
      <w:r w:rsidR="00B64E46" w:rsidRPr="00677CE8">
        <w:t xml:space="preserve"> </w:t>
      </w:r>
      <w:r w:rsidR="00B71D28" w:rsidRPr="00677CE8">
        <w:fldChar w:fldCharType="begin"/>
      </w:r>
      <w:r w:rsidR="0072553F" w:rsidRPr="00677CE8">
        <w:instrText xml:space="preserve"> ADDIN ZOTERO_ITEM CSL_CITATION {"citationID":"NRcTcAFH","properties":{"unsorted":false,"formattedCitation":"(D\\uc0\\u228{}llenbach, 2020)","plainCitation":"(Dällenbach, 2020)","dontUpdate":true,"noteIndex":0},"citationItems":[{"id":1887,"uris":["http://zotero.org/groups/6194892/items/7SU9BDU9"],"itemData":{"id":1887,"type":"article-journal","abstract":"Academic studies and recent social movements alike highlight the importance of changing flying behavior for reaching global climate goals. A particularly effective strategy for minimizing transport-related CO2 emissions is to substitute flights with train travel. The same trip causes around 80–90% less CO2 emissions by train than by plane. The results of this paper are based on two independent samples, the first representing the Swiss population, the second one including international business students. Both empirical studies consistently show that respondents who are familiar with train travel are also more prone to consider the train as an alternative for international, long-distance trips. Furthermore, both studies find systematic differences when it comes to travel time perceptions of likely air and train travelers: While people who are inclined to travel by plane see a high value in minimizing the total travel time of their journey, likely train travelers put less emphasis on minimizing total travel time. At the same time, prospective train travelers find it highly important to be able to use their travel time productively, which does not seem to be the case for potential air travelers. As consumer insights about the willingness to substitute flying with train travel are rare, the results of this paper build a basis for developing communication strategies and policies aiming at increasing low-carbon travel mode choices.","container-title":"Transportation Research Part D: Transport and Environment","DOI":"10.1016/j.trd.2020.102378","ISSN":"1361-9209","journalAbbreviation":"Transportation Research Part D: Transport and Environment","page":"102378","source":"ScienceDirect","title":"Low-carbon travel mode choices: The role of time perceptions and familiarity","title-short":"Low-carbon travel mode choices","volume":"86","author":[{"family":"Dällenbach","given":"Nathalie"}],"issued":{"date-parts":[["2020",9,1]]}}}],"schema":"https://github.com/citation-style-language/schema/raw/master/csl-citation.json"} </w:instrText>
      </w:r>
      <w:r w:rsidR="00B71D28" w:rsidRPr="00677CE8">
        <w:fldChar w:fldCharType="separate"/>
      </w:r>
      <w:r w:rsidR="00B71D28" w:rsidRPr="00677CE8">
        <w:rPr>
          <w:kern w:val="0"/>
        </w:rPr>
        <w:t>(</w:t>
      </w:r>
      <w:r w:rsidR="00B64E46" w:rsidRPr="00677CE8">
        <w:rPr>
          <w:kern w:val="0"/>
        </w:rPr>
        <w:t xml:space="preserve">see </w:t>
      </w:r>
      <w:r w:rsidR="00B71D28" w:rsidRPr="00677CE8">
        <w:rPr>
          <w:kern w:val="0"/>
        </w:rPr>
        <w:t>Dällenbach, 2020)</w:t>
      </w:r>
      <w:r w:rsidR="00B71D28" w:rsidRPr="00677CE8">
        <w:fldChar w:fldCharType="end"/>
      </w:r>
      <w:r w:rsidR="00B71D28" w:rsidRPr="00677CE8">
        <w:t>. In addition, u</w:t>
      </w:r>
      <w:r w:rsidR="0049608D" w:rsidRPr="00677CE8">
        <w:t xml:space="preserve">sers may </w:t>
      </w:r>
      <w:r w:rsidR="00B71D28" w:rsidRPr="00677CE8">
        <w:t xml:space="preserve">perceive </w:t>
      </w:r>
      <w:r w:rsidR="0049608D" w:rsidRPr="00677CE8">
        <w:t xml:space="preserve">air travel </w:t>
      </w:r>
      <w:r w:rsidR="00B71D28" w:rsidRPr="00677CE8">
        <w:t>a</w:t>
      </w:r>
      <w:r w:rsidR="0049608D" w:rsidRPr="00677CE8">
        <w:t xml:space="preserve">s </w:t>
      </w:r>
      <w:r w:rsidR="00F2557E" w:rsidRPr="00677CE8">
        <w:t>unnecessary for a short trip when simpler</w:t>
      </w:r>
      <w:r w:rsidR="0049608D" w:rsidRPr="00677CE8">
        <w:t xml:space="preserve"> and more</w:t>
      </w:r>
      <w:r w:rsidR="00F2557E" w:rsidRPr="00677CE8">
        <w:t xml:space="preserve"> familiar </w:t>
      </w:r>
      <w:r w:rsidR="002B2634" w:rsidRPr="00677CE8">
        <w:t xml:space="preserve">GB </w:t>
      </w:r>
      <w:r w:rsidR="00F2557E" w:rsidRPr="00677CE8">
        <w:t>alternatives</w:t>
      </w:r>
      <w:r w:rsidR="00B71D28" w:rsidRPr="00677CE8">
        <w:t xml:space="preserve"> are available</w:t>
      </w:r>
      <w:r w:rsidR="0049608D" w:rsidRPr="00677CE8">
        <w:t xml:space="preserve">. </w:t>
      </w:r>
    </w:p>
    <w:p w14:paraId="0512D2A4" w14:textId="77777777" w:rsidR="007B293E" w:rsidRPr="00677CE8" w:rsidRDefault="007B293E" w:rsidP="007B293E">
      <w:pPr>
        <w:spacing w:after="0" w:line="240" w:lineRule="auto"/>
        <w:ind w:firstLine="720"/>
        <w:jc w:val="both"/>
      </w:pPr>
    </w:p>
    <w:p w14:paraId="7E82354A" w14:textId="00CE63AC" w:rsidR="00AA0A1D" w:rsidRPr="00677CE8" w:rsidRDefault="00982D08" w:rsidP="00530D7A">
      <w:pPr>
        <w:pStyle w:val="Heading3"/>
      </w:pPr>
      <w:r w:rsidRPr="00677CE8">
        <w:rPr>
          <w:i w:val="0"/>
          <w:iCs w:val="0"/>
        </w:rPr>
        <w:t>5.2.2</w:t>
      </w:r>
      <w:r w:rsidRPr="00677CE8">
        <w:t xml:space="preserve"> Effects of Individual-level Characteristics</w:t>
      </w:r>
    </w:p>
    <w:p w14:paraId="0532AF86" w14:textId="21F6E689" w:rsidR="00750AEC" w:rsidRPr="00677CE8" w:rsidRDefault="00750AEC" w:rsidP="00750AEC">
      <w:pPr>
        <w:spacing w:after="0" w:line="240" w:lineRule="auto"/>
        <w:jc w:val="both"/>
      </w:pPr>
      <w:r w:rsidRPr="00C91D5B">
        <w:rPr>
          <w:b/>
          <w:bCs/>
        </w:rPr>
        <w:t>Latent Constructs:</w:t>
      </w:r>
      <w:r w:rsidR="00BB72B9" w:rsidRPr="00677CE8">
        <w:t xml:space="preserve"> The “Latent Constructs” panel in Table 6 provides the effects of the three latent constructs and their interactions on the model utilities. </w:t>
      </w:r>
      <w:r w:rsidRPr="00677CE8">
        <w:t>As expected, individuals with a high level of tech-savviness exhibit elevated preferences for aerial modes. Tech-savviness also affects preferences for GB modes, with more technologically inclined individuals exhibiting reduced preferences for public transportation</w:t>
      </w:r>
      <w:r w:rsidR="002B2634" w:rsidRPr="00677CE8">
        <w:t>,</w:t>
      </w:r>
      <w:r w:rsidRPr="00677CE8">
        <w:rPr>
          <w:rFonts w:ascii="Segoe UI" w:eastAsia="Times New Roman" w:hAnsi="Segoe UI" w:cs="Segoe UI"/>
          <w:kern w:val="0"/>
          <w:sz w:val="21"/>
          <w:szCs w:val="21"/>
          <w14:ligatures w14:val="none"/>
        </w:rPr>
        <w:t xml:space="preserve"> </w:t>
      </w:r>
      <w:r w:rsidR="006177E9" w:rsidRPr="00677CE8">
        <w:t xml:space="preserve">consistent with </w:t>
      </w:r>
      <w:r w:rsidR="002B2634" w:rsidRPr="00677CE8">
        <w:t xml:space="preserve">the results of </w:t>
      </w:r>
      <w:r w:rsidR="006177E9" w:rsidRPr="00677CE8">
        <w:fldChar w:fldCharType="begin"/>
      </w:r>
      <w:r w:rsidR="00B7697D" w:rsidRPr="00677CE8">
        <w:instrText xml:space="preserve"> ADDIN ZOTERO_ITEM CSL_CITATION {"citationID":"cqgpMgUA","properties":{"unsorted":false,"formattedCitation":"(Julsrud &amp; Denstadli, 2017)","plainCitation":"(Julsrud &amp; Denstadli, 2017)","dontUpdate":true,"noteIndex":0},"citationItems":[{"id":1899,"uris":["http://zotero.org/groups/6194892/items/9GLURG2A"],"itemData":{"id":1899,"type":"article-journal","abstract":"The uptake of mobile media with internet connection has increased rapidly in almost every part of the world, and this has significantly changed how public transport passengers use their travel time. Studies have documented that use of mobile information and communication technologies (ICT) while traveling has the potential to enrich use of travel time and in some cases, strengthen positive attitudes towards public transport. The alternative hypothesis—that mobile communication technologies make travelers more critical and demanding, e.g., due to the risk of interference—has so far hardly been explored through empirical studies. Based on a web-based survey of travelers in two of the largest cities in Norway (Oslo and Trondheim), this paper investigates how use of smart devices are related to general attitudes toward public transportation services. A segmentation of travelers in three clusters based on their mobile use habits, shows that the most active group of mobile media users—a group of younger and middle-aged urban dwellers—were those who bore the most critical attitudes to the public transport services. In contrast, the groups that used their mobile phones rarely, or less actively, on their public transport trips were more satisfied. The findings suggests that a new generation of “equipped travelers” has developed expectations regarding their public transport journeys that service providers might have problems to fulfill in current times. Thus, there is a risk of the most active smartphone users developing negative attitudes to public transport if (or when) their experiences are not improved.","container-title":"International Journal of Sustainable Transportation","DOI":"10.1080/15568318.2017.1292373","ISSN":"1556-8318","issue":"8","note":"_eprint: https://doi.org/10.1080/15568318.2017.1292373","page":"602-610","publisher":"Taylor &amp; Francis","source":"Taylor and Francis+NEJM","title":"Smartphones, travel time-use, and attitudes to public transport services. Insights from an explorative study of urban dwellers in two Norwegian cities","volume":"11","author":[{"family":"Julsrud","given":"Tom Erik"},{"family":"Denstadli","given":"Jon Martin"}],"issued":{"date-parts":[["2017",9,14]]}}}],"schema":"https://github.com/citation-style-language/schema/raw/master/csl-citation.json"} </w:instrText>
      </w:r>
      <w:r w:rsidR="006177E9" w:rsidRPr="00677CE8">
        <w:fldChar w:fldCharType="separate"/>
      </w:r>
      <w:r w:rsidR="006177E9" w:rsidRPr="00677CE8">
        <w:t xml:space="preserve">Julsrud </w:t>
      </w:r>
      <w:r w:rsidR="002F3BEB" w:rsidRPr="00677CE8">
        <w:t>and</w:t>
      </w:r>
      <w:r w:rsidR="006177E9" w:rsidRPr="00677CE8">
        <w:t xml:space="preserve"> Denstadli, ( 2017)</w:t>
      </w:r>
      <w:r w:rsidR="006177E9" w:rsidRPr="00677CE8">
        <w:fldChar w:fldCharType="end"/>
      </w:r>
      <w:r w:rsidR="006177E9" w:rsidRPr="00677CE8">
        <w:t xml:space="preserve"> who found that smartphone users held more negative perceptions of public transportation than less t</w:t>
      </w:r>
      <w:r w:rsidR="002B2634" w:rsidRPr="00677CE8">
        <w:t>e</w:t>
      </w:r>
      <w:r w:rsidR="006177E9" w:rsidRPr="00677CE8">
        <w:t xml:space="preserve">ch-savvy </w:t>
      </w:r>
      <w:r w:rsidR="002B2634" w:rsidRPr="00677CE8">
        <w:t>individuals</w:t>
      </w:r>
      <w:r w:rsidR="006177E9" w:rsidRPr="00677CE8">
        <w:t xml:space="preserve"> who did not use technology during their travel. </w:t>
      </w:r>
    </w:p>
    <w:p w14:paraId="6B297FFB" w14:textId="116C70C8" w:rsidR="005658AB" w:rsidRPr="00677CE8" w:rsidRDefault="00750AEC" w:rsidP="005658AB">
      <w:pPr>
        <w:spacing w:after="0" w:line="240" w:lineRule="auto"/>
        <w:ind w:firstLine="720"/>
        <w:jc w:val="both"/>
      </w:pPr>
      <w:r w:rsidRPr="00677CE8">
        <w:t>Those with elevated sensitivity to UAM-related noise are less inclined to rank UAM modes highly when noise levels are described as equivalent to those of a heavy truck or motorcycle</w:t>
      </w:r>
      <w:r w:rsidR="009568E7" w:rsidRPr="00677CE8">
        <w:t xml:space="preserve"> (</w:t>
      </w:r>
      <w:r w:rsidR="004A4BD9" w:rsidRPr="00677CE8">
        <w:t xml:space="preserve">although this effect is significant </w:t>
      </w:r>
      <w:r w:rsidR="009568E7" w:rsidRPr="00677CE8">
        <w:t xml:space="preserve">only </w:t>
      </w:r>
      <w:r w:rsidR="004A4BD9" w:rsidRPr="00677CE8">
        <w:t>at the 80% confidence level</w:t>
      </w:r>
      <w:r w:rsidR="009568E7" w:rsidRPr="00677CE8">
        <w:t>)</w:t>
      </w:r>
      <w:r w:rsidRPr="00677CE8">
        <w:t xml:space="preserve">. This response reflects both personal and environmental considerations. </w:t>
      </w:r>
      <w:r w:rsidR="00681172" w:rsidRPr="00677CE8">
        <w:t xml:space="preserve">At </w:t>
      </w:r>
      <w:r w:rsidRPr="00677CE8">
        <w:t xml:space="preserve">an individual level, increased sensitivity to noise may make </w:t>
      </w:r>
      <w:r w:rsidR="00BB72B9" w:rsidRPr="00677CE8">
        <w:t>travelling</w:t>
      </w:r>
      <w:r w:rsidRPr="00677CE8">
        <w:t xml:space="preserve"> in louder vehicles less appealing. At the same time, these individuals are more sensitive to the broader impacts of UAM noise within residential environments, leading to reduced preferences for more disruptive modes. Notably, neither UAM noise levels alone nor the UAM noise sensitivity latent construct independently have a significant impact on mode choice. Instead, the results suggest that preferences are shaped by the interaction between</w:t>
      </w:r>
      <w:r w:rsidR="00537B67" w:rsidRPr="00677CE8">
        <w:t xml:space="preserve"> the specific UAM operating conditions and</w:t>
      </w:r>
      <w:r w:rsidRPr="00677CE8">
        <w:t xml:space="preserve"> individual sensitivit</w:t>
      </w:r>
      <w:r w:rsidR="00537B67" w:rsidRPr="00677CE8">
        <w:t>ies</w:t>
      </w:r>
      <w:r w:rsidRPr="00677CE8">
        <w:t xml:space="preserve">. </w:t>
      </w:r>
      <w:r w:rsidR="005658AB" w:rsidRPr="00677CE8">
        <w:t>As discussed in Section 5.2.1, however, the relative magnitudes of the estimated effects indicate that convenience may outweigh these concerns at the individual level. The disutility associated with high UAM noise levels among UAM noise-sensitive individuals (coefficient of -0.0749) exceeds the utility gain associated with locating a vertiport within 0.5–1 mile of the traveler (coefficient of 0.0565 relative to a vertiport located more than one mile away). In contrast, door-to-door service provides a larger utility benefit (coefficient of 0.1557), more than offsetting the negative effect of high noise levels on adoption among UAM noise-sensitive individuals (net effect of -0.0749 + 0.1557 = 0.0808).</w:t>
      </w:r>
      <w:r w:rsidR="005658AB">
        <w:t xml:space="preserve"> These findings suggest that noise concerns shape the individual-level adoption decisions of UAM noise-sensitive individuals but do not dominate them, with convenient access to UAM services exerting a stronger influence on modal preferences. </w:t>
      </w:r>
      <w:r w:rsidRPr="00677CE8">
        <w:t>These findings add nuance to prior research that has identified community-level resistance to UAM noise</w:t>
      </w:r>
      <w:r w:rsidR="00BB72B9" w:rsidRPr="00677CE8">
        <w:t xml:space="preserve"> disruptions</w:t>
      </w:r>
      <w:r w:rsidRPr="00677CE8">
        <w:t xml:space="preserve"> </w:t>
      </w:r>
      <w:r w:rsidRPr="00677CE8">
        <w:fldChar w:fldCharType="begin"/>
      </w:r>
      <w:r w:rsidR="00B7697D" w:rsidRPr="00677CE8">
        <w:instrText xml:space="preserve"> ADDIN ZOTERO_ITEM CSL_CITATION {"citationID":"Jb1hWuDS","properties":{"unsorted":false,"formattedCitation":"(Goyal et al., 2018; K\\uc0\\u228{}hler et al., 2022)","plainCitation":"(Goyal et al., 2018; Kähler et al., 2022)","noteIndex":0},"citationItems":[{"id":1526,"uris":["http://zotero.org/groups/6194892/items/AQBZWFUV"],"itemData":{"id":1526,"type":"report","abstract":"The Booz Allen Team explored market size and potential barriers to Urban Air Mobility (UAM) by focusing on three potential markets – Airport Shuttle, Air Taxi, and Air Ambulance. We found that the Airport Shuttle and Air Taxi markets are viable, with a significant total available market value in the U.S. of $500 billion, for a fully unconstrained scenario. In this unconstrained best-case scenario, passengers would have the ability to access and fly a UAM at any time, from any location to any destination, without being hindered by constraints such as weather, infrastructure, or traffic volume. Significant legal and regulatory, weather, certification, public perception, and infrastructure constraints exist, which reduce the market potential for these applications to only about 0.5% of the total available market, or $2.5 billion, in the near term. However, we determined that these constraints can be addressed through ongoing intra-governmental partnerships, government and industry collaboration, strong industry commitment, and existing legal and regulatory enablers. We found that the Air Ambulance market is not a viable market if served by electric vertical takeoff and landing (eVTOL) vehicles due to technology constraints but may potentially be viable if a hybrid VTOL aircraft are utilized. The barriers and challenges we characterized in this study can be stratified according to their applicability or potential mitigation through technology as well as market maturity (Figure 1). In the near term, high cost of service will be a key economic challenge. We found potential for significant reduction in service cost through increased vehicle and component efficiency, and automation in a more mature market scenario. Weather conditions also pose a challenge to the UAM market, though there is potential for mitigation of some of these impacts through technology such as sensors enabling operations in low visibility. However, even in a mature market with advanced technology, disruptions are still likely to occur due to weather events such as thunderstorms and strong winds. High density operations will likely stress the current Air Traffic Management (ATM) system in the near term, but technology and new initiatives such as the Air Traffic Management -eXploration project (ATM-X) will enable safe and efficient integration of UAM into the National Airspace System (NAS). Current battery technology creates a barrier in the near term, especially for the Air Ambulance market, as battery weight and extensive recharging times would be needed for these operations. Advancements in battery technology, as well as use of hybrid VTOLs, could significantly reduce this barrier in the longer term. As UAM emerges as a viable mode of transportation in the near term, adverse energy and environmental impacts, particularly noise, may impact community acceptance and potentially persist as the market matures into larger-scale operations. For non-technology related challenges, we found that infrastructure constraints will create a significant barrier to UAM in the near term but could be addressed in the longer term through development and expansion of vertiports. Competition from existing modes of transportation such as ride-sharing (e.g., Lyft, Uber) and ground taxi’s pose a key barrier to UAM in the short term, which will likely evolve into competition from other emerging technologies such as autonomous cars and electric trains in the longer term. Weather events will influence other components of the operation such as passenger comfort (e.g., extreme temperatures, turbulence) and infrastructure (e.g., winter weather causing cracks and degradation in vertiports). There is also potential for these impacts to be heightened in the longer term from the increased frequency of adverse weather such as thunderstorms due to changing climatic conditions. We also found that the public has strong concerns about safety as a passenger in a piloted UAM, including “lasing” of pilots, unruly passengers, and sabotage. They would prefer that all passengers pass through a security screening process before boarding a vehicle. They would also prefer to use UAM for longer regional trips, such as flying from Washington, DC to Baltimore, MD or San Diego, CA to Los Angeles, CA. A longer term automated UAM vehicle market will face challenges due to public apprehension about automation and unmanned operations, and a preference to fly with passengers they know in an autonomous (unmanned) operational scenario.","note":"NTRS Author Affiliations: Booz Allen Hamilton (United States), University of California, Berkeley\nNTRS Document ID: 20190001472\nNTRS Research Center: Headquarters (HQ)","number":"HQ-E-DAA-TN65181","source":"NASA NTRS","title":"Urban Air Mobility (UAM) Market Study","URL":"https://ntrs.nasa.gov/citations/20190001472","author":[{"family":"Goyal","given":"Rohit"},{"family":"Reiche","given":"Colleen"},{"family":"Fernando","given":"Chris"},{"family":"Serrao","given":"Jacquie"},{"family":"Kimmel","given":"Shawn"},{"family":"Cohen","given":"Adam"},{"family":"Shaheen","given":"Susan"}],"accessed":{"date-parts":[["2026",3,16]]},"issued":{"date-parts":[["2018",11,21]]}}},{"id":487,"uris":["http://zotero.org/groups/6194892/items/YCANCCMH"],"itemData":{"id":487,"type":"article-journal","abstract":"Public attitude toward Unmanned Aerial Vehicles (UAVs) has been extensively researched, frequently using surveys or experimental settings involving sound/noise. In this study, we present an experiment using visual stimuli, exploring not only the acceptance of UAVs as such but also of their interactions with different environments. The stimuli were pictures of quadcopters, either white or orange, with medical or commercial markings. For comparison, pictures of helicopters with the same four variations and a goose were also used. These pictures were superimposed over three types of backgrounds: urban, industrial, and rural. Twenty-four student participants took part in this study, each responding to 81 stimuli with Likert scale ratings for the acceptance and beauty of the stimuli after responding to objects that were used as a manipulation check. Reaction times for all responses were recorded. Afterward, participants completed a survey designed to identify the reasons for their judgments regarding acceptance. Our results deliver a complex view of the acceptance of UAVs. For example, the usage of the UAV had the largest impact on acceptance, with medical usage having the highest acceptance rating. Commercial usage was more accepted in industrial areas, and UAVs were more accepted than helicopters. The survey showed a heterogeneous variety and relevance of reasons for the acceptance ratings. On average, usefulness, traffic relief, reduction of privacy, and acceptance by society were indicated as the most relevant factors affecting the acceptance ratings. In general, our study suggests that the less considered visual factors of drones (salience in our study) can be expected to influence the acceptance of UAVs in addition to the noise factor. Most importantly, the physical characteristics of UAVs alone are insufficient to predict their acceptance. The purposes for which UAVs are used (that might be visually recognizable) and the environment in which they are operated play an important role in shaping public attitudes towards this new technology.","container-title":"Technology in Society","DOI":"10.1016/j.techsoc.2022.102096","ISSN":"0160-791X","source":"ScienceDirect","title":"An Assessment of the Acceptance and Aesthetics of UAVs and Helicopters Through an Experiment and a Survey","URL":"https://www.sciencedirect.com/science/article/pii/S0160791X22002378","volume":"71","author":[{"family":"Kähler","given":"Svantje T."},{"family":"Abben","given":"Thomas"},{"family":"Luna-Rodriguez","given":"Aquiles"},{"family":"Tomat","given":"Miriam"},{"family":"Jacobsen","given":"Thomas"}],"accessed":{"date-parts":[["2025",1,9]]},"issued":{"date-parts":[["2022",11,1]]}}}],"schema":"https://github.com/citation-style-language/schema/raw/master/csl-citation.json"} </w:instrText>
      </w:r>
      <w:r w:rsidRPr="00677CE8">
        <w:fldChar w:fldCharType="separate"/>
      </w:r>
      <w:r w:rsidRPr="00677CE8">
        <w:rPr>
          <w:kern w:val="0"/>
        </w:rPr>
        <w:t>(Goyal et al., 2018; Kähler et al., 2022)</w:t>
      </w:r>
      <w:r w:rsidRPr="00677CE8">
        <w:fldChar w:fldCharType="end"/>
      </w:r>
      <w:r w:rsidRPr="00677CE8">
        <w:t xml:space="preserve">, illuminating the factors which shape adoption at the individual level. </w:t>
      </w:r>
    </w:p>
    <w:p w14:paraId="1D648FC1" w14:textId="0048EBD8" w:rsidR="00750AEC" w:rsidRPr="00677CE8" w:rsidRDefault="00750AEC" w:rsidP="00750AEC">
      <w:pPr>
        <w:spacing w:after="0" w:line="240" w:lineRule="auto"/>
        <w:ind w:firstLine="720"/>
        <w:jc w:val="both"/>
      </w:pPr>
      <w:r w:rsidRPr="00677CE8">
        <w:t>Finally, individuals with more positive perception</w:t>
      </w:r>
      <w:r w:rsidR="00377C6B" w:rsidRPr="00677CE8">
        <w:t>s</w:t>
      </w:r>
      <w:r w:rsidRPr="00677CE8">
        <w:t xml:space="preserve"> of travel are less inclined towards UAM alternatives, suggesting a greater level of satisfaction with their current travel experience. Conversely, these results indicate that individuals who perceive travel as burdensome or unproductive may be more receptive to UAM alternatives. In particular, the potential for engaging in alternative activities</w:t>
      </w:r>
      <w:r w:rsidR="00537B67" w:rsidRPr="00677CE8">
        <w:t xml:space="preserve"> such as work, rest, or recreation</w:t>
      </w:r>
      <w:r w:rsidRPr="00677CE8">
        <w:t xml:space="preserve"> during travel may increase the utility of the</w:t>
      </w:r>
      <w:r w:rsidR="002B2634" w:rsidRPr="00677CE8">
        <w:t xml:space="preserve"> UAM</w:t>
      </w:r>
      <w:r w:rsidRPr="00677CE8">
        <w:t xml:space="preserve"> modes for currently dissatisfied individuals. </w:t>
      </w:r>
      <w:r w:rsidR="004A4BD9" w:rsidRPr="00677CE8">
        <w:t>While the significance of this result reaches only the 80% confidence level, it suggests that current travel experiences have the potential to play an important role in adoption.</w:t>
      </w:r>
    </w:p>
    <w:p w14:paraId="0A4A75CE" w14:textId="77777777" w:rsidR="00530D7A" w:rsidRPr="00677CE8" w:rsidRDefault="00530D7A" w:rsidP="00750AEC">
      <w:pPr>
        <w:spacing w:after="0" w:line="240" w:lineRule="auto"/>
        <w:ind w:firstLine="720"/>
        <w:jc w:val="both"/>
      </w:pPr>
    </w:p>
    <w:p w14:paraId="39F9EEC5" w14:textId="77777777" w:rsidR="00530D7A" w:rsidRPr="00677CE8" w:rsidRDefault="00530D7A" w:rsidP="00530D7A">
      <w:pPr>
        <w:spacing w:after="0" w:line="240" w:lineRule="auto"/>
        <w:jc w:val="both"/>
      </w:pPr>
      <w:r w:rsidRPr="00C91D5B">
        <w:rPr>
          <w:b/>
          <w:bCs/>
        </w:rPr>
        <w:t>Demographics:</w:t>
      </w:r>
      <w:r w:rsidRPr="00677CE8">
        <w:t xml:space="preserve"> The demographic effects listed in Table 6 provide the direct effects of individual- and household-level demographics after accounting for the indirect effects of demographic characteristics mediated by the latent constructs. Overall, relatively few demographic variables </w:t>
      </w:r>
      <w:r w:rsidRPr="00677CE8">
        <w:lastRenderedPageBreak/>
        <w:t xml:space="preserve">exhibit direct effects, suggesting that much of the influence of demographics on mode preferences is indirect through individual attitudes. </w:t>
      </w:r>
    </w:p>
    <w:p w14:paraId="4449D867" w14:textId="6961D178" w:rsidR="00530D7A" w:rsidRPr="00677CE8" w:rsidRDefault="00530D7A" w:rsidP="001A6644">
      <w:pPr>
        <w:spacing w:after="0" w:line="240" w:lineRule="auto"/>
        <w:ind w:firstLine="720"/>
        <w:jc w:val="both"/>
      </w:pPr>
      <w:r w:rsidRPr="00677CE8">
        <w:t>Gender and age both exhibit direct effects</w:t>
      </w:r>
      <w:r w:rsidR="00CC5680" w:rsidRPr="00677CE8">
        <w:t>. Even beyond the tech-savviness effect on UAM mode preference, m</w:t>
      </w:r>
      <w:r w:rsidRPr="00677CE8">
        <w:t xml:space="preserve">en exhibit </w:t>
      </w:r>
      <w:r w:rsidR="00CC5680" w:rsidRPr="00677CE8">
        <w:t xml:space="preserve">an </w:t>
      </w:r>
      <w:r w:rsidRPr="00677CE8">
        <w:t xml:space="preserve">elevated utility for the air taxi mode. One possible explanation is that men are more likely to associate vehicles with status and identity </w:t>
      </w:r>
      <w:r w:rsidRPr="00677CE8">
        <w:fldChar w:fldCharType="begin"/>
      </w:r>
      <w:r w:rsidR="00B7697D" w:rsidRPr="00677CE8">
        <w:instrText xml:space="preserve"> ADDIN ZOTERO_ITEM CSL_CITATION {"citationID":"hfOg5HHK","properties":{"unsorted":false,"formattedCitation":"(Robbennolt et al., 2025; Sovacool &amp; Axsen, 2018)","plainCitation":"(Robbennolt et al., 2025; Sovacool &amp; Axsen, 2018)","dontUpdate":true,"noteIndex":0},"citationItems":[{"id":1767,"uris":["http://zotero.org/groups/6194892/items/4LGSAWQW"],"itemData":{"id":1767,"type":"article-journal","abstract":"While there is broad interest in understanding electric vehicle (EV) adoption patterns, many existing studies are confined to an examination of stated adoption intentions rather than revealed behaviors. Accordingly, we use a survey of 1,098 California households to examine the ways that demographics, lifestyle preferences, and perceptions of EV characteristics impact revealed adoption behaviors. In addition, the survey asked current EV owners to rank the importance of a set of factors that influenced their adoption decision, enabling an investigation of the motivations for EV ownership. By modeling EV adoption and the motivations in a joint binary-ranked choice framework, we account for sample selection effects, enabling us to generalize these motivations to the population at large and identify policy measures to encourage adoption among those who have yet to adopt. This approach provides insights into the implementation of EV incentive policies, deployment of EVs, and development of EV charging infrastructure.","container-title":"Transportation Research Part D: Transport and Environment","DOI":"10.1016/j.trd.2025.104906","ISSN":"1361-9209","journalAbbreviation":"Transportation Research Part D: Transport and Environment","page":"104906","source":"ScienceDirect","title":"A model of electric vehicle adoption and motivating reasons for adoption","volume":"146","author":[{"family":"Robbennolt","given":"Dale"},{"family":"Hardman","given":"Scott"},{"family":"Firestone","given":"Jeremy"},{"family":"Bhat","given":"Chandra R."}],"issued":{"date-parts":[["2025",9,1]]}}},{"id":1827,"uris":["http://zotero.org/groups/6194892/items/UHK53R2W"],"itemData":{"id":1827,"type":"article-journal","abstract":"Automobility refers to the continued, self-perpetuating dominance of privately-owned, gasoline-powered vehicles used primarily by single occupants—a system which clearly has broad environmental and societal impacts. Despite increasing societal interest in transitions to more sustainable transportation technologies, there has been little consideration of how such innovations might challenge, maintain or support different aspects of automobility, and what that means for technology deployment, transport policy, and user practices. To bring attention to the complexity and apparent durability of the automobility system, in this paper we develop a conceptual framework that explores automobility through a categorization of frames, or shared cultural meanings. This framework moves beyond the typical focus on private, functional considerations of user choice, financial costs and time use to also consider symbolic and societal frames of automobility that exist among users, non-users, industry, policymakers and other relevant social groups. We illustrate this framework with eight particular frames of automobility that fall into four broad categories: private-functional frames such as (1) cocooning and fortressing and (2) mobile digital offices; private-symbolic frames such as (3) gender identity and (4) social status; societal-functional frames such as (5) environmental stewardship and (6) suburbanization; and societal-symbolic frames such as (7) self-sufficiency and (8) innovativeness. Finally, we start the process of discussing several transportation innovations in light of these automobility frames, namely electrified, autonomous and shared mobility—examining early evidence for which frames would be challenged or supported by such transitions. We believe that appreciation of the complex and varied frames of automobility can enrich discussion of transitions and policy relating to sustainable transportation.","container-title":"Transportation Research Part A: Policy and Practice","DOI":"10.1016/j.tra.2018.10.008","ISSN":"0965-8564","journalAbbreviation":"Transportation Research Part A: Policy and Practice","page":"730-746","source":"ScienceDirect","title":"Functional, symbolic and societal frames for automobility: Implications for sustainability transitions","title-short":"Functional, symbolic and societal frames for automobility","volume":"118","author":[{"family":"Sovacool","given":"Benjamin K."},{"family":"Axsen","given":"Jonn"}],"issued":{"date-parts":[["2018",12,1]]}}}],"schema":"https://github.com/citation-style-language/schema/raw/master/csl-citation.json"} </w:instrText>
      </w:r>
      <w:r w:rsidRPr="00677CE8">
        <w:fldChar w:fldCharType="separate"/>
      </w:r>
      <w:r w:rsidRPr="00677CE8">
        <w:t>(</w:t>
      </w:r>
      <w:r w:rsidR="00D45F85" w:rsidRPr="00677CE8">
        <w:t xml:space="preserve">Sovacool and Axsen, 2018; </w:t>
      </w:r>
      <w:r w:rsidRPr="00677CE8">
        <w:t>Robbennolt et al., 2025)</w:t>
      </w:r>
      <w:r w:rsidRPr="00677CE8">
        <w:fldChar w:fldCharType="end"/>
      </w:r>
      <w:r w:rsidRPr="00677CE8">
        <w:t>. In this context, a technologically advanced and private mode such as an air taxi may be perceived by men as premium, enhancing its appeal. On the age front, individuals within the 35-64 age group exhibit lower preferences for the air metro mode</w:t>
      </w:r>
      <w:r w:rsidR="00CC5680" w:rsidRPr="00677CE8">
        <w:t xml:space="preserve"> specifically</w:t>
      </w:r>
      <w:r w:rsidR="001A6644" w:rsidRPr="00677CE8">
        <w:t xml:space="preserve">, with no corresponding effect observed for air taxi services. This finding suggests that middle-aged respondents exhibit a reduced interest in shared aerial mobility options relative to other age groups. </w:t>
      </w:r>
      <w:r w:rsidRPr="00677CE8">
        <w:t>At the same time, this group is more responsive to improvements in</w:t>
      </w:r>
      <w:r w:rsidR="00F3557E">
        <w:t xml:space="preserve"> crash-related</w:t>
      </w:r>
      <w:r w:rsidRPr="00677CE8">
        <w:t xml:space="preserve"> safety, showing higher preferences for aerial modes when they are presented as </w:t>
      </w:r>
      <w:r w:rsidR="00F3557E">
        <w:t>having fewer crashes</w:t>
      </w:r>
      <w:r w:rsidRPr="00677CE8">
        <w:t xml:space="preserve"> </w:t>
      </w:r>
      <w:proofErr w:type="gramStart"/>
      <w:r w:rsidRPr="00677CE8">
        <w:t>per-mile</w:t>
      </w:r>
      <w:proofErr w:type="gramEnd"/>
      <w:r w:rsidRPr="00677CE8">
        <w:t xml:space="preserve"> than GB alternatives. Compared to younger and older individuals, this middle-age group is likely to be in a life cycle with more responsibility (such as having dependent children or dependent parents), which may make them more safety-centered </w:t>
      </w:r>
      <w:r w:rsidRPr="00677CE8">
        <w:fldChar w:fldCharType="begin"/>
      </w:r>
      <w:r w:rsidR="00B7697D" w:rsidRPr="00677CE8">
        <w:instrText xml:space="preserve"> ADDIN ZOTERO_ITEM CSL_CITATION {"citationID":"4WKfBjLg","properties":{"unsorted":false,"formattedCitation":"(Cox &amp; Cicchino, 2022; Orit Taubman &amp; Noy, 2011)","plainCitation":"(Cox &amp; Cicchino, 2022; Orit Taubman &amp; Noy, 2011)","dontUpdate":true,"noteIndex":0},"citationItems":[{"id":1889,"uris":["http://zotero.org/groups/6194892/items/SGPLLTTV"],"itemData":{"id":1889,"type":"article-journal","abstract":"Introduction: Older adults drive older vehicles despite the safety benefits of newer, more crashworthy vehicles. We aimed to build upon previous research and assess vehicle preferences, buying and ownership patterns, and perceptions of safety among older drivers compared with middle-aged drivers. Methods: Mixed-mode telephone and online panel surveys were conducted with a nationally representative sample of drivers ages 35–54 and 70 and older. Participants were interviewed about their primary vehicle and the characteristics they deemed important at purchase, along with general attitudes surrounding vehicle safety. Results: Fifty-eight percent of drivers ages 70–79 and 63% of drivers 80 and older reported keeping a vehicle on average for 7 years or more before replacing it, compared with 32% of drivers 35–54. At purchase, older drivers were less likely than middle-aged drivers to have insisted upon safety technologies and were less likely to consider safety ratings; 10% of drivers 80 and older and 9% of those 70–79 indicated ratings were not at all important, compared with 4% of those ages 35–54. Among drivers 70 and older, driving patterns and income were strongly associated with vehicle age and type of vehicle driven. Conclusions: Older drivers place lower importance on vehicle safety and are less likely to seek safety features at purchase than middle-aged drivers. Compounding this, drivers 70 and older who do not drive frequently or who associate low mileage with vehicle safety are less likely to replace their older, low-mileage vehicles. Practical Application: Increasing older drivers’ understanding of the importance of advancements in vehicle safety may result in greater ownership of safer vehicles and fewer road injuries.","container-title":"Journal of Safety Research","DOI":"10.1016/j.jsr.2022.08.018","ISSN":"0022-4375","journalAbbreviation":"Journal of Safety Research","page":"223-231","source":"ScienceDirect","title":"Older driver vehicle preferences and perceptions of safety: A survey","title-short":"Older driver vehicle preferences and perceptions of safety","volume":"83","author":[{"family":"Cox","given":"Aimee E."},{"family":"Cicchino","given":"Jessica B."}],"issued":{"date-parts":[["2022",12,1]]}}},{"id":2208,"uris":["http://zotero.org/groups/6194892/items/NBZW4YJK"],"itemData":{"id":2208,"type":"article-journal","abstract":"Most parents remember the first time they drove with a newborn child in the car. Feeling the need to protect the infant, they avoided sharp turns and drove more slowly and carefully than normal. But how long do these behaviors persist? Do parents ultimately revert to their previous driving patterns, or does some of the early protectiveness and caution continue to characterize their driving as their infant grows into a toddler and preschooler? In an attempt to answer these questions, two studies were conducted on parents of young children: a qualitative study consisting of personal interviews (16 parents); and a quantitative study in the form of a national telephone survey (165 parents). The results show that the most dominant reported effect of the transition to parenthood on driving is increased apprehension of traffic crashes and a stronger sense of responsibility. However, these changes were found to influence the reported actual driving behavior of only a portion of the parents. Possible explanations of the findings are discussed.","container-title":"Accident Analysis &amp; Prevention","DOI":"10.1016/j.aap.2010.12.001","ISSN":"0001-4575","issue":"3","journalAbbreviation":"Accident Analysis &amp; Prevention","page":"1022-1035","source":"ScienceDirect","title":"Does the transition to parenthood influence driving?","volume":"43","author":[{"family":"Orit Taubman","given":"Ben-Ari"},{"family":"Noy","given":"Adi"}],"issued":{"date-parts":[["2011",5,1]]}}}],"schema":"https://github.com/citation-style-language/schema/raw/master/csl-citation.json"} </w:instrText>
      </w:r>
      <w:r w:rsidRPr="00677CE8">
        <w:fldChar w:fldCharType="separate"/>
      </w:r>
      <w:r w:rsidRPr="00677CE8">
        <w:t>(</w:t>
      </w:r>
      <w:r w:rsidR="00D45F85" w:rsidRPr="00677CE8">
        <w:t xml:space="preserve">Orit Taubman and Noy, 2011; </w:t>
      </w:r>
      <w:r w:rsidRPr="00677CE8">
        <w:t>Cox and Cicchino, 2022</w:t>
      </w:r>
      <w:r w:rsidR="00D45F85" w:rsidRPr="00677CE8">
        <w:t>)</w:t>
      </w:r>
      <w:r w:rsidRPr="00677CE8">
        <w:fldChar w:fldCharType="end"/>
      </w:r>
      <w:r w:rsidRPr="00677CE8">
        <w:t>.</w:t>
      </w:r>
    </w:p>
    <w:p w14:paraId="5FFFC347" w14:textId="399DEC23" w:rsidR="00530D7A" w:rsidRPr="00677CE8" w:rsidRDefault="00530D7A" w:rsidP="00530D7A">
      <w:pPr>
        <w:spacing w:after="0" w:line="240" w:lineRule="auto"/>
        <w:ind w:firstLine="720"/>
        <w:jc w:val="both"/>
      </w:pPr>
      <w:r w:rsidRPr="00677CE8">
        <w:t xml:space="preserve">Level of education also plays a role, with college-educated individuals exhibiting elevated preferences for public transportation relative to those with lower levels of formal education, presumably a reflection of greater environmental awareness and a higher propensity to engage in sustainable behaviors </w:t>
      </w:r>
      <w:r w:rsidRPr="00677CE8">
        <w:fldChar w:fldCharType="begin"/>
      </w:r>
      <w:r w:rsidRPr="00677CE8">
        <w:instrText xml:space="preserve"> ADDIN ZOTERO_ITEM CSL_CITATION {"citationID":"yiHzqzIH","properties":{"unsorted":false,"formattedCitation":"(Liu et al., 2020; Robbennolt et al., 2025)","plainCitation":"(Liu et al., 2020; Robbennolt et al., 2025)","noteIndex":0},"citationItems":[{"id":1830,"uris":["http://zotero.org/groups/6194892/items/BFC9KMSR"],"itemData":{"id":1830,"type":"article-journal","abstract":"This paper explores how general environmental knowledge shapes environmental attitudes, behavioral intentions, and pro-environmental behaviors in relation to the surrounding environment. Structural equation modeling (SEM) with bootstrapping estimation was conducted to assess a causal chain from environmental knowledge to pro-environmental behaviors with a nationally representative sample of 2824 respondents from China. The results show that environmental knowledge has a significant positive effect on environmental attitudes, environmental attitudes have a significant positive effect on environmental behavioral intentions and pro-environmental behaviors, and environmental behavioral intentions have a significant positive effect on pro-environmental behaviors. We also concluded that although environmental knowledge has no significant direct effects on pro-environmental behaviors, it is a crucial distal variable whose significant effect is fully mediated by environmental attitudes and environmental behavioral intentions. The results of the multigroup SEM showed that the moderating effect of external context on the relationship between environmental behavioral intentions and pro-environmental behaviors and various demographic variables (e.g., gender, urban vs. rural residence, education level, and region) have diverse effects on the model in this study.","container-title":"Science of The Total Environment","DOI":"10.1016/j.scitotenv.2020.138126","ISSN":"0048-9697","journalAbbreviation":"Science of The Total Environment","page":"138126","source":"ScienceDirect","title":"How does environmental knowledge translate into pro-environmental behaviors?: The mediating role of environmental attitudes and behavioral intentions","title-short":"How does environmental knowledge translate into pro-environmental behaviors?","volume":"728","author":[{"family":"Liu","given":"Pihui"},{"family":"Teng","given":"Minmin"},{"family":"Han","given":"Chuanfeng"}],"issued":{"date-parts":[["2020",8,1]]}}},{"id":1767,"uris":["http://zotero.org/groups/6194892/items/4LGSAWQW"],"itemData":{"id":1767,"type":"article-journal","abstract":"While there is broad interest in understanding electric vehicle (EV) adoption patterns, many existing studies are confined to an examination of stated adoption intentions rather than revealed behaviors. Accordingly, we use a survey of 1,098 California households to examine the ways that demographics, lifestyle preferences, and perceptions of EV characteristics impact revealed adoption behaviors. In addition, the survey asked current EV owners to rank the importance of a set of factors that influenced their adoption decision, enabling an investigation of the motivations for EV ownership. By modeling EV adoption and the motivations in a joint binary-ranked choice framework, we account for sample selection effects, enabling us to generalize these motivations to the population at large and identify policy measures to encourage adoption among those who have yet to adopt. This approach provides insights into the implementation of EV incentive policies, deployment of EVs, and development of EV charging infrastructure.","container-title":"Transportation Research Part D: Transport and Environment","DOI":"10.1016/j.trd.2025.104906","ISSN":"1361-9209","journalAbbreviation":"Transportation Research Part D: Transport and Environment","page":"104906","source":"ScienceDirect","title":"A model of electric vehicle adoption and motivating reasons for adoption","volume":"146","author":[{"family":"Robbennolt","given":"Dale"},{"family":"Hardman","given":"Scott"},{"family":"Firestone","given":"Jeremy"},{"family":"Bhat","given":"Chandra R."}],"issued":{"date-parts":[["2025",9,1]]}}}],"schema":"https://github.com/citation-style-language/schema/raw/master/csl-citation.json"} </w:instrText>
      </w:r>
      <w:r w:rsidRPr="00677CE8">
        <w:fldChar w:fldCharType="separate"/>
      </w:r>
      <w:r w:rsidRPr="00677CE8">
        <w:t>(Liu et al., 2020; Robbennolt et al., 2025)</w:t>
      </w:r>
      <w:r w:rsidRPr="00677CE8">
        <w:fldChar w:fldCharType="end"/>
      </w:r>
      <w:r w:rsidRPr="00677CE8">
        <w:t>. The only direct racial effects relate to Black respondents, who exhibit a reduced preference for public transportation. This finding</w:t>
      </w:r>
      <w:r w:rsidR="00CC5680" w:rsidRPr="00677CE8">
        <w:t xml:space="preserve"> is, however, not inconsistent with </w:t>
      </w:r>
      <w:r w:rsidRPr="00677CE8">
        <w:t xml:space="preserve">widely observed patterns of higher transit usage among Black populations in the United States </w:t>
      </w:r>
      <w:r w:rsidRPr="00677CE8">
        <w:fldChar w:fldCharType="begin"/>
      </w:r>
      <w:r w:rsidRPr="00677CE8">
        <w:instrText xml:space="preserve"> ADDIN ZOTERO_ITEM CSL_CITATION {"citationID":"HTNwoJIU","properties":{"unsorted":false,"formattedCitation":"(Purifoye, 2020; Swistara, 2020; Yang, 2025)","plainCitation":"(Purifoye, 2020; Swistara, 2020; Yang, 2025)","noteIndex":0},"citationItems":[{"id":1908,"uris":["http://zotero.org/groups/6194892/items/N5L3MZ49"],"itemData":{"id":1908,"type":"article-journal","abstract":"The central city is once again hot. Many city areas where poor minorities were left behind during the decades-long suburban growth are experiencing a revival. New high-rise condominiums and other developments are drawing tens of thousands back to city spaces that were once considered undesirable. These ‘return to the city’ trends are supported in part by growth machine engines, such as Transit Oriented Development (TOD) and TIF (Tax Increment Financing) districts, often to the detriment of lower-income minority residents, who still find themselves trapped within the boundaries of spatial inequalities in the city. Drawing on six years of ethnographic fieldwork in Chicago, I show how public transportation is used to buttress the city’s growth machine, while simultaneously maintaining the boundaries of spatial and other types of inequalities. In doing so, I highlight how public transit is used to create and support growth along race (and class) lines. Specifically, I show how mobility and growth for Whites and predominantly White spaces in the city are proactively shaped through favorable new public transit development and revitalization initiatives such as TOD and TIF. At the same time, in predominantly Black and Latinx spaces, where intracommunity public transportation usage is high, new transit related development is below sparse or completely lacking, further fortifying transit and other spatial boundaries.","container-title":"Mobilities","DOI":"10.1080/17450101.2020.1738684","ISSN":"1745-0101","issue":"4","note":"_eprint: https://doi.org/10.1080/17450101.2020.1738684","page":"480-499","publisher":"Routledge","source":"Taylor and Francis+NEJM","title":"Transit boundaries: race and the paradox of immobility within mobile systems","title-short":"Transit boundaries","volume":"15","author":[{"family":"Purifoye","given":"Gwendolyn Y."}],"issued":{"date-parts":[["2020",7,3]]}}},{"id":1910,"uris":["http://zotero.org/groups/6194892/items/R9I2YEWB"],"itemData":{"id":1910,"type":"article-journal","abstract":"Disclaimer: This summary was generated by AI based on the content of the source document.","container-title":"Michigan Journal of Race &amp; Law","issue":"2","journalAbbreviation":"Mich. J. Race &amp; L.","language":"eng","page":"521-566","source":"HeinOnline","title":"A Fare Share: A Proposed Solution to Address the Racial Disparity in Access to Public Transportation Funding in America","title-short":"A Fare Share","volume":"26","author":[{"family":"Swistara","given":"Michael"}],"issued":{"date-parts":[["2020"]],"season":"2021"}}},{"id":1912,"uris":["http://zotero.org/groups/6194892/items/MVVLK5RP"],"itemData":{"id":1912,"type":"article-journal","abstract":"Background and objectives\nPublic transit is an important daily transport mode, especially for older adults who face increasing transport restrictions, partly due to the cessation of driving. This study aims to examine public transit use among American older adults, focusing on the impact of public transit stops and neighborhood environment characteristics.\nResearch design and methods\nThe proportions of public transit users among older adults were estimated using the 2017 National Household Travel Survey. Logistic regression models were used to estimate how public transit use was associated with the density of public transit stops in the neighborhoods, controlling for individual, family, and neighborhood environment characteristics. Stratified analyses were conducted for drivers and non-drivers.\nResults\nAmong older adults who drove, 8.9% and 3.2% were users and frequent users of public transit, respectively. These proportions were 26.2% and 16.9% among older adults who were non-drivers, respectively. About 57.7% of older adults lived in neighborhoods without any public transits stops. Non-driver, males, minorities, and high socioeconomic status groups, as well as those living in neighborhoods with a higher density of transit stops, higher walkability, or low deprivation were more likely to use public transit. The impact of transit stop density was more pronounced for drivers than non-drivers. The use of public transit was associated with a higher number of total trips per day and the impact was more pronounced among non-drivers.\nDiscussion and implications\nProviding public transit as an alternative mode of transportation is crucial for older adults, whether they drive or not, to address the challenges and disparities in daily transport. Additionally, creating walk-friendly environments, particularly near transit stops, is essential.","container-title":"Journal of Transport &amp; Health","DOI":"10.1016/j.jth.2025.101982","ISSN":"2214-1405","journalAbbreviation":"Journal of Transport &amp; Health","page":"101982","source":"ScienceDirect","title":"Public transit use among American older adults: Insights from a nationally representative survey","title-short":"Public transit use among American older adults","volume":"41","author":[{"family":"Yang","given":"Yong"}],"issued":{"date-parts":[["2025",3,1]]}}}],"schema":"https://github.com/citation-style-language/schema/raw/master/csl-citation.json"} </w:instrText>
      </w:r>
      <w:r w:rsidRPr="00677CE8">
        <w:fldChar w:fldCharType="separate"/>
      </w:r>
      <w:r w:rsidRPr="00677CE8">
        <w:t>(Purifoye, 2020; Swistara, 2020; Yang, 2025)</w:t>
      </w:r>
      <w:r w:rsidRPr="00677CE8">
        <w:fldChar w:fldCharType="end"/>
      </w:r>
      <w:r w:rsidRPr="00677CE8">
        <w:t xml:space="preserve">, </w:t>
      </w:r>
      <w:r w:rsidR="00CC5680" w:rsidRPr="00677CE8">
        <w:t xml:space="preserve">because the overall mode choice decision is based on trade-offs between situational constraints </w:t>
      </w:r>
      <w:r w:rsidRPr="00677CE8">
        <w:t>and</w:t>
      </w:r>
      <w:r w:rsidR="00094634" w:rsidRPr="00677CE8">
        <w:t xml:space="preserve"> general mode </w:t>
      </w:r>
      <w:r w:rsidRPr="00677CE8">
        <w:t>preferences.</w:t>
      </w:r>
    </w:p>
    <w:p w14:paraId="71F36F27" w14:textId="510C25EF" w:rsidR="00530D7A" w:rsidRPr="00677CE8" w:rsidRDefault="00530D7A" w:rsidP="00530D7A">
      <w:pPr>
        <w:spacing w:after="0" w:line="240" w:lineRule="auto"/>
        <w:ind w:firstLine="720"/>
        <w:jc w:val="both"/>
      </w:pPr>
      <w:r w:rsidRPr="00677CE8">
        <w:t xml:space="preserve">Regarding household characteristics, individuals from higher-income households exhibit lower preferences for public transportation, consistent with well-documented trends in the literature </w:t>
      </w:r>
      <w:r w:rsidRPr="00677CE8">
        <w:fldChar w:fldCharType="begin"/>
      </w:r>
      <w:r w:rsidR="00B7697D" w:rsidRPr="00677CE8">
        <w:instrText xml:space="preserve"> ADDIN ZOTERO_ITEM CSL_CITATION {"citationID":"HNRjLCZi","properties":{"unsorted":false,"formattedCitation":"(Neff &amp; Pham, 2007; Smith et al., 2025; Taylor &amp; Morris, 2015)","plainCitation":"(Neff &amp; Pham, 2007; Smith et al., 2025; Taylor &amp; Morris, 2015)","dontUpdate":true,"noteIndex":0},"citationItems":[{"id":1892,"uris":["http://zotero.org/groups/6194892/items/5DDQQFHY"],"itemData":{"id":1892,"type":"webpage","abstract":"Data from 150 on-board vehicle passenger surveys conducted by public transportation agencies from 2000 through 2005 were compiled. This is the largest ever on-board survey study about the public transportation industry. These surveys summarized the results of questionnaires completed by over 496,000 public transit riders sampled by transit systems that carry 60 percent of all transit trips in the United States. They describe the demographics and travel behavior of public transit trips and the people who take those trips sampled by on-board surveys; they do not describe the average person who may take public transportation. Each time a person takes a transit trip while their system is conducting a survey, that person has a statistical probability of being sampled. The data are therefore implicitly \"weighted\" by frequency of riding. A person who rides transit more often has a higher likelihood of being sampled, or being sampled more often, than a person who rides fewer times.","language":"English","title":"A Profile of Public Transportation Passenger Demographics and Travel Characteristics Reported in On-Board Surveys","URL":"https://rosap.ntl.bts.gov","author":[{"family":"Neff","given":"John"},{"family":"Pham","given":"Larry"}],"accessed":{"date-parts":[["2026",5,17]]},"issued":{"date-parts":[["2007",5,1]]}}},{"id":1896,"uris":["http://zotero.org/groups/6194892/items/GTF636ZI"],"itemData":{"id":1896,"type":"article-journal","abstract":"Public transit offers significant societal benefits, offering efficient accessibility for all and helping to reduce congestion and greenhouse gas emissions. However, the COVID-19 pandemic has altered many aspects of travel behavior and had particularly important implications for the future use of transit. Despite significant evidence of rebounds in ridership from pandemic lows, transit has not fully recovered. Various factors have contributed to this slow recovery, including continued fears of safety, service cuts, new travel habits, evolving work arrangements, and the growth of online activity participation. In this paper, we examine changes in public transit use during the pandemic, as well as the potential transitory nature of these shifts. Using data from the 2022 National Household Travel Survey, we explore the permanence of pandemic-era changes to public transportation (PT) use behaviors in the United States, connecting future use intentions directly with the change in use during the pandemic. The results of this study point to significant changes of use through the pandemic and heterogeneity in the permanence of these impacts based on age, gender, race, ethnicity, income, and vehicle constraints. By identifying groups who have reduced their use of transit post-pandemic and state that this change is likely to be temporary, we identify individual groups who may be most receptive to PT service improvement interventions. More broadly, we formulate several specific policy recommendations intended to help revitalize transit services in the United States in the aftermath of the pandemic and discuss the implications of the pandemic for current and future public transportation policies.","container-title":"Transport Policy","DOI":"10.1016/j.tranpol.2025.04.027","ISSN":"0967-070X","journalAbbreviation":"Transport Policy","page":"90-100","source":"ScienceDirect","title":"An evaluation of the long-term effects of the COVID-19 pandemic on public transit use in the United States","volume":"169","author":[{"family":"Smith","given":"Bonny V."},{"family":"Robbennolt","given":"Dale"},{"family":"Bhat","given":"Chandra R."}],"issued":{"date-parts":[["2025",8,1]]}}},{"id":1894,"uris":["http://zotero.org/groups/6194892/items/LHKK865I"],"itemData":{"id":1894,"type":"article-journal","abstract":"Strong public and political support for mass transit in the U.S. is based on lofty goals, including congestion reduction, economic development, aesthetics, sustainability, and much more. Yet, as is the case in many areas of public policy, the pursuit of multiple and broad objectives, however worthy, can diffuse efforts and fail to achieve desired results. Moreover, these goals suggest a lack of focus on the needs of transit riders themselves, particularly the poor and transit dependent. We examine this by combining data from the National Household Travel Survey, the National Transit Database, the American Public Transportation Association, and a survey we conducted of 50 U.S. transit operators. First, we find that while rail transit riders in the aggregate are approximately as wealthy as private vehicle travelers, bus patrons have far lower incomes, and this disparity is growing over time. Second, few transit agencies publicly identify serving the poor or minorities as a goal, instead focusing on objectives that appeal to more affluent riders and voters as a whole. Finally, in recent decades transit spending priorities have been slanted away from bus service and towards commuter-oriented rail services favored by the wealthier general voting public, although most members of this group rarely if ever ride transit. We contend that efforts to secure popular support for transit subsidies stifle agencies’ ability to acknowledge transit’s critical social service function and serve the needs of its core demographic. While such strategies make sense politically, underserving the poor may be poor public policy.","container-title":"Transportation","DOI":"10.1007/s11116-014-9547-0","ISSN":"1572-9435","issue":"2","journalAbbreviation":"Transportation","language":"en","page":"347-367","source":"Springer Link","title":"Public transportation objectives and rider demographics: are transit’s priorities poor public policy?","title-short":"Public transportation objectives and rider demographics","volume":"42","author":[{"family":"Taylor","given":"Brian D."},{"family":"Morris","given":"Eric A."}],"issued":{"date-parts":[["2015",3,1]]}}}],"schema":"https://github.com/citation-style-language/schema/raw/master/csl-citation.json"} </w:instrText>
      </w:r>
      <w:r w:rsidRPr="00677CE8">
        <w:fldChar w:fldCharType="separate"/>
      </w:r>
      <w:r w:rsidRPr="00677CE8">
        <w:t xml:space="preserve">(Neff and Pham, 2007; </w:t>
      </w:r>
      <w:r w:rsidR="00D45F85" w:rsidRPr="00677CE8">
        <w:t xml:space="preserve">Taylor and Morris, 2015; </w:t>
      </w:r>
      <w:r w:rsidRPr="00677CE8">
        <w:t>Smith et al., 2025)</w:t>
      </w:r>
      <w:r w:rsidRPr="00677CE8">
        <w:fldChar w:fldCharType="end"/>
      </w:r>
      <w:r w:rsidRPr="00677CE8">
        <w:t>. Housing type also shapes modal utilities, with those living in single</w:t>
      </w:r>
      <w:r w:rsidR="00556040" w:rsidRPr="00677CE8">
        <w:t xml:space="preserve"> </w:t>
      </w:r>
      <w:r w:rsidRPr="00677CE8">
        <w:t xml:space="preserve">family housing exhibiting reduced preferences for air metro, </w:t>
      </w:r>
      <w:proofErr w:type="spellStart"/>
      <w:r w:rsidRPr="00677CE8">
        <w:t>ridehailing</w:t>
      </w:r>
      <w:proofErr w:type="spellEnd"/>
      <w:r w:rsidRPr="00677CE8">
        <w:t xml:space="preserve">, and public transportation alternatives. These patterns may reflect a stronger preference for privacy within the context of both housing and travel, which reduces the attractiveness of shared modes as well as </w:t>
      </w:r>
      <w:proofErr w:type="spellStart"/>
      <w:r w:rsidRPr="00677CE8">
        <w:t>ridehailing</w:t>
      </w:r>
      <w:proofErr w:type="spellEnd"/>
      <w:r w:rsidRPr="00677CE8">
        <w:t xml:space="preserve"> services involving unfamiliar drivers. Household motorized vehicle ownership further reinforces these patterns, with access to a greater number of vehicles associated with reduced preferences for aerial modes and public transportation. This indicates that the more private vehicles an individual has access to, the more likely they are to rely on private vehicle modes such as driving and </w:t>
      </w:r>
      <w:proofErr w:type="spellStart"/>
      <w:r w:rsidRPr="00677CE8">
        <w:t>ridehailing</w:t>
      </w:r>
      <w:proofErr w:type="spellEnd"/>
      <w:r w:rsidRPr="00677CE8">
        <w:t>.</w:t>
      </w:r>
    </w:p>
    <w:p w14:paraId="22FC2EBF" w14:textId="0E45F88D" w:rsidR="00530D7A" w:rsidRPr="00677CE8" w:rsidRDefault="00530D7A" w:rsidP="00530D7A">
      <w:pPr>
        <w:spacing w:after="0" w:line="240" w:lineRule="auto"/>
        <w:ind w:firstLine="720"/>
        <w:jc w:val="both"/>
      </w:pPr>
      <w:r w:rsidRPr="00677CE8">
        <w:t xml:space="preserve">Finally, respondents’ state of residence also influences baseline modal preferences. Specifically, the “Texan” dummy variable has a negative impact on UAM, </w:t>
      </w:r>
      <w:proofErr w:type="spellStart"/>
      <w:r w:rsidRPr="00677CE8">
        <w:t>ridehailing</w:t>
      </w:r>
      <w:proofErr w:type="spellEnd"/>
      <w:r w:rsidRPr="00677CE8">
        <w:t xml:space="preserve">, and public transportation modal alternatives, as shown in the final panel of Table 6, indicating a stronger baseline preference among Texans for private vehicles compared to all other modes. This finding is consistent with a state-level culture of “car pride” </w:t>
      </w:r>
      <w:r w:rsidRPr="00677CE8">
        <w:fldChar w:fldCharType="begin"/>
      </w:r>
      <w:r w:rsidR="00B7697D" w:rsidRPr="00677CE8">
        <w:instrText xml:space="preserve"> ADDIN ZOTERO_ITEM CSL_CITATION {"citationID":"WVkf6kRL","properties":{"unsorted":false,"formattedCitation":"(Moody &amp; Zhao, 2019)","plainCitation":"(Moody &amp; Zhao, 2019)","dontUpdate":true,"noteIndex":0},"citationItems":[{"id":2177,"uris":["http://zotero.org/groups/6194892/items/URA7MPM6"],"itemData":{"id":2177,"type":"article-journal","abstract":"The car fulfills not only instrumental transportation functions, but also holds important symbolic and affective meaning for its owners and users. In particular, owning and using a car can be a symbol of an individual’s social status or personal image (‘car pride’). This paper introduces and validates a standard measure of car pride estimated from 12 survey statements using a cross-sectional sample of 1236 commuters in New York City and Houston metropolitan statistical areas. We find that car pride is higher in Houston than in New York City. We then empirically examine the bidirectional relation between car pride (attitude) and household car ownership (behavior) using structural equation modeling. To identify the bidirectional relationship we use an individual’s general pride as the instrumental variable (IV) for that same individual’s car pride; in the opposite direction, we use the average household vehicle ownership in the respondent’s census block group as the IV for the respondent’s household car ownership. We find that positive and statistically significant relations exist from car pride to car ownership, while the relation in the reverse direction is not statistically significant. On average and in both city subsamples, the relation from car pride to household car ownership (attitude-to-behavior) is much stronger than the reverse (behavior-to-attitude). In fact, in our models car pride is more predictive of car ownership than most individual and household socio-demographics included in traditional ownership forecasting models, including income. Empowered with a well-validated, standard measure for car pride and a robust approach for exploring reciprocal attitude-behavior relations in cross-sectional data, future research can extend the current understanding presented in this paper to explore car pride’s relation with other travel behaviors, the dynamics of these attitude-behavior relations over time, and their implications for policies to promote sustainable travel behavior.","container-title":"Transportation Research Part A: Policy and Practice","DOI":"10.1016/j.tra.2019.04.005","ISSN":"0965-8564","journalAbbreviation":"Transportation Research Part A: Policy and Practice","page":"334-353","source":"ScienceDirect","title":"Car pride and its bidirectional relations with car ownership: Case studies in New York City and Houston","title-short":"Car pride and its bidirectional relations with car ownership","volume":"124","author":[{"family":"Moody","given":"Joanna"},{"family":"Zhao","given":"Jinhua"}],"issued":{"date-parts":[["2019",6,1]]}}}],"schema":"https://github.com/citation-style-language/schema/raw/master/csl-citation.json"} </w:instrText>
      </w:r>
      <w:r w:rsidRPr="00677CE8">
        <w:fldChar w:fldCharType="separate"/>
      </w:r>
      <w:r w:rsidRPr="00677CE8">
        <w:t>(Moody and Zhao, 2019)</w:t>
      </w:r>
      <w:r w:rsidRPr="00677CE8">
        <w:fldChar w:fldCharType="end"/>
      </w:r>
      <w:r w:rsidRPr="00677CE8">
        <w:t xml:space="preserve">, which centers private vehicles as status symbols and means of individual expression </w:t>
      </w:r>
      <w:r w:rsidRPr="00677CE8">
        <w:fldChar w:fldCharType="begin"/>
      </w:r>
      <w:r w:rsidRPr="00677CE8">
        <w:instrText xml:space="preserve"> ADDIN ZOTERO_ITEM CSL_CITATION {"citationID":"78arHOgO","properties":{"unsorted":false,"formattedCitation":"(Chappell, 2012; Wilkins, 2016)","plainCitation":"(Chappell, 2012; Wilkins, 2016)","noteIndex":0},"citationItems":[{"id":2183,"uris":["http://zotero.org/groups/6194892/items/8TMGSP97"],"itemData":{"id":2183,"type":"book","abstract":"Aren’t lowriders always gangbangers? And, don’t they always hold high status in their neighborhoods? Contrary to both stereotypes, the people who build and drive lowrider cars perform diverse roles while mobilizing a distinctive aesthetic that is sometimes an act of resistance and sometimes of belonging. A fresh application of critical ethnographic methods, Lowrider Space looks beyond media portrayals, high-profile show cars, and famous cruising scenes to bring readers a realistic tour of the “ordinary” lowriders who turn streetscapes into stages on which dynamic identities can be performed.Drawing on firsthand participation in everyday practices of car clubs and cruising in Austin, Texas, Ben Chappell challenges histories of erasure, containment, and class immobility to emphasize the politics of presence evidenced in lowrider custom car style. Sketching out a partially personal map of the lowrider presence in Texas’s capital city, Chappell also explores the interior and exterior adornment of the cars (including the use of images of women’s bodies) and the intersecting production of personal and social space. As he moves through a second-hand economy to procure parts necessary for his own lowrider vehicle, on “service sector” wages, themes of materiality and physical labor intersect with questions of identity, ultimately demonstrating how spaces get made in the process of customizing one’s self.","ISBN":"978-0-292-74454-7","language":"en","note":"Google-Books-ID: 2bcV70Aw8r0C","number-of-pages":"262","publisher":"University of Texas Press","source":"Google Books","title":"Lowrider Space: Aesthetics and Politics of Mexican American Custom Cars","title-short":"Lowrider Space","author":[{"family":"Chappell","given":"Ben"}],"issued":{"date-parts":[["2012",7,15]]}}},{"id":2185,"uris":["http://zotero.org/groups/6194892/items/U6E7ID94"],"itemData":{"id":2185,"type":"chapter","abstract":"In Houston’s working-class African American neighborhoods, young men, facing a myriad of social ills, use large motorized vehicles to express themselves and affirm their community. More specifically, they drive outmoded, but ingeniously upgraded, luxury vehicles that sit on extended spoked-wheels, with alternating rattling and knocking sounds coming from their trunks. Step foot into any predominately African American neighborhood around Houston and you will likely witness these cars swerve from lane to lane in a seemingly disordered, but obviously guided fashion. You may also hear them, as their stereo systems are powerful enough to shake the foundation of houses throughout their neighborhoods. You will most often see them stationary, supporting the weight of their owners as they converse with friends and family. This vehicle art form and related culture is called ‘slab’ and it emerged in Houston’s African American neighborhoods over thirty years ago (see Figure 15.1). The term ‘slab’ refers to the slabs of concrete that make up a street or paved road. It emerged in the early days of the culture, when the act of driving the modified car was known as ‘hitting the slab’. A cursory exploration could lead one to conclude that slabs are little more than products of vanity. A critical look, however, reveals that the cars reflect several layers of meaning for their owners. In late 2011, I began conducting field research on the Houston hip hop scene and immediately became interested in slabs seeing them both as products of local street culture and hip hop culture, and also as unique manifestations of the city’s larger motor vehicle culture. In this chapter, I offer an overview of slab culture in Houston, focusing on its aesthetics, history, meanings and the various ways participants safeguard the multi-faceted folk art form and practice.","container-title":"The Routledge Companion to Intangible Cultural Heritage","note":"number-of-pages: 11","publisher":"Routledge","title":"Officially ridin' swangas: Slab as tangible and intangible cultural heritage in Houston, Texas","title-short":"Officially ridin' swangas","author":[{"family":"Wilkins","given":"Langston Collin"}],"issued":{"date-parts":[["2016"]]}}}],"schema":"https://github.com/citation-style-language/schema/raw/master/csl-citation.json"} </w:instrText>
      </w:r>
      <w:r w:rsidRPr="00677CE8">
        <w:fldChar w:fldCharType="separate"/>
      </w:r>
      <w:r w:rsidRPr="00677CE8">
        <w:t>(Chappell, 2012; Wilkins, 2016)</w:t>
      </w:r>
      <w:r w:rsidRPr="00677CE8">
        <w:fldChar w:fldCharType="end"/>
      </w:r>
      <w:r w:rsidRPr="00677CE8">
        <w:t>. In addition, the  largely private vehicle-oriented urban form and transportation infrastructure</w:t>
      </w:r>
      <w:r w:rsidR="00094634" w:rsidRPr="00677CE8">
        <w:t xml:space="preserve"> that </w:t>
      </w:r>
      <w:r w:rsidRPr="00677CE8">
        <w:t xml:space="preserve">dominates Texas metropolitan areas may further reinforce preferences for private vehicles </w:t>
      </w:r>
      <w:r w:rsidRPr="00677CE8">
        <w:fldChar w:fldCharType="begin"/>
      </w:r>
      <w:r w:rsidR="00B7697D" w:rsidRPr="00677CE8">
        <w:instrText xml:space="preserve"> ADDIN ZOTERO_ITEM CSL_CITATION {"citationID":"Bnmt24kg","properties":{"unsorted":false,"formattedCitation":"(Moody &amp; Zhao, 2020)","plainCitation":"(Moody &amp; Zhao, 2020)","dontUpdate":true,"noteIndex":0},"citationItems":[{"id":2180,"uris":["http://zotero.org/groups/6194892/items/VZJ5Q7GX"],"itemData":{"id":2180,"type":"article-journal","abstract":"Individuals attribute social status and personal image to owning and using a car (‘car pride’), which may interact with their travel behavior in complex ways. This study explores the multi-directional relations among car pride, car ownership, and car use for a sample of 1236 adult commuters in New York City, NY and Houston, TX. Applying multivariate structural equation modeling and incorporating instrumental variables, we find evidence of a feedback loop among car pride, car ownership, and car use. Our results suggest that an individual with higher car pride is more likely to own a vehicle, and, enabled with this ownership, use it more frequently. And individuals who use their car more frequently are likely to feel more pride in owning and using their vehicle. This exploration of causal multi-directionality in transportation attitude-behavior relations has important implications for behavioral research, model development, and policy interventions. For researchers, potential bidirectionality must be anticipated from the outset of research design and accounted for appropriately in modeling to address underlying endogeneity. For policymakers, our results suggest that there are multiple intervention points within the reinforcing cycle of attitudes and car consumption. Policies could directly target car ownership and use or could consider influencing behavior through attitude change.","container-title":"Transportation Research Part F: Traffic Psychology and Behaviour","DOI":"10.1016/j.trf.2020.08.021","ISSN":"1369-8478","journalAbbreviation":"Transportation Research Part F: Traffic Psychology and Behaviour","page":"225-236","source":"ScienceDirect","title":"Travel behavior as a driver of attitude: Car use and car pride in U.S. cities","title-short":"Travel behavior as a driver of attitude","volume":"74","author":[{"family":"Moody","given":"Joanna"},{"family":"Zhao","given":"Jinhua"}],"issued":{"date-parts":[["2020",10,1]]}}}],"schema":"https://github.com/citation-style-language/schema/raw/master/csl-citation.json"} </w:instrText>
      </w:r>
      <w:r w:rsidRPr="00677CE8">
        <w:fldChar w:fldCharType="separate"/>
      </w:r>
      <w:r w:rsidRPr="00677CE8">
        <w:t>(Moody and Zhao, 2020)</w:t>
      </w:r>
      <w:r w:rsidRPr="00677CE8">
        <w:fldChar w:fldCharType="end"/>
      </w:r>
      <w:r w:rsidRPr="00677CE8">
        <w:t xml:space="preserve">. These results suggest that regional context, through both cultural norms and the built environment, can shape UAM adoption and mode selection. </w:t>
      </w:r>
    </w:p>
    <w:p w14:paraId="58C99457" w14:textId="77777777" w:rsidR="00750AEC" w:rsidRPr="00677CE8" w:rsidRDefault="00750AEC" w:rsidP="00750AEC">
      <w:pPr>
        <w:spacing w:after="0" w:line="240" w:lineRule="auto"/>
        <w:jc w:val="both"/>
        <w:rPr>
          <w:u w:val="single"/>
        </w:rPr>
      </w:pPr>
    </w:p>
    <w:p w14:paraId="390CF327" w14:textId="432F483D" w:rsidR="00FF7748" w:rsidRPr="00677CE8" w:rsidRDefault="00982D08">
      <w:pPr>
        <w:pStyle w:val="Heading3"/>
        <w:numPr>
          <w:ilvl w:val="2"/>
          <w:numId w:val="8"/>
        </w:numPr>
      </w:pPr>
      <w:r w:rsidRPr="00677CE8">
        <w:t>Correlations</w:t>
      </w:r>
    </w:p>
    <w:p w14:paraId="78B42058" w14:textId="3F471C53" w:rsidR="00FA1840" w:rsidRPr="00677CE8" w:rsidRDefault="00063E4E" w:rsidP="00F716D5">
      <w:pPr>
        <w:spacing w:after="0" w:line="240" w:lineRule="auto"/>
        <w:jc w:val="both"/>
      </w:pPr>
      <w:r w:rsidRPr="00677CE8">
        <w:t xml:space="preserve">The final </w:t>
      </w:r>
      <w:r w:rsidR="00F414EC" w:rsidRPr="00677CE8">
        <w:t xml:space="preserve">panel of Table 6 presents the covariance elements, including the scales of the differenced covariance matrix </w:t>
      </w:r>
      <w:r w:rsidR="00E930FB" w:rsidRPr="00677CE8">
        <w:t xml:space="preserve">(the elements of the </w:t>
      </w:r>
      <w:r w:rsidR="00021884" w:rsidRPr="00FB443B">
        <w:rPr>
          <w:position w:val="-6"/>
        </w:rPr>
        <w:object w:dxaOrig="240" w:dyaOrig="279" w14:anchorId="06662D71">
          <v:shape id="_x0000_i1169" type="#_x0000_t75" style="width:11.7pt;height:14.25pt" o:ole="" o:preferrelative="f">
            <v:imagedata r:id="rId285" o:title=""/>
            <o:lock v:ext="edit" aspectratio="f"/>
          </v:shape>
          <o:OLEObject Type="Embed" ProgID="Equation.DSMT4" ShapeID="_x0000_i1169" DrawAspect="Content" ObjectID="_1851682099" r:id="rId286"/>
        </w:object>
      </w:r>
      <w:r w:rsidR="00E930FB" w:rsidRPr="00677CE8">
        <w:t xml:space="preserve"> matrix in Section 3.2.2) </w:t>
      </w:r>
      <w:r w:rsidR="00F414EC" w:rsidRPr="00677CE8">
        <w:t xml:space="preserve">and </w:t>
      </w:r>
      <w:r w:rsidR="00E930FB" w:rsidRPr="00677CE8">
        <w:t>the elements of the correlation</w:t>
      </w:r>
      <w:r w:rsidR="00F414EC" w:rsidRPr="00677CE8">
        <w:t xml:space="preserve"> </w:t>
      </w:r>
      <w:r w:rsidR="00E930FB" w:rsidRPr="00677CE8">
        <w:t xml:space="preserve">matrix </w:t>
      </w:r>
      <w:r w:rsidR="00021884" w:rsidRPr="00FB443B">
        <w:rPr>
          <w:position w:val="-6"/>
        </w:rPr>
        <w:object w:dxaOrig="320" w:dyaOrig="320" w14:anchorId="259A1116">
          <v:shape id="_x0000_i1170" type="#_x0000_t75" style="width:15.9pt;height:15.9pt" o:ole="">
            <v:imagedata r:id="rId287" o:title=""/>
          </v:shape>
          <o:OLEObject Type="Embed" ProgID="Equation.DSMT4" ShapeID="_x0000_i1170" DrawAspect="Content" ObjectID="_1851682100" r:id="rId288"/>
        </w:object>
      </w:r>
      <w:r w:rsidR="00FB443B">
        <w:t xml:space="preserve"> </w:t>
      </w:r>
      <w:r w:rsidR="00E930FB" w:rsidRPr="00677CE8">
        <w:t xml:space="preserve">that provides both the correlations </w:t>
      </w:r>
      <w:r w:rsidR="00F414EC" w:rsidRPr="00677CE8">
        <w:t xml:space="preserve">among the alternatives </w:t>
      </w:r>
      <w:r w:rsidR="00E930FB" w:rsidRPr="00677CE8">
        <w:t xml:space="preserve">in differenced utility space (differenced from the last alternative, which is the private vehicle alternative in our methodological set-up) at each choice occasion as well as </w:t>
      </w:r>
      <w:r w:rsidR="00133A36" w:rsidRPr="00677CE8">
        <w:t xml:space="preserve">panel </w:t>
      </w:r>
      <w:r w:rsidR="00F414EC" w:rsidRPr="00677CE8">
        <w:t xml:space="preserve">correlation effects </w:t>
      </w:r>
      <w:r w:rsidR="00E930FB" w:rsidRPr="00677CE8">
        <w:t>across the two choice occasions from the same individual for each alternative</w:t>
      </w:r>
      <w:r w:rsidR="002912DE" w:rsidRPr="00677CE8">
        <w:t>.</w:t>
      </w:r>
      <w:r w:rsidR="00E930FB" w:rsidRPr="00677CE8">
        <w:t xml:space="preserve"> </w:t>
      </w:r>
      <w:r w:rsidR="00D4459C" w:rsidRPr="00677CE8">
        <w:t>Th</w:t>
      </w:r>
      <w:r w:rsidR="00E930FB" w:rsidRPr="00677CE8">
        <w:t xml:space="preserve">ese scales and correlation elements are </w:t>
      </w:r>
      <w:r w:rsidR="00D4459C" w:rsidRPr="00677CE8">
        <w:t>not readily interpretable unless some assumptions are made. In our case, we assume that the intrinsic utility variance across individuals associated with the private vehicle is negligible relative to other non-private and emerging technology modes, given the familiarity and control associated with the private vehicle mode. Also, the private vehicle mode tends to be uniquely positioned in the perceptual map of individuals so that there is perhaps little correlation between the private vehicle mode and other modes</w:t>
      </w:r>
      <w:r w:rsidR="00667330" w:rsidRPr="00677CE8">
        <w:t xml:space="preserve"> not owned by the individual</w:t>
      </w:r>
      <w:r w:rsidR="00D4459C" w:rsidRPr="00677CE8">
        <w:t xml:space="preserve">. Within this context, the </w:t>
      </w:r>
      <w:r w:rsidR="0058057C" w:rsidRPr="00677CE8">
        <w:t xml:space="preserve">elements of </w:t>
      </w:r>
      <w:r w:rsidR="00021884" w:rsidRPr="00677CE8">
        <w:rPr>
          <w:position w:val="-6"/>
        </w:rPr>
        <w:object w:dxaOrig="240" w:dyaOrig="279" w14:anchorId="19A7C884">
          <v:shape id="_x0000_i1171" type="#_x0000_t75" style="width:11.7pt;height:14.25pt" o:ole="" o:preferrelative="f">
            <v:imagedata r:id="rId209" o:title=""/>
            <o:lock v:ext="edit" aspectratio="f"/>
          </v:shape>
          <o:OLEObject Type="Embed" ProgID="Equation.DSMT4" ShapeID="_x0000_i1171" DrawAspect="Content" ObjectID="_1851682101" r:id="rId289"/>
        </w:object>
      </w:r>
      <w:r w:rsidR="0058057C" w:rsidRPr="00677CE8">
        <w:t xml:space="preserve"> and </w:t>
      </w:r>
      <w:r w:rsidR="00021884" w:rsidRPr="00FB443B">
        <w:rPr>
          <w:position w:val="-6"/>
        </w:rPr>
        <w:object w:dxaOrig="320" w:dyaOrig="320" w14:anchorId="3735ECE9">
          <v:shape id="_x0000_i1172" type="#_x0000_t75" style="width:15.9pt;height:15.9pt" o:ole="">
            <v:imagedata r:id="rId287" o:title=""/>
          </v:shape>
          <o:OLEObject Type="Embed" ProgID="Equation.DSMT4" ShapeID="_x0000_i1172" DrawAspect="Content" ObjectID="_1851682102" r:id="rId290"/>
        </w:object>
      </w:r>
      <w:r w:rsidR="0058057C" w:rsidRPr="00677CE8">
        <w:t xml:space="preserve"> </w:t>
      </w:r>
      <w:r w:rsidR="00D4459C" w:rsidRPr="00677CE8">
        <w:t xml:space="preserve">may be viewed as </w:t>
      </w:r>
      <w:r w:rsidR="0058057C" w:rsidRPr="00677CE8">
        <w:t xml:space="preserve">corresponding to </w:t>
      </w:r>
      <w:r w:rsidR="00D4459C" w:rsidRPr="00677CE8">
        <w:t>the non-private vehicle modes</w:t>
      </w:r>
      <w:r w:rsidR="00FA1840" w:rsidRPr="00677CE8">
        <w:t xml:space="preserve">. </w:t>
      </w:r>
    </w:p>
    <w:p w14:paraId="1FB3105A" w14:textId="6D6927F4" w:rsidR="009B3E02" w:rsidRPr="00677CE8" w:rsidRDefault="00352F87" w:rsidP="00F716D5">
      <w:pPr>
        <w:spacing w:after="0" w:line="240" w:lineRule="auto"/>
        <w:jc w:val="both"/>
      </w:pPr>
      <w:r w:rsidRPr="00677CE8">
        <w:tab/>
      </w:r>
      <w:r w:rsidR="0058057C" w:rsidRPr="00677CE8">
        <w:t xml:space="preserve">With that reasonable assumption, </w:t>
      </w:r>
      <w:r w:rsidRPr="00677CE8">
        <w:t>the scal</w:t>
      </w:r>
      <w:r w:rsidR="0058057C" w:rsidRPr="00677CE8">
        <w:t xml:space="preserve">e elements </w:t>
      </w:r>
      <w:r w:rsidR="009F6B99" w:rsidRPr="00677CE8">
        <w:t xml:space="preserve">indicate that </w:t>
      </w:r>
      <w:r w:rsidR="00307986" w:rsidRPr="00677CE8">
        <w:t>the</w:t>
      </w:r>
      <w:r w:rsidR="00DE6F20" w:rsidRPr="00677CE8">
        <w:t xml:space="preserve">re is more unobserved heterogeneity in the utility for the public transit alternative compared with the others, </w:t>
      </w:r>
      <w:r w:rsidR="00AC4964" w:rsidRPr="00677CE8">
        <w:t xml:space="preserve">likely because of significant differences in perceptions of public </w:t>
      </w:r>
      <w:r w:rsidR="00C5739F" w:rsidRPr="00677CE8">
        <w:t>transportation (based on location, personal history, and expectations about comfort, crowing, and reliability) that are</w:t>
      </w:r>
      <w:r w:rsidR="0058057C" w:rsidRPr="00677CE8">
        <w:t xml:space="preserve"> not</w:t>
      </w:r>
      <w:r w:rsidR="00C5739F" w:rsidRPr="00677CE8">
        <w:t xml:space="preserve"> accounted for</w:t>
      </w:r>
      <w:r w:rsidR="0058057C" w:rsidRPr="00677CE8">
        <w:t xml:space="preserve"> in the exogenous variables and latent constructs</w:t>
      </w:r>
      <w:r w:rsidR="00C5739F" w:rsidRPr="00677CE8">
        <w:t>. In contrast,</w:t>
      </w:r>
      <w:r w:rsidR="00667330" w:rsidRPr="00677CE8">
        <w:t xml:space="preserve"> </w:t>
      </w:r>
      <w:r w:rsidR="00DE6F20" w:rsidRPr="00677CE8">
        <w:t xml:space="preserve">there is relatively less </w:t>
      </w:r>
      <w:r w:rsidR="0058057C" w:rsidRPr="00677CE8">
        <w:t xml:space="preserve">overall </w:t>
      </w:r>
      <w:r w:rsidR="00DE6F20" w:rsidRPr="00677CE8">
        <w:t>unobser</w:t>
      </w:r>
      <w:r w:rsidR="00C5739F" w:rsidRPr="00677CE8">
        <w:t xml:space="preserve">ved heterogeneity impacting the utility of </w:t>
      </w:r>
      <w:proofErr w:type="spellStart"/>
      <w:r w:rsidR="00C5739F" w:rsidRPr="00677CE8">
        <w:t>ridehailing</w:t>
      </w:r>
      <w:proofErr w:type="spellEnd"/>
      <w:r w:rsidR="00C5739F" w:rsidRPr="00677CE8">
        <w:t xml:space="preserve"> which is more easily characterized by the included attributes. The UAM modes fall between these, with a larger scale for air metro indicating that this type of service may still be somewhat more unfamiliar to respondents</w:t>
      </w:r>
      <w:r w:rsidR="009B3E02" w:rsidRPr="00677CE8">
        <w:t>, leading to greater variations in their perceptions of it</w:t>
      </w:r>
      <w:r w:rsidR="00C5739F" w:rsidRPr="00677CE8">
        <w:t>.</w:t>
      </w:r>
    </w:p>
    <w:p w14:paraId="2C3766D1" w14:textId="6C7560D8" w:rsidR="00A77132" w:rsidRPr="00677CE8" w:rsidRDefault="009B3E02" w:rsidP="0060217F">
      <w:pPr>
        <w:spacing w:after="0" w:line="240" w:lineRule="auto"/>
        <w:jc w:val="both"/>
      </w:pPr>
      <w:r w:rsidRPr="00677CE8">
        <w:tab/>
        <w:t xml:space="preserve">Next, </w:t>
      </w:r>
      <w:proofErr w:type="gramStart"/>
      <w:r w:rsidRPr="00677CE8">
        <w:t xml:space="preserve">all </w:t>
      </w:r>
      <w:r w:rsidR="00FE53C0" w:rsidRPr="00677CE8">
        <w:t>of</w:t>
      </w:r>
      <w:proofErr w:type="gramEnd"/>
      <w:r w:rsidR="00FE53C0" w:rsidRPr="00677CE8">
        <w:t xml:space="preserve"> the </w:t>
      </w:r>
      <w:r w:rsidRPr="00677CE8">
        <w:t xml:space="preserve">correlation elements between the utilities of the non-private vehicle modes at each choice occasion are positive. </w:t>
      </w:r>
      <w:r w:rsidR="00D4459C" w:rsidRPr="00677CE8">
        <w:t>This suggests that individuals preferring any mode over private vehicle are also more likely to have a greater utility for each of the other non-private vehicle modes. Further, the highest correlation is between the alternatives for air taxi and air metro (correlation of 0.8</w:t>
      </w:r>
      <w:r w:rsidR="00A77132" w:rsidRPr="00677CE8">
        <w:t>501</w:t>
      </w:r>
      <w:r w:rsidR="00D4459C" w:rsidRPr="00677CE8">
        <w:t xml:space="preserve">, t-statistic of </w:t>
      </w:r>
      <w:r w:rsidR="00A77132" w:rsidRPr="00677CE8">
        <w:t>14.794</w:t>
      </w:r>
      <w:r w:rsidR="00D4459C" w:rsidRPr="00677CE8">
        <w:t xml:space="preserve">), </w:t>
      </w:r>
      <w:r w:rsidR="00D57FD0">
        <w:t>indicating</w:t>
      </w:r>
      <w:r w:rsidR="00D4459C" w:rsidRPr="00677CE8">
        <w:t xml:space="preserve"> a very strong correspondence between </w:t>
      </w:r>
      <w:r w:rsidR="00B62090" w:rsidRPr="00677CE8">
        <w:t xml:space="preserve">the unobserved </w:t>
      </w:r>
      <w:r w:rsidR="00D4459C" w:rsidRPr="00677CE8">
        <w:t xml:space="preserve">preferences for these two UAM modes. </w:t>
      </w:r>
      <w:r w:rsidR="0058057C" w:rsidRPr="00677CE8">
        <w:t>H</w:t>
      </w:r>
      <w:r w:rsidR="0099128E" w:rsidRPr="00677CE8">
        <w:t xml:space="preserve">igh correlations </w:t>
      </w:r>
      <w:r w:rsidR="0058057C" w:rsidRPr="00677CE8">
        <w:t>are</w:t>
      </w:r>
      <w:r w:rsidR="0099128E" w:rsidRPr="00677CE8">
        <w:t xml:space="preserve"> also found between </w:t>
      </w:r>
      <w:r w:rsidR="0013073C" w:rsidRPr="00677CE8">
        <w:t xml:space="preserve">air metro and </w:t>
      </w:r>
      <w:proofErr w:type="spellStart"/>
      <w:r w:rsidR="0013073C" w:rsidRPr="00677CE8">
        <w:t>ridehailing</w:t>
      </w:r>
      <w:proofErr w:type="spellEnd"/>
      <w:r w:rsidR="00667330" w:rsidRPr="00677CE8">
        <w:t xml:space="preserve">, as well as </w:t>
      </w:r>
      <w:r w:rsidR="0013073C" w:rsidRPr="00677CE8">
        <w:t xml:space="preserve">between </w:t>
      </w:r>
      <w:proofErr w:type="spellStart"/>
      <w:r w:rsidR="00667330" w:rsidRPr="00677CE8">
        <w:t>ridehailing</w:t>
      </w:r>
      <w:proofErr w:type="spellEnd"/>
      <w:r w:rsidR="00667330" w:rsidRPr="00677CE8">
        <w:t xml:space="preserve"> </w:t>
      </w:r>
      <w:r w:rsidR="0013073C" w:rsidRPr="00677CE8">
        <w:t xml:space="preserve">and public transit. As these modes all require a higher willingness to relinquish control and require some comfort in shared or semi-shared transportation vehicles, the close connection is </w:t>
      </w:r>
      <w:r w:rsidR="0058057C" w:rsidRPr="00677CE8">
        <w:t>rather intuitive</w:t>
      </w:r>
      <w:r w:rsidR="0013073C" w:rsidRPr="00677CE8">
        <w:t xml:space="preserve">. Conversely, the lowest correlation </w:t>
      </w:r>
      <w:r w:rsidR="00D57FD0">
        <w:t>is</w:t>
      </w:r>
      <w:r w:rsidR="0013073C" w:rsidRPr="00677CE8">
        <w:t xml:space="preserve"> between air taxi and public transportation</w:t>
      </w:r>
      <w:r w:rsidR="008C2CB4" w:rsidRPr="00677CE8">
        <w:t>. Finally</w:t>
      </w:r>
      <w:r w:rsidR="00B95B48" w:rsidRPr="00677CE8">
        <w:t xml:space="preserve">, </w:t>
      </w:r>
      <w:r w:rsidR="003A5E15" w:rsidRPr="00677CE8">
        <w:t xml:space="preserve">we find </w:t>
      </w:r>
      <w:r w:rsidR="0058057C" w:rsidRPr="00677CE8">
        <w:t xml:space="preserve">positive </w:t>
      </w:r>
      <w:r w:rsidR="00764BDA" w:rsidRPr="00677CE8">
        <w:t xml:space="preserve">panel </w:t>
      </w:r>
      <w:r w:rsidR="003A5E15" w:rsidRPr="00677CE8">
        <w:t xml:space="preserve">correlations across the </w:t>
      </w:r>
      <w:proofErr w:type="gramStart"/>
      <w:r w:rsidR="003A5E15" w:rsidRPr="00677CE8">
        <w:t>choice</w:t>
      </w:r>
      <w:proofErr w:type="gramEnd"/>
      <w:r w:rsidR="003A5E15" w:rsidRPr="00677CE8">
        <w:t xml:space="preserve"> </w:t>
      </w:r>
      <w:r w:rsidR="00667330" w:rsidRPr="00677CE8">
        <w:t xml:space="preserve">occasions </w:t>
      </w:r>
      <w:r w:rsidR="0058057C" w:rsidRPr="00677CE8">
        <w:t xml:space="preserve">of the same individual for </w:t>
      </w:r>
      <w:r w:rsidR="004151D8" w:rsidRPr="00677CE8">
        <w:t xml:space="preserve">air taxi and </w:t>
      </w:r>
      <w:proofErr w:type="spellStart"/>
      <w:r w:rsidR="004151D8" w:rsidRPr="00677CE8">
        <w:t>ridehailing</w:t>
      </w:r>
      <w:proofErr w:type="spellEnd"/>
      <w:r w:rsidR="0058057C" w:rsidRPr="00677CE8">
        <w:t xml:space="preserve"> (but not for air metro and public transportation)</w:t>
      </w:r>
      <w:r w:rsidR="004151D8" w:rsidRPr="00677CE8">
        <w:t xml:space="preserve">. </w:t>
      </w:r>
    </w:p>
    <w:p w14:paraId="08B1214E" w14:textId="77777777" w:rsidR="00FF7748" w:rsidRPr="00677CE8" w:rsidRDefault="00FF7748" w:rsidP="007B293E">
      <w:pPr>
        <w:spacing w:after="0" w:line="240" w:lineRule="auto"/>
      </w:pPr>
    </w:p>
    <w:p w14:paraId="03EF9D75" w14:textId="596150EC" w:rsidR="00E47981" w:rsidRPr="00677CE8" w:rsidRDefault="00982D08" w:rsidP="0060478F">
      <w:pPr>
        <w:pStyle w:val="Heading3"/>
      </w:pPr>
      <w:r w:rsidRPr="00677CE8">
        <w:t>5.2.4 Model Fit</w:t>
      </w:r>
      <w:r w:rsidR="00E47981" w:rsidRPr="00677CE8">
        <w:rPr>
          <w:position w:val="-4"/>
        </w:rPr>
        <w:object w:dxaOrig="180" w:dyaOrig="279" w14:anchorId="53A2DF52">
          <v:shape id="_x0000_i1173" type="#_x0000_t75" style="width:10.05pt;height:15.05pt" o:ole="">
            <v:imagedata r:id="rId291" o:title=""/>
          </v:shape>
          <o:OLEObject Type="Embed" ProgID="Equation.DSMT4" ShapeID="_x0000_i1173" DrawAspect="Content" ObjectID="_1851682103" r:id="rId292"/>
        </w:object>
      </w:r>
    </w:p>
    <w:p w14:paraId="2B6A0622" w14:textId="6AFB61CB" w:rsidR="00AA243E" w:rsidRPr="00677CE8" w:rsidRDefault="00BB0E24" w:rsidP="008734DF">
      <w:pPr>
        <w:spacing w:after="0" w:line="240" w:lineRule="auto"/>
        <w:jc w:val="both"/>
      </w:pPr>
      <w:r w:rsidRPr="00677CE8">
        <w:t>To assess the fit of the proposed model</w:t>
      </w:r>
      <w:r w:rsidR="00AA243E" w:rsidRPr="00677CE8">
        <w:t>ing</w:t>
      </w:r>
      <w:r w:rsidRPr="00677CE8">
        <w:t xml:space="preserve"> </w:t>
      </w:r>
      <w:r w:rsidR="00AA243E" w:rsidRPr="00677CE8">
        <w:t>framework</w:t>
      </w:r>
      <w:r w:rsidR="00477F01" w:rsidRPr="00677CE8">
        <w:t>,</w:t>
      </w:r>
      <w:r w:rsidR="00AA243E" w:rsidRPr="00677CE8">
        <w:t xml:space="preserve"> </w:t>
      </w:r>
      <w:r w:rsidR="00F3119D" w:rsidRPr="00677CE8">
        <w:t xml:space="preserve">we </w:t>
      </w:r>
      <w:r w:rsidR="00AA243E" w:rsidRPr="00677CE8">
        <w:t xml:space="preserve">compare </w:t>
      </w:r>
      <w:r w:rsidR="00F3119D" w:rsidRPr="00677CE8">
        <w:t xml:space="preserve">our second stage rank-ordered model </w:t>
      </w:r>
      <w:r w:rsidR="00AA243E" w:rsidRPr="00677CE8">
        <w:t>with a</w:t>
      </w:r>
      <w:r w:rsidR="00F3119D" w:rsidRPr="00677CE8">
        <w:t xml:space="preserve"> corresponding </w:t>
      </w:r>
      <w:r w:rsidR="00AA243E" w:rsidRPr="00677CE8">
        <w:t xml:space="preserve">independent </w:t>
      </w:r>
      <w:r w:rsidR="0048559B" w:rsidRPr="00677CE8">
        <w:t xml:space="preserve">and identically distributed </w:t>
      </w:r>
      <w:r w:rsidR="00AA243E" w:rsidRPr="00677CE8">
        <w:t xml:space="preserve">model </w:t>
      </w:r>
      <w:r w:rsidR="00F3119D" w:rsidRPr="00677CE8">
        <w:t xml:space="preserve">that </w:t>
      </w:r>
      <w:r w:rsidR="00AA243E" w:rsidRPr="00677CE8">
        <w:t xml:space="preserve">does not </w:t>
      </w:r>
      <w:r w:rsidR="0060478F" w:rsidRPr="00677CE8">
        <w:t>account for</w:t>
      </w:r>
      <w:r w:rsidR="00AA243E" w:rsidRPr="00677CE8">
        <w:t xml:space="preserve"> </w:t>
      </w:r>
      <w:r w:rsidR="0048559B" w:rsidRPr="00677CE8">
        <w:t xml:space="preserve">heteroscedasticity across alternatives and does not accommodate </w:t>
      </w:r>
      <w:r w:rsidR="00AA243E" w:rsidRPr="00677CE8">
        <w:t xml:space="preserve">correlations </w:t>
      </w:r>
      <w:r w:rsidR="0060478F" w:rsidRPr="00677CE8">
        <w:t>across</w:t>
      </w:r>
      <w:r w:rsidR="00AA243E" w:rsidRPr="00677CE8">
        <w:t xml:space="preserve"> </w:t>
      </w:r>
      <w:r w:rsidR="00F3119D" w:rsidRPr="00677CE8">
        <w:t xml:space="preserve">the utilities of the </w:t>
      </w:r>
      <w:r w:rsidR="00AA243E" w:rsidRPr="00677CE8">
        <w:t>mod</w:t>
      </w:r>
      <w:r w:rsidR="00F3119D" w:rsidRPr="00677CE8">
        <w:t>es</w:t>
      </w:r>
      <w:r w:rsidR="00AA243E" w:rsidRPr="00677CE8">
        <w:t xml:space="preserve"> </w:t>
      </w:r>
      <w:r w:rsidR="00477F01" w:rsidRPr="00677CE8">
        <w:t>or</w:t>
      </w:r>
      <w:r w:rsidR="00AA243E" w:rsidRPr="00677CE8">
        <w:t xml:space="preserve"> </w:t>
      </w:r>
      <w:r w:rsidR="0060478F" w:rsidRPr="00677CE8">
        <w:t>individuals’</w:t>
      </w:r>
      <w:r w:rsidR="00AA243E" w:rsidRPr="00677CE8">
        <w:t xml:space="preserve"> choice occasions.</w:t>
      </w:r>
      <w:r w:rsidR="00793724">
        <w:t xml:space="preserve"> </w:t>
      </w:r>
      <w:r w:rsidR="00AA243E" w:rsidRPr="00677CE8">
        <w:t xml:space="preserve">Although the significant </w:t>
      </w:r>
      <w:r w:rsidR="007F7A3C" w:rsidRPr="00677CE8">
        <w:t xml:space="preserve">scales and </w:t>
      </w:r>
      <w:r w:rsidR="00AA243E" w:rsidRPr="00677CE8">
        <w:t xml:space="preserve">correlations discussed previously </w:t>
      </w:r>
      <w:r w:rsidR="00F3119D" w:rsidRPr="00677CE8">
        <w:t xml:space="preserve">already indicate the </w:t>
      </w:r>
      <w:r w:rsidR="00AA243E" w:rsidRPr="00677CE8">
        <w:t xml:space="preserve">need to consider correlation terms, this comparison formally tests </w:t>
      </w:r>
      <w:r w:rsidR="00477F01" w:rsidRPr="00677CE8">
        <w:t>the</w:t>
      </w:r>
      <w:r w:rsidR="0060478F" w:rsidRPr="00677CE8">
        <w:t>ir</w:t>
      </w:r>
      <w:r w:rsidR="00477F01" w:rsidRPr="00677CE8">
        <w:t xml:space="preserve"> inclusion</w:t>
      </w:r>
      <w:r w:rsidR="00AA243E" w:rsidRPr="00677CE8">
        <w:t xml:space="preserve">. To compare these specifications, several disaggregate fit measures, shown in Table </w:t>
      </w:r>
      <w:r w:rsidR="00477F01" w:rsidRPr="00677CE8">
        <w:t>7</w:t>
      </w:r>
      <w:r w:rsidR="00AA243E" w:rsidRPr="00677CE8">
        <w:t>, are computed.</w:t>
      </w:r>
      <w:r w:rsidR="00477F01" w:rsidRPr="00677CE8">
        <w:t xml:space="preserve"> We compute the log likelihood at convergence</w:t>
      </w:r>
      <w:r w:rsidR="0060478F" w:rsidRPr="00677CE8">
        <w:t>,</w:t>
      </w:r>
      <w:r w:rsidR="00477F01" w:rsidRPr="00677CE8">
        <w:t xml:space="preserve"> </w:t>
      </w:r>
      <w:r w:rsidR="00793724" w:rsidRPr="00FB443B">
        <w:rPr>
          <w:position w:val="-10"/>
        </w:rPr>
        <w:object w:dxaOrig="580" w:dyaOrig="380" w14:anchorId="4CB7A1EB">
          <v:shape id="_x0000_i1174" type="#_x0000_t75" style="width:29.3pt;height:19.25pt" o:ole="">
            <v:imagedata r:id="rId293" o:title=""/>
          </v:shape>
          <o:OLEObject Type="Embed" ProgID="Equation.DSMT4" ShapeID="_x0000_i1174" DrawAspect="Content" ObjectID="_1851682104" r:id="rId294"/>
        </w:object>
      </w:r>
      <w:r w:rsidR="00477F01" w:rsidRPr="00677CE8">
        <w:t xml:space="preserve"> for both models, as well as the log-likelihood of the constants only model, </w:t>
      </w:r>
      <w:r w:rsidR="00793724" w:rsidRPr="00677CE8">
        <w:rPr>
          <w:position w:val="-10"/>
        </w:rPr>
        <w:object w:dxaOrig="499" w:dyaOrig="320" w14:anchorId="559F4FAE">
          <v:shape id="_x0000_i1175" type="#_x0000_t75" style="width:25.1pt;height:16.75pt" o:ole="">
            <v:imagedata r:id="rId295" o:title=""/>
          </v:shape>
          <o:OLEObject Type="Embed" ProgID="Equation.DSMT4" ShapeID="_x0000_i1175" DrawAspect="Content" ObjectID="_1851682105" r:id="rId296"/>
        </w:object>
      </w:r>
      <w:r w:rsidR="00477F01" w:rsidRPr="00677CE8">
        <w:t xml:space="preserve">, which </w:t>
      </w:r>
      <w:r w:rsidR="0060478F" w:rsidRPr="00677CE8">
        <w:lastRenderedPageBreak/>
        <w:t>includes</w:t>
      </w:r>
      <w:r w:rsidR="00477F01" w:rsidRPr="00677CE8">
        <w:t xml:space="preserve"> only the thresholds for the five ranked outcomes. The Bayesian Information Criterion (BIC) </w:t>
      </w:r>
      <w:proofErr w:type="gramStart"/>
      <w:r w:rsidR="00477F01" w:rsidRPr="00677CE8">
        <w:t>statistic is</w:t>
      </w:r>
      <w:proofErr w:type="gramEnd"/>
      <w:r w:rsidR="00477F01" w:rsidRPr="00677CE8">
        <w:t xml:space="preserve"> calculated as:</w:t>
      </w:r>
    </w:p>
    <w:p w14:paraId="63955401" w14:textId="56005B5A" w:rsidR="00687EA8" w:rsidRPr="00677CE8" w:rsidRDefault="00793724" w:rsidP="00206A1C">
      <w:pPr>
        <w:pStyle w:val="MTDisplayEquation"/>
        <w:spacing w:before="120" w:after="120"/>
      </w:pPr>
      <w:r w:rsidRPr="00677CE8">
        <w:rPr>
          <w:position w:val="-10"/>
        </w:rPr>
        <w:object w:dxaOrig="5840" w:dyaOrig="380" w14:anchorId="22740990">
          <v:shape id="_x0000_i1176" type="#_x0000_t75" style="width:292.2pt;height:19.25pt" o:ole="" o:preferrelative="f">
            <v:imagedata r:id="rId297" o:title=""/>
            <o:lock v:ext="edit" aspectratio="f"/>
          </v:shape>
          <o:OLEObject Type="Embed" ProgID="Equation.DSMT4" ShapeID="_x0000_i1176" DrawAspect="Content" ObjectID="_1851682106" r:id="rId298"/>
        </w:object>
      </w:r>
      <w:r w:rsidR="0084074C" w:rsidRPr="00677CE8">
        <w:tab/>
      </w:r>
      <w:r w:rsidR="004B3146" w:rsidRPr="00677CE8">
        <w:fldChar w:fldCharType="begin"/>
      </w:r>
      <w:r w:rsidR="004B3146" w:rsidRPr="00677CE8">
        <w:instrText xml:space="preserve"> MACROBUTTON MTPlaceRef \* MERGEFORMAT </w:instrText>
      </w:r>
      <w:r w:rsidR="004B3146" w:rsidRPr="00677CE8">
        <w:fldChar w:fldCharType="begin"/>
      </w:r>
      <w:r w:rsidR="004B3146" w:rsidRPr="00677CE8">
        <w:instrText xml:space="preserve"> SEQ MTEqn \h \* MERGEFORMAT </w:instrText>
      </w:r>
      <w:r w:rsidR="004B3146" w:rsidRPr="00677CE8">
        <w:fldChar w:fldCharType="end"/>
      </w:r>
      <w:r w:rsidR="004B3146" w:rsidRPr="00677CE8">
        <w:instrText>(</w:instrText>
      </w:r>
      <w:fldSimple w:instr=" SEQ MTEqn \c \* Arabic \* MERGEFORMAT ">
        <w:r w:rsidR="00CF7AAF">
          <w:rPr>
            <w:noProof/>
          </w:rPr>
          <w:instrText>7</w:instrText>
        </w:r>
      </w:fldSimple>
      <w:r w:rsidR="004B3146" w:rsidRPr="00677CE8">
        <w:instrText>)</w:instrText>
      </w:r>
      <w:r w:rsidR="004B3146" w:rsidRPr="00677CE8">
        <w:fldChar w:fldCharType="end"/>
      </w:r>
    </w:p>
    <w:p w14:paraId="5B09C216" w14:textId="66FC0EE6" w:rsidR="00BB0E24" w:rsidRPr="00677CE8" w:rsidRDefault="00477F01" w:rsidP="008734DF">
      <w:pPr>
        <w:spacing w:after="0" w:line="240" w:lineRule="auto"/>
        <w:jc w:val="both"/>
      </w:pPr>
      <w:r w:rsidRPr="00677CE8">
        <w:t>and the adjusted likelihood ratio index is:</w:t>
      </w:r>
    </w:p>
    <w:p w14:paraId="4331D721" w14:textId="5E654CBF" w:rsidR="00BB0E24" w:rsidRPr="00677CE8" w:rsidRDefault="00F41CCC" w:rsidP="00206A1C">
      <w:pPr>
        <w:pStyle w:val="MTDisplayEquation"/>
        <w:spacing w:before="120" w:after="120"/>
      </w:pPr>
      <w:r w:rsidRPr="00677CE8">
        <w:rPr>
          <w:position w:val="-28"/>
        </w:rPr>
        <w:object w:dxaOrig="1800" w:dyaOrig="720" w14:anchorId="3C257A57">
          <v:shape id="_x0000_i1177" type="#_x0000_t75" style="width:90.4pt;height:36pt" o:ole="">
            <v:imagedata r:id="rId299" o:title=""/>
          </v:shape>
          <o:OLEObject Type="Embed" ProgID="Equation.DSMT4" ShapeID="_x0000_i1177" DrawAspect="Content" ObjectID="_1851682107" r:id="rId300"/>
        </w:object>
      </w:r>
      <w:r w:rsidR="00BB0E24" w:rsidRPr="00677CE8">
        <w:tab/>
      </w:r>
      <w:r w:rsidR="00BB0E24" w:rsidRPr="00677CE8">
        <w:tab/>
      </w:r>
      <w:r w:rsidR="00BB0E24" w:rsidRPr="00677CE8">
        <w:fldChar w:fldCharType="begin"/>
      </w:r>
      <w:r w:rsidR="00BB0E24" w:rsidRPr="00677CE8">
        <w:instrText xml:space="preserve"> MACROBUTTON MTPlaceRef \* MERGEFORMAT </w:instrText>
      </w:r>
      <w:r w:rsidR="00BB0E24" w:rsidRPr="00677CE8">
        <w:fldChar w:fldCharType="begin"/>
      </w:r>
      <w:r w:rsidR="00BB0E24" w:rsidRPr="00677CE8">
        <w:instrText xml:space="preserve"> SEQ MTEqn \h \* MERGEFORMAT </w:instrText>
      </w:r>
      <w:r w:rsidR="00BB0E24" w:rsidRPr="00677CE8">
        <w:fldChar w:fldCharType="end"/>
      </w:r>
      <w:r w:rsidR="00BB0E24" w:rsidRPr="00677CE8">
        <w:instrText>(</w:instrText>
      </w:r>
      <w:fldSimple w:instr=" SEQ MTEqn \c \* Arabic \* MERGEFORMAT ">
        <w:r w:rsidR="00CF7AAF">
          <w:rPr>
            <w:noProof/>
          </w:rPr>
          <w:instrText>8</w:instrText>
        </w:r>
      </w:fldSimple>
      <w:r w:rsidR="00BB0E24" w:rsidRPr="00677CE8">
        <w:instrText>)</w:instrText>
      </w:r>
      <w:r w:rsidR="00BB0E24" w:rsidRPr="00677CE8">
        <w:fldChar w:fldCharType="end"/>
      </w:r>
    </w:p>
    <w:p w14:paraId="0F34AE25" w14:textId="1CA81043" w:rsidR="00354B77" w:rsidRPr="00677CE8" w:rsidRDefault="00477F01" w:rsidP="008734DF">
      <w:pPr>
        <w:spacing w:after="0" w:line="240" w:lineRule="auto"/>
        <w:jc w:val="both"/>
      </w:pPr>
      <w:r w:rsidRPr="00677CE8">
        <w:t>w</w:t>
      </w:r>
      <w:r w:rsidR="00EE0F13" w:rsidRPr="00677CE8">
        <w:t>here</w:t>
      </w:r>
      <w:r w:rsidR="00EE0F13" w:rsidRPr="00677CE8">
        <w:rPr>
          <w:position w:val="-4"/>
        </w:rPr>
        <w:object w:dxaOrig="320" w:dyaOrig="260" w14:anchorId="2895669A">
          <v:shape id="_x0000_i1178" type="#_x0000_t75" style="width:16.75pt;height:15.05pt" o:ole="">
            <v:imagedata r:id="rId301" o:title=""/>
          </v:shape>
          <o:OLEObject Type="Embed" ProgID="Equation.DSMT4" ShapeID="_x0000_i1178" DrawAspect="Content" ObjectID="_1851682108" r:id="rId302"/>
        </w:object>
      </w:r>
      <w:r w:rsidR="00EE0F13" w:rsidRPr="00677CE8">
        <w:t>is the number of parameters (excluding constants) estimated in the model</w:t>
      </w:r>
      <w:r w:rsidR="00467CFD" w:rsidRPr="00677CE8">
        <w:t xml:space="preserve">. </w:t>
      </w:r>
      <w:r w:rsidR="009E5AA0" w:rsidRPr="00677CE8">
        <w:t xml:space="preserve">Together, these measures of fit favor the model with correlations, </w:t>
      </w:r>
      <w:r w:rsidR="008734DF" w:rsidRPr="00677CE8">
        <w:t>as indicated by the</w:t>
      </w:r>
      <w:r w:rsidR="009E5AA0" w:rsidRPr="00677CE8">
        <w:t xml:space="preserve"> lower BIC and higher adjusted likelihood ratio index </w:t>
      </w:r>
      <w:r w:rsidR="008734DF" w:rsidRPr="00677CE8">
        <w:t>values</w:t>
      </w:r>
      <w:r w:rsidR="009E5AA0" w:rsidRPr="00677CE8">
        <w:t xml:space="preserve"> for this specification.</w:t>
      </w:r>
      <w:r w:rsidR="005E1BFE" w:rsidRPr="00677CE8">
        <w:t xml:space="preserve"> </w:t>
      </w:r>
      <w:r w:rsidR="00D541A3" w:rsidRPr="00677CE8">
        <w:t xml:space="preserve">Additionally, </w:t>
      </w:r>
      <w:r w:rsidR="00EE0F13" w:rsidRPr="00677CE8">
        <w:t xml:space="preserve">as the </w:t>
      </w:r>
      <w:r w:rsidRPr="00677CE8">
        <w:t>independent</w:t>
      </w:r>
      <w:r w:rsidR="00EE0F13" w:rsidRPr="00677CE8">
        <w:t xml:space="preserve"> model is nested within the final specification,</w:t>
      </w:r>
      <w:r w:rsidR="008734DF" w:rsidRPr="00677CE8">
        <w:t xml:space="preserve"> we also conduct</w:t>
      </w:r>
      <w:r w:rsidR="00EE0F13" w:rsidRPr="00677CE8">
        <w:t xml:space="preserve"> a log-likelihood ratio test. </w:t>
      </w:r>
      <w:r w:rsidRPr="00677CE8">
        <w:t>With the value shown in Table 7 computed as</w:t>
      </w:r>
    </w:p>
    <w:p w14:paraId="6F912A4C" w14:textId="4DA5DECC" w:rsidR="00477F01" w:rsidRPr="00677CE8" w:rsidRDefault="00F41CCC" w:rsidP="00206A1C">
      <w:pPr>
        <w:pStyle w:val="MTDisplayEquation"/>
        <w:spacing w:before="120" w:after="120"/>
      </w:pPr>
      <w:r w:rsidRPr="00677CE8">
        <w:rPr>
          <w:position w:val="-18"/>
        </w:rPr>
        <w:object w:dxaOrig="3460" w:dyaOrig="480" w14:anchorId="0157CEC0">
          <v:shape id="_x0000_i1179" type="#_x0000_t75" style="width:172.45pt;height:24.3pt;mso-position-horizontal:absolute;mso-position-horizontal-relative:text;mso-position-vertical:absolute;mso-position-vertical-relative:text" o:ole="" o:preferrelative="f">
            <v:imagedata r:id="rId303" o:title=""/>
            <o:lock v:ext="edit" aspectratio="f"/>
          </v:shape>
          <o:OLEObject Type="Embed" ProgID="Equation.DSMT4" ShapeID="_x0000_i1179" DrawAspect="Content" ObjectID="_1851682109" r:id="rId304"/>
        </w:object>
      </w:r>
      <w:r w:rsidR="0060478F" w:rsidRPr="00677CE8">
        <w:t>.</w:t>
      </w:r>
      <w:r w:rsidR="00477F01" w:rsidRPr="00677CE8">
        <w:tab/>
      </w:r>
      <w:r w:rsidR="00477F01" w:rsidRPr="00677CE8">
        <w:tab/>
      </w:r>
      <w:r w:rsidR="00477F01" w:rsidRPr="00677CE8">
        <w:fldChar w:fldCharType="begin"/>
      </w:r>
      <w:r w:rsidR="00477F01" w:rsidRPr="00677CE8">
        <w:instrText xml:space="preserve"> MACROBUTTON MTPlaceRef \* MERGEFORMAT </w:instrText>
      </w:r>
      <w:r w:rsidR="00477F01" w:rsidRPr="00677CE8">
        <w:fldChar w:fldCharType="begin"/>
      </w:r>
      <w:r w:rsidR="00477F01" w:rsidRPr="00677CE8">
        <w:instrText xml:space="preserve"> SEQ MTEqn \h \* MERGEFORMAT </w:instrText>
      </w:r>
      <w:r w:rsidR="00477F01" w:rsidRPr="00677CE8">
        <w:fldChar w:fldCharType="end"/>
      </w:r>
      <w:r w:rsidR="00477F01" w:rsidRPr="00677CE8">
        <w:instrText>(</w:instrText>
      </w:r>
      <w:fldSimple w:instr=" SEQ MTEqn \c \* Arabic \* MERGEFORMAT ">
        <w:r w:rsidR="00CF7AAF">
          <w:rPr>
            <w:noProof/>
          </w:rPr>
          <w:instrText>9</w:instrText>
        </w:r>
      </w:fldSimple>
      <w:r w:rsidR="00477F01" w:rsidRPr="00677CE8">
        <w:instrText>)</w:instrText>
      </w:r>
      <w:r w:rsidR="00477F01" w:rsidRPr="00677CE8">
        <w:fldChar w:fldCharType="end"/>
      </w:r>
    </w:p>
    <w:p w14:paraId="771CF23F" w14:textId="3DB4AA37" w:rsidR="009E5AA0" w:rsidRPr="00677CE8" w:rsidRDefault="008734DF" w:rsidP="008734DF">
      <w:pPr>
        <w:spacing w:after="0" w:line="240" w:lineRule="auto"/>
        <w:jc w:val="both"/>
      </w:pPr>
      <w:r w:rsidRPr="00677CE8">
        <w:t xml:space="preserve">The resulting test </w:t>
      </w:r>
      <w:proofErr w:type="gramStart"/>
      <w:r w:rsidRPr="00677CE8">
        <w:t>statistic substantially exceeds</w:t>
      </w:r>
      <w:proofErr w:type="gramEnd"/>
      <w:r w:rsidRPr="00677CE8">
        <w:t xml:space="preserve"> the critical value of the chi-squared distribution, providing additional support for the inclusion of correlation terms within the model framework. </w:t>
      </w:r>
    </w:p>
    <w:p w14:paraId="73DDC057" w14:textId="18C2CF7E" w:rsidR="008734DF" w:rsidRPr="00677CE8" w:rsidRDefault="00477F01" w:rsidP="008734DF">
      <w:pPr>
        <w:spacing w:after="0" w:line="240" w:lineRule="auto"/>
        <w:jc w:val="both"/>
      </w:pPr>
      <w:r w:rsidRPr="00677CE8">
        <w:t xml:space="preserve">Finally, </w:t>
      </w:r>
      <w:r w:rsidR="009E5AA0" w:rsidRPr="00677CE8">
        <w:t xml:space="preserve">we also evaluate the model fit intuitively by calculating the average probability of correct prediction for each specification. To do so, we estimate the probability of the observed rank-ordered outcome, then compute an average across individuals to quantify the probability of correct prediction. As shown in Table 7, the model with correlations has a higher probability of correct prediction, representing a </w:t>
      </w:r>
      <w:r w:rsidR="00DD6C8F" w:rsidRPr="00677CE8">
        <w:t>29</w:t>
      </w:r>
      <w:r w:rsidR="009E5AA0" w:rsidRPr="00677CE8">
        <w:t>.</w:t>
      </w:r>
      <w:r w:rsidR="00DD6C8F" w:rsidRPr="00677CE8">
        <w:t>0</w:t>
      </w:r>
      <w:r w:rsidR="009E5AA0" w:rsidRPr="00677CE8">
        <w:t xml:space="preserve">% increase in the correct prediction </w:t>
      </w:r>
      <w:r w:rsidR="005E1BFE" w:rsidRPr="00677CE8">
        <w:t>probability compared</w:t>
      </w:r>
      <w:r w:rsidR="009E5AA0" w:rsidRPr="00677CE8">
        <w:t xml:space="preserve"> to the independent model. </w:t>
      </w:r>
      <w:r w:rsidR="0060478F" w:rsidRPr="00677CE8">
        <w:t>While the</w:t>
      </w:r>
      <w:r w:rsidR="005E1BFE" w:rsidRPr="00677CE8">
        <w:t>se</w:t>
      </w:r>
      <w:r w:rsidR="00175035" w:rsidRPr="00677CE8">
        <w:t xml:space="preserve"> probabilit</w:t>
      </w:r>
      <w:r w:rsidR="005E1BFE" w:rsidRPr="00677CE8">
        <w:t>ies</w:t>
      </w:r>
      <w:r w:rsidR="00175035" w:rsidRPr="00677CE8">
        <w:t xml:space="preserve"> of correct prediction may seem small due to the large number of possible rank-ordered combinations</w:t>
      </w:r>
      <w:r w:rsidR="0060478F" w:rsidRPr="00677CE8">
        <w:t>,</w:t>
      </w:r>
      <w:r w:rsidR="005E1BFE" w:rsidRPr="00677CE8">
        <w:t xml:space="preserve"> both specifications</w:t>
      </w:r>
      <w:r w:rsidR="0060478F" w:rsidRPr="00677CE8">
        <w:t xml:space="preserve"> represent substantial improvement</w:t>
      </w:r>
      <w:r w:rsidR="005E1BFE" w:rsidRPr="00677CE8">
        <w:t>s</w:t>
      </w:r>
      <w:r w:rsidR="0060478F" w:rsidRPr="00677CE8">
        <w:t xml:space="preserve"> over the 0.008 probability correct prediction of a naïve model of five ranked alternatives.</w:t>
      </w:r>
      <w:r w:rsidR="005E1BFE" w:rsidRPr="00677CE8">
        <w:t xml:space="preserve"> Together, these disaggregate fit measures indicate that the model with correlations is the preferred specification, and that accounting for unobserved correlations enhances model </w:t>
      </w:r>
      <w:proofErr w:type="gramStart"/>
      <w:r w:rsidR="005E1BFE" w:rsidRPr="00677CE8">
        <w:t>fit</w:t>
      </w:r>
      <w:proofErr w:type="gramEnd"/>
      <w:r w:rsidR="005E1BFE" w:rsidRPr="00677CE8">
        <w:t xml:space="preserve"> and predictive performance.</w:t>
      </w:r>
    </w:p>
    <w:p w14:paraId="2F9AD14F" w14:textId="77777777" w:rsidR="00AA243E" w:rsidRPr="00677CE8" w:rsidRDefault="00AA243E" w:rsidP="007B293E">
      <w:pPr>
        <w:spacing w:after="0" w:line="240" w:lineRule="auto"/>
      </w:pPr>
    </w:p>
    <w:p w14:paraId="7CF909BC" w14:textId="5E1452A2" w:rsidR="00982D08" w:rsidRPr="00677CE8" w:rsidRDefault="00982D08">
      <w:pPr>
        <w:pStyle w:val="Heading3"/>
        <w:numPr>
          <w:ilvl w:val="2"/>
          <w:numId w:val="4"/>
        </w:numPr>
      </w:pPr>
      <w:r w:rsidRPr="00677CE8">
        <w:t>Average Treatment Effects</w:t>
      </w:r>
    </w:p>
    <w:p w14:paraId="78F765A8" w14:textId="14F5AD6D" w:rsidR="00982D08" w:rsidRPr="00677CE8" w:rsidRDefault="00FA68D1" w:rsidP="00F41CCC">
      <w:pPr>
        <w:spacing w:after="0" w:line="240" w:lineRule="auto"/>
        <w:jc w:val="both"/>
      </w:pPr>
      <w:r w:rsidRPr="00677CE8">
        <w:t xml:space="preserve">While the main estimation results provide insights into the </w:t>
      </w:r>
      <w:r w:rsidR="009A2144" w:rsidRPr="00677CE8">
        <w:t xml:space="preserve">direction and level of significance of </w:t>
      </w:r>
      <w:r w:rsidR="00AB3A28" w:rsidRPr="00677CE8">
        <w:t>exogenous</w:t>
      </w:r>
      <w:r w:rsidRPr="00677CE8">
        <w:t xml:space="preserve"> variables</w:t>
      </w:r>
      <w:r w:rsidR="00AB3A28" w:rsidRPr="00677CE8">
        <w:t>’ impacts</w:t>
      </w:r>
      <w:r w:rsidRPr="00677CE8">
        <w:t xml:space="preserve"> on</w:t>
      </w:r>
      <w:r w:rsidR="00F54295" w:rsidRPr="00677CE8">
        <w:t xml:space="preserve"> modal utilities</w:t>
      </w:r>
      <w:r w:rsidRPr="00677CE8">
        <w:t xml:space="preserve">, they do not </w:t>
      </w:r>
      <w:r w:rsidR="00AB3A28" w:rsidRPr="00677CE8">
        <w:t>convey the magnitude of those impacts in an intuitive way.</w:t>
      </w:r>
      <w:r w:rsidRPr="00677CE8">
        <w:t xml:space="preserve"> To </w:t>
      </w:r>
      <w:r w:rsidR="00AB3A28" w:rsidRPr="00677CE8">
        <w:t xml:space="preserve">address this, </w:t>
      </w:r>
      <w:r w:rsidRPr="00677CE8">
        <w:t xml:space="preserve">we calculate </w:t>
      </w:r>
      <w:r w:rsidR="003C52F2">
        <w:t>a</w:t>
      </w:r>
      <w:r w:rsidRPr="00677CE8">
        <w:t xml:space="preserve">verage </w:t>
      </w:r>
      <w:r w:rsidR="003C52F2">
        <w:t>t</w:t>
      </w:r>
      <w:r w:rsidRPr="00677CE8">
        <w:t xml:space="preserve">reatment effects (ATEs) </w:t>
      </w:r>
      <w:r w:rsidR="00AB3A28" w:rsidRPr="00677CE8">
        <w:t xml:space="preserve">to quantify the change in expected mode shares associated with shifts in explanatory variables. ATEs capture both direct and indirect effects by </w:t>
      </w:r>
      <w:r w:rsidRPr="00677CE8">
        <w:t xml:space="preserve">measuring the change between a base and treatment case. For </w:t>
      </w:r>
      <w:r w:rsidR="00AB3A28" w:rsidRPr="00677CE8">
        <w:t>example</w:t>
      </w:r>
      <w:r w:rsidRPr="00677CE8">
        <w:t xml:space="preserve">, to </w:t>
      </w:r>
      <w:r w:rsidR="00AB3A28" w:rsidRPr="00677CE8">
        <w:t>evaluate</w:t>
      </w:r>
      <w:r w:rsidRPr="00677CE8">
        <w:t xml:space="preserve"> the impact of gender</w:t>
      </w:r>
      <w:r w:rsidR="00F54295" w:rsidRPr="00677CE8">
        <w:t>,</w:t>
      </w:r>
      <w:r w:rsidRPr="00677CE8">
        <w:t xml:space="preserve"> we begin by setting the gender of all individuals in the sample to “Male” without changing any other variables, constituting the base case. Then we compute</w:t>
      </w:r>
      <w:r w:rsidR="00832DC2" w:rsidRPr="00677CE8">
        <w:t xml:space="preserve">, for </w:t>
      </w:r>
      <w:proofErr w:type="gramStart"/>
      <w:r w:rsidR="00832DC2" w:rsidRPr="00677CE8">
        <w:t>each individual</w:t>
      </w:r>
      <w:proofErr w:type="gramEnd"/>
      <w:r w:rsidR="00832DC2" w:rsidRPr="00677CE8">
        <w:t xml:space="preserve">, the probability that each mode is </w:t>
      </w:r>
      <w:r w:rsidR="009E34C8" w:rsidRPr="00677CE8">
        <w:t>ranked first</w:t>
      </w:r>
      <w:r w:rsidR="00832DC2" w:rsidRPr="00677CE8">
        <w:t xml:space="preserve">, averaging these probabilities across individuals to get predicted modal shares. </w:t>
      </w:r>
      <w:r w:rsidRPr="00677CE8">
        <w:t>The same process is then repeated for the treatment level of the exogenous variable, setting the gender of the entire sample to “Female.” The</w:t>
      </w:r>
      <w:r w:rsidR="00EB5B1D" w:rsidRPr="00677CE8">
        <w:t xml:space="preserve"> percent ATE is then </w:t>
      </w:r>
      <w:r w:rsidR="004721ED" w:rsidRPr="00677CE8">
        <w:t>calculated</w:t>
      </w:r>
      <w:r w:rsidR="00EB5B1D" w:rsidRPr="00677CE8">
        <w:t xml:space="preserve"> </w:t>
      </w:r>
      <w:r w:rsidR="00444E3D" w:rsidRPr="00677CE8">
        <w:t>as the percentage difference in the shares from the base case to the treatment case</w:t>
      </w:r>
      <w:r w:rsidRPr="00677CE8">
        <w:t>, capturing both the magnitude and direction of gender’s impact on the mode choice outcome. For variables with more than two levels</w:t>
      </w:r>
      <w:r w:rsidR="00AB3A28" w:rsidRPr="00677CE8">
        <w:t xml:space="preserve">, </w:t>
      </w:r>
      <w:r w:rsidRPr="00677CE8">
        <w:t xml:space="preserve">we select meaningful base and treatment cases based on the model specification, often </w:t>
      </w:r>
      <w:r w:rsidR="00AB3A28" w:rsidRPr="00677CE8">
        <w:t>comparing</w:t>
      </w:r>
      <w:r w:rsidRPr="00677CE8">
        <w:t xml:space="preserve"> the highest and lowest levels. </w:t>
      </w:r>
      <w:r w:rsidR="00C40658" w:rsidRPr="00677CE8">
        <w:t xml:space="preserve">For service </w:t>
      </w:r>
      <w:r w:rsidR="00EC192F" w:rsidRPr="00677CE8">
        <w:t>attributes</w:t>
      </w:r>
      <w:r w:rsidR="00C40658" w:rsidRPr="00677CE8">
        <w:t xml:space="preserve">, we present ATEs based on mode-specific changes to service </w:t>
      </w:r>
      <w:r w:rsidR="00556040" w:rsidRPr="00677CE8">
        <w:lastRenderedPageBreak/>
        <w:t>attributes</w:t>
      </w:r>
      <w:r w:rsidR="00EC192F" w:rsidRPr="00677CE8">
        <w:t>. These effects examine the impacts of service changes to air taxi and air metro alternatives individually,</w:t>
      </w:r>
      <w:r w:rsidR="00C40658" w:rsidRPr="00677CE8">
        <w:t xml:space="preserve"> as well as </w:t>
      </w:r>
      <w:r w:rsidR="00EC192F" w:rsidRPr="00677CE8">
        <w:t>jointly,</w:t>
      </w:r>
      <w:r w:rsidRPr="00677CE8">
        <w:t xml:space="preserve"> to provide a sense of sensitivity </w:t>
      </w:r>
      <w:r w:rsidR="009A2144" w:rsidRPr="00677CE8">
        <w:t xml:space="preserve">differences between modes. The final ATE effects </w:t>
      </w:r>
      <w:r w:rsidR="00BF7E1A" w:rsidRPr="00677CE8">
        <w:t xml:space="preserve">for a select group of exogenous variables </w:t>
      </w:r>
      <w:r w:rsidR="009A2144" w:rsidRPr="00677CE8">
        <w:t>are</w:t>
      </w:r>
      <w:r w:rsidR="00BF7E1A" w:rsidRPr="00677CE8">
        <w:t xml:space="preserve"> presented</w:t>
      </w:r>
      <w:r w:rsidR="009A2144" w:rsidRPr="00677CE8">
        <w:t xml:space="preserve"> in Table </w:t>
      </w:r>
      <w:r w:rsidR="00BF7E1A" w:rsidRPr="00677CE8">
        <w:t>8</w:t>
      </w:r>
      <w:r w:rsidR="009A2144" w:rsidRPr="00677CE8">
        <w:t xml:space="preserve">, with each of the final five columns representing the percent change in share for </w:t>
      </w:r>
      <w:r w:rsidR="00E52FB5" w:rsidRPr="00677CE8">
        <w:t>each</w:t>
      </w:r>
      <w:r w:rsidR="009A2144" w:rsidRPr="00677CE8">
        <w:t xml:space="preserve"> mode. For </w:t>
      </w:r>
      <w:r w:rsidR="00AB3A28" w:rsidRPr="00677CE8">
        <w:t>instance</w:t>
      </w:r>
      <w:r w:rsidR="009A2144" w:rsidRPr="00677CE8">
        <w:t xml:space="preserve">, the ATE for gender’s impact on air taxi </w:t>
      </w:r>
      <w:r w:rsidR="00F54295" w:rsidRPr="00677CE8">
        <w:t xml:space="preserve">(see the bottom panel of Table 8) </w:t>
      </w:r>
      <w:r w:rsidR="009A2144" w:rsidRPr="00677CE8">
        <w:t>is listed as “</w:t>
      </w:r>
      <w:r w:rsidR="00133A36" w:rsidRPr="00677CE8">
        <w:t>67.9</w:t>
      </w:r>
      <w:r w:rsidR="009A2144" w:rsidRPr="00677CE8">
        <w:t xml:space="preserve">%” indicating that </w:t>
      </w:r>
      <w:r w:rsidR="00A23836" w:rsidRPr="00677CE8">
        <w:t xml:space="preserve">men are about </w:t>
      </w:r>
      <w:r w:rsidR="00133A36" w:rsidRPr="00677CE8">
        <w:t>67.9</w:t>
      </w:r>
      <w:r w:rsidR="00A23836" w:rsidRPr="00677CE8">
        <w:t xml:space="preserve">% more likely to choose air-taxi as their first ranked alternative </w:t>
      </w:r>
      <w:r w:rsidR="001902CD" w:rsidRPr="00677CE8">
        <w:t>compared with women</w:t>
      </w:r>
      <w:r w:rsidR="009A2144" w:rsidRPr="00677CE8">
        <w:t xml:space="preserve">. In the following section, we discuss the implications of the results </w:t>
      </w:r>
      <w:r w:rsidR="00D067EB" w:rsidRPr="00677CE8">
        <w:t xml:space="preserve">based on both imputed values of in-vehicle travel time savings (VTTS) as well as the </w:t>
      </w:r>
      <w:r w:rsidR="009A2144" w:rsidRPr="00677CE8">
        <w:t>ATE calculations.</w:t>
      </w:r>
    </w:p>
    <w:p w14:paraId="3E57FA3C" w14:textId="77777777" w:rsidR="00F024E1" w:rsidRPr="00677CE8" w:rsidRDefault="00F024E1" w:rsidP="00F41CCC">
      <w:pPr>
        <w:spacing w:after="0" w:line="240" w:lineRule="auto"/>
      </w:pPr>
    </w:p>
    <w:p w14:paraId="3A8324A9" w14:textId="56A3F312" w:rsidR="00D50E08" w:rsidRPr="00677CE8" w:rsidRDefault="00FB022D" w:rsidP="00F41CCC">
      <w:pPr>
        <w:pStyle w:val="Heading1"/>
        <w:numPr>
          <w:ilvl w:val="0"/>
          <w:numId w:val="0"/>
        </w:numPr>
        <w:spacing w:after="0" w:line="240" w:lineRule="auto"/>
        <w:jc w:val="both"/>
      </w:pPr>
      <w:r>
        <w:t xml:space="preserve">6. </w:t>
      </w:r>
      <w:r w:rsidR="00982D08" w:rsidRPr="00677CE8">
        <w:t>IMPLICATIONS</w:t>
      </w:r>
    </w:p>
    <w:p w14:paraId="2DBD6531" w14:textId="4FD46079" w:rsidR="00C040D8" w:rsidRPr="00677CE8" w:rsidRDefault="00CB43B6" w:rsidP="00F41CCC">
      <w:pPr>
        <w:pStyle w:val="Heading2"/>
        <w:spacing w:after="0" w:line="240" w:lineRule="auto"/>
        <w:jc w:val="both"/>
      </w:pPr>
      <w:r w:rsidRPr="00677CE8">
        <w:t xml:space="preserve">6.1 Implications for </w:t>
      </w:r>
      <w:r w:rsidR="00D57FD0">
        <w:t xml:space="preserve">In-Vehicle </w:t>
      </w:r>
      <w:r w:rsidRPr="00677CE8">
        <w:t>Value of Time</w:t>
      </w:r>
      <w:r w:rsidR="00D067EB" w:rsidRPr="00677CE8">
        <w:t xml:space="preserve"> Savings</w:t>
      </w:r>
    </w:p>
    <w:p w14:paraId="55FC9A81" w14:textId="5A02F780" w:rsidR="00297901" w:rsidRPr="00677CE8" w:rsidRDefault="00D067EB" w:rsidP="00F41CCC">
      <w:pPr>
        <w:spacing w:after="0" w:line="240" w:lineRule="auto"/>
        <w:jc w:val="both"/>
      </w:pPr>
      <w:r w:rsidRPr="00677CE8">
        <w:t xml:space="preserve">Figure 3 presents the UAM </w:t>
      </w:r>
      <w:r w:rsidR="00D57FD0">
        <w:t xml:space="preserve">in-vehicle </w:t>
      </w:r>
      <w:r w:rsidRPr="00677CE8">
        <w:t xml:space="preserve">VTTS by household income for different </w:t>
      </w:r>
      <w:r w:rsidR="0095211A" w:rsidRPr="00677CE8">
        <w:t>trip purposes</w:t>
      </w:r>
      <w:r w:rsidRPr="00677CE8">
        <w:t xml:space="preserve"> and different trip </w:t>
      </w:r>
      <w:r w:rsidR="0095211A" w:rsidRPr="00677CE8">
        <w:t>distance</w:t>
      </w:r>
      <w:r w:rsidRPr="00677CE8">
        <w:t>s</w:t>
      </w:r>
      <w:r w:rsidR="0095211A" w:rsidRPr="00677CE8">
        <w:t xml:space="preserve">. </w:t>
      </w:r>
      <w:r w:rsidR="0064142E" w:rsidRPr="00677CE8">
        <w:t>Understanding this variation is particularly important for</w:t>
      </w:r>
      <w:r w:rsidR="00076089" w:rsidRPr="00677CE8">
        <w:t xml:space="preserve"> UAM </w:t>
      </w:r>
      <w:r w:rsidRPr="00677CE8">
        <w:t xml:space="preserve">design and </w:t>
      </w:r>
      <w:r w:rsidR="00076089" w:rsidRPr="00677CE8">
        <w:t>development</w:t>
      </w:r>
      <w:r w:rsidRPr="00677CE8">
        <w:t>,</w:t>
      </w:r>
      <w:r w:rsidR="0064142E" w:rsidRPr="00677CE8">
        <w:t xml:space="preserve"> </w:t>
      </w:r>
      <w:r w:rsidR="00D2008B" w:rsidRPr="00677CE8">
        <w:t xml:space="preserve">given the current uncertainty surrounding pricing. Current estimates for UAM fares vary widely across uncertain operational conditions </w:t>
      </w:r>
      <w:r w:rsidR="00D2008B" w:rsidRPr="00677CE8">
        <w:fldChar w:fldCharType="begin"/>
      </w:r>
      <w:r w:rsidR="00B7697D" w:rsidRPr="00677CE8">
        <w:instrText xml:space="preserve"> ADDIN ZOTERO_ITEM CSL_CITATION {"citationID":"K1u9Eqdr","properties":{"unsorted":false,"formattedCitation":"(Goyal et al., 2018; Lee et al., 2023)","plainCitation":"(Goyal et al., 2018; Lee et al., 2023)","noteIndex":0},"citationItems":[{"id":1526,"uris":["http://zotero.org/groups/6194892/items/AQBZWFUV"],"itemData":{"id":1526,"type":"report","abstract":"The Booz Allen Team explored market size and potential barriers to Urban Air Mobility (UAM) by focusing on three potential markets – Airport Shuttle, Air Taxi, and Air Ambulance. We found that the Airport Shuttle and Air Taxi markets are viable, with a significant total available market value in the U.S. of $500 billion, for a fully unconstrained scenario. In this unconstrained best-case scenario, passengers would have the ability to access and fly a UAM at any time, from any location to any destination, without being hindered by constraints such as weather, infrastructure, or traffic volume. Significant legal and regulatory, weather, certification, public perception, and infrastructure constraints exist, which reduce the market potential for these applications to only about 0.5% of the total available market, or $2.5 billion, in the near term. However, we determined that these constraints can be addressed through ongoing intra-governmental partnerships, government and industry collaboration, strong industry commitment, and existing legal and regulatory enablers. We found that the Air Ambulance market is not a viable market if served by electric vertical takeoff and landing (eVTOL) vehicles due to technology constraints but may potentially be viable if a hybrid VTOL aircraft are utilized. The barriers and challenges we characterized in this study can be stratified according to their applicability or potential mitigation through technology as well as market maturity (Figure 1). In the near term, high cost of service will be a key economic challenge. We found potential for significant reduction in service cost through increased vehicle and component efficiency, and automation in a more mature market scenario. Weather conditions also pose a challenge to the UAM market, though there is potential for mitigation of some of these impacts through technology such as sensors enabling operations in low visibility. However, even in a mature market with advanced technology, disruptions are still likely to occur due to weather events such as thunderstorms and strong winds. High density operations will likely stress the current Air Traffic Management (ATM) system in the near term, but technology and new initiatives such as the Air Traffic Management -eXploration project (ATM-X) will enable safe and efficient integration of UAM into the National Airspace System (NAS). Current battery technology creates a barrier in the near term, especially for the Air Ambulance market, as battery weight and extensive recharging times would be needed for these operations. Advancements in battery technology, as well as use of hybrid VTOLs, could significantly reduce this barrier in the longer term. As UAM emerges as a viable mode of transportation in the near term, adverse energy and environmental impacts, particularly noise, may impact community acceptance and potentially persist as the market matures into larger-scale operations. For non-technology related challenges, we found that infrastructure constraints will create a significant barrier to UAM in the near term but could be addressed in the longer term through development and expansion of vertiports. Competition from existing modes of transportation such as ride-sharing (e.g., Lyft, Uber) and ground taxi’s pose a key barrier to UAM in the short term, which will likely evolve into competition from other emerging technologies such as autonomous cars and electric trains in the longer term. Weather events will influence other components of the operation such as passenger comfort (e.g., extreme temperatures, turbulence) and infrastructure (e.g., winter weather causing cracks and degradation in vertiports). There is also potential for these impacts to be heightened in the longer term from the increased frequency of adverse weather such as thunderstorms due to changing climatic conditions. We also found that the public has strong concerns about safety as a passenger in a piloted UAM, including “lasing” of pilots, unruly passengers, and sabotage. They would prefer that all passengers pass through a security screening process before boarding a vehicle. They would also prefer to use UAM for longer regional trips, such as flying from Washington, DC to Baltimore, MD or San Diego, CA to Los Angeles, CA. A longer term automated UAM vehicle market will face challenges due to public apprehension about automation and unmanned operations, and a preference to fly with passengers they know in an autonomous (unmanned) operational scenario.","note":"NTRS Author Affiliations: Booz Allen Hamilton (United States), University of California, Berkeley\nNTRS Document ID: 20190001472\nNTRS Research Center: Headquarters (HQ)","number":"HQ-E-DAA-TN65181","source":"NASA NTRS","title":"Urban Air Mobility (UAM) Market Study","URL":"https://ntrs.nasa.gov/citations/20190001472","author":[{"family":"Goyal","given":"Rohit"},{"family":"Reiche","given":"Colleen"},{"family":"Fernando","given":"Chris"},{"family":"Serrao","given":"Jacquie"},{"family":"Kimmel","given":"Shawn"},{"family":"Cohen","given":"Adam"},{"family":"Shaheen","given":"Susan"}],"accessed":{"date-parts":[["2026",3,16]]},"issued":{"date-parts":[["2018",11,21]]}}},{"id":489,"uris":["http://zotero.org/groups/6194892/items/62LUHJVM"],"itemData":{"id":489,"type":"article-journal","abstract":"Urban air mobility (UAM) is regarded as a sustainable alternative for intercity and intracity passenger transportation. The objective of this study is to identify the psychological and attitudinal factors that predict behavioral intentions to adopt UAM. This study integrates the unified theory of acceptance and use of technology with the initial trust model to explain the adoption intention among potential users of UAM. Results show that social influence and initial trust are the most significant predictor of the usage intention, which, together with performance expectancy, facilitating conditions, and structural assurance, lead to positive attitudes toward UAM. Initial trust was dependent on all six antecedents considered, but most largely on structural assurance. These findings emphasize the role of institutional safety nets, including regulations and legal resources, in increasing initial trust and promoting initial diffusion of UAM. They also offer guidance for designing interventions to improve the societal acceptance of UAM.","container-title":"Technological Forecasting and Social Change","DOI":"10.1016/j.techfore.2023.122807","ISSN":"0040-1625","source":"ScienceDirect","title":"Societal Acceptance of Urban Air Mobility Based on the Technology Adoption Framework","URL":"https://www.sciencedirect.com/science/article/pii/S0040162523004924","volume":"196","author":[{"family":"Lee","given":"Changju"},{"family":"Bae","given":"Bumjoon"},{"family":"Lee","given":"Yu Lim"},{"family":"Pak","given":"Tae-Young"}],"accessed":{"date-parts":[["2023",9,22]]},"issued":{"date-parts":[["2023",11,1]]}}}],"schema":"https://github.com/citation-style-language/schema/raw/master/csl-citation.json"} </w:instrText>
      </w:r>
      <w:r w:rsidR="00D2008B" w:rsidRPr="00677CE8">
        <w:fldChar w:fldCharType="separate"/>
      </w:r>
      <w:r w:rsidR="00D2008B" w:rsidRPr="00677CE8">
        <w:t>(Goyal et al., 2018; Lee et al., 2023)</w:t>
      </w:r>
      <w:r w:rsidR="00D2008B" w:rsidRPr="00677CE8">
        <w:fldChar w:fldCharType="end"/>
      </w:r>
      <w:r w:rsidR="00D2008B" w:rsidRPr="00677CE8">
        <w:t xml:space="preserve">, as well as between higher near-term estimates </w:t>
      </w:r>
      <w:r w:rsidR="00D2008B" w:rsidRPr="00677CE8">
        <w:fldChar w:fldCharType="begin"/>
      </w:r>
      <w:r w:rsidR="00B7697D" w:rsidRPr="00677CE8">
        <w:instrText xml:space="preserve"> ADDIN ZOTERO_ITEM CSL_CITATION {"citationID":"f22BW6S3","properties":{"formattedCitation":"(Hae Choi &amp; Park, 2022; Pertz et al., 2023)","plainCitation":"(Hae Choi &amp; Park, 2022; Pertz et al., 2023)","dontUpdate":true,"noteIndex":0},"citationItems":[{"id":1530,"uris":["http://zotero.org/groups/6194892/items/MIAAIQ3V"],"itemData":{"id":1530,"type":"article-journal","abstract":"UAM is a new concept of mobility that expands the two-dimensional transportation system to three dimensions using a personal air vehicle (PAV). This study explores the economic feasibility of the UAM airport shuttle service from two perspectives. First, this study estimates the fare of UAM services to attract customers. The UAM service should maintain a competitive price to convert existing transportation users into UAM users. This study used Incheon Airport (ICN) ground transportation data to estimate a competitive fare based on the multinomial logit model. The pricing range at which UAM services can obtain users from Seoul Station to ICN is estimated to be 96 to 108 USD, assuming the new service reduces traveling time by 30–40 min compared to taxi service. The comparison with professional institutions indicates that the 96–108 USD price range is feasible. However, according to a simulation based on the discounted cash flow (DCF) method, other approaches to increase economic feasibility are required. Second, this study reviewed operational policies to improve the economic feasibility of UAM shuttle services from two perspectives. The first is a service perspective that introduces new services or enhances the current service level. The internalization of CNS (communications, navigation, and surveillance) and UTM (unmanned traffic management) services can be a new business area, including premium routing. The second is introducing a dynamic pricing policy. Segmented pricing, time-based pricing, and changing market conditions strategies can practically strengthen the economic feasibility. Operating an airport Vertiport providing a dedicated path for UAM passengers can allow UAM operators to charge more on a premium passenger segment by shortening airport procedure time. Because it can avoid the uncertainty of road congestion, there is plenty of incentive to set higher fares during peak times with severe congestion. In addition, by creating a market environment in which multiple operators participate, the operators can share the burden of infrastructure construction and operation, which account for more than 80% of the total operating costs, increasing the economic feasibility of services.","container-title":"Transportation Research Part A: Policy and Practice","DOI":"10.1016/j.tra.2022.06.004","ISSN":"0965-8564","journalAbbreviation":"Transportation Research Part A: Policy and Practice","page":"267-281","source":"ScienceDirect","title":"Exploring economic feasibility for airport shuttle service of urban air mobility (UAM)","volume":"162","author":[{"family":"Hae Choi","given":"Jong"},{"family":"Park","given":"Yonghwa"}],"issued":{"date-parts":[["2022",8,1]]}}},{"id":1527,"uris":["http://zotero.org/groups/6194892/items/LM3LJKBG"],"itemData":{"id":1527,"type":"article-journal","abstract":"While different vehicle configurations enter the AAM market, airlines declare different ticket fares for their operations. This research investigates ...","container-title":"Drones","DOI":"10.3390/drones7020075","ISSN":"2504-446X","issue":"2","language":"en","license":"http://creativecommons.org/licenses/by/3.0/","publisher":"Multidisciplinary Digital Publishing Institute","source":"www.mdpi.com","title":"Estimating the Economic Viability of Advanced Air Mobility Use Cases: Towards the Slope of Enlightenment","title-short":"Estimating the Economic Viability of Advanced Air Mobility Use Cases","URL":"https://www.mdpi.com/2504-446X/7/2/75","volume":"7","author":[{"family":"Pertz","given":"Jan"},{"family":"Niklaß","given":"Malte"},{"family":"Swaid","given":"Majed"},{"family":"Gollnick","given":"Volker"},{"family":"Kopera","given":"Sven"},{"family":"Schunck","given":"Kolin"},{"family":"Baur","given":"Stephan"}],"accessed":{"date-parts":[["2026",3,16]]},"issued":{"date-parts":[["2023",1,19]]}}}],"schema":"https://github.com/citation-style-language/schema/raw/master/csl-citation.json"} </w:instrText>
      </w:r>
      <w:r w:rsidR="00D2008B" w:rsidRPr="00677CE8">
        <w:fldChar w:fldCharType="separate"/>
      </w:r>
      <w:r w:rsidR="00D2008B" w:rsidRPr="00677CE8">
        <w:t>(Hae Choi and Park, 2022; Pertz et al., 2023)</w:t>
      </w:r>
      <w:r w:rsidR="00D2008B" w:rsidRPr="00677CE8">
        <w:fldChar w:fldCharType="end"/>
      </w:r>
      <w:r w:rsidR="00D2008B" w:rsidRPr="00677CE8">
        <w:t xml:space="preserve"> and longer-term drops expected </w:t>
      </w:r>
      <w:r w:rsidR="00DB71BF" w:rsidRPr="00677CE8">
        <w:t xml:space="preserve">to be </w:t>
      </w:r>
      <w:r w:rsidR="00D2008B" w:rsidRPr="00677CE8">
        <w:t xml:space="preserve">driven by improvements to operational efficiency, technology, and automation </w:t>
      </w:r>
      <w:r w:rsidR="00D2008B" w:rsidRPr="00677CE8">
        <w:fldChar w:fldCharType="begin"/>
      </w:r>
      <w:r w:rsidR="00B7697D" w:rsidRPr="00677CE8">
        <w:instrText xml:space="preserve"> ADDIN ZOTERO_ITEM CSL_CITATION {"citationID":"wjs2ZeYw","properties":{"unsorted":false,"formattedCitation":"(Goyal et al., 2018)","plainCitation":"(Goyal et al., 2018)","noteIndex":0},"citationItems":[{"id":1526,"uris":["http://zotero.org/groups/6194892/items/AQBZWFUV"],"itemData":{"id":1526,"type":"report","abstract":"The Booz Allen Team explored market size and potential barriers to Urban Air Mobility (UAM) by focusing on three potential markets – Airport Shuttle, Air Taxi, and Air Ambulance. We found that the Airport Shuttle and Air Taxi markets are viable, with a significant total available market value in the U.S. of $500 billion, for a fully unconstrained scenario. In this unconstrained best-case scenario, passengers would have the ability to access and fly a UAM at any time, from any location to any destination, without being hindered by constraints such as weather, infrastructure, or traffic volume. Significant legal and regulatory, weather, certification, public perception, and infrastructure constraints exist, which reduce the market potential for these applications to only about 0.5% of the total available market, or $2.5 billion, in the near term. However, we determined that these constraints can be addressed through ongoing intra-governmental partnerships, government and industry collaboration, strong industry commitment, and existing legal and regulatory enablers. We found that the Air Ambulance market is not a viable market if served by electric vertical takeoff and landing (eVTOL) vehicles due to technology constraints but may potentially be viable if a hybrid VTOL aircraft are utilized. The barriers and challenges we characterized in this study can be stratified according to their applicability or potential mitigation through technology as well as market maturity (Figure 1). In the near term, high cost of service will be a key economic challenge. We found potential for significant reduction in service cost through increased vehicle and component efficiency, and automation in a more mature market scenario. Weather conditions also pose a challenge to the UAM market, though there is potential for mitigation of some of these impacts through technology such as sensors enabling operations in low visibility. However, even in a mature market with advanced technology, disruptions are still likely to occur due to weather events such as thunderstorms and strong winds. High density operations will likely stress the current Air Traffic Management (ATM) system in the near term, but technology and new initiatives such as the Air Traffic Management -eXploration project (ATM-X) will enable safe and efficient integration of UAM into the National Airspace System (NAS). Current battery technology creates a barrier in the near term, especially for the Air Ambulance market, as battery weight and extensive recharging times would be needed for these operations. Advancements in battery technology, as well as use of hybrid VTOLs, could significantly reduce this barrier in the longer term. As UAM emerges as a viable mode of transportation in the near term, adverse energy and environmental impacts, particularly noise, may impact community acceptance and potentially persist as the market matures into larger-scale operations. For non-technology related challenges, we found that infrastructure constraints will create a significant barrier to UAM in the near term but could be addressed in the longer term through development and expansion of vertiports. Competition from existing modes of transportation such as ride-sharing (e.g., Lyft, Uber) and ground taxi’s pose a key barrier to UAM in the short term, which will likely evolve into competition from other emerging technologies such as autonomous cars and electric trains in the longer term. Weather events will influence other components of the operation such as passenger comfort (e.g., extreme temperatures, turbulence) and infrastructure (e.g., winter weather causing cracks and degradation in vertiports). There is also potential for these impacts to be heightened in the longer term from the increased frequency of adverse weather such as thunderstorms due to changing climatic conditions. We also found that the public has strong concerns about safety as a passenger in a piloted UAM, including “lasing” of pilots, unruly passengers, and sabotage. They would prefer that all passengers pass through a security screening process before boarding a vehicle. They would also prefer to use UAM for longer regional trips, such as flying from Washington, DC to Baltimore, MD or San Diego, CA to Los Angeles, CA. A longer term automated UAM vehicle market will face challenges due to public apprehension about automation and unmanned operations, and a preference to fly with passengers they know in an autonomous (unmanned) operational scenario.","note":"NTRS Author Affiliations: Booz Allen Hamilton (United States), University of California, Berkeley\nNTRS Document ID: 20190001472\nNTRS Research Center: Headquarters (HQ)","number":"HQ-E-DAA-TN65181","source":"NASA NTRS","title":"Urban Air Mobility (UAM) Market Study","URL":"https://ntrs.nasa.gov/citations/20190001472","author":[{"family":"Goyal","given":"Rohit"},{"family":"Reiche","given":"Colleen"},{"family":"Fernando","given":"Chris"},{"family":"Serrao","given":"Jacquie"},{"family":"Kimmel","given":"Shawn"},{"family":"Cohen","given":"Adam"},{"family":"Shaheen","given":"Susan"}],"accessed":{"date-parts":[["2026",3,16]]},"issued":{"date-parts":[["2018",11,21]]}}}],"schema":"https://github.com/citation-style-language/schema/raw/master/csl-citation.json"} </w:instrText>
      </w:r>
      <w:r w:rsidR="00D2008B" w:rsidRPr="00677CE8">
        <w:fldChar w:fldCharType="separate"/>
      </w:r>
      <w:r w:rsidR="00D2008B" w:rsidRPr="00677CE8">
        <w:t>(Goyal et al., 2018)</w:t>
      </w:r>
      <w:r w:rsidR="00D2008B" w:rsidRPr="00677CE8">
        <w:fldChar w:fldCharType="end"/>
      </w:r>
      <w:r w:rsidR="00D2008B" w:rsidRPr="00677CE8">
        <w:t>.</w:t>
      </w:r>
      <w:r w:rsidR="00297901" w:rsidRPr="00677CE8">
        <w:t xml:space="preserve"> Therefore, understanding how travelers value </w:t>
      </w:r>
      <w:r w:rsidR="00D57FD0">
        <w:t xml:space="preserve">in-vehicle </w:t>
      </w:r>
      <w:r w:rsidR="00297901" w:rsidRPr="00677CE8">
        <w:t>travel time savings is important for gauging market potential and planning pricing for future UAM services.</w:t>
      </w:r>
    </w:p>
    <w:p w14:paraId="75C7CCBF" w14:textId="4FE0801E" w:rsidR="00E8685B" w:rsidRPr="00677CE8" w:rsidRDefault="00297901" w:rsidP="00F41CCC">
      <w:pPr>
        <w:spacing w:after="0" w:line="240" w:lineRule="auto"/>
        <w:ind w:firstLine="720"/>
        <w:jc w:val="both"/>
      </w:pPr>
      <w:r w:rsidRPr="00677CE8">
        <w:t xml:space="preserve">Although the estimated UAM VTTS values shown in Figure 3 are higher than conventional appraisal benchmarks for personal travel, they should not be interpreted solely as reflecting the opportunity cost of time as measured by the wage rate. Jara-Díaz and Guevara </w:t>
      </w:r>
      <w:r w:rsidRPr="00677CE8">
        <w:fldChar w:fldCharType="begin"/>
      </w:r>
      <w:r w:rsidRPr="00677CE8">
        <w:instrText xml:space="preserve"> ADDIN ZOTERO_ITEM CSL_CITATION {"citationID":"2aOuEKYf","properties":{"unsorted":false,"formattedCitation":"(Jara-D\\uc0\\u237{}az &amp; Guevara, 2003)","plainCitation":"(Jara-Díaz &amp; Guevara, 2003)","noteIndex":0},"citationItems":[{"id":2253,"uris":["http://zotero.org/groups/6194892/items/PDIJVSJW"],"itemData":{"id":2253,"type":"article-journal","container-title":"Journal of Transport Economics and Policy","issue":"1","page":"29-46","title":"Behind the Subjective Value of Travel Time Savings","volume":"37","author":[{"family":"Jara-Díaz","given":"Sergio R."},{"family":"Guevara","given":"Cristián A."}],"issued":{"date-parts":[["2003"]]}}}],"schema":"https://github.com/citation-style-language/schema/raw/master/csl-citation.json"} </w:instrText>
      </w:r>
      <w:r w:rsidRPr="00677CE8">
        <w:fldChar w:fldCharType="separate"/>
      </w:r>
      <w:r w:rsidRPr="00677CE8">
        <w:rPr>
          <w:kern w:val="0"/>
        </w:rPr>
        <w:t>(2003)</w:t>
      </w:r>
      <w:r w:rsidRPr="00677CE8">
        <w:fldChar w:fldCharType="end"/>
      </w:r>
      <w:r w:rsidRPr="00677CE8">
        <w:t xml:space="preserve"> illustrate, within a </w:t>
      </w:r>
      <w:proofErr w:type="spellStart"/>
      <w:r w:rsidRPr="00677CE8">
        <w:t>DeSerpa</w:t>
      </w:r>
      <w:proofErr w:type="spellEnd"/>
      <w:r w:rsidRPr="00677CE8">
        <w:t xml:space="preserve"> </w:t>
      </w:r>
      <w:r w:rsidRPr="00677CE8">
        <w:fldChar w:fldCharType="begin"/>
      </w:r>
      <w:r w:rsidRPr="00677CE8">
        <w:instrText xml:space="preserve"> ADDIN ZOTERO_ITEM CSL_CITATION {"citationID":"8rG4l9dQ","properties":{"unsorted":false,"formattedCitation":"(DeSerpa, 1971)","plainCitation":"(DeSerpa, 1971)","noteIndex":0},"citationItems":[{"id":2254,"uris":["http://zotero.org/groups/6194892/items/SHFQS65X"],"itemData":{"id":2254,"type":"article-journal","container-title":"The Economic Journal","DOI":"10.2307/2230320","ISSN":"0013-0133","issue":"324","journalAbbreviation":"Econ J","page":"828-846","source":"Silverchair","title":"A Theory of the Economics of Time","volume":"81","author":[{"family":"DeSerpa","given":"A. C."}],"issued":{"date-parts":[["1971",12,1]]}}}],"schema":"https://github.com/citation-style-language/schema/raw/master/csl-citation.json"} </w:instrText>
      </w:r>
      <w:r w:rsidRPr="00677CE8">
        <w:fldChar w:fldCharType="separate"/>
      </w:r>
      <w:r w:rsidRPr="00677CE8">
        <w:t>(1971)</w:t>
      </w:r>
      <w:r w:rsidRPr="00677CE8">
        <w:fldChar w:fldCharType="end"/>
      </w:r>
      <w:r w:rsidRPr="00677CE8">
        <w:t xml:space="preserve"> time-allocation framework, that the subjective VTTS estimated from travel choice models comprises two components: the value of reallocating travel time to alternative activities and the direct utility (or disutility) associated with the travel activity itself. Consequently, relatively high subjective VTTS estimates, as obtained from our SP experiment, may reflect not only the value of time as a scarce resource but also unfavorable perceptions of the travel experience. Jara-Díaz </w:t>
      </w:r>
      <w:r w:rsidRPr="00677CE8">
        <w:fldChar w:fldCharType="begin"/>
      </w:r>
      <w:r w:rsidRPr="00677CE8">
        <w:instrText xml:space="preserve"> ADDIN ZOTERO_ITEM CSL_CITATION {"citationID":"6DbgCx4R","properties":{"unsorted":false,"formattedCitation":"(Jara-Diaz, 2024)","plainCitation":"(Jara-Diaz, 2024)","noteIndex":0},"citationItems":[{"id":2256,"uris":["http://zotero.org/groups/6194892/items/TVBFMYRH"],"itemData":{"id":2256,"type":"article-journal","abstract":"In this note I present a theoretical formulation that incorporates the main elements behind the performance of work or leisure activities while travelling, obtaining an expanded interpretation of the values of time in terms of the role played by the values of work and leisure inside the vehicle. We conclude that the value of in-vehicle time is expected to decrease as the conditions to perform those activities inside the vehicle improve. The framework admits the possibility of negative travel time values if there are leisure activities that can only be performed while traveling and are preferred over those that can be done elsewhere.","container-title":"Transportation Research Part A: Policy and Practice","DOI":"10.1016/j.tra.2024.104092","ISSN":"0965-8564","journalAbbreviation":"Transportation Research Part A: Policy and Practice","page":"104092","source":"ScienceDirect","title":"The value(s) of travel time savings considering in-vehicle activities.","volume":"184","author":[{"family":"Jara-Diaz","given":"Sergio"}],"issued":{"date-parts":[["2024",6,1]]}}}],"schema":"https://github.com/citation-style-language/schema/raw/master/csl-citation.json"} </w:instrText>
      </w:r>
      <w:r w:rsidRPr="00677CE8">
        <w:fldChar w:fldCharType="separate"/>
      </w:r>
      <w:r w:rsidRPr="00677CE8">
        <w:t>(2024)</w:t>
      </w:r>
      <w:r w:rsidRPr="00677CE8">
        <w:fldChar w:fldCharType="end"/>
      </w:r>
      <w:r w:rsidRPr="00677CE8">
        <w:t xml:space="preserve"> further demonstrates that the latter component may be related to considerations of discomfort, lack of safety, uncertainty, travel time unreliability, and the quality of the travel itself (such as being stuck in stop-and-go traffic versus smooth travel), which can increase the subjective VTTS beyond simply the opportunity cost of time itself.</w:t>
      </w:r>
    </w:p>
    <w:p w14:paraId="1155BA8D" w14:textId="3A1EC5BF" w:rsidR="005D36A3" w:rsidRPr="00677CE8" w:rsidRDefault="005433BB" w:rsidP="005D36A3">
      <w:pPr>
        <w:spacing w:after="0" w:line="240" w:lineRule="auto"/>
        <w:ind w:firstLine="720"/>
        <w:jc w:val="both"/>
      </w:pPr>
      <w:r w:rsidRPr="00677CE8">
        <w:t>A</w:t>
      </w:r>
      <w:r w:rsidR="00E8685B" w:rsidRPr="00677CE8">
        <w:t xml:space="preserve">cross travel contexts, VTTS is higher for UAM than for equivalent GB modes (GB VTTS values are not shown in Figure 3 for simplicity). </w:t>
      </w:r>
      <w:r w:rsidR="00133A36" w:rsidRPr="00677CE8">
        <w:t>This finding is consistent with the greater IVTT sensitivity observed for aerial modes and, in line with the Jara-Díaz decomposition of VTTS, suggests that the elevated values associated with UAM reflect both the value travelers place on travel time savings and the disutility associated with UAM travel itself.</w:t>
      </w:r>
      <w:r w:rsidR="00E8685B" w:rsidRPr="00677CE8">
        <w:t xml:space="preserve"> </w:t>
      </w:r>
      <w:proofErr w:type="gramStart"/>
      <w:r w:rsidR="00133A36" w:rsidRPr="00677CE8">
        <w:t>In particular, uncertainty</w:t>
      </w:r>
      <w:proofErr w:type="gramEnd"/>
      <w:r w:rsidR="00133A36" w:rsidRPr="00677CE8">
        <w:t xml:space="preserve"> regarding a relatively unfamiliar mode, together with concerns related to safety and other aspects of the travel experience, may increase the value travelers place on reductions in IVTT. </w:t>
      </w:r>
      <w:r w:rsidR="00E8685B" w:rsidRPr="00677CE8">
        <w:t xml:space="preserve">Similar findings have been reported for conventional air travel, where VTTS estimates are often substantially higher than those observed for GB modes </w:t>
      </w:r>
      <w:r w:rsidR="00E8685B" w:rsidRPr="00677CE8">
        <w:fldChar w:fldCharType="begin"/>
      </w:r>
      <w:r w:rsidR="00E8685B" w:rsidRPr="00677CE8">
        <w:instrText xml:space="preserve"> ADDIN ZOTERO_ITEM CSL_CITATION {"citationID":"aRIjWMNA","properties":{"unsorted":false,"formattedCitation":"(Dekker et al., 2025; Fl\\uc0\\u252{}gel, 2014; Wardman et al., 2016)","plainCitation":"(Dekker et al., 2025; Flügel, 2014; Wardman et al., 2016)","dontUpdate":true,"noteIndex":0},"citationItems":[{"id":2266,"uris":["http://zotero.org/groups/6194892/items/XELD4I95"],"itemData":{"id":2266,"type":"report","page":"63-70","publisher":"Institue for Transport Studies, University of Leeds","title":"Updating the Value of Travel Time: Scoping Study","URL":"https://assets.publishing.service.gov.uk/media/6900a86bab5cc9c893799499/value-travel-time-value-travel-time-reliability-scoping-study.pdf","author":[{"family":"Dekker","given":"Thijs"},{"family":"Batley","given":"Richard"},{"family":"Ojeda-Cabral","given":"Manuel"},{"family":"De Jong","given":"Gerard"},{"family":"Hess","given":"Stephane"},{"family":"Gordon","given":"Andrew"},{"family":"Pawlak","given":"Jacek"},{"family":"Sicakumar","given":"Jacek"},{"family":"Laird","given":"James"}],"issued":{"date-parts":[["2025"]]}}},{"id":2262,"uris":["http://zotero.org/groups/6194892/items/57WLADZB"],"itemData":{"id":2262,"type":"article-journal","abstract":"Differences in Value of Travel Time Savings (VTTS) between travel modes can play a decisive role in the ranking of projects that affect the travel time of different travel modes. Conceptually, between-mode differences in VTTS can be decomposed into the user type effect (UE) that accounts for differences in characteristics of user groups (e.g. income differences) and the mode effect (ME) that accounts for differences in travel modes (e.g. the comfort level). Several studies have disentangled and quantified these two effects. However, their potential use for project appraisal has not been thoroughly discussed in the literature. Two opportunities of using information about ME and UE in appraisal are discussed: (i) Removing the UE from national mode-specific VTTS in order to obtain a set of VTTS that only differs by the comfort level of the modes (ii) Provide the VTTS in travel modes taking into account user type effects of travellers that switch modes after project implementation. The former arguably improves on the equity approach in project appraisal under the normative argument of valuing individual's time saving equally. The latter can improve the overall precision of user benefit representation in project appraisal compared to the standard mode-specific approach, where mode switchers are assumed to have the same VTTS in the new mode independent of which original user group they belong to.","collection-title":"Appraisal in Transport","container-title":"Research in Transportation Economics","DOI":"10.1016/j.retrec.2014.09.018","ISSN":"0739-8859","journalAbbreviation":"Research in Transportation Economics","page":"50-60","source":"ScienceDirect","title":"Accounting for user type and mode effects on the value of travel time savings in project appraisal: Opportunities and challenges","title-short":"Accounting for user type and mode effects on the value of travel time savings in project appraisal","volume":"47","author":[{"family":"Flügel","given":"Stefan"}],"issued":{"date-parts":[["2014",11,1]]}}},{"id":2224,"uris":["http://zotero.org/groups/6194892/items/AMGVKESY"],"itemData":{"id":2224,"type":"article-journal","abstract":"This paper reports the most extensive meta-analysis of values of time yet conducted, covering 3109 monetary valuations assembled from 389 European studies conducted between 1963 and 2011. It aims to explain how valuations vary across studies, including over time and between countries. In addition to the customary coverage of in-vehicle time in review studies, this paper covers valuations of walk time, wait time, service headway, parking space search time, departure time switching, time in congested traffic, schedule delay early and late, mean lateness and the standard deviation of travel time. Valuations are found to vary with type of time, GDP, distance, journey purpose, mode, the monetary numeraire and a number of factors related to estimation. Model output values of time compare favourably with earnings data, replicate well official recommended values obtained from major national studies, and are transferable across countries. These implied monetary values serve as very useful benchmarks against which new evidence can be assessed and the meta-model provides parameters and values for countries and contexts where there is no other such evidence.","container-title":"Transportation Research Part A: Policy and Practice","DOI":"10.1016/j.tra.2016.08.019","ISSN":"0965-8564","journalAbbreviation":"Transportation Research Part A: Policy and Practice","page":"93-111","source":"ScienceDirect","title":"Values of travel time in Europe: Review and meta-analysis","title-short":"Values of travel time in Europe","volume":"94","author":[{"family":"Wardman","given":"Mark"},{"family":"Chintakayala","given":"V. Phani K."},{"family":"Jong","given":"Gerard","non-dropping-particle":"de"}],"issued":{"date-parts":[["2016",12,1]]}}}],"schema":"https://github.com/citation-style-language/schema/raw/master/csl-citation.json"} </w:instrText>
      </w:r>
      <w:r w:rsidR="00E8685B" w:rsidRPr="00677CE8">
        <w:fldChar w:fldCharType="separate"/>
      </w:r>
      <w:r w:rsidR="00E8685B" w:rsidRPr="00677CE8">
        <w:rPr>
          <w:kern w:val="0"/>
        </w:rPr>
        <w:t>(Flügel, 2014; Wardman et al., 2016; Dekker et al., 2025)</w:t>
      </w:r>
      <w:r w:rsidR="00E8685B" w:rsidRPr="00677CE8">
        <w:fldChar w:fldCharType="end"/>
      </w:r>
      <w:r w:rsidR="00B9092E" w:rsidRPr="00677CE8">
        <w:t xml:space="preserve">. </w:t>
      </w:r>
      <w:proofErr w:type="spellStart"/>
      <w:r w:rsidR="00B9092E" w:rsidRPr="00677CE8">
        <w:rPr>
          <w:kern w:val="0"/>
        </w:rPr>
        <w:t>Flügel</w:t>
      </w:r>
      <w:proofErr w:type="spellEnd"/>
      <w:r w:rsidR="00E8685B" w:rsidRPr="00677CE8">
        <w:t xml:space="preserve"> </w:t>
      </w:r>
      <w:r w:rsidR="00B9092E" w:rsidRPr="00677CE8">
        <w:fldChar w:fldCharType="begin"/>
      </w:r>
      <w:r w:rsidR="00B9092E" w:rsidRPr="00677CE8">
        <w:instrText xml:space="preserve"> ADDIN ZOTERO_ITEM CSL_CITATION {"citationID":"POKdQbKX","properties":{"unsorted":false,"formattedCitation":"(Fl\\uc0\\u252{}gel, 2014)","plainCitation":"(Flügel, 2014)","noteIndex":0},"citationItems":[{"id":2262,"uris":["http://zotero.org/groups/6194892/items/57WLADZB"],"itemData":{"id":2262,"type":"article-journal","abstract":"Differences in Value of Travel Time Savings (VTTS) between travel modes can play a decisive role in the ranking of projects that affect the travel time of different travel modes. Conceptually, between-mode differences in VTTS can be decomposed into the user type effect (UE) that accounts for differences in characteristics of user groups (e.g. income differences) and the mode effect (ME) that accounts for differences in travel modes (e.g. the comfort level). Several studies have disentangled and quantified these two effects. However, their potential use for project appraisal has not been thoroughly discussed in the literature. Two opportunities of using information about ME and UE in appraisal are discussed: (i) Removing the UE from national mode-specific VTTS in order to obtain a set of VTTS that only differs by the comfort level of the modes (ii) Provide the VTTS in travel modes taking into account user type effects of travellers that switch modes after project implementation. The former arguably improves on the equity approach in project appraisal under the normative argument of valuing individual's time saving equally. The latter can improve the overall precision of user benefit representation in project appraisal compared to the standard mode-specific approach, where mode switchers are assumed to have the same VTTS in the new mode independent of which original user group they belong to.","collection-title":"Appraisal in Transport","container-title":"Research in Transportation Economics","DOI":"10.1016/j.retrec.2014.09.018","ISSN":"0739-8859","journalAbbreviation":"Research in Transportation Economics","page":"50-60","source":"ScienceDirect","title":"Accounting for user type and mode effects on the value of travel time savings in project appraisal: Opportunities and challenges","title-short":"Accounting for user type and mode effects on the value of travel time savings in project appraisal","volume":"47","author":[{"family":"Flügel","given":"Stefan"}],"issued":{"date-parts":[["2014",11,1]]}}}],"schema":"https://github.com/citation-style-language/schema/raw/master/csl-citation.json"} </w:instrText>
      </w:r>
      <w:r w:rsidR="00B9092E" w:rsidRPr="00677CE8">
        <w:fldChar w:fldCharType="separate"/>
      </w:r>
      <w:r w:rsidR="00B9092E" w:rsidRPr="00677CE8">
        <w:rPr>
          <w:kern w:val="0"/>
        </w:rPr>
        <w:t>(2014)</w:t>
      </w:r>
      <w:r w:rsidR="00B9092E" w:rsidRPr="00677CE8">
        <w:fldChar w:fldCharType="end"/>
      </w:r>
      <w:r w:rsidR="00B9092E" w:rsidRPr="00677CE8">
        <w:t xml:space="preserve"> attributes this pattern</w:t>
      </w:r>
      <w:r w:rsidR="00E8685B" w:rsidRPr="00677CE8">
        <w:t xml:space="preserve"> to modal differences in the utility of the travel experience</w:t>
      </w:r>
      <w:r w:rsidR="00B9092E" w:rsidRPr="00677CE8">
        <w:t xml:space="preserve"> itself</w:t>
      </w:r>
      <w:r w:rsidRPr="00677CE8">
        <w:t xml:space="preserve">. In the context of UAM, these same modal effects may be amplified by the unfamiliar nature of UAM technology, further increasing VTTS. </w:t>
      </w:r>
      <w:r w:rsidR="00E8685B" w:rsidRPr="00677CE8">
        <w:t xml:space="preserve">For example, VTTS estimates among the medium-income group for GB NENME trips are around $56/hour, increasing to </w:t>
      </w:r>
      <w:r w:rsidR="00E8685B" w:rsidRPr="00677CE8">
        <w:lastRenderedPageBreak/>
        <w:t xml:space="preserve">$70/hour for an equivalent NENME trip by UAM. This result implies that prospective users </w:t>
      </w:r>
      <w:r w:rsidRPr="00677CE8">
        <w:t>may be</w:t>
      </w:r>
      <w:r w:rsidR="00E8685B" w:rsidRPr="00677CE8">
        <w:t xml:space="preserve"> willing to pay a premium for aerial transportation, provided that UAM services deliver meaningful reductions in travel time. </w:t>
      </w:r>
      <w:r w:rsidR="005D36A3" w:rsidRPr="00677CE8">
        <w:t>More broadly, the VTTS estimates indicate that both travel-time savings and improvements in the perceived quality of the UAM travel experience will be important determinants of long-term competitiveness with GB alternatives</w:t>
      </w:r>
    </w:p>
    <w:p w14:paraId="48CB04D4" w14:textId="2B1F2BDE" w:rsidR="00DB71BF" w:rsidRPr="00677CE8" w:rsidRDefault="00E400B0" w:rsidP="005433BB">
      <w:pPr>
        <w:spacing w:after="0" w:line="240" w:lineRule="auto"/>
        <w:ind w:firstLine="720"/>
        <w:jc w:val="both"/>
      </w:pPr>
      <w:r w:rsidRPr="00677CE8">
        <w:t>VTTS also exhibits considerable variation across trip purposes</w:t>
      </w:r>
      <w:r w:rsidR="00641F1D" w:rsidRPr="00677CE8">
        <w:t xml:space="preserve">, reflecting differences in the value placed on IVTT reductions across travel contexts. </w:t>
      </w:r>
      <w:r w:rsidR="009775B9" w:rsidRPr="00677CE8">
        <w:t xml:space="preserve">As discussed in Section 5.2.1, IVTT sensitivity is reduced for errand trips and elevated for aerial medical transport, leading to </w:t>
      </w:r>
      <w:r w:rsidR="00641F1D" w:rsidRPr="00677CE8">
        <w:t xml:space="preserve">correspondingly </w:t>
      </w:r>
      <w:r w:rsidR="009775B9" w:rsidRPr="00677CE8">
        <w:t xml:space="preserve">low VTTS values for errands </w:t>
      </w:r>
      <w:r w:rsidR="00D067EB" w:rsidRPr="00677CE8">
        <w:t xml:space="preserve">($29-$42 per hour for intra-city trips) </w:t>
      </w:r>
      <w:r w:rsidR="009775B9" w:rsidRPr="00677CE8">
        <w:t>and high VTTS for medical trips</w:t>
      </w:r>
      <w:r w:rsidR="00D067EB" w:rsidRPr="00677CE8">
        <w:t xml:space="preserve"> ($93-$135 per hour for intra-city trips)</w:t>
      </w:r>
      <w:r w:rsidR="009775B9" w:rsidRPr="00677CE8">
        <w:t xml:space="preserve">. </w:t>
      </w:r>
      <w:r w:rsidR="00641F1D" w:rsidRPr="00677CE8">
        <w:t xml:space="preserve">This pattern reflects the varying levels of urgency associated with these trip purposes and suggests that emergency medical transportation may represent a promising early use case for UAM. </w:t>
      </w:r>
      <w:r w:rsidR="00D2008B" w:rsidRPr="00677CE8">
        <w:t>High VTTS values for this trip purpose could help support initially elevated operational costs during early development.</w:t>
      </w:r>
      <w:r w:rsidR="00076089" w:rsidRPr="00677CE8">
        <w:t xml:space="preserve"> </w:t>
      </w:r>
    </w:p>
    <w:p w14:paraId="5E9EC8E6" w14:textId="6BBA3F81" w:rsidR="00C465AD" w:rsidRPr="00677CE8" w:rsidRDefault="00641F1D" w:rsidP="0095211A">
      <w:pPr>
        <w:spacing w:after="0" w:line="240" w:lineRule="auto"/>
        <w:ind w:firstLine="720"/>
        <w:jc w:val="both"/>
      </w:pPr>
      <w:r w:rsidRPr="00677CE8">
        <w:t xml:space="preserve">Estimated VTTS values are also impacted by differing cost sensitivities across trip distances. </w:t>
      </w:r>
      <w:r w:rsidR="00076089" w:rsidRPr="00677CE8">
        <w:t>VTTS</w:t>
      </w:r>
      <w:r w:rsidRPr="00677CE8">
        <w:t xml:space="preserve"> increase dramatically</w:t>
      </w:r>
      <w:r w:rsidR="00076089" w:rsidRPr="00677CE8">
        <w:t xml:space="preserve"> in the inter-city</w:t>
      </w:r>
      <w:r w:rsidR="004721ED" w:rsidRPr="00677CE8">
        <w:t xml:space="preserve"> trip</w:t>
      </w:r>
      <w:r w:rsidR="00076089" w:rsidRPr="00677CE8">
        <w:t xml:space="preserve"> (</w:t>
      </w:r>
      <w:r w:rsidR="004721ED" w:rsidRPr="00677CE8">
        <w:t>~</w:t>
      </w:r>
      <w:r w:rsidR="00076089" w:rsidRPr="00677CE8">
        <w:t>120 mile</w:t>
      </w:r>
      <w:r w:rsidR="001A6644" w:rsidRPr="00677CE8">
        <w:t xml:space="preserve"> one-way</w:t>
      </w:r>
      <w:r w:rsidR="00076089" w:rsidRPr="00677CE8">
        <w:t>) context</w:t>
      </w:r>
      <w:r w:rsidRPr="00677CE8">
        <w:t xml:space="preserve">, reflecting the higher value travelers place on IVTT reductions as travel distances increase. </w:t>
      </w:r>
      <w:r w:rsidR="00C465AD" w:rsidRPr="00677CE8">
        <w:t xml:space="preserve">Moreover, preferences are elevated for these inter-city travel contexts relative to short intra-city trips, suggesting that travelers recognize the substantial potential for </w:t>
      </w:r>
      <w:r w:rsidR="004721ED" w:rsidRPr="00677CE8">
        <w:t xml:space="preserve">long-distance </w:t>
      </w:r>
      <w:r w:rsidR="00C465AD" w:rsidRPr="00677CE8">
        <w:t>travel time reductions offered by UAM modes. As a result, inter-city travel represents another promising early UAM market, as high willingness to pay for IVTT reductions coincides with long-distance travel contexts in which meaningful travel time savings are likely to be achieved.</w:t>
      </w:r>
    </w:p>
    <w:p w14:paraId="226D7036" w14:textId="06599D8A" w:rsidR="008C13AE" w:rsidRPr="00677CE8" w:rsidRDefault="0064142E" w:rsidP="00F41CCC">
      <w:pPr>
        <w:spacing w:after="0" w:line="240" w:lineRule="auto"/>
        <w:ind w:firstLine="720"/>
        <w:jc w:val="both"/>
      </w:pPr>
      <w:r w:rsidRPr="00677CE8">
        <w:t xml:space="preserve"> </w:t>
      </w:r>
      <w:r w:rsidR="0095211A" w:rsidRPr="00677CE8">
        <w:t>Finally, higher income levels increase VTTS estimates across modes</w:t>
      </w:r>
      <w:r w:rsidR="00C465AD" w:rsidRPr="00677CE8">
        <w:t xml:space="preserve">, </w:t>
      </w:r>
      <w:r w:rsidR="0095211A" w:rsidRPr="00677CE8">
        <w:t xml:space="preserve">corresponding to reduced cost sensitivity among higher-income groups. </w:t>
      </w:r>
      <w:r w:rsidR="00C465AD" w:rsidRPr="00677CE8">
        <w:t xml:space="preserve">This variation </w:t>
      </w:r>
      <w:r w:rsidR="003710B8" w:rsidRPr="00677CE8">
        <w:t xml:space="preserve">has important </w:t>
      </w:r>
      <w:r w:rsidR="00FA34D7" w:rsidRPr="00677CE8">
        <w:t>implications</w:t>
      </w:r>
      <w:r w:rsidR="003710B8" w:rsidRPr="00677CE8">
        <w:t xml:space="preserve"> for UAM adoption,</w:t>
      </w:r>
      <w:r w:rsidR="00133A36" w:rsidRPr="00677CE8">
        <w:t xml:space="preserve"> as h</w:t>
      </w:r>
      <w:r w:rsidR="00CB43B6" w:rsidRPr="00677CE8">
        <w:t xml:space="preserve">igher initial fare levels could limit accessibility and reduce the attractiveness of UAM modes </w:t>
      </w:r>
      <w:r w:rsidR="003710B8" w:rsidRPr="00677CE8">
        <w:t xml:space="preserve">for low-income </w:t>
      </w:r>
      <w:r w:rsidR="00CB43B6" w:rsidRPr="00677CE8">
        <w:t xml:space="preserve">groups, while broader adoption may depend on future reductions in cost. </w:t>
      </w:r>
      <w:r w:rsidR="00D752E7" w:rsidRPr="00677CE8">
        <w:t>The</w:t>
      </w:r>
      <w:r w:rsidR="005B7DAC" w:rsidRPr="00677CE8">
        <w:t>se</w:t>
      </w:r>
      <w:r w:rsidR="003B1C05" w:rsidRPr="00677CE8">
        <w:t xml:space="preserve"> </w:t>
      </w:r>
      <w:r w:rsidR="00D752E7" w:rsidRPr="00677CE8">
        <w:t>income-based disparities are further amplified in travel contexts with</w:t>
      </w:r>
      <w:r w:rsidR="005B7DAC" w:rsidRPr="00677CE8">
        <w:t xml:space="preserve"> </w:t>
      </w:r>
      <w:r w:rsidR="00DA1111" w:rsidRPr="00677CE8">
        <w:t xml:space="preserve">elevated </w:t>
      </w:r>
      <w:r w:rsidR="001471B7" w:rsidRPr="00677CE8">
        <w:t>VTTS values</w:t>
      </w:r>
      <w:r w:rsidR="00DA1111" w:rsidRPr="00677CE8">
        <w:t xml:space="preserve">. This pattern is illustrated in Figure 3, </w:t>
      </w:r>
      <w:r w:rsidR="00852907" w:rsidRPr="00677CE8">
        <w:t>which</w:t>
      </w:r>
      <w:r w:rsidR="00F416D4" w:rsidRPr="00677CE8">
        <w:t xml:space="preserve"> </w:t>
      </w:r>
      <w:r w:rsidR="005B7DAC" w:rsidRPr="00677CE8">
        <w:t>shows</w:t>
      </w:r>
      <w:r w:rsidR="00F416D4" w:rsidRPr="00677CE8">
        <w:t xml:space="preserve"> the very high </w:t>
      </w:r>
      <w:r w:rsidR="00852907" w:rsidRPr="00677CE8">
        <w:t>VTTS</w:t>
      </w:r>
      <w:r w:rsidR="00F416D4" w:rsidRPr="00677CE8">
        <w:t xml:space="preserve"> for emergency </w:t>
      </w:r>
      <w:r w:rsidR="001471B7" w:rsidRPr="00677CE8">
        <w:t>medical</w:t>
      </w:r>
      <w:r w:rsidR="00F416D4" w:rsidRPr="00677CE8">
        <w:t xml:space="preserve"> tr</w:t>
      </w:r>
      <w:r w:rsidR="001471B7" w:rsidRPr="00677CE8">
        <w:t xml:space="preserve">ansport </w:t>
      </w:r>
      <w:r w:rsidR="00F416D4" w:rsidRPr="00677CE8">
        <w:t>by UAM</w:t>
      </w:r>
      <w:r w:rsidR="00D752E7" w:rsidRPr="00677CE8">
        <w:t xml:space="preserve">, an intuitive result given </w:t>
      </w:r>
      <w:r w:rsidR="00DA1111" w:rsidRPr="00677CE8">
        <w:t xml:space="preserve">the time-sensitive nature of </w:t>
      </w:r>
      <w:r w:rsidR="00D752E7" w:rsidRPr="00677CE8">
        <w:t>such</w:t>
      </w:r>
      <w:r w:rsidR="00DA1111" w:rsidRPr="00677CE8">
        <w:t xml:space="preserve"> trips. </w:t>
      </w:r>
      <w:r w:rsidR="00D752E7" w:rsidRPr="00677CE8">
        <w:t>Importantly</w:t>
      </w:r>
      <w:r w:rsidR="00DA1111" w:rsidRPr="00677CE8">
        <w:t>, the</w:t>
      </w:r>
      <w:r w:rsidR="00D752E7" w:rsidRPr="00677CE8">
        <w:t xml:space="preserve"> combination of</w:t>
      </w:r>
      <w:r w:rsidR="00DA1111" w:rsidRPr="00677CE8">
        <w:t xml:space="preserve"> </w:t>
      </w:r>
      <w:r w:rsidR="005B7DAC" w:rsidRPr="00677CE8">
        <w:t>income-based</w:t>
      </w:r>
      <w:r w:rsidR="00DA1111" w:rsidRPr="00677CE8">
        <w:t xml:space="preserve"> price sensitivity coupled with high VTTS results in large </w:t>
      </w:r>
      <w:r w:rsidR="00D752E7" w:rsidRPr="00677CE8">
        <w:t xml:space="preserve">variation in the willingness to pay for time savings across </w:t>
      </w:r>
      <w:r w:rsidR="005B7DAC" w:rsidRPr="00677CE8">
        <w:t xml:space="preserve">income </w:t>
      </w:r>
      <w:r w:rsidR="00D752E7" w:rsidRPr="00677CE8">
        <w:t>groups</w:t>
      </w:r>
      <w:r w:rsidR="0095211A" w:rsidRPr="00677CE8">
        <w:t xml:space="preserve"> (</w:t>
      </w:r>
      <w:r w:rsidR="008F3272" w:rsidRPr="00677CE8">
        <w:t xml:space="preserve">resulting in a $42/hour difference in VTTS between high- and low-income groups for </w:t>
      </w:r>
      <w:r w:rsidR="00236B0A" w:rsidRPr="00677CE8">
        <w:t xml:space="preserve">intra-city </w:t>
      </w:r>
      <w:r w:rsidR="008F3272" w:rsidRPr="00677CE8">
        <w:t xml:space="preserve">trips, and </w:t>
      </w:r>
      <w:proofErr w:type="gramStart"/>
      <w:r w:rsidR="008F3272" w:rsidRPr="00677CE8">
        <w:t>a</w:t>
      </w:r>
      <w:proofErr w:type="gramEnd"/>
      <w:r w:rsidR="008F3272" w:rsidRPr="00677CE8">
        <w:t xml:space="preserve"> </w:t>
      </w:r>
      <w:r w:rsidR="0095211A" w:rsidRPr="00677CE8">
        <w:t>$</w:t>
      </w:r>
      <w:r w:rsidR="008F3272" w:rsidRPr="00677CE8">
        <w:t xml:space="preserve">83/hour difference for </w:t>
      </w:r>
      <w:r w:rsidR="00236B0A" w:rsidRPr="00677CE8">
        <w:t xml:space="preserve">inter-city </w:t>
      </w:r>
      <w:r w:rsidR="008F3272" w:rsidRPr="00677CE8">
        <w:t>trips</w:t>
      </w:r>
      <w:r w:rsidR="0095211A" w:rsidRPr="00677CE8">
        <w:t>)</w:t>
      </w:r>
      <w:r w:rsidR="00DA1111" w:rsidRPr="00677CE8">
        <w:t xml:space="preserve">. Notably, these </w:t>
      </w:r>
      <w:r w:rsidR="003710B8" w:rsidRPr="00677CE8">
        <w:t>disparities</w:t>
      </w:r>
      <w:r w:rsidR="00DA1111" w:rsidRPr="00677CE8">
        <w:t xml:space="preserve"> are </w:t>
      </w:r>
      <w:r w:rsidR="003710B8" w:rsidRPr="00677CE8">
        <w:t>amplified</w:t>
      </w:r>
      <w:r w:rsidR="00DA1111" w:rsidRPr="00677CE8">
        <w:t xml:space="preserve"> for</w:t>
      </w:r>
      <w:r w:rsidR="003710B8" w:rsidRPr="00677CE8">
        <w:t xml:space="preserve"> aerial</w:t>
      </w:r>
      <w:r w:rsidR="00DA1111" w:rsidRPr="00677CE8">
        <w:t xml:space="preserve"> medical transportation</w:t>
      </w:r>
      <w:r w:rsidR="003710B8" w:rsidRPr="00677CE8">
        <w:t xml:space="preserve"> relative to GB alternatives due to the </w:t>
      </w:r>
      <w:r w:rsidR="00C465AD" w:rsidRPr="00677CE8">
        <w:t xml:space="preserve">elevated IVTT sensitivity </w:t>
      </w:r>
      <w:r w:rsidR="003710B8" w:rsidRPr="00677CE8">
        <w:t>observed in UAM contexts. Consequently,</w:t>
      </w:r>
      <w:r w:rsidR="003B1C05" w:rsidRPr="00677CE8">
        <w:t xml:space="preserve"> the rollout of medical UAM transport may disproportionately benefit high-income users. Although still present, VTTS </w:t>
      </w:r>
      <w:r w:rsidR="00C465AD" w:rsidRPr="00677CE8">
        <w:t>differences between income groups are</w:t>
      </w:r>
      <w:r w:rsidR="003B1C05" w:rsidRPr="00677CE8">
        <w:t xml:space="preserve"> less pronounced among less </w:t>
      </w:r>
      <w:r w:rsidR="00FA34D7" w:rsidRPr="00677CE8">
        <w:t xml:space="preserve">time </w:t>
      </w:r>
      <w:r w:rsidR="003B1C05" w:rsidRPr="00677CE8">
        <w:t xml:space="preserve">sensitive trip purposes such as </w:t>
      </w:r>
      <w:r w:rsidR="0095211A" w:rsidRPr="00677CE8">
        <w:t>work</w:t>
      </w:r>
      <w:r w:rsidR="003B1C05" w:rsidRPr="00677CE8">
        <w:t xml:space="preserve"> </w:t>
      </w:r>
      <w:r w:rsidR="006056E0" w:rsidRPr="00677CE8">
        <w:t>and leisure trips</w:t>
      </w:r>
      <w:r w:rsidR="00731665" w:rsidRPr="00677CE8">
        <w:t xml:space="preserve"> (</w:t>
      </w:r>
      <w:r w:rsidR="000D3A20">
        <w:t xml:space="preserve">the difference is </w:t>
      </w:r>
      <w:r w:rsidR="00731665" w:rsidRPr="00677CE8">
        <w:t xml:space="preserve">$27/hour for </w:t>
      </w:r>
      <w:r w:rsidR="00236B0A" w:rsidRPr="00677CE8">
        <w:t xml:space="preserve">intra-city </w:t>
      </w:r>
      <w:r w:rsidR="00731665" w:rsidRPr="00677CE8">
        <w:t xml:space="preserve">trips and $55/hour for </w:t>
      </w:r>
      <w:r w:rsidR="00236B0A" w:rsidRPr="00677CE8">
        <w:t xml:space="preserve">inter-city </w:t>
      </w:r>
      <w:r w:rsidR="00731665" w:rsidRPr="00677CE8">
        <w:t>trips)</w:t>
      </w:r>
      <w:r w:rsidR="006056E0" w:rsidRPr="00677CE8">
        <w:t xml:space="preserve">, while </w:t>
      </w:r>
      <w:r w:rsidR="003B1C05" w:rsidRPr="00677CE8">
        <w:t>the</w:t>
      </w:r>
      <w:r w:rsidR="00C465AD" w:rsidRPr="00677CE8">
        <w:t>y are</w:t>
      </w:r>
      <w:r w:rsidR="003B1C05" w:rsidRPr="00677CE8">
        <w:t xml:space="preserve"> </w:t>
      </w:r>
      <w:r w:rsidR="00731665" w:rsidRPr="00677CE8">
        <w:t>greatly reduced</w:t>
      </w:r>
      <w:r w:rsidR="003B1C05" w:rsidRPr="00677CE8">
        <w:t xml:space="preserve"> for </w:t>
      </w:r>
      <w:r w:rsidR="006056E0" w:rsidRPr="00677CE8">
        <w:t>errand trips</w:t>
      </w:r>
      <w:r w:rsidR="00731665" w:rsidRPr="00677CE8">
        <w:t xml:space="preserve"> (</w:t>
      </w:r>
      <w:r w:rsidR="000D3A20">
        <w:t xml:space="preserve">with a difference of </w:t>
      </w:r>
      <w:r w:rsidR="00731665" w:rsidRPr="00677CE8">
        <w:t xml:space="preserve">$13/hour for </w:t>
      </w:r>
      <w:r w:rsidR="00236B0A" w:rsidRPr="00677CE8">
        <w:t xml:space="preserve">intra-city </w:t>
      </w:r>
      <w:r w:rsidR="00731665" w:rsidRPr="00677CE8">
        <w:t xml:space="preserve">trips and $26/hour for </w:t>
      </w:r>
      <w:r w:rsidR="00236B0A" w:rsidRPr="00677CE8">
        <w:t xml:space="preserve">inter-city </w:t>
      </w:r>
      <w:r w:rsidR="00731665" w:rsidRPr="00677CE8">
        <w:t>trips)</w:t>
      </w:r>
      <w:r w:rsidR="006056E0" w:rsidRPr="00677CE8">
        <w:t xml:space="preserve"> </w:t>
      </w:r>
      <w:r w:rsidR="003B1C05" w:rsidRPr="00677CE8">
        <w:t xml:space="preserve">due to </w:t>
      </w:r>
      <w:r w:rsidR="006056E0" w:rsidRPr="00677CE8">
        <w:t>a much lower VTTS overall.</w:t>
      </w:r>
      <w:r w:rsidR="003B1C05" w:rsidRPr="00677CE8">
        <w:t xml:space="preserve"> These findings suggest that the </w:t>
      </w:r>
      <w:r w:rsidR="00EB1F60" w:rsidRPr="00677CE8">
        <w:t xml:space="preserve">fairness of </w:t>
      </w:r>
      <w:r w:rsidR="003B1C05" w:rsidRPr="00677CE8">
        <w:t xml:space="preserve">UAM pricing schemes may vary considerably across trip purposes, with time-sensitive applications providing both </w:t>
      </w:r>
      <w:r w:rsidR="005D1C43">
        <w:t>a promising application</w:t>
      </w:r>
      <w:r w:rsidR="003B1C05" w:rsidRPr="00677CE8">
        <w:t xml:space="preserve"> and </w:t>
      </w:r>
      <w:r w:rsidR="00466E58" w:rsidRPr="00677CE8">
        <w:t xml:space="preserve">an </w:t>
      </w:r>
      <w:r w:rsidR="00E73043" w:rsidRPr="00677CE8">
        <w:t>increased</w:t>
      </w:r>
      <w:r w:rsidR="003B1C05" w:rsidRPr="00677CE8">
        <w:t xml:space="preserve"> risk of perpetuating transportation inequalities within the aerial sphere.</w:t>
      </w:r>
      <w:r w:rsidR="00807C78" w:rsidRPr="00677CE8">
        <w:t xml:space="preserve"> These results emphasize the need for </w:t>
      </w:r>
      <w:r w:rsidR="00466E58" w:rsidRPr="00677CE8">
        <w:t xml:space="preserve">policy </w:t>
      </w:r>
      <w:r w:rsidR="00807C78" w:rsidRPr="00677CE8">
        <w:t>regulat</w:t>
      </w:r>
      <w:r w:rsidR="00466E58" w:rsidRPr="00677CE8">
        <w:t>ing</w:t>
      </w:r>
      <w:r w:rsidR="00807C78" w:rsidRPr="00677CE8">
        <w:t xml:space="preserve"> pricing </w:t>
      </w:r>
      <w:r w:rsidR="00466E58" w:rsidRPr="00677CE8">
        <w:t>schemes</w:t>
      </w:r>
      <w:r w:rsidR="00807C78" w:rsidRPr="00677CE8">
        <w:t xml:space="preserve"> </w:t>
      </w:r>
      <w:r w:rsidR="00466E58" w:rsidRPr="00677CE8">
        <w:t>to</w:t>
      </w:r>
      <w:r w:rsidR="00807C78" w:rsidRPr="00677CE8">
        <w:t xml:space="preserve"> promote fair access to UAM services, particularly within the context of medical transportation. </w:t>
      </w:r>
      <w:r w:rsidR="00EB1F60" w:rsidRPr="00677CE8">
        <w:t xml:space="preserve">Specific strategies to ensure that these services remain broadly accessible include </w:t>
      </w:r>
      <w:r w:rsidR="00807C78" w:rsidRPr="00677CE8">
        <w:t>tiered pricing or public-private partnerships to ensure equal access to rapid aerial medical transportation.</w:t>
      </w:r>
    </w:p>
    <w:p w14:paraId="4227A394" w14:textId="77777777" w:rsidR="00CB43B6" w:rsidRPr="00677CE8" w:rsidRDefault="00CB43B6" w:rsidP="00F41CCC">
      <w:pPr>
        <w:spacing w:after="0" w:line="240" w:lineRule="auto"/>
        <w:jc w:val="both"/>
      </w:pPr>
    </w:p>
    <w:p w14:paraId="05BB467A" w14:textId="26AA05A2" w:rsidR="00CB43B6" w:rsidRPr="00677CE8" w:rsidRDefault="00CB43B6" w:rsidP="00F41CCC">
      <w:pPr>
        <w:pStyle w:val="Heading2"/>
        <w:spacing w:after="0" w:line="240" w:lineRule="auto"/>
        <w:jc w:val="both"/>
      </w:pPr>
      <w:r w:rsidRPr="00677CE8">
        <w:lastRenderedPageBreak/>
        <w:t>6.2 Implications for Vertiport Placement and Service Design</w:t>
      </w:r>
    </w:p>
    <w:p w14:paraId="0AEAB8E5" w14:textId="25EAA4C0" w:rsidR="00A77740" w:rsidRPr="00677CE8" w:rsidRDefault="002A4689" w:rsidP="00F41CCC">
      <w:pPr>
        <w:spacing w:after="0" w:line="240" w:lineRule="auto"/>
        <w:jc w:val="both"/>
      </w:pPr>
      <w:r w:rsidRPr="00677CE8">
        <w:t xml:space="preserve">Beyond </w:t>
      </w:r>
      <w:r w:rsidR="009900BF">
        <w:t>IVTT</w:t>
      </w:r>
      <w:r w:rsidR="000D3A20">
        <w:t xml:space="preserve"> and </w:t>
      </w:r>
      <w:r w:rsidRPr="00677CE8">
        <w:t>pricing</w:t>
      </w:r>
      <w:r w:rsidR="000D3A20">
        <w:t xml:space="preserve"> considerations</w:t>
      </w:r>
      <w:r w:rsidRPr="00677CE8">
        <w:t xml:space="preserve">, </w:t>
      </w:r>
      <w:r w:rsidR="00F90F10" w:rsidRPr="00677CE8">
        <w:t xml:space="preserve">findings relating to </w:t>
      </w:r>
      <w:r w:rsidRPr="00677CE8">
        <w:t xml:space="preserve">waiting time and </w:t>
      </w:r>
      <w:r w:rsidR="00E73043" w:rsidRPr="00677CE8">
        <w:t xml:space="preserve">access/egress </w:t>
      </w:r>
      <w:r w:rsidRPr="00677CE8">
        <w:t xml:space="preserve">distance </w:t>
      </w:r>
      <w:r w:rsidR="00F90F10" w:rsidRPr="00677CE8">
        <w:t xml:space="preserve">also have important implications for UAM network design. </w:t>
      </w:r>
      <w:r w:rsidR="001E120A" w:rsidRPr="00677CE8">
        <w:t xml:space="preserve">As shown in </w:t>
      </w:r>
      <w:r w:rsidRPr="00677CE8">
        <w:t>Table 8</w:t>
      </w:r>
      <w:r w:rsidR="001E120A" w:rsidRPr="00677CE8">
        <w:t>,</w:t>
      </w:r>
      <w:r w:rsidRPr="00677CE8">
        <w:t xml:space="preserve"> </w:t>
      </w:r>
      <w:r w:rsidR="001E120A" w:rsidRPr="00677CE8">
        <w:t>increases in</w:t>
      </w:r>
      <w:r w:rsidRPr="00677CE8">
        <w:t xml:space="preserve"> waiting time</w:t>
      </w:r>
      <w:r w:rsidR="001E120A" w:rsidRPr="00677CE8">
        <w:t xml:space="preserve"> </w:t>
      </w:r>
      <w:proofErr w:type="gramStart"/>
      <w:r w:rsidR="005C4223" w:rsidRPr="00677CE8">
        <w:t>le</w:t>
      </w:r>
      <w:r w:rsidR="00EE23A3" w:rsidRPr="00677CE8">
        <w:t>a</w:t>
      </w:r>
      <w:r w:rsidR="005C4223" w:rsidRPr="00677CE8">
        <w:t>d</w:t>
      </w:r>
      <w:proofErr w:type="gramEnd"/>
      <w:r w:rsidR="001E120A" w:rsidRPr="00677CE8">
        <w:t xml:space="preserve"> to a </w:t>
      </w:r>
      <w:r w:rsidR="005C4223" w:rsidRPr="00677CE8">
        <w:t>substantial</w:t>
      </w:r>
      <w:r w:rsidR="001E120A" w:rsidRPr="00677CE8">
        <w:t xml:space="preserve"> reduction in the first-choice share </w:t>
      </w:r>
      <w:r w:rsidR="005C4223" w:rsidRPr="00677CE8">
        <w:t>for both aerial modes</w:t>
      </w:r>
      <w:r w:rsidR="00236B0A" w:rsidRPr="00677CE8">
        <w:t xml:space="preserve"> (corresponding to </w:t>
      </w:r>
      <w:proofErr w:type="gramStart"/>
      <w:r w:rsidR="00236B0A" w:rsidRPr="00677CE8">
        <w:t>a</w:t>
      </w:r>
      <w:proofErr w:type="gramEnd"/>
      <w:r w:rsidR="00236B0A" w:rsidRPr="00677CE8">
        <w:t xml:space="preserve"> 1</w:t>
      </w:r>
      <w:r w:rsidR="00BB1802" w:rsidRPr="00677CE8">
        <w:t>8</w:t>
      </w:r>
      <w:r w:rsidR="00236B0A" w:rsidRPr="00677CE8">
        <w:t>.</w:t>
      </w:r>
      <w:r w:rsidR="00BB1802" w:rsidRPr="00677CE8">
        <w:t>9</w:t>
      </w:r>
      <w:r w:rsidR="00236B0A" w:rsidRPr="00677CE8">
        <w:t xml:space="preserve">% decrease in air taxi adoption and a </w:t>
      </w:r>
      <w:r w:rsidR="00BB1802" w:rsidRPr="00677CE8">
        <w:t>14.0</w:t>
      </w:r>
      <w:r w:rsidR="00236B0A" w:rsidRPr="00677CE8">
        <w:t>% decrease in air metro adoption between the shortest and longest waiting times).</w:t>
      </w:r>
      <w:r w:rsidR="005C4223" w:rsidRPr="00677CE8">
        <w:t xml:space="preserve"> </w:t>
      </w:r>
      <w:r w:rsidR="001E120A" w:rsidRPr="00677CE8">
        <w:t xml:space="preserve">Similarly, access distance has a </w:t>
      </w:r>
      <w:r w:rsidR="005C4223" w:rsidRPr="00677CE8">
        <w:t>large</w:t>
      </w:r>
      <w:r w:rsidR="001E120A" w:rsidRPr="00677CE8">
        <w:t xml:space="preserve"> impact</w:t>
      </w:r>
      <w:r w:rsidR="005C4223" w:rsidRPr="00677CE8">
        <w:t>,</w:t>
      </w:r>
      <w:r w:rsidR="001E120A" w:rsidRPr="00677CE8">
        <w:t xml:space="preserve"> with </w:t>
      </w:r>
      <w:r w:rsidR="005C4223" w:rsidRPr="00677CE8">
        <w:t>UAM</w:t>
      </w:r>
      <w:r w:rsidR="001E120A" w:rsidRPr="00677CE8">
        <w:t xml:space="preserve"> adoption</w:t>
      </w:r>
      <w:r w:rsidR="005C4223" w:rsidRPr="00677CE8">
        <w:t xml:space="preserve"> </w:t>
      </w:r>
      <w:r w:rsidR="00236B0A" w:rsidRPr="00677CE8">
        <w:t xml:space="preserve">decreasing by </w:t>
      </w:r>
      <w:r w:rsidR="00BB1802" w:rsidRPr="00677CE8">
        <w:t>21</w:t>
      </w:r>
      <w:r w:rsidR="00236B0A" w:rsidRPr="00677CE8">
        <w:t xml:space="preserve">.4% for air </w:t>
      </w:r>
      <w:proofErr w:type="gramStart"/>
      <w:r w:rsidR="00236B0A" w:rsidRPr="00677CE8">
        <w:t>taxi</w:t>
      </w:r>
      <w:proofErr w:type="gramEnd"/>
      <w:r w:rsidR="00236B0A" w:rsidRPr="00677CE8">
        <w:t xml:space="preserve"> and </w:t>
      </w:r>
      <w:r w:rsidR="00BB1802" w:rsidRPr="00677CE8">
        <w:t>10.7</w:t>
      </w:r>
      <w:r w:rsidR="00236B0A" w:rsidRPr="00677CE8">
        <w:t>% for air metro</w:t>
      </w:r>
      <w:r w:rsidR="005C4223" w:rsidRPr="00677CE8">
        <w:t xml:space="preserve"> in response to a shift from</w:t>
      </w:r>
      <w:r w:rsidRPr="00677CE8">
        <w:t xml:space="preserve"> the shortest </w:t>
      </w:r>
      <w:r w:rsidR="005C4223" w:rsidRPr="00677CE8">
        <w:t>to</w:t>
      </w:r>
      <w:r w:rsidRPr="00677CE8">
        <w:t xml:space="preserve"> longest access/egress distance</w:t>
      </w:r>
      <w:r w:rsidR="00236B0A" w:rsidRPr="00677CE8">
        <w:t>s</w:t>
      </w:r>
      <w:r w:rsidRPr="00677CE8">
        <w:t xml:space="preserve">. These findings emphasize the central role of convenience for prospective users making individual-level adoption decisions. </w:t>
      </w:r>
      <w:r w:rsidR="001E120A" w:rsidRPr="00677CE8">
        <w:t xml:space="preserve">Users place a high premium on minimizing waiting and access time, suggesting that UAM systems must compete not only with </w:t>
      </w:r>
      <w:r w:rsidR="009900BF">
        <w:t>IVTT</w:t>
      </w:r>
      <w:r w:rsidR="001E120A" w:rsidRPr="00677CE8">
        <w:t xml:space="preserve"> but also with first- and last-mile connectivity. Accordingly, vertiport placement strategies should prioritize locations that minimize access distance</w:t>
      </w:r>
      <w:r w:rsidR="000230B6" w:rsidRPr="00677CE8">
        <w:t xml:space="preserve"> by focusing on activity </w:t>
      </w:r>
      <w:r w:rsidR="00F90F10" w:rsidRPr="00677CE8">
        <w:t>hubs and</w:t>
      </w:r>
      <w:r w:rsidR="005C4223" w:rsidRPr="00677CE8">
        <w:t xml:space="preserve"> connecting to existing transportation networks</w:t>
      </w:r>
      <w:r w:rsidR="000230B6" w:rsidRPr="00677CE8">
        <w:t xml:space="preserve">. </w:t>
      </w:r>
      <w:r w:rsidR="005C4223" w:rsidRPr="00677CE8">
        <w:t xml:space="preserve">Maintaining frequent service, whether through regularly scheduled or </w:t>
      </w:r>
      <w:r w:rsidR="00E560DD" w:rsidRPr="00677CE8">
        <w:t>on-demand</w:t>
      </w:r>
      <w:r w:rsidR="005C4223" w:rsidRPr="00677CE8">
        <w:t xml:space="preserve"> operations, should also be treated as a core requirement for </w:t>
      </w:r>
      <w:r w:rsidR="00E560DD" w:rsidRPr="00677CE8">
        <w:t>users considering</w:t>
      </w:r>
      <w:r w:rsidR="005C4223" w:rsidRPr="00677CE8">
        <w:t xml:space="preserve"> switching from GB alternatives.</w:t>
      </w:r>
      <w:r w:rsidR="00133115" w:rsidRPr="00677CE8">
        <w:t xml:space="preserve"> Further, t</w:t>
      </w:r>
      <w:r w:rsidR="000230B6" w:rsidRPr="00677CE8">
        <w:t>hese results suggest that individual-level preferences for convenient service outweigh</w:t>
      </w:r>
      <w:r w:rsidR="00F90F10" w:rsidRPr="00677CE8">
        <w:t xml:space="preserve"> any</w:t>
      </w:r>
      <w:r w:rsidR="000230B6" w:rsidRPr="00677CE8">
        <w:t xml:space="preserve"> </w:t>
      </w:r>
      <w:r w:rsidRPr="00677CE8">
        <w:t xml:space="preserve">hesitance to have UAM </w:t>
      </w:r>
      <w:r w:rsidR="000230B6" w:rsidRPr="00677CE8">
        <w:t xml:space="preserve">operate in proximity to homes. </w:t>
      </w:r>
      <w:r w:rsidRPr="00677CE8">
        <w:t xml:space="preserve">This </w:t>
      </w:r>
      <w:r w:rsidR="000230B6" w:rsidRPr="00677CE8">
        <w:t>illustrates a potential divergence between</w:t>
      </w:r>
      <w:r w:rsidRPr="00677CE8">
        <w:t xml:space="preserve"> individual </w:t>
      </w:r>
      <w:r w:rsidR="000230B6" w:rsidRPr="00677CE8">
        <w:t xml:space="preserve">and community-level </w:t>
      </w:r>
      <w:r w:rsidRPr="00677CE8">
        <w:t>perspective</w:t>
      </w:r>
      <w:r w:rsidR="00133A36" w:rsidRPr="00677CE8">
        <w:t>s</w:t>
      </w:r>
      <w:r w:rsidR="00CA40F1" w:rsidRPr="00677CE8">
        <w:t xml:space="preserve">, </w:t>
      </w:r>
      <w:r w:rsidR="000230B6" w:rsidRPr="00677CE8">
        <w:t xml:space="preserve">as community </w:t>
      </w:r>
      <w:r w:rsidR="00CA40F1" w:rsidRPr="00677CE8">
        <w:t xml:space="preserve">opposition to </w:t>
      </w:r>
      <w:r w:rsidR="000230B6" w:rsidRPr="00677CE8">
        <w:t xml:space="preserve">aerial </w:t>
      </w:r>
      <w:r w:rsidR="00CA40F1" w:rsidRPr="00677CE8">
        <w:t xml:space="preserve">operations in residential areas has been well documented </w:t>
      </w:r>
      <w:r w:rsidR="00EB1F60" w:rsidRPr="00677CE8">
        <w:fldChar w:fldCharType="begin"/>
      </w:r>
      <w:r w:rsidR="000E25BA" w:rsidRPr="00677CE8">
        <w:instrText xml:space="preserve"> ADDIN ZOTERO_ITEM CSL_CITATION {"citationID":"IP3QuzoM","properties":{"unsorted":false,"formattedCitation":"(Cohen et al., 2021; Lin Tan et al., 2021)","plainCitation":"(Cohen et al., 2021; Lin Tan et al., 2021)","noteIndex":0},"citationItems":[{"id":2162,"uris":["http://zotero.org/groups/6194892/items/M323FJPJ"],"itemData":{"id":2162,"type":"article-journal","abstract":"Since the early 20th century, inventors have conceptualized “plane cars” and other urban aerial transportation. Emerging innovations in electrification, automation, and other technologies are enabling new opportunities for on-demand air mobility, business models, and aircraft design. Urban air mobility (UAM) envisions a safe, sustainable, affordable, and accessible air transportation system for passenger mobility, goods delivery, and emergency services within or traversing metropolitan areas. This research employed a multi-method approach comprised of 106 interviews with thought leaders and two stakeholder workshops to construct the history, ecosystem, state of the industry, and potential evolution of UAM. The history, current developments, and anticipated milestones of UAM can be classified into six phases: 1) “flying car” concepts from the early 1910s to 1950s, 2) early UAM operations using scheduled helicopter services from the 1950s to 1980s, 3) re-emergence of on-demand services starting in the 2010s, 4) corridor services using vertical take-off and landing (VTOL) envisioned for the 2020s, 5) hub and spoke services, and 6) point-to-point services. In the future, UAM could face several barriers to growth and mainstreaming, such as the existing regulatory environment; community acceptance; and concerns about safety, noise, social equity, and environmental impacts. UAM also could be limited by infrastructure and airspace management needs, as well as business model constraints. The paper concludes with recommendations for future research on sustainability, social and economic impacts, airspace integration, and other topics.","container-title":"IEEE Transactions on Intelligent Transportation Systems","DOI":"10.1109/TITS.2021.3082767","ISSN":"1558-0016","issue":"9","page":"6074-6087","source":"IEEE Xplore","title":"Urban Air Mobility: History, Ecosystem, Market Potential, and Challenges","title-short":"Urban Air Mobility","volume":"22","author":[{"family":"Cohen","given":"Adam P."},{"family":"Shaheen","given":"Susan A."},{"family":"Farrar","given":"Emily M."}],"issued":{"date-parts":[["2021",9]]}}},{"id":2159,"uris":["http://zotero.org/groups/6194892/items/TKN8CHT5"],"itemData":{"id":2159,"type":"article-journal","abstract":"Human societies are constantly affected by advancement in technologies. Could drone application be the next game changer? Building on the Knowledge, Attitude and Practice (KAP) model, we conducted a study to examine public perceptions of drone application in a South East Asian city state. While there are a number of common findings with past research, we were able to extend the understanding of drone application in urban areas with the following findings. First, using two knowledge tests, we were able to confirm that the majority of the public seems to have a good understanding of what a drone is. Second, acceptance levels towards drones did significantly differ depending on the context of use. Industrial areas had the highest acceptance level, followed by recreational areas and commercial areas while residential areas had the lowest acceptance level. Finally, different factors may be responsible for the varying levels of acceptance across the different contexts. We provided preliminary evidence that two factors – fears and concerns, and perceived potential benefits – affected the public acceptance levels differently depending on the contexts of drone applications. We concluded with implications for future research and policy makers.","container-title":"Technology in Society","DOI":"10.1016/j.techsoc.2020.101462","ISSN":"0160-791X","journalAbbreviation":"Technology in Society","page":"101462","source":"ScienceDirect","title":"Public acceptance of drone applications in a highly urbanized environment","volume":"64","author":[{"family":"Lin Tan","given":"Lynn Kai"},{"family":"Lim","given":"Beng Chong"},{"family":"Park","given":"Guihyun"},{"family":"Low","given":"Kin Huat"},{"family":"Seng Yeo","given":"Victor Chuan"}],"issued":{"date-parts":[["2021",2,1]]}}}],"schema":"https://github.com/citation-style-language/schema/raw/master/csl-citation.json"} </w:instrText>
      </w:r>
      <w:r w:rsidR="00EB1F60" w:rsidRPr="00677CE8">
        <w:fldChar w:fldCharType="separate"/>
      </w:r>
      <w:r w:rsidR="00561EC0" w:rsidRPr="00677CE8">
        <w:t>(Cohen et al., 2021; Lin Tan et al., 2021)</w:t>
      </w:r>
      <w:r w:rsidR="00EB1F60" w:rsidRPr="00677CE8">
        <w:fldChar w:fldCharType="end"/>
      </w:r>
      <w:r w:rsidR="00CA40F1" w:rsidRPr="00677CE8">
        <w:t xml:space="preserve">. </w:t>
      </w:r>
    </w:p>
    <w:p w14:paraId="39643D8B" w14:textId="091B2D8F" w:rsidR="000114A6" w:rsidRPr="00677CE8" w:rsidRDefault="00930627" w:rsidP="00D60A54">
      <w:pPr>
        <w:spacing w:after="0" w:line="240" w:lineRule="auto"/>
        <w:ind w:firstLine="720"/>
        <w:jc w:val="both"/>
      </w:pPr>
      <w:r w:rsidRPr="00677CE8">
        <w:t xml:space="preserve">A similar pattern emerges with respect to noise. </w:t>
      </w:r>
      <w:r w:rsidR="005B62F9" w:rsidRPr="00677CE8">
        <w:t>Noise</w:t>
      </w:r>
      <w:r w:rsidRPr="00677CE8">
        <w:t xml:space="preserve"> sensitive individuals are less likely to adopt UAM when they operate at high </w:t>
      </w:r>
      <w:r w:rsidR="00514C5F" w:rsidRPr="00677CE8">
        <w:t>noise levels</w:t>
      </w:r>
      <w:r w:rsidR="00D60A54">
        <w:t xml:space="preserve">. </w:t>
      </w:r>
      <w:r w:rsidR="00D60A54" w:rsidRPr="00D60A54">
        <w:t>The magnitude of this effect is substantial, corresponding to a 28.6% reduction in air taxi adoption and a 22.5% reduction in air metro adoption</w:t>
      </w:r>
      <w:r w:rsidR="00D60A54">
        <w:t xml:space="preserve"> when UAM noise levels are high</w:t>
      </w:r>
      <w:r w:rsidR="00D60A54" w:rsidRPr="00D60A54">
        <w:t>.</w:t>
      </w:r>
      <w:r w:rsidR="00D60A54">
        <w:t xml:space="preserve"> </w:t>
      </w:r>
      <w:r w:rsidR="005B62F9" w:rsidRPr="00677CE8">
        <w:t xml:space="preserve">This interaction effect reveals that </w:t>
      </w:r>
      <w:r w:rsidR="000F6520" w:rsidRPr="00677CE8">
        <w:t>individual-level UAM adoption is shaped by</w:t>
      </w:r>
      <w:r w:rsidR="005B62F9" w:rsidRPr="00677CE8">
        <w:t xml:space="preserve"> </w:t>
      </w:r>
      <w:r w:rsidR="000114A6" w:rsidRPr="00677CE8">
        <w:t>the joint influence</w:t>
      </w:r>
      <w:r w:rsidR="005B62F9" w:rsidRPr="00677CE8">
        <w:t xml:space="preserve"> of</w:t>
      </w:r>
      <w:r w:rsidR="000F6520" w:rsidRPr="00677CE8">
        <w:t xml:space="preserve"> personal sensitivities </w:t>
      </w:r>
      <w:r w:rsidR="005B62F9" w:rsidRPr="00677CE8">
        <w:t xml:space="preserve">and operational </w:t>
      </w:r>
      <w:r w:rsidR="000114A6" w:rsidRPr="00677CE8">
        <w:t>characteristics</w:t>
      </w:r>
      <w:r w:rsidR="005B62F9" w:rsidRPr="00677CE8">
        <w:t xml:space="preserve">, </w:t>
      </w:r>
      <w:r w:rsidR="000114A6" w:rsidRPr="00677CE8">
        <w:t>rather than</w:t>
      </w:r>
      <w:r w:rsidR="000F6520" w:rsidRPr="00677CE8">
        <w:t xml:space="preserve"> broader neighborhood disruptions which often lead to opposition at the community level </w:t>
      </w:r>
      <w:r w:rsidR="000E25BA" w:rsidRPr="00677CE8">
        <w:fldChar w:fldCharType="begin"/>
      </w:r>
      <w:r w:rsidR="00B7697D" w:rsidRPr="00677CE8">
        <w:instrText xml:space="preserve"> ADDIN ZOTERO_ITEM CSL_CITATION {"citationID":"ZazYjDgN","properties":{"unsorted":false,"formattedCitation":"(\\uc0\\u199{}etin et al., 2022; Connors, 2019; Ei\\uc0\\u223{}feldt, 2020)","plainCitation":"(Çetin et al., 2022; Connors, 2019; Eißfeldt, 2020)","dontUpdate":true,"noteIndex":0},"citationItems":[{"id":2164,"uris":["http://zotero.org/groups/6194892/items/NL8KMIFD"],"itemData":{"id":2164,"type":"article-journal","abstract":"The continuous development of technical innovations provides the opportunity to create new economic markets and a wealth of new services.","container-title":"Drones","ISSN":"2504-446X","issue":"2","language":"en","license":"http://creativecommons.org/licenses/by/3.0/","publisher":"Multidisciplinary Digital Publishing Institute","source":"www.mdpi.com","title":"Implementing Mitigations for Improving Societal Acceptance of Urban Air Mobility","URL":"https://www.mdpi.com/2504-446X/6/2/28","volume":"6","author":[{"family":"Çetin","given":"Ender"},{"family":"Cano","given":"Alicia"},{"family":"Deransy","given":"Robin"},{"family":"Tres","given":"Sergi"},{"family":"Barrado","given":"Cristina"}],"accessed":{"date-parts":[["2026",6,30]]},"issued":{"date-parts":[["2022",1,17]]}}},{"id":1357,"uris":["http://zotero.org/groups/6194892/items/MY6V2L4Q"],"itemData":{"id":1357,"type":"report","abstract":"Noise has been identified as a major challenge to community acceptance of Urban Air Mobility Systems. The purpose of this paper is to assist designers, developers, and implementers in understanding the various factorsâ€“from the noise source itself to the conditions of the communityâ€“that influence how the community is likely to respond to the introduction of a new noise source. Particular consideration is given to the role of non-acoustical factors and suggestions are offered as to how future research could help advance the understanding of community acceptance of Urban Air Mobility and other emergent vehicle systems.","note":"NTRS Author Affiliations: NASA Ames Research Center\nNTRS Document ID: 20190032256\nNTRS Research Center: Ames Research Center (ARC)","number":"ARC-E-DAA-TN70489","source":"NASA NTRS","title":"Factors that Influence Community’s Acceptance of Noise: An Introduction for Urban Air Mobility","title-short":"Factors that Influence Community’s Acceptance of Noise","URL":"https://ntrs.nasa.gov/citations/20190032256","author":[{"family":"Connors","given":"Mary M."}],"accessed":{"date-parts":[["2026",2,13]]},"issued":{"date-parts":[["2019",7,1]]}}},{"id":585,"uris":["http://zotero.org/groups/6194892/items/8SXLY3JV"],"itemData":{"id":585,"type":"paper-conference","event-title":"Quiet Drones International E-Symposium on UAV/UAS Noise","language":"en","source":"Zotero","title":"Acceptance of drone delivery is limited (not only) by noise concerns","URL":"https://www.researchgate.net/profile/Hinnerk-Eissfeldt/publication/345308587_Acceptance_of_drone_delivery_is_limited_not_only_by_noise_concerns/links/63d7b2dec465a873a26e08bf/Acceptance-of-drone-delivery-is-limited-not-only-by-noise-concerns.pdf","author":[{"family":"Eißfeldt","given":"Hinnerk"}],"issued":{"date-parts":[["2020",10]]}}}],"schema":"https://github.com/citation-style-language/schema/raw/master/csl-citation.json"} </w:instrText>
      </w:r>
      <w:r w:rsidR="000E25BA" w:rsidRPr="00677CE8">
        <w:fldChar w:fldCharType="separate"/>
      </w:r>
      <w:r w:rsidR="00561EC0" w:rsidRPr="00677CE8">
        <w:rPr>
          <w:kern w:val="0"/>
        </w:rPr>
        <w:t>(Connors, 2019; Eißfeldt, 2020</w:t>
      </w:r>
      <w:r w:rsidR="00D45F85" w:rsidRPr="00677CE8">
        <w:rPr>
          <w:kern w:val="0"/>
        </w:rPr>
        <w:t>; Çetin et al., 2022</w:t>
      </w:r>
      <w:r w:rsidR="00561EC0" w:rsidRPr="00677CE8">
        <w:rPr>
          <w:kern w:val="0"/>
        </w:rPr>
        <w:t>)</w:t>
      </w:r>
      <w:r w:rsidR="000E25BA" w:rsidRPr="00677CE8">
        <w:fldChar w:fldCharType="end"/>
      </w:r>
      <w:r w:rsidR="000F6520" w:rsidRPr="00677CE8">
        <w:t xml:space="preserve">. </w:t>
      </w:r>
      <w:r w:rsidR="000114A6" w:rsidRPr="00677CE8">
        <w:t xml:space="preserve">From a planning perspective, these results suggest that reducing operational noise can play an important role in expanding the pool of potential UAM users, particularly among individuals who are sensitive to UAM-related noise disruptions. </w:t>
      </w:r>
      <w:r w:rsidR="00D60A54">
        <w:t>At the same time, noise concerns may be outweighed by the benefits of easy access when UAM vertiports offer short access/egress distances. This finding suggests</w:t>
      </w:r>
      <w:r w:rsidR="000114A6" w:rsidRPr="00677CE8">
        <w:t xml:space="preserve"> that investments in first- and last-mile accessibility may produce larger increases in adoption than equivalent reductions in </w:t>
      </w:r>
      <w:r w:rsidR="00133A36" w:rsidRPr="00677CE8">
        <w:t>noise levels</w:t>
      </w:r>
      <w:r w:rsidR="000114A6" w:rsidRPr="00677CE8">
        <w:t xml:space="preserve">. </w:t>
      </w:r>
      <w:r w:rsidR="00A77740" w:rsidRPr="00677CE8">
        <w:t xml:space="preserve">Consequently, improving </w:t>
      </w:r>
      <w:r w:rsidR="00D60A54">
        <w:t xml:space="preserve">UAM </w:t>
      </w:r>
      <w:r w:rsidR="00A77740" w:rsidRPr="00677CE8">
        <w:t xml:space="preserve">accessibility through greater vertiport density and more convenient pick-up and drop-off options may be a more effective means of increasing adoption than noise mitigation alone. </w:t>
      </w:r>
      <w:r w:rsidR="00D60A54">
        <w:t>Importantly, these objectives are often at odds.</w:t>
      </w:r>
      <w:r w:rsidR="00A77740" w:rsidRPr="00677CE8">
        <w:t xml:space="preserve"> </w:t>
      </w:r>
      <w:r w:rsidR="00D60A54">
        <w:t>M</w:t>
      </w:r>
      <w:r w:rsidR="00A77740" w:rsidRPr="00677CE8">
        <w:t xml:space="preserve">any of these accessibility improvements can </w:t>
      </w:r>
      <w:r w:rsidR="00D60A54">
        <w:t xml:space="preserve">also </w:t>
      </w:r>
      <w:r w:rsidR="00A77740" w:rsidRPr="00677CE8">
        <w:t xml:space="preserve">increase the exposure of nearby communities to UAM </w:t>
      </w:r>
      <w:r w:rsidR="00133A36" w:rsidRPr="00677CE8">
        <w:t>noise disruptions</w:t>
      </w:r>
      <w:r w:rsidR="00A77740" w:rsidRPr="00677CE8">
        <w:t xml:space="preserve">. </w:t>
      </w:r>
      <w:r w:rsidRPr="00677CE8">
        <w:t>Together, these patterns suggest that v</w:t>
      </w:r>
      <w:r w:rsidR="000230B6" w:rsidRPr="00677CE8">
        <w:t xml:space="preserve">ertiport planning will </w:t>
      </w:r>
      <w:r w:rsidR="00A77740" w:rsidRPr="00677CE8">
        <w:t>require a careful</w:t>
      </w:r>
      <w:r w:rsidR="000230B6" w:rsidRPr="00677CE8">
        <w:t xml:space="preserve"> balanc</w:t>
      </w:r>
      <w:r w:rsidR="00A77740" w:rsidRPr="00677CE8">
        <w:t>e between</w:t>
      </w:r>
      <w:r w:rsidR="000114A6" w:rsidRPr="00677CE8">
        <w:t xml:space="preserve"> the accessibility benefits provided to</w:t>
      </w:r>
      <w:r w:rsidR="000230B6" w:rsidRPr="00677CE8">
        <w:t xml:space="preserve"> individual user</w:t>
      </w:r>
      <w:r w:rsidR="000114A6" w:rsidRPr="00677CE8">
        <w:t>s with efforts to minimize noise impacts on surrounding neighborhoods.</w:t>
      </w:r>
    </w:p>
    <w:p w14:paraId="2487039C" w14:textId="71327D95" w:rsidR="00CB43B6" w:rsidRPr="00677CE8" w:rsidRDefault="00E560DD" w:rsidP="00F41CCC">
      <w:pPr>
        <w:spacing w:after="0" w:line="240" w:lineRule="auto"/>
        <w:ind w:firstLine="360"/>
        <w:jc w:val="both"/>
      </w:pPr>
      <w:r w:rsidRPr="00677CE8">
        <w:t>The ATE results also reveal that</w:t>
      </w:r>
      <w:r w:rsidR="00CA40F1" w:rsidRPr="00677CE8">
        <w:t xml:space="preserve"> </w:t>
      </w:r>
      <w:r w:rsidRPr="00677CE8">
        <w:t xml:space="preserve">UAM </w:t>
      </w:r>
      <w:r w:rsidR="00CA40F1" w:rsidRPr="00677CE8">
        <w:t xml:space="preserve">availability, </w:t>
      </w:r>
      <w:r w:rsidR="00621405" w:rsidRPr="00677CE8">
        <w:t>in-flight experience</w:t>
      </w:r>
      <w:r w:rsidR="00CA40F1" w:rsidRPr="00677CE8">
        <w:t xml:space="preserve">, environmental </w:t>
      </w:r>
      <w:r w:rsidR="00D82DAD" w:rsidRPr="00677CE8">
        <w:t>sustainability</w:t>
      </w:r>
      <w:r w:rsidRPr="00677CE8">
        <w:t>,</w:t>
      </w:r>
      <w:r w:rsidR="00CA40F1" w:rsidRPr="00677CE8">
        <w:t xml:space="preserve"> and </w:t>
      </w:r>
      <w:r w:rsidR="00F3557E">
        <w:t xml:space="preserve">crash-related </w:t>
      </w:r>
      <w:r w:rsidR="00CA40F1" w:rsidRPr="00677CE8">
        <w:t xml:space="preserve">safety </w:t>
      </w:r>
      <w:r w:rsidRPr="00677CE8">
        <w:t>serve</w:t>
      </w:r>
      <w:r w:rsidR="00CA40F1" w:rsidRPr="00677CE8">
        <w:t xml:space="preserve"> as</w:t>
      </w:r>
      <w:r w:rsidR="005C4223" w:rsidRPr="00677CE8">
        <w:t xml:space="preserve"> key</w:t>
      </w:r>
      <w:r w:rsidR="00CA40F1" w:rsidRPr="00677CE8">
        <w:t xml:space="preserve"> design </w:t>
      </w:r>
      <w:r w:rsidR="00133115" w:rsidRPr="00677CE8">
        <w:t>levers</w:t>
      </w:r>
      <w:r w:rsidR="00CA40F1" w:rsidRPr="00677CE8">
        <w:t xml:space="preserve"> </w:t>
      </w:r>
      <w:r w:rsidR="00133115" w:rsidRPr="00677CE8">
        <w:t>for promoting</w:t>
      </w:r>
      <w:r w:rsidR="00CA40F1" w:rsidRPr="00677CE8">
        <w:t xml:space="preserve"> UAM adoption.</w:t>
      </w:r>
      <w:r w:rsidR="00133115" w:rsidRPr="00677CE8">
        <w:t xml:space="preserve"> UAM vehicles should be designed to operate reliably </w:t>
      </w:r>
      <w:proofErr w:type="gramStart"/>
      <w:r w:rsidR="00133115" w:rsidRPr="00677CE8">
        <w:t>across</w:t>
      </w:r>
      <w:proofErr w:type="gramEnd"/>
      <w:r w:rsidR="00133115" w:rsidRPr="00677CE8">
        <w:t xml:space="preserve"> weather conditions, and to provide a spacious</w:t>
      </w:r>
      <w:r w:rsidR="00607865" w:rsidRPr="00677CE8">
        <w:t xml:space="preserve"> cabin</w:t>
      </w:r>
      <w:r w:rsidR="00133115" w:rsidRPr="00677CE8">
        <w:t xml:space="preserve"> and comfortable </w:t>
      </w:r>
      <w:r w:rsidR="00607865" w:rsidRPr="00677CE8">
        <w:t>in-flight experience</w:t>
      </w:r>
      <w:r w:rsidR="00133115" w:rsidRPr="00677CE8">
        <w:t xml:space="preserve">. These features are central to positioning UAM </w:t>
      </w:r>
      <w:r w:rsidRPr="00677CE8">
        <w:t>as</w:t>
      </w:r>
      <w:r w:rsidR="00133115" w:rsidRPr="00677CE8">
        <w:t xml:space="preserve"> a high-quality and </w:t>
      </w:r>
      <w:r w:rsidR="00607865" w:rsidRPr="00677CE8">
        <w:t>attractive</w:t>
      </w:r>
      <w:r w:rsidR="00133115" w:rsidRPr="00677CE8">
        <w:t xml:space="preserve"> alternative to</w:t>
      </w:r>
      <w:r w:rsidRPr="00677CE8">
        <w:t xml:space="preserve"> GB modes. Additionally, improvements in environmental performance and </w:t>
      </w:r>
      <w:r w:rsidR="00D54D79">
        <w:t xml:space="preserve">crash-related </w:t>
      </w:r>
      <w:r w:rsidRPr="00677CE8">
        <w:t xml:space="preserve">safety </w:t>
      </w:r>
      <w:r w:rsidR="003C4FB2" w:rsidRPr="00677CE8">
        <w:t xml:space="preserve">relative to existing GB modes </w:t>
      </w:r>
      <w:r w:rsidRPr="00677CE8">
        <w:t>should be</w:t>
      </w:r>
      <w:r w:rsidR="003C4FB2" w:rsidRPr="00677CE8">
        <w:t xml:space="preserve"> prioritized within the vehicle and network design stage. </w:t>
      </w:r>
      <w:r w:rsidR="008F5057" w:rsidRPr="00677CE8">
        <w:t xml:space="preserve">Respondents exhibit </w:t>
      </w:r>
      <w:r w:rsidR="000D3A20" w:rsidRPr="00677CE8">
        <w:t>sensitivity</w:t>
      </w:r>
      <w:r w:rsidR="008F5057" w:rsidRPr="00677CE8">
        <w:t xml:space="preserve"> to these attributes, with low environmental impacts increasing air taxi adoption by </w:t>
      </w:r>
      <w:r w:rsidR="00132424" w:rsidRPr="00677CE8">
        <w:t>18.4</w:t>
      </w:r>
      <w:r w:rsidR="008F5057" w:rsidRPr="00677CE8">
        <w:t xml:space="preserve">%, </w:t>
      </w:r>
      <w:r w:rsidR="008F5057" w:rsidRPr="00F3557E">
        <w:t>while</w:t>
      </w:r>
      <w:r w:rsidR="000D3A20" w:rsidRPr="00F3557E">
        <w:t xml:space="preserve"> crash-</w:t>
      </w:r>
      <w:r w:rsidR="000D3A20" w:rsidRPr="00F3557E">
        <w:lastRenderedPageBreak/>
        <w:t>related</w:t>
      </w:r>
      <w:r w:rsidR="008F5057" w:rsidRPr="00677CE8">
        <w:t xml:space="preserve"> safety concerns had an even stronger effect, decreasing adoption by 32.</w:t>
      </w:r>
      <w:r w:rsidR="00132424" w:rsidRPr="00677CE8">
        <w:t>3</w:t>
      </w:r>
      <w:r w:rsidR="008F5057" w:rsidRPr="00677CE8">
        <w:t xml:space="preserve">% when </w:t>
      </w:r>
      <w:r w:rsidR="00D54D79">
        <w:t xml:space="preserve">UAM </w:t>
      </w:r>
      <w:r w:rsidR="008F5057" w:rsidRPr="00677CE8">
        <w:t xml:space="preserve">crash rates exceed those of GB alternatives on a per-mile basis. These findings suggest that any improvements in sustainability and </w:t>
      </w:r>
      <w:r w:rsidR="00D54D79">
        <w:t xml:space="preserve">crash-related </w:t>
      </w:r>
      <w:r w:rsidR="008F5057" w:rsidRPr="00677CE8">
        <w:t>safety</w:t>
      </w:r>
      <w:r w:rsidR="00D54D79">
        <w:t xml:space="preserve"> levels</w:t>
      </w:r>
      <w:r w:rsidR="008F5057" w:rsidRPr="00677CE8">
        <w:t xml:space="preserve"> should be clearly communicated through UAM positioning and marketing strategies. </w:t>
      </w:r>
      <w:r w:rsidR="003C4FB2" w:rsidRPr="00677CE8">
        <w:t>Overall, user preferences with respect to service attributes</w:t>
      </w:r>
      <w:r w:rsidR="00133115" w:rsidRPr="00677CE8">
        <w:t xml:space="preserve"> reflect an expectation that UAM will </w:t>
      </w:r>
      <w:r w:rsidR="00F90F10" w:rsidRPr="00677CE8">
        <w:t>provide</w:t>
      </w:r>
      <w:r w:rsidR="00133115" w:rsidRPr="00677CE8">
        <w:t xml:space="preserve"> meaningful</w:t>
      </w:r>
      <w:r w:rsidR="003C4FB2" w:rsidRPr="00677CE8">
        <w:t xml:space="preserve"> improvements over existing GB alternatives, </w:t>
      </w:r>
      <w:r w:rsidR="00F90F10" w:rsidRPr="00677CE8">
        <w:t xml:space="preserve">with adoption contingent upon delivering a high-quality travel experience alongside advancements in environmental performance and </w:t>
      </w:r>
      <w:r w:rsidR="00D54D79">
        <w:t xml:space="preserve">crash-related </w:t>
      </w:r>
      <w:r w:rsidR="00F90F10" w:rsidRPr="00677CE8">
        <w:t>safety.</w:t>
      </w:r>
    </w:p>
    <w:p w14:paraId="5E3CDB59" w14:textId="77777777" w:rsidR="00A77740" w:rsidRPr="00677CE8" w:rsidRDefault="00A77740" w:rsidP="00F41CCC">
      <w:pPr>
        <w:spacing w:after="0" w:line="240" w:lineRule="auto"/>
        <w:ind w:firstLine="360"/>
        <w:jc w:val="both"/>
      </w:pPr>
    </w:p>
    <w:p w14:paraId="6AA245BF" w14:textId="7E09748C" w:rsidR="00CB43B6" w:rsidRPr="00677CE8" w:rsidRDefault="00CB43B6" w:rsidP="00F41CCC">
      <w:pPr>
        <w:pStyle w:val="Heading2"/>
        <w:numPr>
          <w:ilvl w:val="1"/>
          <w:numId w:val="6"/>
        </w:numPr>
        <w:spacing w:after="0" w:line="240" w:lineRule="auto"/>
        <w:jc w:val="both"/>
      </w:pPr>
      <w:r w:rsidRPr="00677CE8">
        <w:t>Implications for Automation</w:t>
      </w:r>
    </w:p>
    <w:p w14:paraId="06D60CCD" w14:textId="07B6A4CC" w:rsidR="00FC0704" w:rsidRPr="00677CE8" w:rsidRDefault="00F90F10" w:rsidP="00F41CCC">
      <w:pPr>
        <w:spacing w:after="0" w:line="240" w:lineRule="auto"/>
        <w:jc w:val="both"/>
      </w:pPr>
      <w:r w:rsidRPr="00677CE8">
        <w:t xml:space="preserve">Fully autonomous operations </w:t>
      </w:r>
      <w:r w:rsidR="0026096C" w:rsidRPr="00677CE8">
        <w:t>reduce utility</w:t>
      </w:r>
      <w:r w:rsidR="000D3A20">
        <w:t xml:space="preserve"> across</w:t>
      </w:r>
      <w:r w:rsidR="0026096C" w:rsidRPr="00677CE8">
        <w:t xml:space="preserve"> </w:t>
      </w:r>
      <w:r w:rsidR="000D3A20">
        <w:t>all modes</w:t>
      </w:r>
      <w:r w:rsidR="00FA7D3D">
        <w:t xml:space="preserve"> </w:t>
      </w:r>
      <w:r w:rsidR="00D136ED" w:rsidRPr="00677CE8">
        <w:t>(as discussed earlier in Section 5.2.1)</w:t>
      </w:r>
      <w:r w:rsidR="00E33A32" w:rsidRPr="00677CE8">
        <w:t xml:space="preserve">. </w:t>
      </w:r>
      <w:r w:rsidR="0026096C" w:rsidRPr="00677CE8">
        <w:t xml:space="preserve">These findings </w:t>
      </w:r>
      <w:r w:rsidR="00D136ED" w:rsidRPr="00677CE8">
        <w:t>are reinforced through the ATEs for UAM full automation, indicating a reduction in the first</w:t>
      </w:r>
      <w:r w:rsidR="000D3A20">
        <w:t>-</w:t>
      </w:r>
      <w:r w:rsidR="00D136ED" w:rsidRPr="00677CE8">
        <w:t xml:space="preserve">choice share of both the aerial modes </w:t>
      </w:r>
      <w:r w:rsidR="001A4F3E" w:rsidRPr="00677CE8">
        <w:t>o</w:t>
      </w:r>
      <w:r w:rsidR="00D136ED" w:rsidRPr="00677CE8">
        <w:t>n the order of 3</w:t>
      </w:r>
      <w:r w:rsidR="00132424" w:rsidRPr="00677CE8">
        <w:t>5</w:t>
      </w:r>
      <w:r w:rsidR="00D136ED" w:rsidRPr="00677CE8">
        <w:t>%</w:t>
      </w:r>
      <w:r w:rsidR="000D3A20">
        <w:t xml:space="preserve"> if the operation is </w:t>
      </w:r>
      <w:r w:rsidR="00FA7D3D">
        <w:t>fully autonomous</w:t>
      </w:r>
      <w:r w:rsidR="000D3A20">
        <w:t xml:space="preserve"> rather than relying on an in-vehicle pilot</w:t>
      </w:r>
      <w:r w:rsidR="00D136ED" w:rsidRPr="00677CE8">
        <w:t xml:space="preserve"> (the ATEs for GB full automation are not shown in Table 8). </w:t>
      </w:r>
      <w:r w:rsidR="00DB38BB">
        <w:t>At the same time, respondents evaluate full automation more favorably for aerial modes than in GB contexts, suggesting that resistance to automation stems from concerns regarding trust and familiarity. T</w:t>
      </w:r>
      <w:r w:rsidR="00D136ED" w:rsidRPr="00677CE8">
        <w:t xml:space="preserve">his result </w:t>
      </w:r>
      <w:r w:rsidR="0026096C" w:rsidRPr="00677CE8">
        <w:t>ha</w:t>
      </w:r>
      <w:r w:rsidR="00D136ED" w:rsidRPr="00677CE8">
        <w:t>s</w:t>
      </w:r>
      <w:r w:rsidR="0026096C" w:rsidRPr="00677CE8">
        <w:t xml:space="preserve"> important implications for UAM deployment strategies. In the near term, service providers should consider a phased approach to introducing automation, beginning with pilot-assisted operations during early roll out. The presence of a human pilot within the vehicle can help reduce the perceived risk, allowing users to build trust in</w:t>
      </w:r>
      <w:r w:rsidR="009C4337" w:rsidRPr="00677CE8">
        <w:t xml:space="preserve"> </w:t>
      </w:r>
      <w:r w:rsidR="0026096C" w:rsidRPr="00677CE8">
        <w:t xml:space="preserve">and gain experience with UAM systems. During this stage, marketing strategies should emphasize the role of the pilot as providing vigilant oversight </w:t>
      </w:r>
      <w:r w:rsidR="009C4337" w:rsidRPr="00677CE8">
        <w:t>of</w:t>
      </w:r>
      <w:r w:rsidR="0026096C" w:rsidRPr="00677CE8">
        <w:t xml:space="preserve"> a technology-assisted navigation system, </w:t>
      </w:r>
      <w:r w:rsidR="009C4337" w:rsidRPr="00677CE8">
        <w:t>rather than</w:t>
      </w:r>
      <w:r w:rsidR="0026096C" w:rsidRPr="00677CE8">
        <w:t xml:space="preserve"> </w:t>
      </w:r>
      <w:r w:rsidR="00FC0704" w:rsidRPr="00677CE8">
        <w:t>providing independent, manual control</w:t>
      </w:r>
      <w:r w:rsidR="0026096C" w:rsidRPr="00677CE8">
        <w:t xml:space="preserve">. By positioning technology as enabling safe and efficient UAM operations, these strategies </w:t>
      </w:r>
      <w:r w:rsidR="009C4337" w:rsidRPr="00677CE8">
        <w:t>can build on</w:t>
      </w:r>
      <w:r w:rsidR="0026096C" w:rsidRPr="00677CE8">
        <w:t xml:space="preserve"> the relatively more favorable perceptions of automation in aerial vehicles</w:t>
      </w:r>
      <w:r w:rsidR="00D136ED" w:rsidRPr="00677CE8">
        <w:t xml:space="preserve"> compared to GB modes</w:t>
      </w:r>
      <w:r w:rsidR="0026096C" w:rsidRPr="00677CE8">
        <w:t>. Over time, th</w:t>
      </w:r>
      <w:r w:rsidR="00D136ED" w:rsidRPr="00677CE8">
        <w:t>e</w:t>
      </w:r>
      <w:r w:rsidR="0026096C" w:rsidRPr="00677CE8">
        <w:t xml:space="preserve"> approach can </w:t>
      </w:r>
      <w:r w:rsidR="009C4337" w:rsidRPr="00677CE8">
        <w:t>support</w:t>
      </w:r>
      <w:r w:rsidR="0026096C" w:rsidRPr="00677CE8">
        <w:t xml:space="preserve"> a gradual shift to higher levels of automation </w:t>
      </w:r>
      <w:r w:rsidR="009C4337" w:rsidRPr="00677CE8">
        <w:t>as</w:t>
      </w:r>
      <w:r w:rsidR="0026096C" w:rsidRPr="00677CE8">
        <w:t xml:space="preserve"> the </w:t>
      </w:r>
      <w:r w:rsidR="00D136ED" w:rsidRPr="00677CE8">
        <w:t xml:space="preserve">public </w:t>
      </w:r>
      <w:r w:rsidR="009C4337" w:rsidRPr="00677CE8">
        <w:t>gains</w:t>
      </w:r>
      <w:r w:rsidR="0026096C" w:rsidRPr="00677CE8">
        <w:t xml:space="preserve"> trust. </w:t>
      </w:r>
      <w:r w:rsidR="009775B9" w:rsidRPr="00677CE8">
        <w:t xml:space="preserve">From a regulatory perspective, a phased </w:t>
      </w:r>
      <w:r w:rsidR="00AD7E28" w:rsidRPr="00677CE8">
        <w:t xml:space="preserve">deployment </w:t>
      </w:r>
      <w:r w:rsidR="009775B9" w:rsidRPr="00677CE8">
        <w:t xml:space="preserve">strategy </w:t>
      </w:r>
      <w:r w:rsidR="00AD7E28" w:rsidRPr="00677CE8">
        <w:t xml:space="preserve">could be facilitated through certification </w:t>
      </w:r>
      <w:r w:rsidR="009775B9" w:rsidRPr="00677CE8">
        <w:t xml:space="preserve">pathways </w:t>
      </w:r>
      <w:r w:rsidR="00D136ED" w:rsidRPr="00677CE8">
        <w:t>that</w:t>
      </w:r>
      <w:r w:rsidR="009775B9" w:rsidRPr="00677CE8">
        <w:t xml:space="preserve"> progressively increase </w:t>
      </w:r>
      <w:r w:rsidR="00D136ED" w:rsidRPr="00677CE8">
        <w:t xml:space="preserve">the </w:t>
      </w:r>
      <w:r w:rsidR="009775B9" w:rsidRPr="00677CE8">
        <w:t>level of automation. Service providers could start with a license to operate pilot-assisted UAM vehicles and subsequently transition toward higher levels of automation</w:t>
      </w:r>
      <w:r w:rsidR="00AD7E28" w:rsidRPr="00677CE8">
        <w:t xml:space="preserve">. Policymakers will need to anticipate the rapid development of </w:t>
      </w:r>
      <w:r w:rsidR="009775B9" w:rsidRPr="00677CE8">
        <w:t>autonomous</w:t>
      </w:r>
      <w:r w:rsidR="00AD7E28" w:rsidRPr="00677CE8">
        <w:t xml:space="preserve"> </w:t>
      </w:r>
      <w:r w:rsidR="00B61852" w:rsidRPr="00677CE8">
        <w:t>technology and</w:t>
      </w:r>
      <w:r w:rsidR="00AD7E28" w:rsidRPr="00677CE8">
        <w:t xml:space="preserve"> take steps to </w:t>
      </w:r>
      <w:r w:rsidR="009775B9" w:rsidRPr="00677CE8">
        <w:t xml:space="preserve">proactively </w:t>
      </w:r>
      <w:r w:rsidR="00AD7E28" w:rsidRPr="00677CE8">
        <w:t xml:space="preserve">establish a clear pathway towards autonomous deployment </w:t>
      </w:r>
      <w:r w:rsidR="00D136ED" w:rsidRPr="00677CE8">
        <w:t>that</w:t>
      </w:r>
      <w:r w:rsidR="00AD7E28" w:rsidRPr="00677CE8">
        <w:t xml:space="preserve"> balances public acceptance, appropriate </w:t>
      </w:r>
      <w:r w:rsidR="009775B9" w:rsidRPr="00677CE8">
        <w:t>safety</w:t>
      </w:r>
      <w:r w:rsidR="00AD7E28" w:rsidRPr="00677CE8">
        <w:t xml:space="preserve"> measures, and </w:t>
      </w:r>
      <w:r w:rsidR="009775B9" w:rsidRPr="00677CE8">
        <w:t>technological advancement.</w:t>
      </w:r>
    </w:p>
    <w:p w14:paraId="0832FB54" w14:textId="77777777" w:rsidR="00CB43B6" w:rsidRPr="00677CE8" w:rsidRDefault="00CB43B6" w:rsidP="00F41CCC">
      <w:pPr>
        <w:spacing w:after="0" w:line="240" w:lineRule="auto"/>
        <w:jc w:val="both"/>
      </w:pPr>
    </w:p>
    <w:p w14:paraId="7D5A601E" w14:textId="365C727D" w:rsidR="00CB43B6" w:rsidRPr="00677CE8" w:rsidRDefault="00CB43B6" w:rsidP="00F41CCC">
      <w:pPr>
        <w:pStyle w:val="Heading2"/>
        <w:spacing w:after="0" w:line="240" w:lineRule="auto"/>
        <w:jc w:val="both"/>
      </w:pPr>
      <w:r w:rsidRPr="00677CE8">
        <w:t>6.4 Implications for Potential Market Segments</w:t>
      </w:r>
    </w:p>
    <w:p w14:paraId="5613E405" w14:textId="39A96D53" w:rsidR="006A14B8" w:rsidRPr="00677CE8" w:rsidRDefault="009C4337" w:rsidP="00F41CCC">
      <w:pPr>
        <w:spacing w:after="0" w:line="240" w:lineRule="auto"/>
        <w:jc w:val="both"/>
      </w:pPr>
      <w:r w:rsidRPr="00677CE8">
        <w:t xml:space="preserve">Diving further </w:t>
      </w:r>
      <w:r w:rsidRPr="00DB38BB">
        <w:t xml:space="preserve">into heterogeneity, the results indicate clear patterns </w:t>
      </w:r>
      <w:r w:rsidR="00C04C3B" w:rsidRPr="00DB38BB">
        <w:t>across use cases,</w:t>
      </w:r>
      <w:r w:rsidRPr="00DB38BB">
        <w:t xml:space="preserve"> trip contexts</w:t>
      </w:r>
      <w:r w:rsidR="00C04C3B" w:rsidRPr="00DB38BB">
        <w:t xml:space="preserve">, </w:t>
      </w:r>
      <w:r w:rsidRPr="00DB38BB">
        <w:t>and individuals</w:t>
      </w:r>
      <w:r w:rsidR="009D351F" w:rsidRPr="00DB38BB">
        <w:t xml:space="preserve"> </w:t>
      </w:r>
      <w:r w:rsidR="006A14B8" w:rsidRPr="00DB38BB">
        <w:t>that</w:t>
      </w:r>
      <w:r w:rsidR="009D351F" w:rsidRPr="00DB38BB">
        <w:t xml:space="preserve"> can </w:t>
      </w:r>
      <w:r w:rsidR="006A14B8" w:rsidRPr="00DB38BB">
        <w:t>inform</w:t>
      </w:r>
      <w:r w:rsidR="009D351F" w:rsidRPr="00DB38BB">
        <w:t xml:space="preserve"> </w:t>
      </w:r>
      <w:r w:rsidR="00D136ED" w:rsidRPr="00DB38BB">
        <w:t>directed and customized</w:t>
      </w:r>
      <w:r w:rsidR="006A14B8" w:rsidRPr="00DB38BB">
        <w:t xml:space="preserve"> UAM</w:t>
      </w:r>
      <w:r w:rsidR="009D351F" w:rsidRPr="00DB38BB">
        <w:t xml:space="preserve"> deployment strategies. </w:t>
      </w:r>
      <w:r w:rsidR="00D136ED" w:rsidRPr="00DB38BB">
        <w:t>For instance</w:t>
      </w:r>
      <w:r w:rsidR="00C04C3B" w:rsidRPr="00DB38BB">
        <w:t>, preferences for air metro differ between age groups and housing types</w:t>
      </w:r>
      <w:r w:rsidR="00DB38BB" w:rsidRPr="00DB38BB">
        <w:t xml:space="preserve">. Relative to young </w:t>
      </w:r>
      <w:r w:rsidR="00DB38BB">
        <w:t>adults</w:t>
      </w:r>
      <w:r w:rsidR="00DB38BB" w:rsidRPr="00DB38BB">
        <w:t xml:space="preserve"> (18-34 years of age), </w:t>
      </w:r>
      <w:r w:rsidR="00C04C3B" w:rsidRPr="00DB38BB">
        <w:t>middle-aged</w:t>
      </w:r>
      <w:r w:rsidR="000D3A20" w:rsidRPr="00DB38BB">
        <w:t xml:space="preserve"> (35-54 years of age)</w:t>
      </w:r>
      <w:r w:rsidR="00C04C3B" w:rsidRPr="00DB38BB">
        <w:t xml:space="preserve"> individuals</w:t>
      </w:r>
      <w:r w:rsidR="00DB38BB" w:rsidRPr="00DB38BB">
        <w:t xml:space="preserve"> exhibit a 14.2% lower probability of selecting air metro as their first-choice mode, while residents of</w:t>
      </w:r>
      <w:r w:rsidR="00C04C3B" w:rsidRPr="00DB38BB">
        <w:t xml:space="preserve"> </w:t>
      </w:r>
      <w:proofErr w:type="gramStart"/>
      <w:r w:rsidR="00C04C3B" w:rsidRPr="00DB38BB">
        <w:t>single</w:t>
      </w:r>
      <w:r w:rsidR="00556040" w:rsidRPr="00DB38BB">
        <w:t xml:space="preserve"> </w:t>
      </w:r>
      <w:r w:rsidR="00C04C3B" w:rsidRPr="00DB38BB">
        <w:t>family</w:t>
      </w:r>
      <w:proofErr w:type="gramEnd"/>
      <w:r w:rsidR="00C04C3B" w:rsidRPr="00DB38BB">
        <w:t xml:space="preserve"> housing</w:t>
      </w:r>
      <w:r w:rsidR="00132424" w:rsidRPr="00DB38BB">
        <w:t xml:space="preserve"> </w:t>
      </w:r>
      <w:r w:rsidR="00DB38BB" w:rsidRPr="00DB38BB">
        <w:t>exhibit a 6.1% lower probability r</w:t>
      </w:r>
      <w:r w:rsidR="000D3A20" w:rsidRPr="00DB38BB">
        <w:t>elative to those living in other housing types.</w:t>
      </w:r>
      <w:r w:rsidR="000D3A20">
        <w:t xml:space="preserve"> However, for </w:t>
      </w:r>
      <w:proofErr w:type="gramStart"/>
      <w:r w:rsidR="000D3A20">
        <w:t>both of these</w:t>
      </w:r>
      <w:proofErr w:type="gramEnd"/>
      <w:r w:rsidR="000D3A20">
        <w:t xml:space="preserve"> population sub-groups, the ATEs are higher for the air taxi mode.</w:t>
      </w:r>
      <w:r w:rsidR="00672925" w:rsidRPr="00677CE8">
        <w:t xml:space="preserve"> </w:t>
      </w:r>
      <w:r w:rsidR="00C04C3B" w:rsidRPr="00677CE8">
        <w:t xml:space="preserve">These </w:t>
      </w:r>
      <w:r w:rsidR="006A14B8" w:rsidRPr="00677CE8">
        <w:t>findings</w:t>
      </w:r>
      <w:r w:rsidR="00C04C3B" w:rsidRPr="00677CE8">
        <w:t xml:space="preserve"> suggest that </w:t>
      </w:r>
      <w:r w:rsidR="006A14B8" w:rsidRPr="00677CE8">
        <w:t xml:space="preserve">air metro represents a distinct use case </w:t>
      </w:r>
      <w:r w:rsidR="000D3A20">
        <w:t>from</w:t>
      </w:r>
      <w:r w:rsidR="006A14B8" w:rsidRPr="00677CE8">
        <w:t xml:space="preserve"> </w:t>
      </w:r>
      <w:r w:rsidR="008C2007" w:rsidRPr="00677CE8">
        <w:t xml:space="preserve">the </w:t>
      </w:r>
      <w:r w:rsidR="006A14B8" w:rsidRPr="00677CE8">
        <w:t xml:space="preserve">more commonly studied air taxi </w:t>
      </w:r>
      <w:r w:rsidR="008C2007" w:rsidRPr="00677CE8">
        <w:t>use case</w:t>
      </w:r>
      <w:r w:rsidR="006A14B8" w:rsidRPr="00677CE8">
        <w:t>. Accordingly, a</w:t>
      </w:r>
      <w:r w:rsidR="00C04C3B" w:rsidRPr="00677CE8">
        <w:t>ir metro services should be designed to target young</w:t>
      </w:r>
      <w:r w:rsidR="006A14B8" w:rsidRPr="00677CE8">
        <w:t xml:space="preserve">er users, with a focus on </w:t>
      </w:r>
      <w:r w:rsidR="00C04C3B" w:rsidRPr="00677CE8">
        <w:t>denser urban areas</w:t>
      </w:r>
      <w:r w:rsidR="004407E2">
        <w:t xml:space="preserve"> (with more non-</w:t>
      </w:r>
      <w:proofErr w:type="gramStart"/>
      <w:r w:rsidR="004407E2">
        <w:t>single family</w:t>
      </w:r>
      <w:proofErr w:type="gramEnd"/>
      <w:r w:rsidR="004407E2">
        <w:t xml:space="preserve"> residents)</w:t>
      </w:r>
      <w:r w:rsidR="00C04C3B" w:rsidRPr="00677CE8">
        <w:t xml:space="preserve"> during early rollout</w:t>
      </w:r>
      <w:r w:rsidR="006A14B8" w:rsidRPr="00677CE8">
        <w:t xml:space="preserve">, </w:t>
      </w:r>
      <w:proofErr w:type="gramStart"/>
      <w:r w:rsidR="00C04C3B" w:rsidRPr="00677CE8">
        <w:t>similar to</w:t>
      </w:r>
      <w:proofErr w:type="gramEnd"/>
      <w:r w:rsidR="00C04C3B" w:rsidRPr="00677CE8">
        <w:t xml:space="preserve"> </w:t>
      </w:r>
      <w:r w:rsidR="006A14B8" w:rsidRPr="00677CE8">
        <w:t xml:space="preserve">existing </w:t>
      </w:r>
      <w:r w:rsidR="00C04C3B" w:rsidRPr="00677CE8">
        <w:t>GB public transportation services</w:t>
      </w:r>
      <w:r w:rsidR="006A14B8" w:rsidRPr="00677CE8">
        <w:t xml:space="preserve">. </w:t>
      </w:r>
      <w:r w:rsidR="005B07A5" w:rsidRPr="00677CE8">
        <w:t>By framing air metro as a novel alternative to existing transit services, providers can clearly</w:t>
      </w:r>
      <w:r w:rsidR="006A14B8" w:rsidRPr="00677CE8">
        <w:t xml:space="preserve"> </w:t>
      </w:r>
      <w:r w:rsidR="005B07A5" w:rsidRPr="00677CE8">
        <w:t>distinguish it</w:t>
      </w:r>
      <w:r w:rsidR="006A14B8" w:rsidRPr="00677CE8">
        <w:t xml:space="preserve"> from the private, premium, technology-</w:t>
      </w:r>
      <w:r w:rsidR="008C2007" w:rsidRPr="00677CE8">
        <w:t>oriented</w:t>
      </w:r>
      <w:r w:rsidR="006A14B8" w:rsidRPr="00677CE8">
        <w:t xml:space="preserve"> air taxi use case</w:t>
      </w:r>
      <w:r w:rsidR="005B07A5" w:rsidRPr="00677CE8">
        <w:t xml:space="preserve">, effectively tapping into two distinct market segments.  </w:t>
      </w:r>
    </w:p>
    <w:p w14:paraId="7CCD6207" w14:textId="4A85FAFF" w:rsidR="0037012A" w:rsidRPr="00677CE8" w:rsidRDefault="000F6520" w:rsidP="00F41CCC">
      <w:pPr>
        <w:spacing w:after="0" w:line="240" w:lineRule="auto"/>
        <w:ind w:firstLine="720"/>
        <w:jc w:val="both"/>
      </w:pPr>
      <w:r w:rsidRPr="00677CE8">
        <w:lastRenderedPageBreak/>
        <w:t xml:space="preserve">Turning to </w:t>
      </w:r>
      <w:r w:rsidR="00C04C3B" w:rsidRPr="00677CE8">
        <w:t>likely early adopters, the results highlight men</w:t>
      </w:r>
      <w:r w:rsidR="001D0DAA" w:rsidRPr="00677CE8">
        <w:t xml:space="preserve">, </w:t>
      </w:r>
      <w:r w:rsidR="00C04C3B" w:rsidRPr="00677CE8">
        <w:t xml:space="preserve">young </w:t>
      </w:r>
      <w:r w:rsidR="008C2007" w:rsidRPr="00677CE8">
        <w:t>adults</w:t>
      </w:r>
      <w:r w:rsidR="00C04C3B" w:rsidRPr="00677CE8">
        <w:t xml:space="preserve">, Black individuals, </w:t>
      </w:r>
      <w:r w:rsidR="00D136ED" w:rsidRPr="00677CE8">
        <w:t xml:space="preserve">and </w:t>
      </w:r>
      <w:r w:rsidR="00C04C3B" w:rsidRPr="00677CE8">
        <w:t>high-income households</w:t>
      </w:r>
      <w:r w:rsidR="003B584A" w:rsidRPr="00677CE8">
        <w:t>.</w:t>
      </w:r>
      <w:r w:rsidR="001D0DAA" w:rsidRPr="00677CE8">
        <w:t xml:space="preserve"> The</w:t>
      </w:r>
      <w:r w:rsidR="006A14B8" w:rsidRPr="00677CE8">
        <w:t>se</w:t>
      </w:r>
      <w:r w:rsidR="001D0DAA" w:rsidRPr="00677CE8">
        <w:t xml:space="preserve"> groups therefore constitute</w:t>
      </w:r>
      <w:r w:rsidR="0037012A" w:rsidRPr="00677CE8">
        <w:t xml:space="preserve"> attractive</w:t>
      </w:r>
      <w:r w:rsidR="001D0DAA" w:rsidRPr="00677CE8">
        <w:t xml:space="preserve"> markets for early </w:t>
      </w:r>
      <w:r w:rsidR="009D351F" w:rsidRPr="00677CE8">
        <w:t xml:space="preserve">adoption. </w:t>
      </w:r>
      <w:r w:rsidR="00D62FC7" w:rsidRPr="00677CE8">
        <w:t xml:space="preserve">However, care must be taken to ensure that the benefits associated with UAM deployment are not </w:t>
      </w:r>
      <w:r w:rsidR="004407E2">
        <w:t>distributed</w:t>
      </w:r>
      <w:r w:rsidR="00D62FC7" w:rsidRPr="00677CE8">
        <w:t xml:space="preserve"> unevenly across </w:t>
      </w:r>
      <w:r w:rsidR="0037012A" w:rsidRPr="00677CE8">
        <w:t>population groups during initial deployment</w:t>
      </w:r>
      <w:r w:rsidR="00D62FC7" w:rsidRPr="00677CE8">
        <w:t xml:space="preserve">. For example, </w:t>
      </w:r>
      <w:r w:rsidR="0037012A" w:rsidRPr="00677CE8">
        <w:t>m</w:t>
      </w:r>
      <w:r w:rsidR="00FB250D" w:rsidRPr="00677CE8">
        <w:t xml:space="preserve">en </w:t>
      </w:r>
      <w:r w:rsidR="0037012A" w:rsidRPr="00677CE8">
        <w:t xml:space="preserve">exhibit a very strong preference for air taxi services </w:t>
      </w:r>
      <w:r w:rsidR="00FB250D" w:rsidRPr="00677CE8">
        <w:t>(</w:t>
      </w:r>
      <w:r w:rsidR="00132424" w:rsidRPr="00677CE8">
        <w:t>67.9</w:t>
      </w:r>
      <w:r w:rsidR="00FB250D" w:rsidRPr="00677CE8">
        <w:t xml:space="preserve">%) and a slightly </w:t>
      </w:r>
      <w:r w:rsidR="0037012A" w:rsidRPr="00677CE8">
        <w:t>smaller</w:t>
      </w:r>
      <w:r w:rsidR="00FB250D" w:rsidRPr="00677CE8">
        <w:t xml:space="preserve"> but still positive preference for air </w:t>
      </w:r>
      <w:r w:rsidR="0037012A" w:rsidRPr="00677CE8">
        <w:t>metro services</w:t>
      </w:r>
      <w:r w:rsidR="00FB250D" w:rsidRPr="00677CE8">
        <w:t xml:space="preserve"> </w:t>
      </w:r>
      <w:r w:rsidR="0037012A" w:rsidRPr="00677CE8">
        <w:t>(</w:t>
      </w:r>
      <w:r w:rsidR="00132424" w:rsidRPr="00677CE8">
        <w:t>28.6</w:t>
      </w:r>
      <w:r w:rsidR="00FB250D" w:rsidRPr="00677CE8">
        <w:t>%</w:t>
      </w:r>
      <w:r w:rsidR="0037012A" w:rsidRPr="00677CE8">
        <w:t>)</w:t>
      </w:r>
      <w:r w:rsidR="00FB250D" w:rsidRPr="00677CE8">
        <w:t>. Therefore</w:t>
      </w:r>
      <w:r w:rsidR="00D62FC7" w:rsidRPr="00677CE8">
        <w:t>,</w:t>
      </w:r>
      <w:r w:rsidR="00FB250D" w:rsidRPr="00677CE8">
        <w:t xml:space="preserve"> early deployment strategies focused exclusively on maximizing ridership may unintentionally reinforce gender disparities in access to emerging transportation technologies. </w:t>
      </w:r>
      <w:r w:rsidR="0037012A" w:rsidRPr="00677CE8">
        <w:t xml:space="preserve">Expanding adoption beyond an initially predominately male base will require </w:t>
      </w:r>
      <w:r w:rsidR="00FB250D" w:rsidRPr="00677CE8">
        <w:t>address</w:t>
      </w:r>
      <w:r w:rsidR="0037012A" w:rsidRPr="00677CE8">
        <w:t>ing c</w:t>
      </w:r>
      <w:r w:rsidR="00FB250D" w:rsidRPr="00677CE8">
        <w:t xml:space="preserve">oncerns related to </w:t>
      </w:r>
      <w:r w:rsidR="00D62FC7" w:rsidRPr="00677CE8">
        <w:t>noise levels</w:t>
      </w:r>
      <w:r w:rsidR="0037012A" w:rsidRPr="00677CE8">
        <w:t xml:space="preserve">, </w:t>
      </w:r>
      <w:r w:rsidR="00F3557E">
        <w:t xml:space="preserve">crash-related </w:t>
      </w:r>
      <w:r w:rsidR="00FB250D" w:rsidRPr="00677CE8">
        <w:t>safety</w:t>
      </w:r>
      <w:r w:rsidR="0037012A" w:rsidRPr="00677CE8">
        <w:t>, and other barriers that may disproportionally affect women.</w:t>
      </w:r>
      <w:r w:rsidR="00D62FC7" w:rsidRPr="00677CE8">
        <w:t xml:space="preserve"> At the same time, the strong interest in UAM observed among Black respondents (corresponding to a 2</w:t>
      </w:r>
      <w:r w:rsidR="00132424" w:rsidRPr="00677CE8">
        <w:t>8</w:t>
      </w:r>
      <w:r w:rsidR="00D62FC7" w:rsidRPr="00677CE8">
        <w:t>.7% increase in air taxi adoption and a 2</w:t>
      </w:r>
      <w:r w:rsidR="00132424" w:rsidRPr="00677CE8">
        <w:t>0</w:t>
      </w:r>
      <w:r w:rsidR="00D62FC7" w:rsidRPr="00677CE8">
        <w:t xml:space="preserve">.9% increase in air metro adoption) suggests that emerging UAM services may have the potential to improve accessibility for groups that have historically experienced transportation disadvantages. Realizing this potential will require meaningful engagement with Black communities during the planning and deployment process to ensure that UAM services address local mobility needs, </w:t>
      </w:r>
      <w:r w:rsidR="0037012A" w:rsidRPr="00677CE8">
        <w:t>expand access, and distribute the benefits and burdens of UAM fairly across racial groups. Income-related disparities may represent an even greater challenge. High</w:t>
      </w:r>
      <w:r w:rsidR="001D0DAA" w:rsidRPr="00677CE8">
        <w:t xml:space="preserve">-income </w:t>
      </w:r>
      <w:r w:rsidR="006A14B8" w:rsidRPr="00677CE8">
        <w:t>individuals</w:t>
      </w:r>
      <w:r w:rsidR="001D0DAA" w:rsidRPr="00677CE8">
        <w:t xml:space="preserve"> are both more attitudinal</w:t>
      </w:r>
      <w:r w:rsidR="009D351F" w:rsidRPr="00677CE8">
        <w:t>ly</w:t>
      </w:r>
      <w:r w:rsidR="001D0DAA" w:rsidRPr="00677CE8">
        <w:t xml:space="preserve"> </w:t>
      </w:r>
      <w:r w:rsidR="008C2007" w:rsidRPr="00677CE8">
        <w:t>predisposed</w:t>
      </w:r>
      <w:r w:rsidR="001D0DAA" w:rsidRPr="00677CE8">
        <w:t xml:space="preserve"> to</w:t>
      </w:r>
      <w:r w:rsidR="008C2007" w:rsidRPr="00677CE8">
        <w:t>ward</w:t>
      </w:r>
      <w:r w:rsidR="001D0DAA" w:rsidRPr="00677CE8">
        <w:t xml:space="preserve"> UAM and less sensitive to costs</w:t>
      </w:r>
      <w:r w:rsidR="00672925" w:rsidRPr="00677CE8">
        <w:t>, corresponding to a 5</w:t>
      </w:r>
      <w:r w:rsidR="00132424" w:rsidRPr="00677CE8">
        <w:t>2</w:t>
      </w:r>
      <w:r w:rsidR="00672925" w:rsidRPr="00677CE8">
        <w:t>.</w:t>
      </w:r>
      <w:r w:rsidR="00132424" w:rsidRPr="00677CE8">
        <w:t>2</w:t>
      </w:r>
      <w:r w:rsidR="00672925" w:rsidRPr="00677CE8">
        <w:t xml:space="preserve">% increase in air taxi adoption and a </w:t>
      </w:r>
      <w:r w:rsidR="00132424" w:rsidRPr="00677CE8">
        <w:t>30.0</w:t>
      </w:r>
      <w:r w:rsidR="00672925" w:rsidRPr="00677CE8">
        <w:t>% increase in air metro adoption relative to the low-income group. Together, these factors</w:t>
      </w:r>
      <w:r w:rsidR="001D0DAA" w:rsidRPr="00677CE8">
        <w:t xml:space="preserve"> </w:t>
      </w:r>
      <w:r w:rsidR="00672925" w:rsidRPr="00677CE8">
        <w:t>suggest</w:t>
      </w:r>
      <w:r w:rsidR="001D0DAA" w:rsidRPr="00677CE8">
        <w:t xml:space="preserve"> </w:t>
      </w:r>
      <w:r w:rsidR="00672925" w:rsidRPr="00677CE8">
        <w:t>that high-income individuals</w:t>
      </w:r>
      <w:r w:rsidR="001D0DAA" w:rsidRPr="00677CE8">
        <w:t xml:space="preserve"> are </w:t>
      </w:r>
      <w:r w:rsidR="008C2007" w:rsidRPr="00677CE8">
        <w:t>especially likely to adopt early</w:t>
      </w:r>
      <w:r w:rsidR="001D0DAA" w:rsidRPr="00677CE8">
        <w:t xml:space="preserve"> and bear the initially elevated costs </w:t>
      </w:r>
      <w:r w:rsidR="008C2007" w:rsidRPr="00677CE8">
        <w:t>associated with</w:t>
      </w:r>
      <w:r w:rsidR="001D0DAA" w:rsidRPr="00677CE8">
        <w:t xml:space="preserve"> system development.</w:t>
      </w:r>
      <w:r w:rsidR="006D6276" w:rsidRPr="00677CE8">
        <w:t xml:space="preserve"> </w:t>
      </w:r>
      <w:r w:rsidR="001D0DAA" w:rsidRPr="00677CE8">
        <w:t xml:space="preserve">However, </w:t>
      </w:r>
      <w:r w:rsidR="006D6276" w:rsidRPr="00677CE8">
        <w:t>the long-term success and scalability of UAM technology will depend on expanding adoption beyond these early adopter groups.</w:t>
      </w:r>
      <w:r w:rsidR="001D0DAA" w:rsidRPr="00677CE8">
        <w:t xml:space="preserve"> </w:t>
      </w:r>
      <w:r w:rsidR="006D6276" w:rsidRPr="00677CE8">
        <w:t>S</w:t>
      </w:r>
      <w:r w:rsidR="001D0DAA" w:rsidRPr="00677CE8">
        <w:t xml:space="preserve">ervice providers should anticipate declining costs and proactively design systems that cater to a wider range of </w:t>
      </w:r>
      <w:r w:rsidR="005B07A5" w:rsidRPr="00677CE8">
        <w:t xml:space="preserve">income </w:t>
      </w:r>
      <w:r w:rsidR="006D6276" w:rsidRPr="00677CE8">
        <w:t>groups over time,</w:t>
      </w:r>
      <w:r w:rsidR="001D0DAA" w:rsidRPr="00677CE8">
        <w:t xml:space="preserve"> rather than focusing exclusively on </w:t>
      </w:r>
      <w:r w:rsidR="006D6276" w:rsidRPr="00677CE8">
        <w:t>high-income users</w:t>
      </w:r>
      <w:r w:rsidR="001D0DAA" w:rsidRPr="00677CE8">
        <w:t>.</w:t>
      </w:r>
      <w:r w:rsidR="007D01D9" w:rsidRPr="00677CE8">
        <w:t xml:space="preserve"> </w:t>
      </w:r>
    </w:p>
    <w:p w14:paraId="1F7BB49E" w14:textId="311354E7" w:rsidR="000B7858" w:rsidRPr="00677CE8" w:rsidRDefault="000B7858" w:rsidP="00F41CCC">
      <w:pPr>
        <w:spacing w:after="0" w:line="240" w:lineRule="auto"/>
        <w:jc w:val="both"/>
      </w:pPr>
    </w:p>
    <w:p w14:paraId="13916126" w14:textId="77DCA554" w:rsidR="00982D08" w:rsidRPr="00677CE8" w:rsidRDefault="0011417D" w:rsidP="00F41CCC">
      <w:pPr>
        <w:pStyle w:val="Heading1"/>
        <w:numPr>
          <w:ilvl w:val="0"/>
          <w:numId w:val="3"/>
        </w:numPr>
        <w:tabs>
          <w:tab w:val="left" w:pos="270"/>
        </w:tabs>
        <w:spacing w:after="0" w:line="240" w:lineRule="auto"/>
        <w:ind w:hanging="720"/>
        <w:jc w:val="both"/>
      </w:pPr>
      <w:r w:rsidRPr="00677CE8">
        <w:t>CONCLUSION</w:t>
      </w:r>
    </w:p>
    <w:p w14:paraId="141AB76A" w14:textId="32044B23" w:rsidR="00604B78" w:rsidRPr="00677CE8" w:rsidRDefault="00D56C12" w:rsidP="00F41CCC">
      <w:pPr>
        <w:spacing w:after="0" w:line="240" w:lineRule="auto"/>
        <w:jc w:val="both"/>
      </w:pPr>
      <w:r w:rsidRPr="00677CE8">
        <w:t xml:space="preserve">In this study, we </w:t>
      </w:r>
      <w:r w:rsidR="002D18DD" w:rsidRPr="00677CE8">
        <w:t>examine</w:t>
      </w:r>
      <w:r w:rsidRPr="00677CE8">
        <w:t xml:space="preserve"> the impacts of both contextual and individual-level characteristics on stated </w:t>
      </w:r>
      <w:r w:rsidR="002D18DD" w:rsidRPr="00677CE8">
        <w:t xml:space="preserve">preferences for </w:t>
      </w:r>
      <w:r w:rsidR="00C8311F" w:rsidRPr="00677CE8">
        <w:t>air taxi and air metro</w:t>
      </w:r>
      <w:r w:rsidRPr="00677CE8">
        <w:t xml:space="preserve">. </w:t>
      </w:r>
      <w:r w:rsidR="002D18DD" w:rsidRPr="00677CE8">
        <w:t>Using</w:t>
      </w:r>
      <w:r w:rsidRPr="00677CE8">
        <w:t xml:space="preserve"> a blocked survey design, we </w:t>
      </w:r>
      <w:r w:rsidR="002D18DD" w:rsidRPr="00677CE8">
        <w:t>incorporate</w:t>
      </w:r>
      <w:r w:rsidRPr="00677CE8">
        <w:t xml:space="preserve"> a </w:t>
      </w:r>
      <w:r w:rsidR="00056BF4" w:rsidRPr="00677CE8">
        <w:t>wide</w:t>
      </w:r>
      <w:r w:rsidRPr="00677CE8">
        <w:t xml:space="preserve"> range of service attributes and trip </w:t>
      </w:r>
      <w:r w:rsidR="00162E8A" w:rsidRPr="00677CE8">
        <w:t>contexts</w:t>
      </w:r>
      <w:r w:rsidR="00C8311F" w:rsidRPr="00677CE8">
        <w:t xml:space="preserve"> to examine individual-level preferences. A</w:t>
      </w:r>
      <w:r w:rsidRPr="00677CE8">
        <w:t xml:space="preserve"> two-stage modeling framework </w:t>
      </w:r>
      <w:r w:rsidR="00C8311F" w:rsidRPr="00677CE8">
        <w:t xml:space="preserve">is employed </w:t>
      </w:r>
      <w:r w:rsidRPr="00677CE8">
        <w:t>to jointly model individual attitudes alongside ranked modal preferences</w:t>
      </w:r>
      <w:r w:rsidR="00C8311F" w:rsidRPr="00677CE8">
        <w:t xml:space="preserve">, </w:t>
      </w:r>
      <w:r w:rsidR="002D18DD" w:rsidRPr="00677CE8">
        <w:t>while accounting for</w:t>
      </w:r>
      <w:r w:rsidR="00C8311F" w:rsidRPr="00677CE8">
        <w:t xml:space="preserve"> unobserved heterogeneity. The results provide insights into the priorities of prospective UAM users, </w:t>
      </w:r>
      <w:r w:rsidR="00604B78" w:rsidRPr="00677CE8">
        <w:t xml:space="preserve">documenting heterogeneous adoption patterns across </w:t>
      </w:r>
      <w:r w:rsidR="00505C3A" w:rsidRPr="00677CE8">
        <w:t>service attributes, trip contexts, attitudes, and user groups.</w:t>
      </w:r>
      <w:r w:rsidR="00897508" w:rsidRPr="00677CE8">
        <w:t xml:space="preserve"> </w:t>
      </w:r>
      <w:r w:rsidR="00505C3A" w:rsidRPr="002735BE">
        <w:t>First</w:t>
      </w:r>
      <w:r w:rsidR="00505C3A" w:rsidRPr="00677CE8">
        <w:t>, adoption depends heavily on service attributes, with convenience and travel experience emerging as central factors. Short</w:t>
      </w:r>
      <w:r w:rsidR="00604B78" w:rsidRPr="00677CE8">
        <w:t xml:space="preserve"> waiting time</w:t>
      </w:r>
      <w:r w:rsidR="0027176C" w:rsidRPr="00677CE8">
        <w:t xml:space="preserve">s, nearby </w:t>
      </w:r>
      <w:r w:rsidR="00604B78" w:rsidRPr="00677CE8">
        <w:t>vertiport locations</w:t>
      </w:r>
      <w:r w:rsidR="0027176C" w:rsidRPr="00677CE8">
        <w:t xml:space="preserve">, and consistent availability across weather conditions </w:t>
      </w:r>
      <w:r w:rsidR="00505C3A" w:rsidRPr="00677CE8">
        <w:t>encourage UAM adoption</w:t>
      </w:r>
      <w:r w:rsidR="00056BF4" w:rsidRPr="00677CE8">
        <w:t>, while u</w:t>
      </w:r>
      <w:r w:rsidR="0027176C" w:rsidRPr="00677CE8">
        <w:t xml:space="preserve">sers expect UAM services to offer meaningful improvements over existing GB alternatives. This involves spacious interiors, </w:t>
      </w:r>
      <w:r w:rsidR="00133A36" w:rsidRPr="00677CE8">
        <w:t>improved</w:t>
      </w:r>
      <w:r w:rsidR="0027176C" w:rsidRPr="00677CE8">
        <w:t xml:space="preserve"> environmental </w:t>
      </w:r>
      <w:r w:rsidR="00D82DAD" w:rsidRPr="00677CE8">
        <w:t>sustainability</w:t>
      </w:r>
      <w:r w:rsidR="0027176C" w:rsidRPr="00677CE8">
        <w:t xml:space="preserve">, and </w:t>
      </w:r>
      <w:r w:rsidR="00133A36" w:rsidRPr="00677CE8">
        <w:t>enhanced</w:t>
      </w:r>
      <w:r w:rsidR="0027176C" w:rsidRPr="00677CE8">
        <w:t xml:space="preserve"> </w:t>
      </w:r>
      <w:r w:rsidR="00F3557E">
        <w:t xml:space="preserve">crash-related </w:t>
      </w:r>
      <w:r w:rsidR="0027176C" w:rsidRPr="00677CE8">
        <w:t xml:space="preserve">safety. </w:t>
      </w:r>
      <w:r w:rsidR="00056BF4" w:rsidRPr="00677CE8">
        <w:t xml:space="preserve">Although automation reduces </w:t>
      </w:r>
      <w:r w:rsidR="0027176C" w:rsidRPr="00677CE8">
        <w:t>preferences for all modes, it is perceived more positively in aerial context</w:t>
      </w:r>
      <w:r w:rsidR="00056BF4" w:rsidRPr="00677CE8">
        <w:t>s, providing an opportunity for a gradual shift towards autonomous UAM technology.</w:t>
      </w:r>
      <w:r w:rsidR="0027176C" w:rsidRPr="00677CE8">
        <w:t xml:space="preserve"> </w:t>
      </w:r>
      <w:r w:rsidR="00505C3A" w:rsidRPr="002735BE">
        <w:t>Second</w:t>
      </w:r>
      <w:r w:rsidR="00505C3A" w:rsidRPr="00677CE8">
        <w:rPr>
          <w:u w:val="single"/>
        </w:rPr>
        <w:t>,</w:t>
      </w:r>
      <w:r w:rsidR="00505C3A" w:rsidRPr="00677CE8">
        <w:t xml:space="preserve"> trip context </w:t>
      </w:r>
      <w:r w:rsidR="00056BF4" w:rsidRPr="00677CE8">
        <w:t>plays a key role in determining</w:t>
      </w:r>
      <w:r w:rsidR="00505C3A" w:rsidRPr="00677CE8">
        <w:t xml:space="preserve"> </w:t>
      </w:r>
      <w:r w:rsidR="00897508" w:rsidRPr="00677CE8">
        <w:t>UAM suitability and</w:t>
      </w:r>
      <w:r w:rsidR="00056BF4" w:rsidRPr="00677CE8">
        <w:t xml:space="preserve"> users’</w:t>
      </w:r>
      <w:r w:rsidR="00897508" w:rsidRPr="00677CE8">
        <w:t xml:space="preserve"> </w:t>
      </w:r>
      <w:r w:rsidR="00505C3A" w:rsidRPr="00677CE8">
        <w:t>willingness to pay for</w:t>
      </w:r>
      <w:r w:rsidR="006B0883">
        <w:t xml:space="preserve"> in-vehicle</w:t>
      </w:r>
      <w:r w:rsidR="00505C3A" w:rsidRPr="00677CE8">
        <w:t xml:space="preserve"> travel time savings. </w:t>
      </w:r>
      <w:r w:rsidR="00056BF4" w:rsidRPr="00677CE8">
        <w:t>A</w:t>
      </w:r>
      <w:r w:rsidR="00897508" w:rsidRPr="00677CE8">
        <w:t>erial modes are more attractive for long-distance</w:t>
      </w:r>
      <w:r w:rsidR="00ED229F" w:rsidRPr="00677CE8">
        <w:t xml:space="preserve"> inter-city</w:t>
      </w:r>
      <w:r w:rsidR="00897508" w:rsidRPr="00677CE8">
        <w:t xml:space="preserve"> trips </w:t>
      </w:r>
      <w:r w:rsidR="00133A36" w:rsidRPr="00677CE8">
        <w:t>and are well suited for</w:t>
      </w:r>
      <w:r w:rsidR="00897508" w:rsidRPr="00677CE8">
        <w:t xml:space="preserve"> </w:t>
      </w:r>
      <w:r w:rsidR="00CC3577" w:rsidRPr="00677CE8">
        <w:t>time-sensitive</w:t>
      </w:r>
      <w:r w:rsidR="00897508" w:rsidRPr="00677CE8">
        <w:t xml:space="preserve"> medical transport, constituting promising applications of UAM technology. </w:t>
      </w:r>
      <w:r w:rsidR="00897508" w:rsidRPr="002735BE">
        <w:t>Third</w:t>
      </w:r>
      <w:r w:rsidR="00897508" w:rsidRPr="00677CE8">
        <w:t xml:space="preserve">, we find that attitudes towards technology and travel time have a direct impact on stated UAM adoption preferences, while </w:t>
      </w:r>
      <w:r w:rsidR="00716EFE" w:rsidRPr="00677CE8">
        <w:t xml:space="preserve">UAM </w:t>
      </w:r>
      <w:r w:rsidR="00897508" w:rsidRPr="00677CE8">
        <w:t xml:space="preserve">noise sensitivity </w:t>
      </w:r>
      <w:r w:rsidR="00072952" w:rsidRPr="00677CE8">
        <w:t xml:space="preserve">levels </w:t>
      </w:r>
      <w:r w:rsidR="00897508" w:rsidRPr="00677CE8">
        <w:t>shape how individuals respond to</w:t>
      </w:r>
      <w:r w:rsidR="00056BF4" w:rsidRPr="00677CE8">
        <w:t xml:space="preserve"> </w:t>
      </w:r>
      <w:r w:rsidR="00897508" w:rsidRPr="00677CE8">
        <w:t xml:space="preserve">operational noise levels. </w:t>
      </w:r>
      <w:r w:rsidR="00897508" w:rsidRPr="002735BE">
        <w:t>Finally</w:t>
      </w:r>
      <w:r w:rsidR="00897508" w:rsidRPr="00677CE8">
        <w:t xml:space="preserve">, adoption </w:t>
      </w:r>
      <w:r w:rsidR="00897508" w:rsidRPr="00677CE8">
        <w:lastRenderedPageBreak/>
        <w:t>patterns vary across user groups. W</w:t>
      </w:r>
      <w:r w:rsidR="0027176C" w:rsidRPr="00677CE8">
        <w:t xml:space="preserve">e identify substantial demand for the air metro use case specifically among </w:t>
      </w:r>
      <w:r w:rsidR="00604B78" w:rsidRPr="00677CE8">
        <w:t>young adults and older populations</w:t>
      </w:r>
      <w:r w:rsidR="0027176C" w:rsidRPr="00677CE8">
        <w:t xml:space="preserve"> in urban contexts</w:t>
      </w:r>
      <w:r w:rsidR="00604B78" w:rsidRPr="00677CE8">
        <w:t>, suggesting that an aerial alternative to GB public transportation would be able to target a distinct</w:t>
      </w:r>
      <w:r w:rsidR="0027176C" w:rsidRPr="00677CE8">
        <w:t xml:space="preserve"> </w:t>
      </w:r>
      <w:r w:rsidR="00604B78" w:rsidRPr="00677CE8">
        <w:t>market segment</w:t>
      </w:r>
      <w:r w:rsidR="0027176C" w:rsidRPr="00677CE8">
        <w:t xml:space="preserve"> from the more commonly </w:t>
      </w:r>
      <w:r w:rsidR="00505C3A" w:rsidRPr="00677CE8">
        <w:t>studied</w:t>
      </w:r>
      <w:r w:rsidR="0027176C" w:rsidRPr="00677CE8">
        <w:t xml:space="preserve"> air taxi use case. </w:t>
      </w:r>
      <w:r w:rsidR="005D36A3" w:rsidRPr="00677CE8">
        <w:t xml:space="preserve">Early </w:t>
      </w:r>
      <w:r w:rsidR="00505C3A" w:rsidRPr="00677CE8">
        <w:t xml:space="preserve">UAM adoption is likely to be driven by </w:t>
      </w:r>
      <w:r w:rsidR="00604B78" w:rsidRPr="00677CE8">
        <w:t xml:space="preserve">men, </w:t>
      </w:r>
      <w:r w:rsidR="00505C3A" w:rsidRPr="00677CE8">
        <w:t>young adults</w:t>
      </w:r>
      <w:r w:rsidR="00604B78" w:rsidRPr="00677CE8">
        <w:t>, Black individuals, high-income households, tech-savvy</w:t>
      </w:r>
      <w:r w:rsidR="00505C3A" w:rsidRPr="00677CE8">
        <w:t xml:space="preserve"> groups</w:t>
      </w:r>
      <w:r w:rsidR="00604B78" w:rsidRPr="00677CE8">
        <w:t xml:space="preserve">, and </w:t>
      </w:r>
      <w:r w:rsidR="00895855" w:rsidRPr="00677CE8">
        <w:t xml:space="preserve">those </w:t>
      </w:r>
      <w:r w:rsidR="00072952" w:rsidRPr="00677CE8">
        <w:t>are dissatisfied with their current travel</w:t>
      </w:r>
      <w:r w:rsidR="00505C3A" w:rsidRPr="00677CE8">
        <w:t>.</w:t>
      </w:r>
      <w:r w:rsidR="005D36A3" w:rsidRPr="00677CE8">
        <w:t xml:space="preserve"> While these groups represent targets for initial deployment, the long-term growth of UAM will depend on extending adoption beyond these groups. Service providers and policymakers should ensure that system design and deployment fairly distribute benefits across population groups. </w:t>
      </w:r>
    </w:p>
    <w:p w14:paraId="7EEF303F" w14:textId="76849288" w:rsidR="003E2A2B" w:rsidRDefault="00822DB1" w:rsidP="00F41CCC">
      <w:pPr>
        <w:spacing w:after="0" w:line="240" w:lineRule="auto"/>
        <w:ind w:firstLine="720"/>
        <w:jc w:val="both"/>
      </w:pPr>
      <w:r w:rsidRPr="00677CE8">
        <w:t xml:space="preserve">Our study points to the need </w:t>
      </w:r>
      <w:r w:rsidR="00C431A2" w:rsidRPr="00677CE8">
        <w:t>for</w:t>
      </w:r>
      <w:r w:rsidRPr="00677CE8">
        <w:t xml:space="preserve"> continuing research </w:t>
      </w:r>
      <w:r w:rsidR="003E2A2B" w:rsidRPr="00677CE8">
        <w:t>on</w:t>
      </w:r>
      <w:r w:rsidRPr="00677CE8">
        <w:t xml:space="preserve"> UAM adoption </w:t>
      </w:r>
      <w:r w:rsidR="003E2A2B" w:rsidRPr="00677CE8">
        <w:t xml:space="preserve">as </w:t>
      </w:r>
      <w:proofErr w:type="gramStart"/>
      <w:r w:rsidR="003E2A2B" w:rsidRPr="00677CE8">
        <w:t>the technology</w:t>
      </w:r>
      <w:proofErr w:type="gramEnd"/>
      <w:r w:rsidR="003E2A2B" w:rsidRPr="00677CE8">
        <w:t xml:space="preserve"> progresses from development to deployment. Because</w:t>
      </w:r>
      <w:r w:rsidR="00C431A2" w:rsidRPr="00677CE8">
        <w:t xml:space="preserve"> human UAM </w:t>
      </w:r>
      <w:r w:rsidR="003E2A2B" w:rsidRPr="00677CE8">
        <w:t>vehicles</w:t>
      </w:r>
      <w:r w:rsidR="00C431A2" w:rsidRPr="00677CE8">
        <w:t xml:space="preserve"> </w:t>
      </w:r>
      <w:r w:rsidR="003E2A2B" w:rsidRPr="00677CE8">
        <w:t>are</w:t>
      </w:r>
      <w:r w:rsidR="00C431A2" w:rsidRPr="00677CE8">
        <w:t xml:space="preserve"> </w:t>
      </w:r>
      <w:r w:rsidR="003E2A2B" w:rsidRPr="00677CE8">
        <w:t>not yet widely operational,</w:t>
      </w:r>
      <w:r w:rsidR="00C431A2" w:rsidRPr="00677CE8">
        <w:t xml:space="preserve"> </w:t>
      </w:r>
      <w:r w:rsidR="00162E8A" w:rsidRPr="00677CE8">
        <w:t>the current study</w:t>
      </w:r>
      <w:r w:rsidR="00C431A2" w:rsidRPr="00677CE8">
        <w:t xml:space="preserve"> rel</w:t>
      </w:r>
      <w:r w:rsidR="00162E8A" w:rsidRPr="00677CE8">
        <w:t>ies</w:t>
      </w:r>
      <w:r w:rsidR="00C431A2" w:rsidRPr="00677CE8">
        <w:t xml:space="preserve"> on </w:t>
      </w:r>
      <w:r w:rsidR="00964A21" w:rsidRPr="00677CE8">
        <w:t>SP</w:t>
      </w:r>
      <w:r w:rsidR="003E2A2B" w:rsidRPr="00677CE8">
        <w:t xml:space="preserve"> data</w:t>
      </w:r>
      <w:r w:rsidR="00162E8A" w:rsidRPr="00677CE8">
        <w:t xml:space="preserve">. Future revealed preference investigations should be undertaken during early UAM rollout to more accurately capture how users respond to contextual characteristics outside of hypothetical </w:t>
      </w:r>
      <w:r w:rsidR="00964A21" w:rsidRPr="00677CE8">
        <w:t>SP</w:t>
      </w:r>
      <w:r w:rsidR="00162E8A" w:rsidRPr="00677CE8">
        <w:t xml:space="preserve"> scenarios. </w:t>
      </w:r>
      <w:r w:rsidR="003E2A2B" w:rsidRPr="00677CE8">
        <w:t>In addition</w:t>
      </w:r>
      <w:r w:rsidR="00162E8A" w:rsidRPr="00677CE8">
        <w:t xml:space="preserve">, </w:t>
      </w:r>
      <w:r w:rsidR="003E2A2B" w:rsidRPr="00677CE8">
        <w:t>further</w:t>
      </w:r>
      <w:r w:rsidR="00C431A2" w:rsidRPr="00677CE8">
        <w:t xml:space="preserve"> </w:t>
      </w:r>
      <w:r w:rsidR="003E2A2B" w:rsidRPr="00677CE8">
        <w:t>research into pricing</w:t>
      </w:r>
      <w:r w:rsidR="00C431A2" w:rsidRPr="00677CE8">
        <w:t xml:space="preserve"> sensitivit</w:t>
      </w:r>
      <w:r w:rsidR="003E2A2B" w:rsidRPr="00677CE8">
        <w:t>y</w:t>
      </w:r>
      <w:r w:rsidR="00C431A2" w:rsidRPr="00677CE8">
        <w:t xml:space="preserve"> is needed </w:t>
      </w:r>
      <w:r w:rsidR="002D18DD" w:rsidRPr="00677CE8">
        <w:t>as</w:t>
      </w:r>
      <w:r w:rsidR="00C431A2" w:rsidRPr="00677CE8">
        <w:t xml:space="preserve"> UAM </w:t>
      </w:r>
      <w:r w:rsidR="002D18DD" w:rsidRPr="00677CE8">
        <w:t>systems evolve</w:t>
      </w:r>
      <w:r w:rsidR="00C431A2" w:rsidRPr="00677CE8">
        <w:t xml:space="preserve">, with a careful focus on </w:t>
      </w:r>
      <w:r w:rsidR="002D18DD" w:rsidRPr="00677CE8">
        <w:t xml:space="preserve">potential disparate impacts. </w:t>
      </w:r>
      <w:proofErr w:type="gramStart"/>
      <w:r w:rsidR="00B27D1F" w:rsidRPr="00677CE8">
        <w:t>In particular, f</w:t>
      </w:r>
      <w:r w:rsidR="002D18DD" w:rsidRPr="00677CE8">
        <w:t>uture</w:t>
      </w:r>
      <w:proofErr w:type="gramEnd"/>
      <w:r w:rsidR="00B27D1F" w:rsidRPr="00677CE8">
        <w:t xml:space="preserve"> research</w:t>
      </w:r>
      <w:r w:rsidR="002D18DD" w:rsidRPr="00677CE8">
        <w:t xml:space="preserve"> should examine how pricing structures affect accessibility across income groups, especially for time-sensitive trip </w:t>
      </w:r>
      <w:r w:rsidR="00B27D1F" w:rsidRPr="00677CE8">
        <w:t xml:space="preserve">purposes </w:t>
      </w:r>
      <w:r w:rsidR="002D18DD" w:rsidRPr="00677CE8">
        <w:t xml:space="preserve">such as medical transportation. The </w:t>
      </w:r>
      <w:r w:rsidR="00B20D24" w:rsidRPr="00677CE8">
        <w:t xml:space="preserve">current research focused on preferences at an individual level, but it is also important to examine how </w:t>
      </w:r>
      <w:r w:rsidRPr="00677CE8">
        <w:t xml:space="preserve">UAM </w:t>
      </w:r>
      <w:r w:rsidR="00CA40F1" w:rsidRPr="00677CE8">
        <w:t xml:space="preserve">preferences vary </w:t>
      </w:r>
      <w:r w:rsidR="00B20D24" w:rsidRPr="00677CE8">
        <w:t>at</w:t>
      </w:r>
      <w:r w:rsidR="00CA40F1" w:rsidRPr="00677CE8">
        <w:t xml:space="preserve"> a community-level, </w:t>
      </w:r>
      <w:r w:rsidR="00B20D24" w:rsidRPr="00677CE8">
        <w:t>particularly in the context of</w:t>
      </w:r>
      <w:r w:rsidRPr="00677CE8">
        <w:t xml:space="preserve"> vertiport placement </w:t>
      </w:r>
      <w:r w:rsidR="00C431A2" w:rsidRPr="00677CE8">
        <w:t xml:space="preserve">priorities </w:t>
      </w:r>
      <w:r w:rsidR="00B20D24" w:rsidRPr="00677CE8">
        <w:t>and noise/environmental considerations</w:t>
      </w:r>
      <w:r w:rsidR="00C431A2" w:rsidRPr="00677CE8">
        <w:t>.</w:t>
      </w:r>
      <w:r w:rsidR="00162E8A" w:rsidRPr="00677CE8">
        <w:t xml:space="preserve"> </w:t>
      </w:r>
      <w:r w:rsidR="003E2A2B" w:rsidRPr="00677CE8">
        <w:t>Finally, additional research</w:t>
      </w:r>
      <w:r w:rsidR="00072952" w:rsidRPr="00677CE8">
        <w:t xml:space="preserve"> with a larger sample size and more expansive geographic coverage </w:t>
      </w:r>
      <w:r w:rsidR="003E2A2B" w:rsidRPr="00677CE8">
        <w:t xml:space="preserve">is needed to </w:t>
      </w:r>
      <w:r w:rsidR="002F4D58" w:rsidRPr="00677CE8">
        <w:t xml:space="preserve">better </w:t>
      </w:r>
      <w:r w:rsidR="003E2A2B" w:rsidRPr="00677CE8">
        <w:t>understand regional or international differences in UAM adoption patterns</w:t>
      </w:r>
      <w:r w:rsidR="002F4D58" w:rsidRPr="00677CE8">
        <w:t xml:space="preserve">. </w:t>
      </w:r>
    </w:p>
    <w:p w14:paraId="17B1D8F9" w14:textId="77777777" w:rsidR="00EC2A1D" w:rsidRDefault="00EC2A1D" w:rsidP="00F41CCC">
      <w:pPr>
        <w:spacing w:after="0" w:line="240" w:lineRule="auto"/>
        <w:ind w:firstLine="720"/>
        <w:jc w:val="both"/>
      </w:pPr>
    </w:p>
    <w:p w14:paraId="7EAEC8A4" w14:textId="77777777" w:rsidR="00EC2A1D" w:rsidRPr="00C91D5B" w:rsidRDefault="00EC2A1D" w:rsidP="00F41CCC">
      <w:pPr>
        <w:spacing w:after="0" w:line="240" w:lineRule="auto"/>
        <w:rPr>
          <w:rFonts w:eastAsia="Calibri"/>
        </w:rPr>
      </w:pPr>
      <w:r w:rsidRPr="00C91D5B">
        <w:rPr>
          <w:rFonts w:eastAsia="Calibri"/>
          <w:b/>
          <w:bCs/>
        </w:rPr>
        <w:t>AI STATEMENT</w:t>
      </w:r>
    </w:p>
    <w:p w14:paraId="1C84671D" w14:textId="4D4B839F" w:rsidR="002D18DD" w:rsidRDefault="00C91D5B" w:rsidP="00F41CCC">
      <w:pPr>
        <w:spacing w:after="0" w:line="240" w:lineRule="auto"/>
        <w:jc w:val="both"/>
      </w:pPr>
      <w:r w:rsidRPr="00C91D5B">
        <w:t xml:space="preserve">During the preparation of this work the authors used Microsoft Copilot </w:t>
      </w:r>
      <w:r>
        <w:t>to</w:t>
      </w:r>
      <w:r w:rsidRPr="00C91D5B">
        <w:t xml:space="preserve"> </w:t>
      </w:r>
      <w:r w:rsidRPr="00C91D5B">
        <w:rPr>
          <w:rFonts w:eastAsia="Calibri"/>
        </w:rPr>
        <w:t xml:space="preserve">support the preparation of this manuscript, assisting with formatting content and refining language. </w:t>
      </w:r>
      <w:r w:rsidRPr="00C91D5B">
        <w:t xml:space="preserve">After using this tool, the authors reviewed and edited the content as needed. </w:t>
      </w:r>
      <w:r>
        <w:t xml:space="preserve">AI tools were used only to improve communication, and </w:t>
      </w:r>
      <w:r>
        <w:rPr>
          <w:rFonts w:eastAsia="Calibri"/>
        </w:rPr>
        <w:t>t</w:t>
      </w:r>
      <w:r w:rsidRPr="00C91D5B">
        <w:rPr>
          <w:rFonts w:eastAsia="Calibri"/>
        </w:rPr>
        <w:t>he authors</w:t>
      </w:r>
      <w:r w:rsidRPr="00C91D5B">
        <w:t xml:space="preserve"> take full responsibility for the content of the published article.</w:t>
      </w:r>
    </w:p>
    <w:p w14:paraId="2791E77A" w14:textId="77777777" w:rsidR="00C91D5B" w:rsidRPr="00677CE8" w:rsidRDefault="00C91D5B" w:rsidP="00F41CCC">
      <w:pPr>
        <w:spacing w:after="0" w:line="240" w:lineRule="auto"/>
      </w:pPr>
    </w:p>
    <w:p w14:paraId="30441B52" w14:textId="0FDC9673" w:rsidR="00C431A2" w:rsidRDefault="00C431A2" w:rsidP="00F41CCC">
      <w:pPr>
        <w:spacing w:after="0" w:line="240" w:lineRule="auto"/>
        <w:rPr>
          <w:b/>
          <w:bCs/>
        </w:rPr>
      </w:pPr>
      <w:r w:rsidRPr="00677CE8">
        <w:rPr>
          <w:b/>
          <w:bCs/>
        </w:rPr>
        <w:t>ACKNOWLEDGMENTS</w:t>
      </w:r>
    </w:p>
    <w:p w14:paraId="68E17DE5" w14:textId="5C08CFA8" w:rsidR="004871AE" w:rsidRDefault="00102636" w:rsidP="004871AE">
      <w:pPr>
        <w:spacing w:after="0" w:line="240" w:lineRule="auto"/>
        <w:jc w:val="both"/>
      </w:pPr>
      <w:r w:rsidRPr="00B2671C">
        <w:t>This research was partially supported by the U.S. National Science Foundation</w:t>
      </w:r>
      <w:r w:rsidR="004D2D92" w:rsidRPr="00B2671C">
        <w:t xml:space="preserve"> (Award No. 2313104)</w:t>
      </w:r>
      <w:r w:rsidR="00B2671C">
        <w:t xml:space="preserve">, </w:t>
      </w:r>
      <w:r w:rsidR="00CF7AAF">
        <w:t xml:space="preserve">by </w:t>
      </w:r>
      <w:r w:rsidR="004D2D92">
        <w:t>the U.S. Department of Transportation through the Center for Understanding Future Travel Behavior and Demand (TBD) (Grant No. 69A3552344815 and No. 69A3552348320)</w:t>
      </w:r>
      <w:r w:rsidR="004871AE">
        <w:t xml:space="preserve">, and by the </w:t>
      </w:r>
      <w:r w:rsidR="004871AE" w:rsidRPr="004871AE">
        <w:t>Good Systems Grand Challenge Program at the University of Texas at Austin</w:t>
      </w:r>
      <w:r w:rsidR="004871AE" w:rsidRPr="006B15C8">
        <w:t xml:space="preserve"> through the Good Systems Core Research Project </w:t>
      </w:r>
      <w:r w:rsidR="004871AE">
        <w:t xml:space="preserve">on </w:t>
      </w:r>
      <w:r w:rsidR="004871AE" w:rsidRPr="004871AE">
        <w:t>Designing AI for Social Fairness</w:t>
      </w:r>
      <w:r w:rsidR="004D2D92">
        <w:t>. The authors are grateful to Lisa Macias for help in formatting this document.</w:t>
      </w:r>
    </w:p>
    <w:p w14:paraId="15DA6F8C" w14:textId="77777777" w:rsidR="004871AE" w:rsidRDefault="004871AE" w:rsidP="004D2D92">
      <w:pPr>
        <w:spacing w:after="0" w:line="240" w:lineRule="auto"/>
      </w:pPr>
    </w:p>
    <w:p w14:paraId="2C0DFF36" w14:textId="77777777" w:rsidR="00C07E56" w:rsidRDefault="00C07E56" w:rsidP="004D2D92">
      <w:pPr>
        <w:spacing w:after="0" w:line="240" w:lineRule="auto"/>
        <w:rPr>
          <w:b/>
          <w:bCs/>
        </w:rPr>
      </w:pPr>
      <w:r>
        <w:rPr>
          <w:b/>
          <w:bCs/>
        </w:rPr>
        <w:br w:type="page"/>
      </w:r>
    </w:p>
    <w:p w14:paraId="04641032" w14:textId="23CA899D" w:rsidR="00EF5FA7" w:rsidRPr="00102636" w:rsidRDefault="00994620" w:rsidP="004D2D92">
      <w:pPr>
        <w:spacing w:after="0" w:line="240" w:lineRule="auto"/>
        <w:rPr>
          <w:b/>
          <w:bCs/>
        </w:rPr>
      </w:pPr>
      <w:r w:rsidRPr="00677CE8">
        <w:rPr>
          <w:b/>
          <w:bCs/>
        </w:rPr>
        <w:lastRenderedPageBreak/>
        <w:t>REFERENCES</w:t>
      </w:r>
    </w:p>
    <w:p w14:paraId="2939CB3A" w14:textId="29362DF6" w:rsidR="00E56489" w:rsidRPr="00E56489" w:rsidRDefault="00994620" w:rsidP="00242E6A">
      <w:pPr>
        <w:pStyle w:val="Bibliography"/>
        <w:spacing w:line="240" w:lineRule="auto"/>
        <w:ind w:left="540" w:hanging="540"/>
      </w:pPr>
      <w:r w:rsidRPr="00677CE8">
        <w:fldChar w:fldCharType="begin"/>
      </w:r>
      <w:r w:rsidR="00561EC0" w:rsidRPr="00677CE8">
        <w:instrText xml:space="preserve"> ADDIN ZOTERO_BIBL {"uncited":[],"omitted":[],"custom":[]} CSL_BIBLIOGRAPHY </w:instrText>
      </w:r>
      <w:r w:rsidRPr="00677CE8">
        <w:fldChar w:fldCharType="separate"/>
      </w:r>
      <w:r w:rsidR="00431207" w:rsidRPr="00677CE8">
        <w:t xml:space="preserve">Aalmoes, R., </w:t>
      </w:r>
      <w:r w:rsidR="00963916" w:rsidRPr="00677CE8">
        <w:t>and</w:t>
      </w:r>
      <w:r w:rsidR="00431207" w:rsidRPr="00677CE8">
        <w:t xml:space="preserve"> Sieben, N. (2021). Visual and audio perception study on drone aircraft and similar sounds in an </w:t>
      </w:r>
      <w:r w:rsidR="00005295">
        <w:t>u</w:t>
      </w:r>
      <w:r w:rsidR="00431207" w:rsidRPr="00677CE8">
        <w:t xml:space="preserve">rban </w:t>
      </w:r>
      <w:r w:rsidR="00005295">
        <w:t>a</w:t>
      </w:r>
      <w:r w:rsidR="00431207" w:rsidRPr="00677CE8">
        <w:t xml:space="preserve">ir </w:t>
      </w:r>
      <w:r w:rsidR="00005295">
        <w:t>m</w:t>
      </w:r>
      <w:r w:rsidR="00431207" w:rsidRPr="00677CE8">
        <w:t xml:space="preserve">obility setting. </w:t>
      </w:r>
      <w:r w:rsidR="00431207" w:rsidRPr="00677CE8">
        <w:rPr>
          <w:i/>
          <w:iCs/>
        </w:rPr>
        <w:t>INTER-NOISE and NOISE-CON Congress and Confrence Proceedings</w:t>
      </w:r>
      <w:r w:rsidR="00431207" w:rsidRPr="00677CE8">
        <w:t>, 2510–2521. https://doi.org/10.3397/IN-2021-2160</w:t>
      </w:r>
    </w:p>
    <w:p w14:paraId="2242482C" w14:textId="5DE055CA" w:rsidR="00431207" w:rsidRPr="00677CE8" w:rsidRDefault="00431207" w:rsidP="00242E6A">
      <w:pPr>
        <w:pStyle w:val="Bibliography"/>
        <w:spacing w:line="240" w:lineRule="auto"/>
        <w:ind w:left="540" w:hanging="540"/>
      </w:pPr>
      <w:r w:rsidRPr="00677CE8">
        <w:t xml:space="preserve">Acheampong, R. A., </w:t>
      </w:r>
      <w:r w:rsidR="00963916" w:rsidRPr="00677CE8">
        <w:t>and</w:t>
      </w:r>
      <w:r w:rsidRPr="00677CE8">
        <w:t xml:space="preserve"> Cugurullo, F. (2019). Capturing the behavioural determinants behind the adoption of autonomous vehicles: </w:t>
      </w:r>
      <w:r w:rsidR="00005295">
        <w:t>C</w:t>
      </w:r>
      <w:r w:rsidRPr="00677CE8">
        <w:t xml:space="preserve">onceptual frameworks and measurement models to predict public transport, sharing and ownership trends of self-driving cars. </w:t>
      </w:r>
      <w:r w:rsidRPr="00677CE8">
        <w:rPr>
          <w:i/>
          <w:iCs/>
        </w:rPr>
        <w:t>Transportation Research Part F: Traffic Psychology and Behaviour</w:t>
      </w:r>
      <w:r w:rsidRPr="00677CE8">
        <w:t xml:space="preserve">, </w:t>
      </w:r>
      <w:r w:rsidRPr="00677CE8">
        <w:rPr>
          <w:i/>
          <w:iCs/>
        </w:rPr>
        <w:t>62</w:t>
      </w:r>
      <w:r w:rsidRPr="00677CE8">
        <w:t>, 349–375. https://doi.org/10.1016/j.trf.2019.01.009</w:t>
      </w:r>
    </w:p>
    <w:p w14:paraId="63D7758E" w14:textId="2B47C5C3" w:rsidR="00431207" w:rsidRPr="00677CE8" w:rsidRDefault="00431207" w:rsidP="00242E6A">
      <w:pPr>
        <w:pStyle w:val="Bibliography"/>
        <w:spacing w:line="240" w:lineRule="auto"/>
        <w:ind w:left="540" w:hanging="540"/>
      </w:pPr>
      <w:r w:rsidRPr="00677CE8">
        <w:t xml:space="preserve">Adamidis, F., Ditta, C. C., Wu, H., Postorino, M. N., </w:t>
      </w:r>
      <w:r w:rsidR="00963916" w:rsidRPr="00677CE8">
        <w:t>and</w:t>
      </w:r>
      <w:r w:rsidRPr="00677CE8">
        <w:t xml:space="preserve"> Antoniou, C. (2025). Urban air mobility for airport access: Mode choice preferences and pricing considerations. </w:t>
      </w:r>
      <w:r w:rsidRPr="00677CE8">
        <w:rPr>
          <w:i/>
          <w:iCs/>
        </w:rPr>
        <w:t>Transport Policy</w:t>
      </w:r>
      <w:r w:rsidRPr="00677CE8">
        <w:t xml:space="preserve">, </w:t>
      </w:r>
      <w:r w:rsidRPr="00677CE8">
        <w:rPr>
          <w:i/>
          <w:iCs/>
        </w:rPr>
        <w:t>171</w:t>
      </w:r>
      <w:r w:rsidRPr="00677CE8">
        <w:t>, 1025–1040. https://doi.org/10.1016/j.tranpol.2025.07.027</w:t>
      </w:r>
    </w:p>
    <w:p w14:paraId="5BC5C3EB" w14:textId="63E1624F" w:rsidR="00431207" w:rsidRPr="00677CE8" w:rsidRDefault="00431207" w:rsidP="00242E6A">
      <w:pPr>
        <w:pStyle w:val="Bibliography"/>
        <w:spacing w:line="240" w:lineRule="auto"/>
        <w:ind w:left="540" w:hanging="540"/>
      </w:pPr>
      <w:r w:rsidRPr="00677CE8">
        <w:t xml:space="preserve">Ahmadpour, N., Lindgaard, G., Robert, J.-M., </w:t>
      </w:r>
      <w:r w:rsidR="00963916" w:rsidRPr="00677CE8">
        <w:t>and</w:t>
      </w:r>
      <w:r w:rsidRPr="00677CE8">
        <w:t xml:space="preserve"> Pownall, B. (2014). The thematic structure of passenger comfort experience and its relationship to the context features in the aircraft cabin. </w:t>
      </w:r>
      <w:r w:rsidRPr="00677CE8">
        <w:rPr>
          <w:i/>
          <w:iCs/>
        </w:rPr>
        <w:t>Ergonomics</w:t>
      </w:r>
      <w:r w:rsidRPr="00677CE8">
        <w:t xml:space="preserve">, </w:t>
      </w:r>
      <w:r w:rsidRPr="00677CE8">
        <w:rPr>
          <w:i/>
          <w:iCs/>
        </w:rPr>
        <w:t>57</w:t>
      </w:r>
      <w:r w:rsidRPr="00677CE8">
        <w:t>(6), 801–815. https://doi.org/10.1080/00140139.2014.899632</w:t>
      </w:r>
    </w:p>
    <w:p w14:paraId="4CF9E776" w14:textId="77777777" w:rsidR="00431207" w:rsidRPr="00677CE8" w:rsidRDefault="00431207" w:rsidP="00242E6A">
      <w:pPr>
        <w:pStyle w:val="Bibliography"/>
        <w:spacing w:line="240" w:lineRule="auto"/>
        <w:ind w:left="540" w:hanging="540"/>
      </w:pPr>
      <w:r w:rsidRPr="00677CE8">
        <w:t xml:space="preserve">Ajzen, I. (1991). The theory of planned behavior. </w:t>
      </w:r>
      <w:r w:rsidRPr="00677CE8">
        <w:rPr>
          <w:i/>
          <w:iCs/>
        </w:rPr>
        <w:t>Organizational Behavior and Human Decision Processes, Theories of Cognitive Self-Regulation</w:t>
      </w:r>
      <w:r w:rsidRPr="00677CE8">
        <w:t xml:space="preserve">, </w:t>
      </w:r>
      <w:r w:rsidRPr="00677CE8">
        <w:rPr>
          <w:i/>
          <w:iCs/>
        </w:rPr>
        <w:t>50</w:t>
      </w:r>
      <w:r w:rsidRPr="00677CE8">
        <w:t>(2), 179–211. https://doi.org/10.1016/0749-5978(91)90020-T</w:t>
      </w:r>
    </w:p>
    <w:p w14:paraId="2A317295" w14:textId="28E4A6EA" w:rsidR="00431207" w:rsidRPr="00677CE8" w:rsidRDefault="00431207" w:rsidP="00242E6A">
      <w:pPr>
        <w:pStyle w:val="Bibliography"/>
        <w:spacing w:line="240" w:lineRule="auto"/>
        <w:ind w:left="540" w:hanging="540"/>
      </w:pPr>
      <w:r w:rsidRPr="00677CE8">
        <w:t xml:space="preserve">Al Haddad, C., Chaniotakis, E., Straubinger, A., Plötner, K., </w:t>
      </w:r>
      <w:r w:rsidR="00963916" w:rsidRPr="00677CE8">
        <w:t>and</w:t>
      </w:r>
      <w:r w:rsidRPr="00677CE8">
        <w:t xml:space="preserve"> Antoniou, C. (2020). Factors </w:t>
      </w:r>
      <w:r w:rsidR="00005295">
        <w:t>a</w:t>
      </w:r>
      <w:r w:rsidRPr="00677CE8">
        <w:t xml:space="preserve">ffecting the </w:t>
      </w:r>
      <w:r w:rsidR="00005295">
        <w:t>a</w:t>
      </w:r>
      <w:r w:rsidRPr="00677CE8">
        <w:t xml:space="preserve">doption and </w:t>
      </w:r>
      <w:r w:rsidR="00005295">
        <w:t>u</w:t>
      </w:r>
      <w:r w:rsidRPr="00677CE8">
        <w:t xml:space="preserve">se of </w:t>
      </w:r>
      <w:r w:rsidR="00005295">
        <w:t>u</w:t>
      </w:r>
      <w:r w:rsidRPr="00677CE8">
        <w:t xml:space="preserve">rban </w:t>
      </w:r>
      <w:r w:rsidR="00005295">
        <w:t>a</w:t>
      </w:r>
      <w:r w:rsidRPr="00677CE8">
        <w:t xml:space="preserve">ir </w:t>
      </w:r>
      <w:r w:rsidR="00005295">
        <w:t>m</w:t>
      </w:r>
      <w:r w:rsidRPr="00677CE8">
        <w:t xml:space="preserve">obility. </w:t>
      </w:r>
      <w:r w:rsidRPr="00677CE8">
        <w:rPr>
          <w:i/>
          <w:iCs/>
        </w:rPr>
        <w:t>Transportation Research Part A: Policy and Practice</w:t>
      </w:r>
      <w:r w:rsidRPr="00677CE8">
        <w:t xml:space="preserve">, </w:t>
      </w:r>
      <w:r w:rsidRPr="00677CE8">
        <w:rPr>
          <w:i/>
          <w:iCs/>
        </w:rPr>
        <w:t>132</w:t>
      </w:r>
      <w:r w:rsidRPr="00677CE8">
        <w:t>, 696–712. https://doi.org/10.1016/j.tra.2019.12.020</w:t>
      </w:r>
    </w:p>
    <w:p w14:paraId="46059A5E" w14:textId="12F6D00B" w:rsidR="00431207" w:rsidRPr="00677CE8" w:rsidRDefault="00431207" w:rsidP="00242E6A">
      <w:pPr>
        <w:pStyle w:val="Bibliography"/>
        <w:spacing w:line="240" w:lineRule="auto"/>
        <w:ind w:left="540" w:hanging="540"/>
      </w:pPr>
      <w:r w:rsidRPr="00677CE8">
        <w:t xml:space="preserve">Anders, G., Asbury, C., Brentner, S., Bushnell, M., Glass, E., Hodges, T., Morris, J., </w:t>
      </w:r>
      <w:r w:rsidR="00963916" w:rsidRPr="00677CE8">
        <w:t>and</w:t>
      </w:r>
      <w:r w:rsidRPr="00677CE8">
        <w:t xml:space="preserve"> Scott, A. (1994). </w:t>
      </w:r>
      <w:r w:rsidRPr="00677CE8">
        <w:rPr>
          <w:i/>
          <w:iCs/>
        </w:rPr>
        <w:t xml:space="preserve">The </w:t>
      </w:r>
      <w:r w:rsidR="00005295">
        <w:rPr>
          <w:i/>
          <w:iCs/>
        </w:rPr>
        <w:t>p</w:t>
      </w:r>
      <w:r w:rsidRPr="00677CE8">
        <w:rPr>
          <w:i/>
          <w:iCs/>
        </w:rPr>
        <w:t xml:space="preserve">ersonal </w:t>
      </w:r>
      <w:r w:rsidR="00005295">
        <w:rPr>
          <w:i/>
          <w:iCs/>
        </w:rPr>
        <w:t>a</w:t>
      </w:r>
      <w:r w:rsidRPr="00677CE8">
        <w:rPr>
          <w:i/>
          <w:iCs/>
        </w:rPr>
        <w:t>ircraft--</w:t>
      </w:r>
      <w:r w:rsidR="00005295">
        <w:rPr>
          <w:i/>
          <w:iCs/>
        </w:rPr>
        <w:t>s</w:t>
      </w:r>
      <w:r w:rsidRPr="00677CE8">
        <w:rPr>
          <w:i/>
          <w:iCs/>
        </w:rPr>
        <w:t xml:space="preserve">tatus and </w:t>
      </w:r>
      <w:r w:rsidR="00005295">
        <w:rPr>
          <w:i/>
          <w:iCs/>
        </w:rPr>
        <w:t>i</w:t>
      </w:r>
      <w:r w:rsidRPr="00677CE8">
        <w:rPr>
          <w:i/>
          <w:iCs/>
        </w:rPr>
        <w:t>ssues</w:t>
      </w:r>
      <w:r w:rsidRPr="00677CE8">
        <w:t xml:space="preserve"> (Technical Memorandum 109174). NASA. https://ntrs.nasa.gov/api/citations/19950014271/downloads/19950014271.pdf</w:t>
      </w:r>
    </w:p>
    <w:p w14:paraId="5FFFD2A0" w14:textId="6076612E" w:rsidR="00431207" w:rsidRPr="00677CE8" w:rsidRDefault="00431207" w:rsidP="00242E6A">
      <w:pPr>
        <w:pStyle w:val="Bibliography"/>
        <w:spacing w:line="240" w:lineRule="auto"/>
        <w:ind w:left="540" w:hanging="540"/>
      </w:pPr>
      <w:r w:rsidRPr="00677CE8">
        <w:t xml:space="preserve">Anderson, S. M., Asmussen, K. E., Saxena, S., Batur, I., Pendyala, R. M., </w:t>
      </w:r>
      <w:r w:rsidR="00963916" w:rsidRPr="00677CE8">
        <w:t>and</w:t>
      </w:r>
      <w:r w:rsidRPr="00677CE8">
        <w:t xml:space="preserve"> Bhat, C. R. (2024). An investigation of dissonance in telework frequency. </w:t>
      </w:r>
      <w:r w:rsidRPr="00677CE8">
        <w:rPr>
          <w:i/>
          <w:iCs/>
        </w:rPr>
        <w:t>Transportation Research Part C: Emerging Technologies</w:t>
      </w:r>
      <w:r w:rsidRPr="00677CE8">
        <w:t xml:space="preserve">, </w:t>
      </w:r>
      <w:r w:rsidRPr="00677CE8">
        <w:rPr>
          <w:i/>
          <w:iCs/>
        </w:rPr>
        <w:t>166</w:t>
      </w:r>
      <w:r w:rsidRPr="00677CE8">
        <w:t>, 104712. https://doi.org/10.1016/j.trc.2024.104712</w:t>
      </w:r>
    </w:p>
    <w:p w14:paraId="74403317" w14:textId="06C5D7DD" w:rsidR="00431207" w:rsidRPr="00677CE8" w:rsidRDefault="00431207" w:rsidP="00242E6A">
      <w:pPr>
        <w:pStyle w:val="Bibliography"/>
        <w:spacing w:line="240" w:lineRule="auto"/>
        <w:ind w:left="540" w:hanging="540"/>
      </w:pPr>
      <w:r w:rsidRPr="00677CE8">
        <w:t xml:space="preserve">Annaç Göv, S. (2023). Air </w:t>
      </w:r>
      <w:r w:rsidR="00005295">
        <w:t>t</w:t>
      </w:r>
      <w:r w:rsidRPr="00677CE8">
        <w:t xml:space="preserve">ransportation </w:t>
      </w:r>
      <w:r w:rsidR="00005295">
        <w:t>m</w:t>
      </w:r>
      <w:r w:rsidRPr="00677CE8">
        <w:t xml:space="preserve">anagement and the </w:t>
      </w:r>
      <w:r w:rsidR="00005295">
        <w:t>e</w:t>
      </w:r>
      <w:r w:rsidRPr="00677CE8">
        <w:t xml:space="preserve">ffects of </w:t>
      </w:r>
      <w:r w:rsidR="00005295">
        <w:t>d</w:t>
      </w:r>
      <w:r w:rsidRPr="00677CE8">
        <w:t xml:space="preserve">igital </w:t>
      </w:r>
      <w:r w:rsidR="00005295">
        <w:t>t</w:t>
      </w:r>
      <w:r w:rsidRPr="00677CE8">
        <w:t xml:space="preserve">ransformation </w:t>
      </w:r>
      <w:r w:rsidR="00005295">
        <w:t>s</w:t>
      </w:r>
      <w:r w:rsidRPr="00677CE8">
        <w:t xml:space="preserve">trategies. In B. Akkaya </w:t>
      </w:r>
      <w:r w:rsidR="00963916" w:rsidRPr="00677CE8">
        <w:t>and</w:t>
      </w:r>
      <w:r w:rsidRPr="00677CE8">
        <w:t xml:space="preserve"> A. Tabak (Eds.), </w:t>
      </w:r>
      <w:r w:rsidRPr="00677CE8">
        <w:rPr>
          <w:i/>
          <w:iCs/>
        </w:rPr>
        <w:t>Two Faces of Digital Transformation: Technological Opportunities versus Social Threats</w:t>
      </w:r>
      <w:r w:rsidRPr="00677CE8">
        <w:t xml:space="preserve"> (p. 0). Emerald Publishing Limited. https://doi.org/10.1108/978-1-83753-096-020231011</w:t>
      </w:r>
    </w:p>
    <w:p w14:paraId="1A2513FA" w14:textId="163FD01B" w:rsidR="00431207" w:rsidRPr="00677CE8" w:rsidRDefault="00431207" w:rsidP="00242E6A">
      <w:pPr>
        <w:pStyle w:val="Bibliography"/>
        <w:spacing w:line="240" w:lineRule="auto"/>
        <w:ind w:left="540" w:hanging="540"/>
      </w:pPr>
      <w:r w:rsidRPr="00677CE8">
        <w:t xml:space="preserve">Asmussen, K. E., Mondal, A., </w:t>
      </w:r>
      <w:r w:rsidR="00963916" w:rsidRPr="00677CE8">
        <w:t>and</w:t>
      </w:r>
      <w:r w:rsidRPr="00677CE8">
        <w:t xml:space="preserve"> Bhat, C. R. (2020). A socio-technical model of autonomous vehicle adoption using ranked choice stated preference data. </w:t>
      </w:r>
      <w:r w:rsidRPr="00677CE8">
        <w:rPr>
          <w:i/>
          <w:iCs/>
        </w:rPr>
        <w:t>Transportation Research Part C: Emerging Technologies</w:t>
      </w:r>
      <w:r w:rsidRPr="00677CE8">
        <w:t xml:space="preserve">, </w:t>
      </w:r>
      <w:r w:rsidRPr="00677CE8">
        <w:rPr>
          <w:i/>
          <w:iCs/>
        </w:rPr>
        <w:t>121</w:t>
      </w:r>
      <w:r w:rsidRPr="00677CE8">
        <w:t>, 102835. https://doi.org/10.1016/j.trc.2020.102835</w:t>
      </w:r>
    </w:p>
    <w:p w14:paraId="1B7C229B" w14:textId="4C3125F6" w:rsidR="00431207" w:rsidRDefault="00431207" w:rsidP="00242E6A">
      <w:pPr>
        <w:pStyle w:val="Bibliography"/>
        <w:spacing w:line="240" w:lineRule="auto"/>
        <w:ind w:left="540" w:hanging="540"/>
      </w:pPr>
      <w:r w:rsidRPr="00677CE8">
        <w:t xml:space="preserve">Asmussen, K. E., Mondal, A., </w:t>
      </w:r>
      <w:r w:rsidR="00963916" w:rsidRPr="00677CE8">
        <w:t>and</w:t>
      </w:r>
      <w:r w:rsidRPr="00677CE8">
        <w:t xml:space="preserve"> Bhat, C. R. (2022). Adoption of partially automated vehicle technology features and impacts on vehicle miles of travel (VMT). </w:t>
      </w:r>
      <w:r w:rsidRPr="00677CE8">
        <w:rPr>
          <w:i/>
          <w:iCs/>
        </w:rPr>
        <w:t>Transportation Research Part A: Policy and Practice</w:t>
      </w:r>
      <w:r w:rsidRPr="00677CE8">
        <w:t xml:space="preserve">, </w:t>
      </w:r>
      <w:r w:rsidRPr="00677CE8">
        <w:rPr>
          <w:i/>
          <w:iCs/>
        </w:rPr>
        <w:t>158</w:t>
      </w:r>
      <w:r w:rsidRPr="00677CE8">
        <w:t>, 156–179. https://doi.org/10.1016/j.tra.2022.02.010</w:t>
      </w:r>
    </w:p>
    <w:p w14:paraId="4CD39118" w14:textId="16288BFE" w:rsidR="009A5B02" w:rsidRPr="009A5B02" w:rsidRDefault="009A5B02" w:rsidP="00242E6A">
      <w:pPr>
        <w:pStyle w:val="Bibliography"/>
        <w:spacing w:line="240" w:lineRule="auto"/>
        <w:ind w:left="540" w:hanging="540"/>
      </w:pPr>
      <w:r w:rsidRPr="00677CE8">
        <w:t xml:space="preserve">Bennett, R., and Vijaygopal, R. (2021). Air passenger attitudes towards pilotless aircraft. </w:t>
      </w:r>
      <w:r w:rsidRPr="00677CE8">
        <w:rPr>
          <w:i/>
          <w:iCs/>
        </w:rPr>
        <w:t>Research in Transportation Business &amp; Management</w:t>
      </w:r>
      <w:r w:rsidRPr="00677CE8">
        <w:t xml:space="preserve">, </w:t>
      </w:r>
      <w:r w:rsidRPr="00677CE8">
        <w:rPr>
          <w:i/>
          <w:iCs/>
        </w:rPr>
        <w:t>41</w:t>
      </w:r>
      <w:r w:rsidRPr="00677CE8">
        <w:t>, 100656. https://doi.org/10.1016/j.rtbm.2021.100656</w:t>
      </w:r>
    </w:p>
    <w:p w14:paraId="3CAED34D" w14:textId="59E5629B" w:rsidR="007806B4" w:rsidRPr="00007FF5" w:rsidRDefault="007806B4" w:rsidP="00242E6A">
      <w:pPr>
        <w:spacing w:after="0" w:line="240" w:lineRule="auto"/>
        <w:ind w:left="540" w:hanging="540"/>
      </w:pPr>
      <w:r w:rsidRPr="00007FF5">
        <w:t xml:space="preserve">Bhat, C. R., </w:t>
      </w:r>
      <w:r w:rsidR="009E580B" w:rsidRPr="00007FF5">
        <w:t>and</w:t>
      </w:r>
      <w:r w:rsidRPr="00007FF5">
        <w:t xml:space="preserve"> Robbennolt, D. A (2026). Flexible </w:t>
      </w:r>
      <w:r w:rsidR="00007FF5">
        <w:t>m</w:t>
      </w:r>
      <w:r w:rsidRPr="00007FF5">
        <w:t>ultinomial YJ-</w:t>
      </w:r>
      <w:r w:rsidR="00007FF5">
        <w:t>b</w:t>
      </w:r>
      <w:r w:rsidRPr="00007FF5">
        <w:t xml:space="preserve">ased </w:t>
      </w:r>
      <w:r w:rsidR="00007FF5">
        <w:t>m</w:t>
      </w:r>
      <w:r w:rsidRPr="00007FF5">
        <w:t xml:space="preserve">odel with </w:t>
      </w:r>
      <w:r w:rsidR="00007FF5">
        <w:t>n</w:t>
      </w:r>
      <w:r w:rsidRPr="00007FF5">
        <w:t>on-</w:t>
      </w:r>
      <w:r w:rsidR="00007FF5">
        <w:t>n</w:t>
      </w:r>
      <w:r w:rsidRPr="00007FF5">
        <w:t xml:space="preserve">ormal </w:t>
      </w:r>
      <w:r w:rsidR="00007FF5">
        <w:t>r</w:t>
      </w:r>
      <w:r w:rsidRPr="00007FF5">
        <w:t xml:space="preserve">andom </w:t>
      </w:r>
      <w:r w:rsidR="00007FF5">
        <w:t>c</w:t>
      </w:r>
      <w:r w:rsidRPr="00007FF5">
        <w:t xml:space="preserve">oefficients and </w:t>
      </w:r>
      <w:r w:rsidR="00007FF5">
        <w:t>n</w:t>
      </w:r>
      <w:r w:rsidRPr="00007FF5">
        <w:t>on-</w:t>
      </w:r>
      <w:r w:rsidR="00007FF5">
        <w:t>n</w:t>
      </w:r>
      <w:r w:rsidRPr="00007FF5">
        <w:t xml:space="preserve">ormal </w:t>
      </w:r>
      <w:r w:rsidR="00007FF5">
        <w:t>k</w:t>
      </w:r>
      <w:r w:rsidRPr="00007FF5">
        <w:t xml:space="preserve">ernel </w:t>
      </w:r>
      <w:r w:rsidR="00007FF5">
        <w:t>e</w:t>
      </w:r>
      <w:r w:rsidRPr="00007FF5">
        <w:t xml:space="preserve">rror </w:t>
      </w:r>
      <w:r w:rsidR="00007FF5">
        <w:t>t</w:t>
      </w:r>
      <w:r w:rsidRPr="00007FF5">
        <w:t xml:space="preserve">erms. </w:t>
      </w:r>
      <w:r w:rsidR="00007FF5" w:rsidRPr="00007FF5">
        <w:t>Technical paper, Department of Civil, Architectural and Environmental Engineering, The University of Texas at Austin</w:t>
      </w:r>
      <w:r w:rsidR="00007FF5">
        <w:t>.</w:t>
      </w:r>
      <w:r w:rsidR="00007FF5" w:rsidRPr="00007FF5">
        <w:t xml:space="preserve"> </w:t>
      </w:r>
      <w:r w:rsidRPr="00007FF5">
        <w:t>http://caee.webhost.utexas.edu/prof/bhat/ABSTRACTS/MNYJ.pdf</w:t>
      </w:r>
    </w:p>
    <w:p w14:paraId="6840CA49" w14:textId="77777777" w:rsidR="00431207" w:rsidRPr="00677CE8" w:rsidRDefault="00431207" w:rsidP="00242E6A">
      <w:pPr>
        <w:pStyle w:val="Bibliography"/>
        <w:spacing w:line="240" w:lineRule="auto"/>
        <w:ind w:left="540" w:hanging="540"/>
      </w:pPr>
      <w:r w:rsidRPr="00677CE8">
        <w:lastRenderedPageBreak/>
        <w:t xml:space="preserve">Bhat, C. R. (2015). A new generalized heterogeneous data model (GHDM) to jointly model mixed types of dependent variables. </w:t>
      </w:r>
      <w:r w:rsidRPr="00677CE8">
        <w:rPr>
          <w:i/>
          <w:iCs/>
        </w:rPr>
        <w:t>Transportation Research Part B: Methodological</w:t>
      </w:r>
      <w:r w:rsidRPr="00677CE8">
        <w:t xml:space="preserve">, </w:t>
      </w:r>
      <w:r w:rsidRPr="00677CE8">
        <w:rPr>
          <w:i/>
          <w:iCs/>
        </w:rPr>
        <w:t>79</w:t>
      </w:r>
      <w:r w:rsidRPr="00677CE8">
        <w:t>, 50–77. https://doi.org/10.1016/j.trb.2015.05.017</w:t>
      </w:r>
    </w:p>
    <w:p w14:paraId="189D50ED" w14:textId="620EF3F4" w:rsidR="00431207" w:rsidRPr="00677CE8" w:rsidRDefault="00431207" w:rsidP="00242E6A">
      <w:pPr>
        <w:pStyle w:val="Bibliography"/>
        <w:spacing w:line="240" w:lineRule="auto"/>
        <w:ind w:left="540" w:hanging="540"/>
      </w:pPr>
      <w:r w:rsidRPr="00677CE8">
        <w:t xml:space="preserve">Bhat, C. R., </w:t>
      </w:r>
      <w:r w:rsidR="00963916" w:rsidRPr="00677CE8">
        <w:t>and</w:t>
      </w:r>
      <w:r w:rsidRPr="00677CE8">
        <w:t xml:space="preserve"> Sardesai, R. (2006). The impact of stop-making and travel time reliability on commute mode choice. </w:t>
      </w:r>
      <w:r w:rsidRPr="00677CE8">
        <w:rPr>
          <w:i/>
          <w:iCs/>
        </w:rPr>
        <w:t>Transportation Research Part B: Methodological</w:t>
      </w:r>
      <w:r w:rsidRPr="00677CE8">
        <w:t xml:space="preserve">, </w:t>
      </w:r>
      <w:r w:rsidRPr="00677CE8">
        <w:rPr>
          <w:i/>
          <w:iCs/>
        </w:rPr>
        <w:t>40</w:t>
      </w:r>
      <w:r w:rsidRPr="00677CE8">
        <w:t>(9), 709–730. https://doi.org/10.1016/j.trb.2005.09.008</w:t>
      </w:r>
    </w:p>
    <w:p w14:paraId="663657FB" w14:textId="6165C96A" w:rsidR="00431207" w:rsidRPr="00677CE8" w:rsidRDefault="00431207" w:rsidP="00242E6A">
      <w:pPr>
        <w:pStyle w:val="Bibliography"/>
        <w:spacing w:line="240" w:lineRule="auto"/>
        <w:ind w:left="540" w:hanging="540"/>
      </w:pPr>
      <w:r w:rsidRPr="00677CE8">
        <w:t xml:space="preserve">Blazanin, G., Mondal, A., Asmussen, K. E., </w:t>
      </w:r>
      <w:r w:rsidR="00963916" w:rsidRPr="00677CE8">
        <w:t>and</w:t>
      </w:r>
      <w:r w:rsidRPr="00677CE8">
        <w:t xml:space="preserve"> Bhat, C. R. (2022). E-scooter sharing and bikesharing systems: An individual-level analysis of factors affecting first-use and use frequency. </w:t>
      </w:r>
      <w:r w:rsidRPr="00677CE8">
        <w:rPr>
          <w:i/>
          <w:iCs/>
        </w:rPr>
        <w:t>Transportation Research Part C: Emerging Technologies</w:t>
      </w:r>
      <w:r w:rsidRPr="00677CE8">
        <w:t xml:space="preserve">, </w:t>
      </w:r>
      <w:r w:rsidRPr="00677CE8">
        <w:rPr>
          <w:i/>
          <w:iCs/>
        </w:rPr>
        <w:t>135</w:t>
      </w:r>
      <w:r w:rsidRPr="00677CE8">
        <w:t>, 103515. https://doi.org/10.1016/j.trc.2021.103515</w:t>
      </w:r>
    </w:p>
    <w:p w14:paraId="4DDA27C0" w14:textId="42690065" w:rsidR="00431207" w:rsidRPr="00677CE8" w:rsidRDefault="00431207" w:rsidP="00242E6A">
      <w:pPr>
        <w:pStyle w:val="Bibliography"/>
        <w:spacing w:line="240" w:lineRule="auto"/>
        <w:ind w:left="540" w:hanging="540"/>
      </w:pPr>
      <w:r w:rsidRPr="00677CE8">
        <w:t xml:space="preserve">Boddupalli, S.-S., Garrow, L. A., German, B. J., </w:t>
      </w:r>
      <w:r w:rsidR="00963916" w:rsidRPr="00677CE8">
        <w:t>and</w:t>
      </w:r>
      <w:r w:rsidRPr="00677CE8">
        <w:t xml:space="preserve"> Newman, J. P. (2024). Mode choice modeling for an electric vertical takeoff and landing (eVTOL) air taxi commuting service. </w:t>
      </w:r>
      <w:r w:rsidRPr="00677CE8">
        <w:rPr>
          <w:i/>
          <w:iCs/>
        </w:rPr>
        <w:t>Transportation Research Part A: Policy and Practice</w:t>
      </w:r>
      <w:r w:rsidRPr="00677CE8">
        <w:t xml:space="preserve">, </w:t>
      </w:r>
      <w:r w:rsidRPr="00677CE8">
        <w:rPr>
          <w:i/>
          <w:iCs/>
        </w:rPr>
        <w:t>181</w:t>
      </w:r>
      <w:r w:rsidRPr="00677CE8">
        <w:t>, 104000. https://doi.org/10.1016/j.tra.2024.104000</w:t>
      </w:r>
    </w:p>
    <w:p w14:paraId="4533DC59" w14:textId="4B184806" w:rsidR="00431207" w:rsidRPr="00677CE8" w:rsidRDefault="00431207" w:rsidP="00242E6A">
      <w:pPr>
        <w:pStyle w:val="Bibliography"/>
        <w:spacing w:line="240" w:lineRule="auto"/>
        <w:ind w:left="540" w:hanging="540"/>
      </w:pPr>
      <w:r w:rsidRPr="00677CE8">
        <w:t xml:space="preserve">Brakus, J. J., Chen, W., Schmitt, B., </w:t>
      </w:r>
      <w:r w:rsidR="00963916" w:rsidRPr="00677CE8">
        <w:t>and</w:t>
      </w:r>
      <w:r w:rsidRPr="00677CE8">
        <w:t xml:space="preserve"> Zarantonello, L. (2022). Experiences and happiness: The role of gender. </w:t>
      </w:r>
      <w:r w:rsidRPr="00677CE8">
        <w:rPr>
          <w:i/>
          <w:iCs/>
        </w:rPr>
        <w:t>Psychology &amp; Marketing</w:t>
      </w:r>
      <w:r w:rsidRPr="00677CE8">
        <w:t xml:space="preserve">, </w:t>
      </w:r>
      <w:r w:rsidRPr="00677CE8">
        <w:rPr>
          <w:i/>
          <w:iCs/>
        </w:rPr>
        <w:t>39</w:t>
      </w:r>
      <w:r w:rsidRPr="00677CE8">
        <w:t>(8), 1646–1659.</w:t>
      </w:r>
      <w:r w:rsidR="00242E6A">
        <w:t xml:space="preserve"> </w:t>
      </w:r>
      <w:r w:rsidRPr="00677CE8">
        <w:t>https://doi.org/10.1002/mar.21677</w:t>
      </w:r>
    </w:p>
    <w:p w14:paraId="719915E0" w14:textId="7EB3ACD0" w:rsidR="00431207" w:rsidRPr="00677CE8" w:rsidRDefault="00431207" w:rsidP="00242E6A">
      <w:pPr>
        <w:pStyle w:val="Bibliography"/>
        <w:spacing w:line="240" w:lineRule="auto"/>
        <w:ind w:left="540" w:hanging="540"/>
      </w:pPr>
      <w:r w:rsidRPr="00677CE8">
        <w:t xml:space="preserve">Branch, M. C. (1964). Urban </w:t>
      </w:r>
      <w:r w:rsidR="00005295">
        <w:t>p</w:t>
      </w:r>
      <w:r w:rsidRPr="00677CE8">
        <w:t xml:space="preserve">lanning and the </w:t>
      </w:r>
      <w:r w:rsidR="00005295">
        <w:t>n</w:t>
      </w:r>
      <w:r w:rsidRPr="00677CE8">
        <w:t xml:space="preserve">ew </w:t>
      </w:r>
      <w:r w:rsidR="00005295">
        <w:t>m</w:t>
      </w:r>
      <w:r w:rsidRPr="00677CE8">
        <w:t xml:space="preserve">obility. </w:t>
      </w:r>
      <w:r w:rsidRPr="00677CE8">
        <w:rPr>
          <w:i/>
          <w:iCs/>
        </w:rPr>
        <w:t>Journal of the American Institute of Planners</w:t>
      </w:r>
      <w:r w:rsidRPr="00677CE8">
        <w:t xml:space="preserve">, </w:t>
      </w:r>
      <w:r w:rsidRPr="00677CE8">
        <w:rPr>
          <w:i/>
          <w:iCs/>
        </w:rPr>
        <w:t>30</w:t>
      </w:r>
      <w:r w:rsidRPr="00677CE8">
        <w:t>(1), 2–9. https://doi.org/10.1080/01944366408978083</w:t>
      </w:r>
    </w:p>
    <w:p w14:paraId="18E92086" w14:textId="5F5AF935" w:rsidR="00431207" w:rsidRPr="00677CE8" w:rsidRDefault="00431207" w:rsidP="00242E6A">
      <w:pPr>
        <w:pStyle w:val="Bibliography"/>
        <w:spacing w:line="240" w:lineRule="auto"/>
        <w:ind w:left="540" w:hanging="540"/>
      </w:pPr>
      <w:r w:rsidRPr="00677CE8">
        <w:t xml:space="preserve">Brunelli, M., Ditta, C. C., </w:t>
      </w:r>
      <w:r w:rsidR="00963916" w:rsidRPr="00677CE8">
        <w:t>and</w:t>
      </w:r>
      <w:r w:rsidRPr="00677CE8">
        <w:t xml:space="preserve"> Postorino, M. N. (2023). SP surveys to estimate </w:t>
      </w:r>
      <w:r w:rsidR="00005295">
        <w:t>a</w:t>
      </w:r>
      <w:r w:rsidRPr="00677CE8">
        <w:t xml:space="preserve">irport </w:t>
      </w:r>
      <w:r w:rsidR="00005295">
        <w:t>s</w:t>
      </w:r>
      <w:r w:rsidRPr="00677CE8">
        <w:t xml:space="preserve">huttle demand in an </w:t>
      </w:r>
      <w:r w:rsidR="00005295">
        <w:t>u</w:t>
      </w:r>
      <w:r w:rsidRPr="00677CE8">
        <w:t xml:space="preserve">rban </w:t>
      </w:r>
      <w:r w:rsidR="00005295">
        <w:t>a</w:t>
      </w:r>
      <w:r w:rsidRPr="00677CE8">
        <w:t xml:space="preserve">ir </w:t>
      </w:r>
      <w:r w:rsidR="00005295">
        <w:t>m</w:t>
      </w:r>
      <w:r w:rsidRPr="00677CE8">
        <w:t xml:space="preserve">obility context. </w:t>
      </w:r>
      <w:r w:rsidRPr="00677CE8">
        <w:rPr>
          <w:i/>
          <w:iCs/>
        </w:rPr>
        <w:t>Transport Policy</w:t>
      </w:r>
      <w:r w:rsidRPr="00677CE8">
        <w:t xml:space="preserve">, </w:t>
      </w:r>
      <w:r w:rsidRPr="00677CE8">
        <w:rPr>
          <w:i/>
          <w:iCs/>
        </w:rPr>
        <w:t>141</w:t>
      </w:r>
      <w:r w:rsidRPr="00677CE8">
        <w:t>, 129–139. https://doi.org/10.1016/j.tranpol.2023.07.019</w:t>
      </w:r>
    </w:p>
    <w:p w14:paraId="429168C1" w14:textId="6A142456" w:rsidR="00431207" w:rsidRPr="00677CE8" w:rsidRDefault="00431207" w:rsidP="00242E6A">
      <w:pPr>
        <w:pStyle w:val="Bibliography"/>
        <w:spacing w:line="240" w:lineRule="auto"/>
        <w:ind w:left="540" w:hanging="540"/>
      </w:pPr>
      <w:r w:rsidRPr="00677CE8">
        <w:t xml:space="preserve">Çetin, E., Cano, A., Deransy, R., Tres, S., </w:t>
      </w:r>
      <w:r w:rsidR="00963916" w:rsidRPr="00677CE8">
        <w:t>and</w:t>
      </w:r>
      <w:r w:rsidRPr="00677CE8">
        <w:t xml:space="preserve"> Barrado, C. (2022). Implementing </w:t>
      </w:r>
      <w:r w:rsidR="00005295">
        <w:t>m</w:t>
      </w:r>
      <w:r w:rsidRPr="00677CE8">
        <w:t xml:space="preserve">itigations for </w:t>
      </w:r>
      <w:r w:rsidR="00005295">
        <w:t>i</w:t>
      </w:r>
      <w:r w:rsidRPr="00677CE8">
        <w:t xml:space="preserve">mproving </w:t>
      </w:r>
      <w:r w:rsidR="00005295">
        <w:t>s</w:t>
      </w:r>
      <w:r w:rsidRPr="00677CE8">
        <w:t xml:space="preserve">ocietal </w:t>
      </w:r>
      <w:r w:rsidR="00005295">
        <w:t>a</w:t>
      </w:r>
      <w:r w:rsidRPr="00677CE8">
        <w:t xml:space="preserve">cceptance of </w:t>
      </w:r>
      <w:r w:rsidR="00005295">
        <w:t>u</w:t>
      </w:r>
      <w:r w:rsidRPr="00677CE8">
        <w:t xml:space="preserve">rban </w:t>
      </w:r>
      <w:r w:rsidR="00005295">
        <w:t>a</w:t>
      </w:r>
      <w:r w:rsidRPr="00677CE8">
        <w:t xml:space="preserve">ir </w:t>
      </w:r>
      <w:r w:rsidR="00005295">
        <w:t>m</w:t>
      </w:r>
      <w:r w:rsidRPr="00677CE8">
        <w:t xml:space="preserve">obility. </w:t>
      </w:r>
      <w:r w:rsidRPr="00677CE8">
        <w:rPr>
          <w:i/>
          <w:iCs/>
        </w:rPr>
        <w:t>Drones</w:t>
      </w:r>
      <w:r w:rsidRPr="00677CE8">
        <w:t xml:space="preserve">, </w:t>
      </w:r>
      <w:r w:rsidRPr="00677CE8">
        <w:rPr>
          <w:i/>
          <w:iCs/>
        </w:rPr>
        <w:t>6</w:t>
      </w:r>
      <w:r w:rsidRPr="00677CE8">
        <w:t>(2)</w:t>
      </w:r>
      <w:r w:rsidR="00E84616">
        <w:t>, 28</w:t>
      </w:r>
      <w:r w:rsidRPr="00677CE8">
        <w:t>. https://www.mdpi.com/2504-446X/6/2/28</w:t>
      </w:r>
    </w:p>
    <w:p w14:paraId="5F6C972B" w14:textId="105BD605" w:rsidR="00431207" w:rsidRPr="00677CE8" w:rsidRDefault="00431207" w:rsidP="00242E6A">
      <w:pPr>
        <w:pStyle w:val="Bibliography"/>
        <w:spacing w:line="240" w:lineRule="auto"/>
        <w:ind w:left="540" w:hanging="540"/>
      </w:pPr>
      <w:r w:rsidRPr="00677CE8">
        <w:t xml:space="preserve">Chappell, B. (2012). </w:t>
      </w:r>
      <w:r w:rsidRPr="00677CE8">
        <w:rPr>
          <w:i/>
          <w:iCs/>
        </w:rPr>
        <w:t xml:space="preserve">Lowrider </w:t>
      </w:r>
      <w:r w:rsidR="00005295">
        <w:rPr>
          <w:i/>
          <w:iCs/>
        </w:rPr>
        <w:t>s</w:t>
      </w:r>
      <w:r w:rsidRPr="00677CE8">
        <w:rPr>
          <w:i/>
          <w:iCs/>
        </w:rPr>
        <w:t xml:space="preserve">pace: Aesthetics and </w:t>
      </w:r>
      <w:r w:rsidR="00005295">
        <w:rPr>
          <w:i/>
          <w:iCs/>
        </w:rPr>
        <w:t>p</w:t>
      </w:r>
      <w:r w:rsidRPr="00677CE8">
        <w:rPr>
          <w:i/>
          <w:iCs/>
        </w:rPr>
        <w:t xml:space="preserve">olitics of </w:t>
      </w:r>
      <w:r w:rsidR="00005295">
        <w:rPr>
          <w:i/>
          <w:iCs/>
        </w:rPr>
        <w:t>M</w:t>
      </w:r>
      <w:r w:rsidRPr="00677CE8">
        <w:rPr>
          <w:i/>
          <w:iCs/>
        </w:rPr>
        <w:t xml:space="preserve">exican American </w:t>
      </w:r>
      <w:r w:rsidR="00005295">
        <w:rPr>
          <w:i/>
          <w:iCs/>
        </w:rPr>
        <w:t>c</w:t>
      </w:r>
      <w:r w:rsidRPr="00677CE8">
        <w:rPr>
          <w:i/>
          <w:iCs/>
        </w:rPr>
        <w:t xml:space="preserve">ustom </w:t>
      </w:r>
      <w:r w:rsidR="00005295">
        <w:rPr>
          <w:i/>
          <w:iCs/>
        </w:rPr>
        <w:t>c</w:t>
      </w:r>
      <w:r w:rsidRPr="00677CE8">
        <w:rPr>
          <w:i/>
          <w:iCs/>
        </w:rPr>
        <w:t>ars</w:t>
      </w:r>
      <w:r w:rsidRPr="00677CE8">
        <w:t>. University of Texas Press.</w:t>
      </w:r>
    </w:p>
    <w:p w14:paraId="63F02B67" w14:textId="6CBF2C6F" w:rsidR="00431207" w:rsidRPr="00677CE8" w:rsidRDefault="00431207" w:rsidP="00242E6A">
      <w:pPr>
        <w:pStyle w:val="Bibliography"/>
        <w:spacing w:line="240" w:lineRule="auto"/>
        <w:ind w:left="540" w:hanging="540"/>
      </w:pPr>
      <w:r w:rsidRPr="00677CE8">
        <w:t xml:space="preserve">Cho, S.-H., </w:t>
      </w:r>
      <w:r w:rsidR="00963916" w:rsidRPr="00677CE8">
        <w:t>and</w:t>
      </w:r>
      <w:r w:rsidRPr="00677CE8">
        <w:t xml:space="preserve"> Kim, M. (2022). Assessment of the environmental impact and policy responses for urban air mobility: A case study of Seoul metropolitan area. </w:t>
      </w:r>
      <w:r w:rsidRPr="00677CE8">
        <w:rPr>
          <w:i/>
          <w:iCs/>
        </w:rPr>
        <w:t>Journal of Cleaner Production</w:t>
      </w:r>
      <w:r w:rsidRPr="00677CE8">
        <w:t xml:space="preserve">, </w:t>
      </w:r>
      <w:r w:rsidRPr="00677CE8">
        <w:rPr>
          <w:i/>
          <w:iCs/>
        </w:rPr>
        <w:t>360</w:t>
      </w:r>
      <w:r w:rsidRPr="00677CE8">
        <w:t>, 132139. https://doi.org/10.1016/j.jclepro.2022.132139</w:t>
      </w:r>
    </w:p>
    <w:p w14:paraId="0FBE0602" w14:textId="294A7A7B" w:rsidR="00431207" w:rsidRPr="00677CE8" w:rsidRDefault="00431207" w:rsidP="00242E6A">
      <w:pPr>
        <w:pStyle w:val="Bibliography"/>
        <w:spacing w:line="240" w:lineRule="auto"/>
        <w:ind w:left="540" w:hanging="540"/>
      </w:pPr>
      <w:r w:rsidRPr="00677CE8">
        <w:t xml:space="preserve">Cohen, A. P., Shaheen, S. A., </w:t>
      </w:r>
      <w:r w:rsidR="00963916" w:rsidRPr="00677CE8">
        <w:t>and</w:t>
      </w:r>
      <w:r w:rsidRPr="00677CE8">
        <w:t xml:space="preserve"> Farrar, E. M. (2021). Urban </w:t>
      </w:r>
      <w:r w:rsidR="00005295">
        <w:t>a</w:t>
      </w:r>
      <w:r w:rsidRPr="00677CE8">
        <w:t xml:space="preserve">ir </w:t>
      </w:r>
      <w:r w:rsidR="00005295">
        <w:t>m</w:t>
      </w:r>
      <w:r w:rsidRPr="00677CE8">
        <w:t xml:space="preserve">obility: </w:t>
      </w:r>
      <w:r w:rsidR="00005295">
        <w:t>h</w:t>
      </w:r>
      <w:r w:rsidRPr="00677CE8">
        <w:t xml:space="preserve">istory, </w:t>
      </w:r>
      <w:r w:rsidR="00005295">
        <w:t>e</w:t>
      </w:r>
      <w:r w:rsidRPr="00677CE8">
        <w:t xml:space="preserve">cosystem, </w:t>
      </w:r>
      <w:r w:rsidR="00005295">
        <w:t>m</w:t>
      </w:r>
      <w:r w:rsidRPr="00677CE8">
        <w:t xml:space="preserve">arket </w:t>
      </w:r>
      <w:r w:rsidR="00005295">
        <w:t>p</w:t>
      </w:r>
      <w:r w:rsidRPr="00677CE8">
        <w:t xml:space="preserve">otential, and </w:t>
      </w:r>
      <w:r w:rsidR="00005295">
        <w:t>c</w:t>
      </w:r>
      <w:r w:rsidRPr="00677CE8">
        <w:t xml:space="preserve">hallenges. </w:t>
      </w:r>
      <w:r w:rsidRPr="00677CE8">
        <w:rPr>
          <w:i/>
          <w:iCs/>
        </w:rPr>
        <w:t>IEEE Transactions on Intelligent Transportation Systems</w:t>
      </w:r>
      <w:r w:rsidRPr="00677CE8">
        <w:t xml:space="preserve">, </w:t>
      </w:r>
      <w:r w:rsidRPr="00677CE8">
        <w:rPr>
          <w:i/>
          <w:iCs/>
        </w:rPr>
        <w:t>22</w:t>
      </w:r>
      <w:r w:rsidRPr="00677CE8">
        <w:t>(9), 6074–6087. https://doi.org/10.1109/TITS.2021.3082767</w:t>
      </w:r>
    </w:p>
    <w:p w14:paraId="07F92A4F" w14:textId="64E09136" w:rsidR="00431207" w:rsidRPr="00E84616" w:rsidRDefault="00431207" w:rsidP="00242E6A">
      <w:pPr>
        <w:pStyle w:val="Bibliography"/>
        <w:spacing w:line="240" w:lineRule="auto"/>
        <w:ind w:left="540" w:hanging="540"/>
      </w:pPr>
      <w:r w:rsidRPr="00677CE8">
        <w:t xml:space="preserve">Collins, T. W., Nadybal, S., </w:t>
      </w:r>
      <w:r w:rsidR="00963916" w:rsidRPr="00677CE8">
        <w:t>and</w:t>
      </w:r>
      <w:r w:rsidRPr="00677CE8">
        <w:t xml:space="preserve"> Grineski, S. E. (2020). Sonic injustice: Disparate residential exposures to transport noise from road and aviation sources in the continental United States. </w:t>
      </w:r>
      <w:r w:rsidRPr="00677CE8">
        <w:rPr>
          <w:i/>
          <w:iCs/>
        </w:rPr>
        <w:t>Journal of Transport Geography</w:t>
      </w:r>
      <w:r w:rsidRPr="00677CE8">
        <w:t xml:space="preserve">, </w:t>
      </w:r>
      <w:r w:rsidRPr="00677CE8">
        <w:rPr>
          <w:i/>
          <w:iCs/>
        </w:rPr>
        <w:t>82</w:t>
      </w:r>
      <w:r w:rsidRPr="00677CE8">
        <w:t>, 102604.</w:t>
      </w:r>
      <w:r w:rsidR="00E84616">
        <w:t xml:space="preserve"> </w:t>
      </w:r>
      <w:r w:rsidRPr="00E84616">
        <w:t>https://doi.org/10.1016/j.jtrangeo.2019.102604</w:t>
      </w:r>
    </w:p>
    <w:p w14:paraId="7CD8D949" w14:textId="75802CB5" w:rsidR="00431207" w:rsidRPr="00677CE8" w:rsidRDefault="00431207" w:rsidP="00242E6A">
      <w:pPr>
        <w:pStyle w:val="Bibliography"/>
        <w:spacing w:line="240" w:lineRule="auto"/>
        <w:ind w:left="540" w:hanging="540"/>
      </w:pPr>
      <w:r w:rsidRPr="00677CE8">
        <w:t xml:space="preserve">Connors, M. M. (2019). </w:t>
      </w:r>
      <w:r w:rsidRPr="00677CE8">
        <w:rPr>
          <w:i/>
          <w:iCs/>
        </w:rPr>
        <w:t xml:space="preserve">Factors that </w:t>
      </w:r>
      <w:r w:rsidR="00005295">
        <w:rPr>
          <w:i/>
          <w:iCs/>
        </w:rPr>
        <w:t>i</w:t>
      </w:r>
      <w:r w:rsidRPr="00677CE8">
        <w:rPr>
          <w:i/>
          <w:iCs/>
        </w:rPr>
        <w:t xml:space="preserve">nfluence </w:t>
      </w:r>
      <w:r w:rsidR="00005295">
        <w:rPr>
          <w:i/>
          <w:iCs/>
        </w:rPr>
        <w:t>c</w:t>
      </w:r>
      <w:r w:rsidRPr="00677CE8">
        <w:rPr>
          <w:i/>
          <w:iCs/>
        </w:rPr>
        <w:t xml:space="preserve">ommunity’s </w:t>
      </w:r>
      <w:r w:rsidR="00005295">
        <w:rPr>
          <w:i/>
          <w:iCs/>
        </w:rPr>
        <w:t>a</w:t>
      </w:r>
      <w:r w:rsidRPr="00677CE8">
        <w:rPr>
          <w:i/>
          <w:iCs/>
        </w:rPr>
        <w:t xml:space="preserve">cceptance of </w:t>
      </w:r>
      <w:r w:rsidR="00005295">
        <w:rPr>
          <w:i/>
          <w:iCs/>
        </w:rPr>
        <w:t>n</w:t>
      </w:r>
      <w:r w:rsidRPr="00677CE8">
        <w:rPr>
          <w:i/>
          <w:iCs/>
        </w:rPr>
        <w:t xml:space="preserve">oise: An </w:t>
      </w:r>
      <w:r w:rsidR="00005295">
        <w:rPr>
          <w:i/>
          <w:iCs/>
        </w:rPr>
        <w:t>i</w:t>
      </w:r>
      <w:r w:rsidRPr="00677CE8">
        <w:rPr>
          <w:i/>
          <w:iCs/>
        </w:rPr>
        <w:t xml:space="preserve">ntroduction for </w:t>
      </w:r>
      <w:r w:rsidR="00005295">
        <w:rPr>
          <w:i/>
          <w:iCs/>
        </w:rPr>
        <w:t>u</w:t>
      </w:r>
      <w:r w:rsidRPr="00677CE8">
        <w:rPr>
          <w:i/>
          <w:iCs/>
        </w:rPr>
        <w:t xml:space="preserve">rban </w:t>
      </w:r>
      <w:r w:rsidR="00005295">
        <w:rPr>
          <w:i/>
          <w:iCs/>
        </w:rPr>
        <w:t>a</w:t>
      </w:r>
      <w:r w:rsidRPr="00677CE8">
        <w:rPr>
          <w:i/>
          <w:iCs/>
        </w:rPr>
        <w:t xml:space="preserve">ir </w:t>
      </w:r>
      <w:r w:rsidR="00005295">
        <w:rPr>
          <w:i/>
          <w:iCs/>
        </w:rPr>
        <w:t>m</w:t>
      </w:r>
      <w:r w:rsidRPr="00677CE8">
        <w:rPr>
          <w:i/>
          <w:iCs/>
        </w:rPr>
        <w:t>obility</w:t>
      </w:r>
      <w:r w:rsidR="00CD3F63">
        <w:t>.</w:t>
      </w:r>
      <w:r w:rsidRPr="00677CE8">
        <w:t xml:space="preserve"> </w:t>
      </w:r>
      <w:r w:rsidR="00CD3F63" w:rsidRPr="009D165A">
        <w:t xml:space="preserve">Report Number: </w:t>
      </w:r>
      <w:r w:rsidR="00CD3F63" w:rsidRPr="009D165A">
        <w:rPr>
          <w:shd w:val="clear" w:color="auto" w:fill="FFFFFF"/>
        </w:rPr>
        <w:t>NASA/TM-2019-220325</w:t>
      </w:r>
      <w:r w:rsidR="00CD3F63" w:rsidRPr="009D165A">
        <w:rPr>
          <w:lang w:val="es-MX"/>
        </w:rPr>
        <w:t xml:space="preserve">. </w:t>
      </w:r>
      <w:r w:rsidR="00CD3F63" w:rsidRPr="009D165A">
        <w:rPr>
          <w:shd w:val="clear" w:color="auto" w:fill="FFFFFF"/>
        </w:rPr>
        <w:t>NASA Ames Research Center</w:t>
      </w:r>
      <w:r w:rsidR="00CD3F63">
        <w:rPr>
          <w:shd w:val="clear" w:color="auto" w:fill="FFFFFF"/>
        </w:rPr>
        <w:t>.</w:t>
      </w:r>
      <w:r w:rsidRPr="00677CE8">
        <w:t xml:space="preserve"> https://ntrs.nasa.gov/citations/20190032256</w:t>
      </w:r>
    </w:p>
    <w:p w14:paraId="2614B564" w14:textId="2CEC7687" w:rsidR="00431207" w:rsidRPr="00677CE8" w:rsidRDefault="00431207" w:rsidP="00242E6A">
      <w:pPr>
        <w:pStyle w:val="Bibliography"/>
        <w:spacing w:line="240" w:lineRule="auto"/>
        <w:ind w:left="540" w:hanging="540"/>
      </w:pPr>
      <w:r w:rsidRPr="00677CE8">
        <w:t xml:space="preserve">Coppola, P., De Fabiis, F., </w:t>
      </w:r>
      <w:r w:rsidR="00963916" w:rsidRPr="00677CE8">
        <w:t>and</w:t>
      </w:r>
      <w:r w:rsidRPr="00677CE8">
        <w:t xml:space="preserve"> Silvestri, F. (2024). Urban </w:t>
      </w:r>
      <w:r w:rsidR="00005295">
        <w:t>a</w:t>
      </w:r>
      <w:r w:rsidRPr="00677CE8">
        <w:t xml:space="preserve">ir </w:t>
      </w:r>
      <w:r w:rsidR="00005295">
        <w:t>m</w:t>
      </w:r>
      <w:r w:rsidRPr="00677CE8">
        <w:t xml:space="preserve">obility (UAM): Airport shuttles or city-taxis? </w:t>
      </w:r>
      <w:r w:rsidRPr="00677CE8">
        <w:rPr>
          <w:i/>
          <w:iCs/>
        </w:rPr>
        <w:t>Transport Policy</w:t>
      </w:r>
      <w:r w:rsidRPr="00677CE8">
        <w:t xml:space="preserve">, </w:t>
      </w:r>
      <w:r w:rsidRPr="00677CE8">
        <w:rPr>
          <w:i/>
          <w:iCs/>
        </w:rPr>
        <w:t>150</w:t>
      </w:r>
      <w:r w:rsidRPr="00677CE8">
        <w:t>, 24–34. https://doi.org/10.1016/j.tranpol.2024.03.003</w:t>
      </w:r>
    </w:p>
    <w:p w14:paraId="037F7827" w14:textId="254C9610" w:rsidR="00431207" w:rsidRPr="00677CE8" w:rsidRDefault="00431207" w:rsidP="00242E6A">
      <w:pPr>
        <w:pStyle w:val="Bibliography"/>
        <w:spacing w:line="240" w:lineRule="auto"/>
        <w:ind w:left="540" w:hanging="540"/>
      </w:pPr>
      <w:r w:rsidRPr="00677CE8">
        <w:t xml:space="preserve">Cox, A. E., </w:t>
      </w:r>
      <w:r w:rsidR="00963916" w:rsidRPr="00677CE8">
        <w:t>and</w:t>
      </w:r>
      <w:r w:rsidRPr="00677CE8">
        <w:t xml:space="preserve"> Cicchino, J. B. (2022). Older driver vehicle preferences and perceptions of safety: A survey. </w:t>
      </w:r>
      <w:r w:rsidRPr="00677CE8">
        <w:rPr>
          <w:i/>
          <w:iCs/>
        </w:rPr>
        <w:t>Journal of Safety Research</w:t>
      </w:r>
      <w:r w:rsidRPr="00677CE8">
        <w:t xml:space="preserve">, </w:t>
      </w:r>
      <w:r w:rsidRPr="00677CE8">
        <w:rPr>
          <w:i/>
          <w:iCs/>
        </w:rPr>
        <w:t>83</w:t>
      </w:r>
      <w:r w:rsidRPr="00677CE8">
        <w:t>, 223–231. https://doi.org/10.1016/j.jsr.2022.08.018</w:t>
      </w:r>
    </w:p>
    <w:p w14:paraId="4C3113D5" w14:textId="0D7836B5" w:rsidR="00431207" w:rsidRPr="00677CE8" w:rsidRDefault="00431207" w:rsidP="00242E6A">
      <w:pPr>
        <w:pStyle w:val="Bibliography"/>
        <w:spacing w:line="240" w:lineRule="auto"/>
        <w:ind w:left="540" w:hanging="540"/>
      </w:pPr>
      <w:r w:rsidRPr="00677CE8">
        <w:lastRenderedPageBreak/>
        <w:t xml:space="preserve">Craig, L., </w:t>
      </w:r>
      <w:r w:rsidR="00963916" w:rsidRPr="00677CE8">
        <w:t>and</w:t>
      </w:r>
      <w:r w:rsidRPr="00677CE8">
        <w:t xml:space="preserve"> Mullan, K. (2010). Parenthood, </w:t>
      </w:r>
      <w:r w:rsidR="00005295">
        <w:t>g</w:t>
      </w:r>
      <w:r w:rsidRPr="00677CE8">
        <w:t xml:space="preserve">ender and </w:t>
      </w:r>
      <w:r w:rsidR="00005295">
        <w:t>w</w:t>
      </w:r>
      <w:r w:rsidRPr="00677CE8">
        <w:t>ork-</w:t>
      </w:r>
      <w:r w:rsidR="00005295">
        <w:t>f</w:t>
      </w:r>
      <w:r w:rsidRPr="00677CE8">
        <w:t xml:space="preserve">amily </w:t>
      </w:r>
      <w:r w:rsidR="00005295">
        <w:t>t</w:t>
      </w:r>
      <w:r w:rsidRPr="00677CE8">
        <w:t xml:space="preserve">ime in the United States, Australia, Italy, France, and Denmark. </w:t>
      </w:r>
      <w:r w:rsidRPr="00677CE8">
        <w:rPr>
          <w:i/>
          <w:iCs/>
        </w:rPr>
        <w:t>Journal of Marriage and Family</w:t>
      </w:r>
      <w:r w:rsidRPr="00677CE8">
        <w:t xml:space="preserve">, </w:t>
      </w:r>
      <w:r w:rsidRPr="00677CE8">
        <w:rPr>
          <w:i/>
          <w:iCs/>
        </w:rPr>
        <w:t>72</w:t>
      </w:r>
      <w:r w:rsidRPr="00677CE8">
        <w:t>(5), 1344–1361. https://doi.org/10.1111/j.1741-3737.2010.00769.x</w:t>
      </w:r>
    </w:p>
    <w:p w14:paraId="11D2BDE7" w14:textId="2DFFB2C9" w:rsidR="00431207" w:rsidRPr="00677CE8" w:rsidRDefault="00431207" w:rsidP="00242E6A">
      <w:pPr>
        <w:pStyle w:val="Bibliography"/>
        <w:spacing w:line="240" w:lineRule="auto"/>
        <w:ind w:left="540" w:hanging="540"/>
      </w:pPr>
      <w:r w:rsidRPr="00677CE8">
        <w:t xml:space="preserve">Cwerner, S. B. (2006). Vertical </w:t>
      </w:r>
      <w:r w:rsidR="00005295">
        <w:t>f</w:t>
      </w:r>
      <w:r w:rsidRPr="00677CE8">
        <w:t xml:space="preserve">light and </w:t>
      </w:r>
      <w:r w:rsidR="00005295">
        <w:t>u</w:t>
      </w:r>
      <w:r w:rsidRPr="00677CE8">
        <w:t xml:space="preserve">rban </w:t>
      </w:r>
      <w:r w:rsidR="00005295">
        <w:t>m</w:t>
      </w:r>
      <w:r w:rsidRPr="00677CE8">
        <w:t xml:space="preserve">obilities: </w:t>
      </w:r>
      <w:r w:rsidR="00005295">
        <w:t>T</w:t>
      </w:r>
      <w:r w:rsidRPr="00677CE8">
        <w:t xml:space="preserve">he </w:t>
      </w:r>
      <w:r w:rsidR="00005295">
        <w:t>p</w:t>
      </w:r>
      <w:r w:rsidRPr="00677CE8">
        <w:t xml:space="preserve">romise and </w:t>
      </w:r>
      <w:r w:rsidR="00005295">
        <w:t>r</w:t>
      </w:r>
      <w:r w:rsidRPr="00677CE8">
        <w:t xml:space="preserve">eality of </w:t>
      </w:r>
      <w:r w:rsidR="00005295">
        <w:t>h</w:t>
      </w:r>
      <w:r w:rsidRPr="00677CE8">
        <w:t xml:space="preserve">elicopter </w:t>
      </w:r>
      <w:r w:rsidR="00005295">
        <w:t>t</w:t>
      </w:r>
      <w:r w:rsidRPr="00677CE8">
        <w:t xml:space="preserve">ravel. </w:t>
      </w:r>
      <w:r w:rsidRPr="00677CE8">
        <w:rPr>
          <w:i/>
          <w:iCs/>
        </w:rPr>
        <w:t>Mobilities</w:t>
      </w:r>
      <w:r w:rsidRPr="00677CE8">
        <w:t xml:space="preserve">, </w:t>
      </w:r>
      <w:r w:rsidRPr="00677CE8">
        <w:rPr>
          <w:i/>
          <w:iCs/>
        </w:rPr>
        <w:t>1</w:t>
      </w:r>
      <w:r w:rsidRPr="00677CE8">
        <w:t>(2), 191–215. https://doi.org/10.1080/17450100600726589</w:t>
      </w:r>
    </w:p>
    <w:p w14:paraId="5CCC137E" w14:textId="77777777" w:rsidR="00431207" w:rsidRPr="00677CE8" w:rsidRDefault="00431207" w:rsidP="00242E6A">
      <w:pPr>
        <w:pStyle w:val="Bibliography"/>
        <w:spacing w:line="240" w:lineRule="auto"/>
        <w:ind w:left="540" w:hanging="540"/>
      </w:pPr>
      <w:r w:rsidRPr="00677CE8">
        <w:t xml:space="preserve">Dällenbach, N. (2020). Low-carbon travel mode choices: The role of time perceptions and familiarity. </w:t>
      </w:r>
      <w:r w:rsidRPr="00677CE8">
        <w:rPr>
          <w:i/>
          <w:iCs/>
        </w:rPr>
        <w:t>Transportation Research Part D: Transport and Environment</w:t>
      </w:r>
      <w:r w:rsidRPr="00677CE8">
        <w:t xml:space="preserve">, </w:t>
      </w:r>
      <w:r w:rsidRPr="00677CE8">
        <w:rPr>
          <w:i/>
          <w:iCs/>
        </w:rPr>
        <w:t>86</w:t>
      </w:r>
      <w:r w:rsidRPr="00677CE8">
        <w:t>, 102378. https://doi.org/10.1016/j.trd.2020.102378</w:t>
      </w:r>
    </w:p>
    <w:p w14:paraId="1C14BB0B" w14:textId="2140AF88" w:rsidR="00431207" w:rsidRPr="00677CE8" w:rsidRDefault="00431207" w:rsidP="00E84616">
      <w:pPr>
        <w:pStyle w:val="Bibliography"/>
        <w:keepLines/>
        <w:spacing w:line="240" w:lineRule="auto"/>
        <w:ind w:left="547" w:hanging="547"/>
      </w:pPr>
      <w:r w:rsidRPr="00677CE8">
        <w:t xml:space="preserve">Dannemiller, K. A., Mondal, A., Asmussen, K. E., </w:t>
      </w:r>
      <w:r w:rsidR="00963916" w:rsidRPr="00677CE8">
        <w:t>and</w:t>
      </w:r>
      <w:r w:rsidRPr="00677CE8">
        <w:t xml:space="preserve"> Bhat, C. R. (2021). Investigating autonomous vehicle impacts on individual activity-travel behavior. </w:t>
      </w:r>
      <w:r w:rsidRPr="00677CE8">
        <w:rPr>
          <w:i/>
          <w:iCs/>
        </w:rPr>
        <w:t>Transportation Research Part A: Policy and Practice</w:t>
      </w:r>
      <w:r w:rsidRPr="00677CE8">
        <w:t xml:space="preserve">, </w:t>
      </w:r>
      <w:r w:rsidRPr="00677CE8">
        <w:rPr>
          <w:i/>
          <w:iCs/>
        </w:rPr>
        <w:t>148</w:t>
      </w:r>
      <w:r w:rsidRPr="00677CE8">
        <w:t>, 402–422. https://doi.org/10.1016/j.tra.2021.04.006</w:t>
      </w:r>
    </w:p>
    <w:p w14:paraId="6258488C" w14:textId="69E630A4" w:rsidR="00431207" w:rsidRPr="00677CE8" w:rsidRDefault="00431207" w:rsidP="00242E6A">
      <w:pPr>
        <w:pStyle w:val="Bibliography"/>
        <w:spacing w:line="240" w:lineRule="auto"/>
        <w:ind w:left="540" w:hanging="540"/>
      </w:pPr>
      <w:r w:rsidRPr="00677CE8">
        <w:t xml:space="preserve">Davis, F. D. (1989). Perceived </w:t>
      </w:r>
      <w:r w:rsidR="00005295">
        <w:t>u</w:t>
      </w:r>
      <w:r w:rsidRPr="00677CE8">
        <w:t xml:space="preserve">sefulness, </w:t>
      </w:r>
      <w:r w:rsidR="00005295">
        <w:t>p</w:t>
      </w:r>
      <w:r w:rsidRPr="00677CE8">
        <w:t xml:space="preserve">erceived </w:t>
      </w:r>
      <w:r w:rsidR="00005295">
        <w:t>e</w:t>
      </w:r>
      <w:r w:rsidRPr="00677CE8">
        <w:t xml:space="preserve">ase of </w:t>
      </w:r>
      <w:r w:rsidR="00005295">
        <w:t>u</w:t>
      </w:r>
      <w:r w:rsidRPr="00677CE8">
        <w:t xml:space="preserve">se, and </w:t>
      </w:r>
      <w:r w:rsidR="00005295">
        <w:t>u</w:t>
      </w:r>
      <w:r w:rsidRPr="00677CE8">
        <w:t xml:space="preserve">ser </w:t>
      </w:r>
      <w:r w:rsidR="00005295">
        <w:t>a</w:t>
      </w:r>
      <w:r w:rsidRPr="00677CE8">
        <w:t xml:space="preserve">cceptance of </w:t>
      </w:r>
      <w:r w:rsidR="00005295">
        <w:t>i</w:t>
      </w:r>
      <w:r w:rsidRPr="00677CE8">
        <w:t xml:space="preserve">nformation </w:t>
      </w:r>
      <w:r w:rsidR="00005295">
        <w:t>t</w:t>
      </w:r>
      <w:r w:rsidRPr="00677CE8">
        <w:t xml:space="preserve">echnology. </w:t>
      </w:r>
      <w:r w:rsidRPr="00677CE8">
        <w:rPr>
          <w:i/>
          <w:iCs/>
        </w:rPr>
        <w:t>MIS Quarterly</w:t>
      </w:r>
      <w:r w:rsidRPr="00677CE8">
        <w:t xml:space="preserve">, </w:t>
      </w:r>
      <w:r w:rsidRPr="00677CE8">
        <w:rPr>
          <w:i/>
          <w:iCs/>
        </w:rPr>
        <w:t>13</w:t>
      </w:r>
      <w:r w:rsidRPr="00677CE8">
        <w:t>(3), 319–340. https://doi.org/https://dx.doi.org/10.2307/249008</w:t>
      </w:r>
    </w:p>
    <w:p w14:paraId="6FE3FB7F" w14:textId="47933D8F" w:rsidR="00431207" w:rsidRPr="00677CE8" w:rsidRDefault="00431207" w:rsidP="00C07E56">
      <w:pPr>
        <w:pStyle w:val="Bibliography"/>
        <w:spacing w:line="240" w:lineRule="auto"/>
        <w:ind w:left="540" w:hanging="540"/>
      </w:pPr>
      <w:r w:rsidRPr="00677CE8">
        <w:t xml:space="preserve">Dekker, T., Batley, R., Ojeda-Cabral, M., De Jong, G., Hess, S., Gordon, A., Pawlak, J., Sicakumar, J., </w:t>
      </w:r>
      <w:r w:rsidR="00963916" w:rsidRPr="00677CE8">
        <w:t>and</w:t>
      </w:r>
      <w:r w:rsidRPr="00677CE8">
        <w:t xml:space="preserve"> Laird, J. (2025). </w:t>
      </w:r>
      <w:r w:rsidRPr="00677CE8">
        <w:rPr>
          <w:i/>
          <w:iCs/>
        </w:rPr>
        <w:t xml:space="preserve">Updating the </w:t>
      </w:r>
      <w:r w:rsidR="00005295">
        <w:rPr>
          <w:i/>
          <w:iCs/>
        </w:rPr>
        <w:t>v</w:t>
      </w:r>
      <w:r w:rsidRPr="00677CE8">
        <w:rPr>
          <w:i/>
          <w:iCs/>
        </w:rPr>
        <w:t xml:space="preserve">alue of </w:t>
      </w:r>
      <w:r w:rsidR="00005295">
        <w:rPr>
          <w:i/>
          <w:iCs/>
        </w:rPr>
        <w:t>t</w:t>
      </w:r>
      <w:r w:rsidRPr="00677CE8">
        <w:rPr>
          <w:i/>
          <w:iCs/>
        </w:rPr>
        <w:t xml:space="preserve">ravel </w:t>
      </w:r>
      <w:r w:rsidR="00005295">
        <w:rPr>
          <w:i/>
          <w:iCs/>
        </w:rPr>
        <w:t>t</w:t>
      </w:r>
      <w:r w:rsidRPr="00677CE8">
        <w:rPr>
          <w:i/>
          <w:iCs/>
        </w:rPr>
        <w:t xml:space="preserve">ime: Scoping </w:t>
      </w:r>
      <w:r w:rsidR="00005295">
        <w:rPr>
          <w:i/>
          <w:iCs/>
        </w:rPr>
        <w:t>s</w:t>
      </w:r>
      <w:r w:rsidRPr="00677CE8">
        <w:rPr>
          <w:i/>
          <w:iCs/>
        </w:rPr>
        <w:t>tudy</w:t>
      </w:r>
      <w:r w:rsidRPr="00677CE8">
        <w:t xml:space="preserve"> (pp. 63–70). </w:t>
      </w:r>
      <w:r w:rsidR="00E56489">
        <w:t>Institute</w:t>
      </w:r>
      <w:r w:rsidRPr="00677CE8">
        <w:t xml:space="preserve"> for Transport Studies, University of Leeds. https://assets.publishing.service.gov.uk/media/6900a86bab5cc9c893799499/value-travel-time-value-travel-time-reliability-scoping-study.pdf</w:t>
      </w:r>
    </w:p>
    <w:p w14:paraId="183432C5" w14:textId="7093F7A7" w:rsidR="00431207" w:rsidRPr="00677CE8" w:rsidRDefault="00431207" w:rsidP="00C07E56">
      <w:pPr>
        <w:pStyle w:val="Bibliography"/>
        <w:spacing w:line="240" w:lineRule="auto"/>
        <w:ind w:left="540" w:hanging="540"/>
      </w:pPr>
      <w:r w:rsidRPr="00677CE8">
        <w:t xml:space="preserve">DeSerpa, A. C. (1971). A </w:t>
      </w:r>
      <w:r w:rsidR="00005295">
        <w:t>t</w:t>
      </w:r>
      <w:r w:rsidRPr="00677CE8">
        <w:t xml:space="preserve">heory of the </w:t>
      </w:r>
      <w:r w:rsidR="00005295">
        <w:t>e</w:t>
      </w:r>
      <w:r w:rsidRPr="00677CE8">
        <w:t xml:space="preserve">conomics of </w:t>
      </w:r>
      <w:r w:rsidR="00005295">
        <w:t>t</w:t>
      </w:r>
      <w:r w:rsidRPr="00677CE8">
        <w:t xml:space="preserve">ime. </w:t>
      </w:r>
      <w:r w:rsidRPr="00677CE8">
        <w:rPr>
          <w:i/>
          <w:iCs/>
        </w:rPr>
        <w:t>The Economic Journal</w:t>
      </w:r>
      <w:r w:rsidRPr="00677CE8">
        <w:t xml:space="preserve">, </w:t>
      </w:r>
      <w:r w:rsidRPr="00677CE8">
        <w:rPr>
          <w:i/>
          <w:iCs/>
        </w:rPr>
        <w:t>81</w:t>
      </w:r>
      <w:r w:rsidRPr="00677CE8">
        <w:t>(324), 828–846. https://doi.org/10.2307/2230320</w:t>
      </w:r>
    </w:p>
    <w:p w14:paraId="258C7E51" w14:textId="3B193A2B" w:rsidR="00431207" w:rsidRPr="00677CE8" w:rsidRDefault="00431207" w:rsidP="00C07E56">
      <w:pPr>
        <w:pStyle w:val="Bibliography"/>
        <w:spacing w:line="240" w:lineRule="auto"/>
        <w:ind w:left="540" w:hanging="540"/>
      </w:pPr>
      <w:r w:rsidRPr="00677CE8">
        <w:t>Durand, C. P., Tang, X., Gabriel, K. P., Sener, I. N., Oluyomi, A. O., Knell, G., Porter, A. K.,</w:t>
      </w:r>
      <w:r w:rsidR="00C07E56">
        <w:t xml:space="preserve"> </w:t>
      </w:r>
      <w:r w:rsidRPr="00677CE8">
        <w:t xml:space="preserve">Hoelscher, D. M., </w:t>
      </w:r>
      <w:r w:rsidR="00963916" w:rsidRPr="00677CE8">
        <w:t>and</w:t>
      </w:r>
      <w:r w:rsidRPr="00677CE8">
        <w:t xml:space="preserve"> Kohl, H. W. (2016). The association of trip distance with walking to reach public transit: Data from the California Household Travel Survey. </w:t>
      </w:r>
      <w:r w:rsidRPr="00677CE8">
        <w:rPr>
          <w:i/>
          <w:iCs/>
        </w:rPr>
        <w:t>Journal of Transport &amp; Health, Special Issue: Public Transport and Health</w:t>
      </w:r>
      <w:r w:rsidRPr="00677CE8">
        <w:t xml:space="preserve">, </w:t>
      </w:r>
      <w:r w:rsidRPr="00677CE8">
        <w:rPr>
          <w:i/>
          <w:iCs/>
        </w:rPr>
        <w:t>3</w:t>
      </w:r>
      <w:r w:rsidRPr="00677CE8">
        <w:t>(2), 154–160. https://doi.org/10.1016/j.jth.2015.08.007</w:t>
      </w:r>
    </w:p>
    <w:p w14:paraId="19D6BF99" w14:textId="58458922" w:rsidR="00431207" w:rsidRPr="00677CE8" w:rsidRDefault="00431207" w:rsidP="00C07E56">
      <w:pPr>
        <w:pStyle w:val="Bibliography"/>
        <w:spacing w:line="240" w:lineRule="auto"/>
        <w:ind w:left="540" w:hanging="540"/>
      </w:pPr>
      <w:r w:rsidRPr="00677CE8">
        <w:t>Dutta-Bergman, M. J. (2003).</w:t>
      </w:r>
      <w:r w:rsidRPr="00C07E56">
        <w:t xml:space="preserve"> Demographic and </w:t>
      </w:r>
      <w:r w:rsidR="00005295" w:rsidRPr="00C07E56">
        <w:t>p</w:t>
      </w:r>
      <w:r w:rsidRPr="00C07E56">
        <w:t xml:space="preserve">sychographic </w:t>
      </w:r>
      <w:r w:rsidR="00005295" w:rsidRPr="00C07E56">
        <w:t>a</w:t>
      </w:r>
      <w:r w:rsidRPr="00C07E56">
        <w:t xml:space="preserve">ntecedents of </w:t>
      </w:r>
      <w:r w:rsidR="00005295" w:rsidRPr="00C07E56">
        <w:t>c</w:t>
      </w:r>
      <w:r w:rsidRPr="00C07E56">
        <w:t xml:space="preserve">ommunity </w:t>
      </w:r>
      <w:r w:rsidR="00005295" w:rsidRPr="00C07E56">
        <w:t>p</w:t>
      </w:r>
      <w:r w:rsidRPr="00C07E56">
        <w:t xml:space="preserve">articipation: Applying a </w:t>
      </w:r>
      <w:r w:rsidR="00005295" w:rsidRPr="00C07E56">
        <w:t>s</w:t>
      </w:r>
      <w:r w:rsidRPr="00C07E56">
        <w:t xml:space="preserve">ocial </w:t>
      </w:r>
      <w:r w:rsidR="00005295" w:rsidRPr="00C07E56">
        <w:t>m</w:t>
      </w:r>
      <w:r w:rsidRPr="00C07E56">
        <w:t xml:space="preserve">arketing </w:t>
      </w:r>
      <w:r w:rsidR="00005295" w:rsidRPr="00C07E56">
        <w:t>m</w:t>
      </w:r>
      <w:r w:rsidRPr="00C07E56">
        <w:t xml:space="preserve">odel. </w:t>
      </w:r>
      <w:r w:rsidR="00C07E56" w:rsidRPr="00C07E56">
        <w:rPr>
          <w:i/>
          <w:iCs/>
        </w:rPr>
        <w:t>Social Marketing Quarterly</w:t>
      </w:r>
      <w:r w:rsidR="00C07E56" w:rsidRPr="00C07E56">
        <w:t xml:space="preserve">, </w:t>
      </w:r>
      <w:r w:rsidR="00C07E56" w:rsidRPr="00C07E56">
        <w:rPr>
          <w:i/>
          <w:iCs/>
        </w:rPr>
        <w:t>9</w:t>
      </w:r>
      <w:r w:rsidR="00C07E56" w:rsidRPr="00C07E56">
        <w:t>(2), 17</w:t>
      </w:r>
      <w:r w:rsidR="00C07E56">
        <w:t>–</w:t>
      </w:r>
      <w:r w:rsidR="00C07E56" w:rsidRPr="00C07E56">
        <w:t>31</w:t>
      </w:r>
      <w:r w:rsidRPr="00C07E56">
        <w:t xml:space="preserve">. </w:t>
      </w:r>
      <w:r w:rsidRPr="00677CE8">
        <w:t>https://doi.org/10.1080/15245000309099</w:t>
      </w:r>
    </w:p>
    <w:p w14:paraId="5E80FFB6" w14:textId="61D18891" w:rsidR="00431207" w:rsidRPr="00677CE8" w:rsidRDefault="00431207" w:rsidP="00C07E56">
      <w:pPr>
        <w:pStyle w:val="Bibliography"/>
        <w:spacing w:line="240" w:lineRule="auto"/>
        <w:ind w:left="540" w:hanging="540"/>
      </w:pPr>
      <w:r w:rsidRPr="00677CE8">
        <w:t xml:space="preserve">Eißfeldt, H. (2020, October). </w:t>
      </w:r>
      <w:r w:rsidRPr="00677CE8">
        <w:rPr>
          <w:i/>
          <w:iCs/>
        </w:rPr>
        <w:t>Acceptance of drone delivery is limited (not only) by noise concerns</w:t>
      </w:r>
      <w:r w:rsidRPr="00677CE8">
        <w:t xml:space="preserve">. Quiet Drones </w:t>
      </w:r>
      <w:r w:rsidR="00E84616">
        <w:t xml:space="preserve">First </w:t>
      </w:r>
      <w:r w:rsidRPr="00677CE8">
        <w:t>International E-Symposium on UAV/UAS Noise</w:t>
      </w:r>
      <w:r w:rsidR="00E84616">
        <w:t xml:space="preserve">, </w:t>
      </w:r>
      <w:r w:rsidR="00E84616" w:rsidRPr="00E84616">
        <w:t>Paris, France</w:t>
      </w:r>
      <w:r w:rsidR="00E84616">
        <w:t>.</w:t>
      </w:r>
    </w:p>
    <w:p w14:paraId="15DECCA0" w14:textId="4B6E6DEB" w:rsidR="00431207" w:rsidRPr="00677CE8" w:rsidRDefault="00431207" w:rsidP="00C07E56">
      <w:pPr>
        <w:pStyle w:val="Bibliography"/>
        <w:spacing w:line="240" w:lineRule="auto"/>
        <w:ind w:left="540" w:hanging="540"/>
      </w:pPr>
      <w:r w:rsidRPr="00677CE8">
        <w:t xml:space="preserve">Federal Aviation Administration. (2023). </w:t>
      </w:r>
      <w:r w:rsidRPr="00677CE8">
        <w:rPr>
          <w:i/>
          <w:iCs/>
        </w:rPr>
        <w:t xml:space="preserve">Urban </w:t>
      </w:r>
      <w:r w:rsidR="00005295">
        <w:rPr>
          <w:i/>
          <w:iCs/>
        </w:rPr>
        <w:t>a</w:t>
      </w:r>
      <w:r w:rsidRPr="00677CE8">
        <w:rPr>
          <w:i/>
          <w:iCs/>
        </w:rPr>
        <w:t xml:space="preserve">ir </w:t>
      </w:r>
      <w:r w:rsidR="00005295">
        <w:rPr>
          <w:i/>
          <w:iCs/>
        </w:rPr>
        <w:t>m</w:t>
      </w:r>
      <w:r w:rsidRPr="00677CE8">
        <w:rPr>
          <w:i/>
          <w:iCs/>
        </w:rPr>
        <w:t xml:space="preserve">obility (UAM) </w:t>
      </w:r>
      <w:r w:rsidR="00005295">
        <w:rPr>
          <w:i/>
          <w:iCs/>
        </w:rPr>
        <w:t>c</w:t>
      </w:r>
      <w:r w:rsidRPr="00677CE8">
        <w:rPr>
          <w:i/>
          <w:iCs/>
        </w:rPr>
        <w:t xml:space="preserve">oncept of </w:t>
      </w:r>
      <w:r w:rsidR="00005295">
        <w:rPr>
          <w:i/>
          <w:iCs/>
        </w:rPr>
        <w:t>o</w:t>
      </w:r>
      <w:r w:rsidRPr="00677CE8">
        <w:rPr>
          <w:i/>
          <w:iCs/>
        </w:rPr>
        <w:t>perations (No. Version 2.0</w:t>
      </w:r>
      <w:r w:rsidRPr="00677CE8">
        <w:t>. Federal Aviation Administration NextGen Office. https://www.faa.gov/sites/faa.gov/files/Urban-Air-Mobility-Concept-of-Operations-2.0.pdf</w:t>
      </w:r>
    </w:p>
    <w:p w14:paraId="1F5CD1FF" w14:textId="77777777" w:rsidR="00431207" w:rsidRPr="00677CE8" w:rsidRDefault="00431207" w:rsidP="00C07E56">
      <w:pPr>
        <w:pStyle w:val="Bibliography"/>
        <w:spacing w:line="240" w:lineRule="auto"/>
        <w:ind w:left="540" w:hanging="540"/>
      </w:pPr>
      <w:r w:rsidRPr="00677CE8">
        <w:t xml:space="preserve">Flügel, S. (2014). Accounting for user type and mode effects on the value of travel time savings in project appraisal: Opportunities and challenges. </w:t>
      </w:r>
      <w:r w:rsidRPr="00677CE8">
        <w:rPr>
          <w:i/>
          <w:iCs/>
        </w:rPr>
        <w:t>Research in Transportation Economics, Appraisal in Transport</w:t>
      </w:r>
      <w:r w:rsidRPr="00677CE8">
        <w:t xml:space="preserve">, </w:t>
      </w:r>
      <w:r w:rsidRPr="00677CE8">
        <w:rPr>
          <w:i/>
          <w:iCs/>
        </w:rPr>
        <w:t>47</w:t>
      </w:r>
      <w:r w:rsidRPr="00677CE8">
        <w:t>, 50–60. https://doi.org/10.1016/j.retrec.2014.09.018</w:t>
      </w:r>
    </w:p>
    <w:p w14:paraId="46F0DC22" w14:textId="4ABA71AD" w:rsidR="00431207" w:rsidRPr="00677CE8" w:rsidRDefault="00431207" w:rsidP="00C07E56">
      <w:pPr>
        <w:pStyle w:val="Bibliography"/>
        <w:spacing w:line="240" w:lineRule="auto"/>
        <w:ind w:left="540" w:hanging="540"/>
      </w:pPr>
      <w:r w:rsidRPr="007806B4">
        <w:rPr>
          <w:lang w:val="es-MX"/>
        </w:rPr>
        <w:t xml:space="preserve">Fondevila-Gascón, J.-F., Gutiérrez-Aragón, Ó., Lopez-Lopez, D., Curiel-Barrios, G., </w:t>
      </w:r>
      <w:r w:rsidR="00963916" w:rsidRPr="007806B4">
        <w:rPr>
          <w:lang w:val="es-MX"/>
        </w:rPr>
        <w:t>and</w:t>
      </w:r>
      <w:r w:rsidRPr="007806B4">
        <w:rPr>
          <w:lang w:val="es-MX"/>
        </w:rPr>
        <w:t xml:space="preserve"> Alabart-Algueró, J. (2025). </w:t>
      </w:r>
      <w:r w:rsidRPr="00677CE8">
        <w:t xml:space="preserve">Passenger perceptions of </w:t>
      </w:r>
      <w:r w:rsidR="003E3769">
        <w:t>a</w:t>
      </w:r>
      <w:r w:rsidRPr="00677CE8">
        <w:t xml:space="preserve">rtificial </w:t>
      </w:r>
      <w:r w:rsidR="003E3769">
        <w:t>i</w:t>
      </w:r>
      <w:r w:rsidRPr="00677CE8">
        <w:t xml:space="preserve">ntelligence in airline operations: Implications for air transport management. </w:t>
      </w:r>
      <w:r w:rsidRPr="00677CE8">
        <w:rPr>
          <w:i/>
          <w:iCs/>
        </w:rPr>
        <w:t>Journal of Air Transport Management</w:t>
      </w:r>
      <w:r w:rsidRPr="00677CE8">
        <w:t xml:space="preserve">, </w:t>
      </w:r>
      <w:r w:rsidRPr="00677CE8">
        <w:rPr>
          <w:i/>
          <w:iCs/>
        </w:rPr>
        <w:t>129</w:t>
      </w:r>
      <w:r w:rsidRPr="00677CE8">
        <w:t>, 102874. https://doi.org/10.1016/j.jairtraman.2025.102874</w:t>
      </w:r>
    </w:p>
    <w:p w14:paraId="2139DC8B" w14:textId="79F32568" w:rsidR="00431207" w:rsidRPr="00677CE8" w:rsidRDefault="00431207" w:rsidP="00C07E56">
      <w:pPr>
        <w:pStyle w:val="Bibliography"/>
        <w:spacing w:line="240" w:lineRule="auto"/>
        <w:ind w:left="540" w:hanging="540"/>
      </w:pPr>
      <w:r w:rsidRPr="00677CE8">
        <w:t xml:space="preserve">Frank, L., Bradley, M., Kavage, S., Chapman, J., </w:t>
      </w:r>
      <w:r w:rsidR="00963916" w:rsidRPr="00677CE8">
        <w:t>and</w:t>
      </w:r>
      <w:r w:rsidRPr="00677CE8">
        <w:t xml:space="preserve"> Lawton, T. K. (2008). Urban form, travel time, and cost relationships with tour complexity and mode choice. </w:t>
      </w:r>
      <w:r w:rsidRPr="00677CE8">
        <w:rPr>
          <w:i/>
          <w:iCs/>
        </w:rPr>
        <w:t>Transportation</w:t>
      </w:r>
      <w:r w:rsidRPr="00677CE8">
        <w:t xml:space="preserve">, </w:t>
      </w:r>
      <w:r w:rsidRPr="00677CE8">
        <w:rPr>
          <w:i/>
          <w:iCs/>
        </w:rPr>
        <w:t>35</w:t>
      </w:r>
      <w:r w:rsidRPr="00677CE8">
        <w:t>(1), 37–54. https://doi.org/10.1007/s11116-007-9136-6</w:t>
      </w:r>
    </w:p>
    <w:p w14:paraId="43CE9251" w14:textId="07914FBE" w:rsidR="00431207" w:rsidRPr="00677CE8" w:rsidRDefault="00431207" w:rsidP="00242E6A">
      <w:pPr>
        <w:pStyle w:val="Bibliography"/>
        <w:spacing w:line="240" w:lineRule="auto"/>
        <w:ind w:left="540" w:hanging="540"/>
      </w:pPr>
      <w:r w:rsidRPr="00677CE8">
        <w:lastRenderedPageBreak/>
        <w:t xml:space="preserve">Fu, M., Rothfeld, R., </w:t>
      </w:r>
      <w:r w:rsidR="00963916" w:rsidRPr="00677CE8">
        <w:t>and</w:t>
      </w:r>
      <w:r w:rsidRPr="00677CE8">
        <w:t xml:space="preserve"> Antoniou, C. (2019). Exploring </w:t>
      </w:r>
      <w:r w:rsidR="003E3769">
        <w:t>p</w:t>
      </w:r>
      <w:r w:rsidRPr="00677CE8">
        <w:t xml:space="preserve">references for </w:t>
      </w:r>
      <w:r w:rsidR="003E3769">
        <w:t>t</w:t>
      </w:r>
      <w:r w:rsidRPr="00677CE8">
        <w:t xml:space="preserve">ransportation </w:t>
      </w:r>
      <w:r w:rsidR="003E3769">
        <w:t>m</w:t>
      </w:r>
      <w:r w:rsidRPr="00677CE8">
        <w:t xml:space="preserve">odes in an </w:t>
      </w:r>
      <w:r w:rsidR="003E3769">
        <w:t>u</w:t>
      </w:r>
      <w:r w:rsidRPr="00677CE8">
        <w:t xml:space="preserve">rban </w:t>
      </w:r>
      <w:r w:rsidR="003E3769">
        <w:t>a</w:t>
      </w:r>
      <w:r w:rsidRPr="00677CE8">
        <w:t xml:space="preserve">ir </w:t>
      </w:r>
      <w:r w:rsidR="003E3769">
        <w:t>m</w:t>
      </w:r>
      <w:r w:rsidRPr="00677CE8">
        <w:t xml:space="preserve">obility </w:t>
      </w:r>
      <w:r w:rsidR="003E3769">
        <w:t>e</w:t>
      </w:r>
      <w:r w:rsidRPr="00677CE8">
        <w:t xml:space="preserve">nvironment: Munich </w:t>
      </w:r>
      <w:r w:rsidR="003E3769">
        <w:t>c</w:t>
      </w:r>
      <w:r w:rsidRPr="00677CE8">
        <w:t xml:space="preserve">ase </w:t>
      </w:r>
      <w:r w:rsidR="003E3769">
        <w:t>st</w:t>
      </w:r>
      <w:r w:rsidRPr="00677CE8">
        <w:t xml:space="preserve">udy. </w:t>
      </w:r>
      <w:r w:rsidRPr="00677CE8">
        <w:rPr>
          <w:i/>
          <w:iCs/>
        </w:rPr>
        <w:t>Transportation Research Record</w:t>
      </w:r>
      <w:r w:rsidRPr="00677CE8">
        <w:t xml:space="preserve">, </w:t>
      </w:r>
      <w:r w:rsidRPr="00677CE8">
        <w:rPr>
          <w:i/>
          <w:iCs/>
        </w:rPr>
        <w:t>2673</w:t>
      </w:r>
      <w:r w:rsidRPr="00677CE8">
        <w:t>(10), 427–442. https://doi.org/10.1177/0361198119843858</w:t>
      </w:r>
    </w:p>
    <w:p w14:paraId="57B8F618" w14:textId="77777777" w:rsidR="00431207" w:rsidRPr="00677CE8" w:rsidRDefault="00431207" w:rsidP="00242E6A">
      <w:pPr>
        <w:pStyle w:val="Bibliography"/>
        <w:spacing w:line="240" w:lineRule="auto"/>
        <w:ind w:left="540" w:hanging="540"/>
      </w:pPr>
      <w:r w:rsidRPr="00677CE8">
        <w:t xml:space="preserve">Galyani Moghaddam, G. (2010). Information technology and gender gap: toward a global view. </w:t>
      </w:r>
      <w:r w:rsidRPr="00677CE8">
        <w:rPr>
          <w:i/>
          <w:iCs/>
        </w:rPr>
        <w:t>The Electronic Library</w:t>
      </w:r>
      <w:r w:rsidRPr="00677CE8">
        <w:t xml:space="preserve">, </w:t>
      </w:r>
      <w:r w:rsidRPr="00677CE8">
        <w:rPr>
          <w:i/>
          <w:iCs/>
        </w:rPr>
        <w:t>28</w:t>
      </w:r>
      <w:r w:rsidRPr="00677CE8">
        <w:t>(5), 722–733. https://doi.org/10.1108/02640471011081997</w:t>
      </w:r>
    </w:p>
    <w:p w14:paraId="6DC5E995" w14:textId="57A7FCFE" w:rsidR="00431207" w:rsidRPr="00677CE8" w:rsidRDefault="00431207" w:rsidP="00E84616">
      <w:pPr>
        <w:pStyle w:val="Bibliography"/>
        <w:keepLines/>
        <w:spacing w:line="240" w:lineRule="auto"/>
        <w:ind w:left="547" w:hanging="547"/>
      </w:pPr>
      <w:r w:rsidRPr="00677CE8">
        <w:t xml:space="preserve">Garrow, L. A., German, B. J., </w:t>
      </w:r>
      <w:r w:rsidR="00963916" w:rsidRPr="00677CE8">
        <w:t>and</w:t>
      </w:r>
      <w:r w:rsidRPr="00677CE8">
        <w:t xml:space="preserve"> Leonard, C. E. (2021). Urban air mobility: A comprehensive review and comparative analysis with autonomous and electric ground transportation for informing future research. </w:t>
      </w:r>
      <w:r w:rsidRPr="00677CE8">
        <w:rPr>
          <w:i/>
          <w:iCs/>
        </w:rPr>
        <w:t>Transportation Research Part C: Emerging Technologies</w:t>
      </w:r>
      <w:r w:rsidRPr="00677CE8">
        <w:t xml:space="preserve">, </w:t>
      </w:r>
      <w:r w:rsidRPr="00677CE8">
        <w:rPr>
          <w:i/>
          <w:iCs/>
        </w:rPr>
        <w:t>132</w:t>
      </w:r>
      <w:r w:rsidRPr="00677CE8">
        <w:t>, 103377. https://doi.org/10.1016/j.trc.2021.103377</w:t>
      </w:r>
    </w:p>
    <w:p w14:paraId="5C9EE46D" w14:textId="681C6699" w:rsidR="00431207" w:rsidRPr="00677CE8" w:rsidRDefault="00431207" w:rsidP="00242E6A">
      <w:pPr>
        <w:pStyle w:val="Bibliography"/>
        <w:spacing w:line="240" w:lineRule="auto"/>
        <w:ind w:left="540" w:hanging="540"/>
      </w:pPr>
      <w:r w:rsidRPr="00677CE8">
        <w:t xml:space="preserve">Gee, G. C., Hing, A., Mohammed, S., Tabor, D. C., </w:t>
      </w:r>
      <w:r w:rsidR="00963916" w:rsidRPr="00677CE8">
        <w:t>and</w:t>
      </w:r>
      <w:r w:rsidRPr="00677CE8">
        <w:t xml:space="preserve"> Williams, D. R. (2019). Racism and the </w:t>
      </w:r>
      <w:r w:rsidR="003E3769">
        <w:t>l</w:t>
      </w:r>
      <w:r w:rsidRPr="00677CE8">
        <w:t xml:space="preserve">ife </w:t>
      </w:r>
      <w:r w:rsidR="003E3769">
        <w:t>c</w:t>
      </w:r>
      <w:r w:rsidRPr="00677CE8">
        <w:t xml:space="preserve">ourse: Taking </w:t>
      </w:r>
      <w:r w:rsidR="003E3769">
        <w:t>t</w:t>
      </w:r>
      <w:r w:rsidRPr="00677CE8">
        <w:t xml:space="preserve">ime </w:t>
      </w:r>
      <w:r w:rsidR="003E3769">
        <w:t>s</w:t>
      </w:r>
      <w:r w:rsidRPr="00677CE8">
        <w:t xml:space="preserve">eriously. </w:t>
      </w:r>
      <w:r w:rsidRPr="00677CE8">
        <w:rPr>
          <w:i/>
          <w:iCs/>
        </w:rPr>
        <w:t>American Journal of Public Health</w:t>
      </w:r>
      <w:r w:rsidRPr="00677CE8">
        <w:t xml:space="preserve">, </w:t>
      </w:r>
      <w:r w:rsidRPr="00677CE8">
        <w:rPr>
          <w:i/>
          <w:iCs/>
        </w:rPr>
        <w:t>109</w:t>
      </w:r>
      <w:r w:rsidRPr="00677CE8">
        <w:t>(S1), S43–S47. https://doi.org/10.2105/AJPH.2018.304766</w:t>
      </w:r>
    </w:p>
    <w:p w14:paraId="56AE07A2" w14:textId="2498EF59" w:rsidR="00431207" w:rsidRPr="00677CE8" w:rsidRDefault="00431207" w:rsidP="00242E6A">
      <w:pPr>
        <w:pStyle w:val="Bibliography"/>
        <w:spacing w:line="240" w:lineRule="auto"/>
        <w:ind w:left="540" w:hanging="540"/>
      </w:pPr>
      <w:r w:rsidRPr="007806B4">
        <w:rPr>
          <w:lang w:val="es-MX"/>
        </w:rPr>
        <w:t xml:space="preserve">Geržinič, N., van Hagen, M., Al-Tamimi, H., van Oort, N., </w:t>
      </w:r>
      <w:r w:rsidR="00963916" w:rsidRPr="007806B4">
        <w:rPr>
          <w:lang w:val="es-MX"/>
        </w:rPr>
        <w:t>and</w:t>
      </w:r>
      <w:r w:rsidRPr="007806B4">
        <w:rPr>
          <w:lang w:val="es-MX"/>
        </w:rPr>
        <w:t xml:space="preserve"> Duives, D. (2025). </w:t>
      </w:r>
      <w:r w:rsidRPr="00677CE8">
        <w:t>Drivers and barriers to integrating shared micromobility with public transport</w:t>
      </w:r>
      <w:r w:rsidR="003E3769">
        <w:t>:</w:t>
      </w:r>
      <w:r w:rsidRPr="00677CE8">
        <w:t xml:space="preserve"> A latent class clustering analysis of adoption attitudes in the Netherlands. </w:t>
      </w:r>
      <w:r w:rsidRPr="00677CE8">
        <w:rPr>
          <w:i/>
          <w:iCs/>
        </w:rPr>
        <w:t>Journal of Cycling and Micromobility Research</w:t>
      </w:r>
      <w:r w:rsidRPr="00677CE8">
        <w:t xml:space="preserve">, </w:t>
      </w:r>
      <w:r w:rsidRPr="00677CE8">
        <w:rPr>
          <w:i/>
          <w:iCs/>
        </w:rPr>
        <w:t>6</w:t>
      </w:r>
      <w:r w:rsidRPr="00677CE8">
        <w:t>, 100090. https://doi.org/10.1016/j.jcmr.2025.100090</w:t>
      </w:r>
    </w:p>
    <w:p w14:paraId="6D67AA1D" w14:textId="59718421" w:rsidR="00431207" w:rsidRPr="00677CE8" w:rsidRDefault="00431207" w:rsidP="00242E6A">
      <w:pPr>
        <w:pStyle w:val="Bibliography"/>
        <w:spacing w:line="240" w:lineRule="auto"/>
        <w:ind w:left="540" w:hanging="540"/>
      </w:pPr>
      <w:r w:rsidRPr="00677CE8">
        <w:t xml:space="preserve">Goyal, R., Reiche, C., Fernando, C., Serrao, J., Kimmel, S., Cohen, A., </w:t>
      </w:r>
      <w:r w:rsidR="00963916" w:rsidRPr="00677CE8">
        <w:t>and</w:t>
      </w:r>
      <w:r w:rsidRPr="00677CE8">
        <w:t xml:space="preserve"> Shaheen, S. (2018). </w:t>
      </w:r>
      <w:r w:rsidRPr="00677CE8">
        <w:rPr>
          <w:i/>
          <w:iCs/>
        </w:rPr>
        <w:t xml:space="preserve">Urban </w:t>
      </w:r>
      <w:r w:rsidR="003E3769">
        <w:rPr>
          <w:i/>
          <w:iCs/>
        </w:rPr>
        <w:t>a</w:t>
      </w:r>
      <w:r w:rsidRPr="00677CE8">
        <w:rPr>
          <w:i/>
          <w:iCs/>
        </w:rPr>
        <w:t xml:space="preserve">ir </w:t>
      </w:r>
      <w:r w:rsidR="003E3769">
        <w:rPr>
          <w:i/>
          <w:iCs/>
        </w:rPr>
        <w:t>m</w:t>
      </w:r>
      <w:r w:rsidRPr="00677CE8">
        <w:rPr>
          <w:i/>
          <w:iCs/>
        </w:rPr>
        <w:t xml:space="preserve">obility (UAM) </w:t>
      </w:r>
      <w:r w:rsidR="003E3769">
        <w:rPr>
          <w:i/>
          <w:iCs/>
        </w:rPr>
        <w:t>m</w:t>
      </w:r>
      <w:r w:rsidRPr="00677CE8">
        <w:rPr>
          <w:i/>
          <w:iCs/>
        </w:rPr>
        <w:t xml:space="preserve">arket </w:t>
      </w:r>
      <w:r w:rsidR="003E3769">
        <w:rPr>
          <w:i/>
          <w:iCs/>
        </w:rPr>
        <w:t>s</w:t>
      </w:r>
      <w:r w:rsidRPr="00677CE8">
        <w:rPr>
          <w:i/>
          <w:iCs/>
        </w:rPr>
        <w:t>tudy</w:t>
      </w:r>
      <w:r w:rsidRPr="00677CE8">
        <w:t xml:space="preserve"> (HQ-E-DAA-TN65181). https://ntrs.nasa.gov/citations/20190001472</w:t>
      </w:r>
    </w:p>
    <w:p w14:paraId="3CF619B0" w14:textId="15BBA085" w:rsidR="00431207" w:rsidRPr="00677CE8" w:rsidRDefault="00431207" w:rsidP="00242E6A">
      <w:pPr>
        <w:pStyle w:val="Bibliography"/>
        <w:spacing w:line="240" w:lineRule="auto"/>
        <w:ind w:left="540" w:hanging="540"/>
      </w:pPr>
      <w:r w:rsidRPr="00677CE8">
        <w:t xml:space="preserve">Hae Choi, J., </w:t>
      </w:r>
      <w:r w:rsidR="00963916" w:rsidRPr="00677CE8">
        <w:t xml:space="preserve">and </w:t>
      </w:r>
      <w:r w:rsidRPr="00677CE8">
        <w:t xml:space="preserve">Park, Y. (2022). Exploring economic feasibility for airport shuttle service of urban air mobility (UAM). </w:t>
      </w:r>
      <w:r w:rsidRPr="00677CE8">
        <w:rPr>
          <w:i/>
          <w:iCs/>
        </w:rPr>
        <w:t>Transportation Research Part A: Policy and Practice</w:t>
      </w:r>
      <w:r w:rsidRPr="00677CE8">
        <w:t xml:space="preserve">, </w:t>
      </w:r>
      <w:r w:rsidRPr="00677CE8">
        <w:rPr>
          <w:i/>
          <w:iCs/>
        </w:rPr>
        <w:t>162</w:t>
      </w:r>
      <w:r w:rsidRPr="00677CE8">
        <w:t>, 267–281. https://doi.org/10.1016/j.tra.2022.06.004</w:t>
      </w:r>
    </w:p>
    <w:p w14:paraId="48445838" w14:textId="31257979" w:rsidR="00431207" w:rsidRPr="00677CE8" w:rsidRDefault="00431207" w:rsidP="00242E6A">
      <w:pPr>
        <w:pStyle w:val="Bibliography"/>
        <w:spacing w:line="240" w:lineRule="auto"/>
        <w:ind w:left="540" w:hanging="540"/>
      </w:pPr>
      <w:r w:rsidRPr="00677CE8">
        <w:t xml:space="preserve">Hamadneh, J., Hamdan, N., </w:t>
      </w:r>
      <w:r w:rsidR="00963916" w:rsidRPr="00677CE8">
        <w:t>and</w:t>
      </w:r>
      <w:r w:rsidRPr="00677CE8">
        <w:t xml:space="preserve"> Mahdi, A. (2023). Users’ </w:t>
      </w:r>
      <w:r w:rsidR="003E3769">
        <w:t>t</w:t>
      </w:r>
      <w:r w:rsidRPr="00677CE8">
        <w:t xml:space="preserve">ransport </w:t>
      </w:r>
      <w:r w:rsidR="003E3769">
        <w:t>m</w:t>
      </w:r>
      <w:r w:rsidRPr="00677CE8">
        <w:t xml:space="preserve">ode </w:t>
      </w:r>
      <w:r w:rsidR="003E3769">
        <w:t>c</w:t>
      </w:r>
      <w:r w:rsidRPr="00677CE8">
        <w:t xml:space="preserve">hoices in the </w:t>
      </w:r>
      <w:r w:rsidR="003E3769">
        <w:t>a</w:t>
      </w:r>
      <w:r w:rsidRPr="00677CE8">
        <w:t xml:space="preserve">utonomous </w:t>
      </w:r>
      <w:r w:rsidR="003E3769">
        <w:t>v</w:t>
      </w:r>
      <w:r w:rsidRPr="00677CE8">
        <w:t xml:space="preserve">ehicle </w:t>
      </w:r>
      <w:r w:rsidR="003E3769">
        <w:t>a</w:t>
      </w:r>
      <w:r w:rsidRPr="00677CE8">
        <w:t xml:space="preserve">ge in </w:t>
      </w:r>
      <w:r w:rsidR="003E3769">
        <w:t>u</w:t>
      </w:r>
      <w:r w:rsidRPr="00677CE8">
        <w:t xml:space="preserve">rban </w:t>
      </w:r>
      <w:r w:rsidR="003E3769">
        <w:t>a</w:t>
      </w:r>
      <w:r w:rsidRPr="00677CE8">
        <w:t xml:space="preserve">reas. </w:t>
      </w:r>
      <w:r w:rsidRPr="00677CE8">
        <w:rPr>
          <w:i/>
          <w:iCs/>
        </w:rPr>
        <w:t>Journal of Transportation Engineering, Part A: Systems</w:t>
      </w:r>
      <w:r w:rsidRPr="00677CE8">
        <w:t xml:space="preserve">, </w:t>
      </w:r>
      <w:r w:rsidRPr="00677CE8">
        <w:rPr>
          <w:i/>
          <w:iCs/>
        </w:rPr>
        <w:t>150</w:t>
      </w:r>
      <w:r w:rsidRPr="00677CE8">
        <w:t>(1). https://ascelibrary.org/doi/10.1061/JTEPBS.TEENG-7961</w:t>
      </w:r>
    </w:p>
    <w:p w14:paraId="00F929AD" w14:textId="08DE7900" w:rsidR="00431207" w:rsidRPr="00677CE8" w:rsidRDefault="00431207" w:rsidP="00242E6A">
      <w:pPr>
        <w:pStyle w:val="Bibliography"/>
        <w:spacing w:line="240" w:lineRule="auto"/>
        <w:ind w:left="540" w:hanging="540"/>
      </w:pPr>
      <w:r w:rsidRPr="00677CE8">
        <w:t xml:space="preserve">Hess, C., Ahmed, T., </w:t>
      </w:r>
      <w:r w:rsidR="00963916" w:rsidRPr="00677CE8">
        <w:t>and</w:t>
      </w:r>
      <w:r w:rsidRPr="00677CE8">
        <w:t xml:space="preserve"> Hayes, J. (2020). </w:t>
      </w:r>
      <w:r w:rsidRPr="00677CE8">
        <w:rPr>
          <w:i/>
          <w:iCs/>
        </w:rPr>
        <w:t xml:space="preserve">Providing </w:t>
      </w:r>
      <w:r w:rsidR="003E3769">
        <w:rPr>
          <w:i/>
          <w:iCs/>
        </w:rPr>
        <w:t>u</w:t>
      </w:r>
      <w:r w:rsidRPr="00677CE8">
        <w:rPr>
          <w:i/>
          <w:iCs/>
        </w:rPr>
        <w:t xml:space="preserve">npaid </w:t>
      </w:r>
      <w:r w:rsidR="003E3769">
        <w:rPr>
          <w:i/>
          <w:iCs/>
        </w:rPr>
        <w:t>h</w:t>
      </w:r>
      <w:r w:rsidRPr="00677CE8">
        <w:rPr>
          <w:i/>
          <w:iCs/>
        </w:rPr>
        <w:t xml:space="preserve">ousehold and </w:t>
      </w:r>
      <w:r w:rsidR="003E3769">
        <w:rPr>
          <w:i/>
          <w:iCs/>
        </w:rPr>
        <w:t>c</w:t>
      </w:r>
      <w:r w:rsidRPr="00677CE8">
        <w:rPr>
          <w:i/>
          <w:iCs/>
        </w:rPr>
        <w:t xml:space="preserve">are </w:t>
      </w:r>
      <w:r w:rsidR="003E3769">
        <w:rPr>
          <w:i/>
          <w:iCs/>
        </w:rPr>
        <w:t>w</w:t>
      </w:r>
      <w:r w:rsidRPr="00677CE8">
        <w:rPr>
          <w:i/>
          <w:iCs/>
        </w:rPr>
        <w:t xml:space="preserve">ork in the United States: Uncovering </w:t>
      </w:r>
      <w:r w:rsidR="003E3769">
        <w:rPr>
          <w:i/>
          <w:iCs/>
        </w:rPr>
        <w:t>i</w:t>
      </w:r>
      <w:r w:rsidRPr="00677CE8">
        <w:rPr>
          <w:i/>
          <w:iCs/>
        </w:rPr>
        <w:t>nequality</w:t>
      </w:r>
      <w:r w:rsidRPr="00677CE8">
        <w:t>. Institute for Women’s Policy Research. https://www.jstor.org/stable/resrep34503</w:t>
      </w:r>
    </w:p>
    <w:p w14:paraId="71C07057" w14:textId="4D6FEC14" w:rsidR="00431207" w:rsidRPr="00677CE8" w:rsidRDefault="00431207" w:rsidP="00242E6A">
      <w:pPr>
        <w:pStyle w:val="Bibliography"/>
        <w:spacing w:line="240" w:lineRule="auto"/>
        <w:ind w:left="540" w:hanging="540"/>
      </w:pPr>
      <w:r w:rsidRPr="00677CE8">
        <w:t xml:space="preserve">Ho, C., </w:t>
      </w:r>
      <w:r w:rsidR="00963916" w:rsidRPr="00677CE8">
        <w:t>and</w:t>
      </w:r>
      <w:r w:rsidRPr="00677CE8">
        <w:t xml:space="preserve"> Mulley, C. (2015). Intra-household interactions in transport research: </w:t>
      </w:r>
      <w:r w:rsidR="003E3769">
        <w:t>A</w:t>
      </w:r>
      <w:r w:rsidRPr="00677CE8">
        <w:t xml:space="preserve"> review. </w:t>
      </w:r>
      <w:r w:rsidRPr="00677CE8">
        <w:rPr>
          <w:i/>
          <w:iCs/>
        </w:rPr>
        <w:t>Transport Reviews</w:t>
      </w:r>
      <w:r w:rsidRPr="00677CE8">
        <w:t xml:space="preserve">, </w:t>
      </w:r>
      <w:r w:rsidRPr="00677CE8">
        <w:rPr>
          <w:i/>
          <w:iCs/>
        </w:rPr>
        <w:t>35</w:t>
      </w:r>
      <w:r w:rsidRPr="00677CE8">
        <w:t>(1), 33–55. https://doi.org/10.1080/01441647.2014.993745</w:t>
      </w:r>
    </w:p>
    <w:p w14:paraId="7EA2B708" w14:textId="751AF4A4" w:rsidR="00431207" w:rsidRPr="00677CE8" w:rsidRDefault="00431207" w:rsidP="00242E6A">
      <w:pPr>
        <w:pStyle w:val="Bibliography"/>
        <w:spacing w:line="240" w:lineRule="auto"/>
        <w:ind w:left="540" w:hanging="540"/>
      </w:pPr>
      <w:r w:rsidRPr="00677CE8">
        <w:t xml:space="preserve">Hwang, H., Batur, I., Yu, F., Robbennolt, D., Pendyala, R. M., </w:t>
      </w:r>
      <w:r w:rsidR="00963916" w:rsidRPr="00677CE8">
        <w:t>and</w:t>
      </w:r>
      <w:r w:rsidRPr="00677CE8">
        <w:t xml:space="preserve"> Bhat, C. R. (2025). </w:t>
      </w:r>
      <w:r w:rsidRPr="00677CE8">
        <w:rPr>
          <w:i/>
          <w:iCs/>
        </w:rPr>
        <w:t xml:space="preserve">Understanding </w:t>
      </w:r>
      <w:r w:rsidR="003E3769">
        <w:rPr>
          <w:i/>
          <w:iCs/>
        </w:rPr>
        <w:t>p</w:t>
      </w:r>
      <w:r w:rsidRPr="00677CE8">
        <w:rPr>
          <w:i/>
          <w:iCs/>
        </w:rPr>
        <w:t xml:space="preserve">ublic </w:t>
      </w:r>
      <w:r w:rsidR="003E3769">
        <w:rPr>
          <w:i/>
          <w:iCs/>
        </w:rPr>
        <w:t>p</w:t>
      </w:r>
      <w:r w:rsidRPr="00677CE8">
        <w:rPr>
          <w:i/>
          <w:iCs/>
        </w:rPr>
        <w:t xml:space="preserve">erceptions of </w:t>
      </w:r>
      <w:r w:rsidR="003E3769">
        <w:rPr>
          <w:i/>
          <w:iCs/>
        </w:rPr>
        <w:t>c</w:t>
      </w:r>
      <w:r w:rsidRPr="00677CE8">
        <w:rPr>
          <w:i/>
          <w:iCs/>
        </w:rPr>
        <w:t xml:space="preserve">ongestion </w:t>
      </w:r>
      <w:r w:rsidR="003E3769">
        <w:rPr>
          <w:i/>
          <w:iCs/>
        </w:rPr>
        <w:t>p</w:t>
      </w:r>
      <w:r w:rsidRPr="00677CE8">
        <w:rPr>
          <w:i/>
          <w:iCs/>
        </w:rPr>
        <w:t xml:space="preserve">ricing - A U.S. </w:t>
      </w:r>
      <w:r w:rsidR="003E3769">
        <w:rPr>
          <w:i/>
          <w:iCs/>
        </w:rPr>
        <w:t>p</w:t>
      </w:r>
      <w:r w:rsidRPr="00677CE8">
        <w:rPr>
          <w:i/>
          <w:iCs/>
        </w:rPr>
        <w:t>erspective</w:t>
      </w:r>
      <w:r w:rsidRPr="00677CE8">
        <w:t>. http://caee.webhost.utexas.edu/prof/bhat/ABSTRACTS/CongestionPricing.pdf</w:t>
      </w:r>
    </w:p>
    <w:p w14:paraId="4354BC32" w14:textId="2F829490" w:rsidR="00431207" w:rsidRPr="00677CE8" w:rsidRDefault="00431207" w:rsidP="00242E6A">
      <w:pPr>
        <w:pStyle w:val="Bibliography"/>
        <w:spacing w:line="240" w:lineRule="auto"/>
        <w:ind w:left="540" w:hanging="540"/>
      </w:pPr>
      <w:r w:rsidRPr="00677CE8">
        <w:t xml:space="preserve">Hwang, J.-H., </w:t>
      </w:r>
      <w:r w:rsidR="00963916" w:rsidRPr="00677CE8">
        <w:t>and</w:t>
      </w:r>
      <w:r w:rsidRPr="00677CE8">
        <w:t xml:space="preserve"> Hong, S. (2023). A </w:t>
      </w:r>
      <w:r w:rsidR="003E3769">
        <w:t>s</w:t>
      </w:r>
      <w:r w:rsidRPr="00677CE8">
        <w:t xml:space="preserve">tudy on the </w:t>
      </w:r>
      <w:r w:rsidR="003E3769">
        <w:t>f</w:t>
      </w:r>
      <w:r w:rsidRPr="00677CE8">
        <w:t xml:space="preserve">actors </w:t>
      </w:r>
      <w:r w:rsidR="003E3769">
        <w:t>i</w:t>
      </w:r>
      <w:r w:rsidRPr="00677CE8">
        <w:t xml:space="preserve">nfluencing the </w:t>
      </w:r>
      <w:r w:rsidR="003E3769">
        <w:t>a</w:t>
      </w:r>
      <w:r w:rsidRPr="00677CE8">
        <w:t xml:space="preserve">doption of </w:t>
      </w:r>
      <w:r w:rsidR="003E3769">
        <w:t>u</w:t>
      </w:r>
      <w:r w:rsidRPr="00677CE8">
        <w:t xml:space="preserve">rban </w:t>
      </w:r>
      <w:r w:rsidR="003E3769">
        <w:t>a</w:t>
      </w:r>
      <w:r w:rsidRPr="00677CE8">
        <w:t xml:space="preserve">ir </w:t>
      </w:r>
      <w:r w:rsidR="003E3769">
        <w:t>m</w:t>
      </w:r>
      <w:r w:rsidRPr="00677CE8">
        <w:t xml:space="preserve">obility and the </w:t>
      </w:r>
      <w:r w:rsidR="003E3769">
        <w:t>f</w:t>
      </w:r>
      <w:r w:rsidRPr="00677CE8">
        <w:t xml:space="preserve">uture </w:t>
      </w:r>
      <w:r w:rsidR="003E3769">
        <w:t>d</w:t>
      </w:r>
      <w:r w:rsidRPr="00677CE8">
        <w:t xml:space="preserve">emand: Using the </w:t>
      </w:r>
      <w:r w:rsidR="003E3769">
        <w:t>s</w:t>
      </w:r>
      <w:r w:rsidRPr="00677CE8">
        <w:t xml:space="preserve">tated </w:t>
      </w:r>
      <w:r w:rsidR="003E3769">
        <w:t>p</w:t>
      </w:r>
      <w:r w:rsidRPr="00677CE8">
        <w:t xml:space="preserve">reference </w:t>
      </w:r>
      <w:r w:rsidR="003E3769">
        <w:t>s</w:t>
      </w:r>
      <w:r w:rsidRPr="00677CE8">
        <w:t xml:space="preserve">urvey for </w:t>
      </w:r>
      <w:r w:rsidR="003E3769">
        <w:t>t</w:t>
      </w:r>
      <w:r w:rsidRPr="00677CE8">
        <w:t xml:space="preserve">hree UAM </w:t>
      </w:r>
      <w:r w:rsidR="003E3769">
        <w:t>o</w:t>
      </w:r>
      <w:r w:rsidRPr="00677CE8">
        <w:t xml:space="preserve">perational </w:t>
      </w:r>
      <w:r w:rsidR="003E3769">
        <w:t>s</w:t>
      </w:r>
      <w:r w:rsidRPr="00677CE8">
        <w:t xml:space="preserve">cenarios in South Korea. </w:t>
      </w:r>
      <w:r w:rsidRPr="00677CE8">
        <w:rPr>
          <w:i/>
          <w:iCs/>
        </w:rPr>
        <w:t>Journal of Air Transport Management</w:t>
      </w:r>
      <w:r w:rsidRPr="00677CE8">
        <w:t xml:space="preserve">, </w:t>
      </w:r>
      <w:r w:rsidRPr="00677CE8">
        <w:rPr>
          <w:i/>
          <w:iCs/>
        </w:rPr>
        <w:t>112</w:t>
      </w:r>
      <w:r w:rsidR="00E604A4">
        <w:t xml:space="preserve">, </w:t>
      </w:r>
      <w:r w:rsidR="00E604A4" w:rsidRPr="00677CE8">
        <w:t>102467</w:t>
      </w:r>
      <w:r w:rsidR="00E604A4">
        <w:t>.</w:t>
      </w:r>
      <w:r w:rsidRPr="00677CE8">
        <w:t xml:space="preserve"> https://doi.org/10.1016/j.jairtraman.2023.102467</w:t>
      </w:r>
    </w:p>
    <w:p w14:paraId="24C4A19B" w14:textId="0F6531B4" w:rsidR="00431207" w:rsidRPr="00677CE8" w:rsidRDefault="00431207" w:rsidP="00242E6A">
      <w:pPr>
        <w:pStyle w:val="Bibliography"/>
        <w:spacing w:line="240" w:lineRule="auto"/>
        <w:ind w:left="540" w:hanging="540"/>
      </w:pPr>
      <w:r w:rsidRPr="00677CE8">
        <w:t xml:space="preserve">Jang, H., Kwon, Y., Jang, K., </w:t>
      </w:r>
      <w:r w:rsidR="00963916" w:rsidRPr="00677CE8">
        <w:t>and</w:t>
      </w:r>
      <w:r w:rsidRPr="00677CE8">
        <w:t xml:space="preserve"> Kim, S. (2025). Urban air mobility for airport access: Mode choice preference associated with socioeconomic status and airport usage behavior. </w:t>
      </w:r>
      <w:r w:rsidRPr="00677CE8">
        <w:rPr>
          <w:i/>
          <w:iCs/>
        </w:rPr>
        <w:t>Journal of Air Transport Management</w:t>
      </w:r>
      <w:r w:rsidRPr="00677CE8">
        <w:t xml:space="preserve">, </w:t>
      </w:r>
      <w:r w:rsidRPr="00677CE8">
        <w:rPr>
          <w:i/>
          <w:iCs/>
        </w:rPr>
        <w:t>124</w:t>
      </w:r>
      <w:r w:rsidRPr="00677CE8">
        <w:t>, 102719. https://doi.org/10.1016/j.jairtraman.2024.102719</w:t>
      </w:r>
    </w:p>
    <w:p w14:paraId="2678902D" w14:textId="77777777" w:rsidR="00431207" w:rsidRPr="00677CE8" w:rsidRDefault="00431207" w:rsidP="00242E6A">
      <w:pPr>
        <w:pStyle w:val="Bibliography"/>
        <w:spacing w:line="240" w:lineRule="auto"/>
        <w:ind w:left="540" w:hanging="540"/>
      </w:pPr>
      <w:r w:rsidRPr="00677CE8">
        <w:t xml:space="preserve">Jara-Diaz, S. (2024). The value(s) of travel time savings considering in-vehicle activities. </w:t>
      </w:r>
      <w:r w:rsidRPr="00677CE8">
        <w:rPr>
          <w:i/>
          <w:iCs/>
        </w:rPr>
        <w:t>Transportation Research Part A: Policy and Practice</w:t>
      </w:r>
      <w:r w:rsidRPr="00677CE8">
        <w:t xml:space="preserve">, </w:t>
      </w:r>
      <w:r w:rsidRPr="00677CE8">
        <w:rPr>
          <w:i/>
          <w:iCs/>
        </w:rPr>
        <w:t>184</w:t>
      </w:r>
      <w:r w:rsidRPr="00677CE8">
        <w:t>, 104092. https://doi.org/10.1016/j.tra.2024.104092</w:t>
      </w:r>
    </w:p>
    <w:p w14:paraId="7A3FD228" w14:textId="18E4DCF6" w:rsidR="00431207" w:rsidRPr="00677CE8" w:rsidRDefault="00431207" w:rsidP="00242E6A">
      <w:pPr>
        <w:pStyle w:val="Bibliography"/>
        <w:spacing w:line="240" w:lineRule="auto"/>
        <w:ind w:left="540" w:hanging="540"/>
      </w:pPr>
      <w:r w:rsidRPr="007806B4">
        <w:rPr>
          <w:lang w:val="es-MX"/>
        </w:rPr>
        <w:lastRenderedPageBreak/>
        <w:t xml:space="preserve">Jara-Díaz, S. R., </w:t>
      </w:r>
      <w:r w:rsidR="00963916" w:rsidRPr="007806B4">
        <w:rPr>
          <w:lang w:val="es-MX"/>
        </w:rPr>
        <w:t>and</w:t>
      </w:r>
      <w:r w:rsidRPr="007806B4">
        <w:rPr>
          <w:lang w:val="es-MX"/>
        </w:rPr>
        <w:t xml:space="preserve"> Guevara, C. A. (2003). </w:t>
      </w:r>
      <w:r w:rsidRPr="00677CE8">
        <w:t xml:space="preserve">Behind the </w:t>
      </w:r>
      <w:r w:rsidR="003E3769">
        <w:t>s</w:t>
      </w:r>
      <w:r w:rsidRPr="00677CE8">
        <w:t xml:space="preserve">ubjective </w:t>
      </w:r>
      <w:r w:rsidR="003E3769">
        <w:t>v</w:t>
      </w:r>
      <w:r w:rsidRPr="00677CE8">
        <w:t xml:space="preserve">alue of </w:t>
      </w:r>
      <w:r w:rsidR="003E3769">
        <w:t>t</w:t>
      </w:r>
      <w:r w:rsidRPr="00677CE8">
        <w:t xml:space="preserve">ravel </w:t>
      </w:r>
      <w:r w:rsidR="003E3769">
        <w:t>t</w:t>
      </w:r>
      <w:r w:rsidRPr="00677CE8">
        <w:t xml:space="preserve">ime </w:t>
      </w:r>
      <w:r w:rsidR="003E3769">
        <w:t>s</w:t>
      </w:r>
      <w:r w:rsidRPr="00677CE8">
        <w:t xml:space="preserve">avings. </w:t>
      </w:r>
      <w:r w:rsidRPr="00677CE8">
        <w:rPr>
          <w:i/>
          <w:iCs/>
        </w:rPr>
        <w:t>Journal of Transport Economics and Policy</w:t>
      </w:r>
      <w:r w:rsidRPr="00677CE8">
        <w:t xml:space="preserve">, </w:t>
      </w:r>
      <w:r w:rsidRPr="00677CE8">
        <w:rPr>
          <w:i/>
          <w:iCs/>
        </w:rPr>
        <w:t>37</w:t>
      </w:r>
      <w:r w:rsidRPr="00677CE8">
        <w:t>(1), 29–46.</w:t>
      </w:r>
      <w:r w:rsidR="00E56489">
        <w:t xml:space="preserve"> </w:t>
      </w:r>
      <w:r w:rsidR="00E56489" w:rsidRPr="00E56489">
        <w:t>https://doi.org/10.3828/jtep.2003.37.1.29</w:t>
      </w:r>
    </w:p>
    <w:p w14:paraId="7D6E3121" w14:textId="6843E68C" w:rsidR="00431207" w:rsidRPr="00677CE8" w:rsidRDefault="00431207" w:rsidP="00242E6A">
      <w:pPr>
        <w:pStyle w:val="Bibliography"/>
        <w:spacing w:line="240" w:lineRule="auto"/>
        <w:ind w:left="540" w:hanging="540"/>
      </w:pPr>
      <w:r w:rsidRPr="00677CE8">
        <w:t xml:space="preserve">Johnson, R. A., Miller, E. E., </w:t>
      </w:r>
      <w:r w:rsidR="00963916" w:rsidRPr="00677CE8">
        <w:t>and</w:t>
      </w:r>
      <w:r w:rsidRPr="00677CE8">
        <w:t xml:space="preserve"> Conrad, S. (2022). Technology </w:t>
      </w:r>
      <w:r w:rsidR="003E3769">
        <w:t>a</w:t>
      </w:r>
      <w:r w:rsidRPr="00677CE8">
        <w:t xml:space="preserve">doption and </w:t>
      </w:r>
      <w:r w:rsidR="003E3769">
        <w:t>a</w:t>
      </w:r>
      <w:r w:rsidRPr="00677CE8">
        <w:t xml:space="preserve">cceptance of </w:t>
      </w:r>
      <w:r w:rsidR="003E3769">
        <w:t>u</w:t>
      </w:r>
      <w:r w:rsidRPr="00677CE8">
        <w:t xml:space="preserve">rban </w:t>
      </w:r>
      <w:r w:rsidR="003E3769">
        <w:t>a</w:t>
      </w:r>
      <w:r w:rsidRPr="00677CE8">
        <w:t xml:space="preserve">ir </w:t>
      </w:r>
      <w:r w:rsidR="003E3769">
        <w:t>m</w:t>
      </w:r>
      <w:r w:rsidRPr="00677CE8">
        <w:t xml:space="preserve">obility </w:t>
      </w:r>
      <w:r w:rsidR="003E3769">
        <w:t>s</w:t>
      </w:r>
      <w:r w:rsidRPr="00677CE8">
        <w:t xml:space="preserve">ystems: Identifying </w:t>
      </w:r>
      <w:r w:rsidR="003E3769">
        <w:t>p</w:t>
      </w:r>
      <w:r w:rsidRPr="00677CE8">
        <w:t xml:space="preserve">ublic </w:t>
      </w:r>
      <w:r w:rsidR="003E3769">
        <w:t>p</w:t>
      </w:r>
      <w:r w:rsidRPr="00677CE8">
        <w:t xml:space="preserve">erceptions and </w:t>
      </w:r>
      <w:r w:rsidR="003E3769">
        <w:t>i</w:t>
      </w:r>
      <w:r w:rsidRPr="00677CE8">
        <w:t xml:space="preserve">ntegration </w:t>
      </w:r>
      <w:r w:rsidR="003E3769">
        <w:t>f</w:t>
      </w:r>
      <w:r w:rsidRPr="00677CE8">
        <w:t xml:space="preserve">actors. </w:t>
      </w:r>
      <w:r w:rsidRPr="00677CE8">
        <w:rPr>
          <w:i/>
          <w:iCs/>
        </w:rPr>
        <w:t>The International Journal of Aerospace Psychology</w:t>
      </w:r>
      <w:r w:rsidRPr="00677CE8">
        <w:t xml:space="preserve">, </w:t>
      </w:r>
      <w:r w:rsidRPr="00677CE8">
        <w:rPr>
          <w:i/>
          <w:iCs/>
        </w:rPr>
        <w:t>32</w:t>
      </w:r>
      <w:r w:rsidRPr="00677CE8">
        <w:t>(4), 240–253. https://doi.org/10.1080/24721840.2022.2100394</w:t>
      </w:r>
    </w:p>
    <w:p w14:paraId="075FAEB6" w14:textId="7FBAB6D3" w:rsidR="00431207" w:rsidRPr="00677CE8" w:rsidRDefault="00431207" w:rsidP="00242E6A">
      <w:pPr>
        <w:pStyle w:val="Bibliography"/>
        <w:spacing w:line="240" w:lineRule="auto"/>
        <w:ind w:left="540" w:hanging="540"/>
      </w:pPr>
      <w:r w:rsidRPr="00677CE8">
        <w:t xml:space="preserve">Julsrud, T. E., </w:t>
      </w:r>
      <w:r w:rsidR="00963916" w:rsidRPr="00677CE8">
        <w:t>and</w:t>
      </w:r>
      <w:r w:rsidRPr="00677CE8">
        <w:t xml:space="preserve"> Denstadli, J. M. (2017). Smartphones, travel time-use, and attitudes to public transport services. Insights from an explorative study of urban dwellers in two Norwegian cities. </w:t>
      </w:r>
      <w:r w:rsidRPr="00677CE8">
        <w:rPr>
          <w:i/>
          <w:iCs/>
        </w:rPr>
        <w:t>International Journal of Sustainable Transportation</w:t>
      </w:r>
      <w:r w:rsidRPr="00677CE8">
        <w:t xml:space="preserve">, </w:t>
      </w:r>
      <w:r w:rsidRPr="00677CE8">
        <w:rPr>
          <w:i/>
          <w:iCs/>
        </w:rPr>
        <w:t>11</w:t>
      </w:r>
      <w:r w:rsidRPr="00677CE8">
        <w:t>(8), 602–610. https://doi.org/10.1080/15568318.2017.1292373</w:t>
      </w:r>
    </w:p>
    <w:p w14:paraId="7CBE28FF" w14:textId="2D1362BE" w:rsidR="00431207" w:rsidRPr="00677CE8" w:rsidRDefault="00431207" w:rsidP="00242E6A">
      <w:pPr>
        <w:pStyle w:val="Bibliography"/>
        <w:spacing w:line="240" w:lineRule="auto"/>
        <w:ind w:left="540" w:hanging="540"/>
      </w:pPr>
      <w:r w:rsidRPr="00677CE8">
        <w:t xml:space="preserve">Kähler, S. T., Abben, T., Luna-Rodriguez, A., Tomat, M., </w:t>
      </w:r>
      <w:r w:rsidR="00963916" w:rsidRPr="00677CE8">
        <w:t>and</w:t>
      </w:r>
      <w:r w:rsidRPr="00677CE8">
        <w:t xml:space="preserve"> Jacobsen, T. (2022). An </w:t>
      </w:r>
      <w:r w:rsidR="003E3769">
        <w:t>a</w:t>
      </w:r>
      <w:r w:rsidRPr="00677CE8">
        <w:t xml:space="preserve">ssessment of the </w:t>
      </w:r>
      <w:r w:rsidR="003E3769">
        <w:t>a</w:t>
      </w:r>
      <w:r w:rsidRPr="00677CE8">
        <w:t xml:space="preserve">cceptance and </w:t>
      </w:r>
      <w:r w:rsidR="003E3769">
        <w:t>a</w:t>
      </w:r>
      <w:r w:rsidRPr="00677CE8">
        <w:t xml:space="preserve">esthetics of UAVs and </w:t>
      </w:r>
      <w:r w:rsidR="003E3769">
        <w:t>h</w:t>
      </w:r>
      <w:r w:rsidRPr="00677CE8">
        <w:t xml:space="preserve">elicopters </w:t>
      </w:r>
      <w:r w:rsidR="003E3769">
        <w:t>t</w:t>
      </w:r>
      <w:r w:rsidRPr="00677CE8">
        <w:t xml:space="preserve">hrough an </w:t>
      </w:r>
      <w:r w:rsidR="003E3769">
        <w:t>e</w:t>
      </w:r>
      <w:r w:rsidRPr="00677CE8">
        <w:t xml:space="preserve">xperiment and a </w:t>
      </w:r>
      <w:r w:rsidR="003E3769">
        <w:t>s</w:t>
      </w:r>
      <w:r w:rsidRPr="00677CE8">
        <w:t xml:space="preserve">urvey. </w:t>
      </w:r>
      <w:r w:rsidRPr="00677CE8">
        <w:rPr>
          <w:i/>
          <w:iCs/>
        </w:rPr>
        <w:t>Technology in Society</w:t>
      </w:r>
      <w:r w:rsidRPr="00677CE8">
        <w:t xml:space="preserve">, </w:t>
      </w:r>
      <w:r w:rsidRPr="00677CE8">
        <w:rPr>
          <w:i/>
          <w:iCs/>
        </w:rPr>
        <w:t>71</w:t>
      </w:r>
      <w:r w:rsidR="00E604A4">
        <w:t xml:space="preserve">, </w:t>
      </w:r>
      <w:r w:rsidR="00E604A4" w:rsidRPr="00677CE8">
        <w:t>102096</w:t>
      </w:r>
      <w:r w:rsidR="00E604A4">
        <w:t>.</w:t>
      </w:r>
      <w:r w:rsidRPr="00677CE8">
        <w:t xml:space="preserve"> https://doi.org/10.1016/j.techsoc.2022.102096</w:t>
      </w:r>
    </w:p>
    <w:p w14:paraId="2637B746" w14:textId="67B2B2E8" w:rsidR="00431207" w:rsidRPr="00677CE8" w:rsidRDefault="00431207" w:rsidP="00242E6A">
      <w:pPr>
        <w:pStyle w:val="Bibliography"/>
        <w:spacing w:line="240" w:lineRule="auto"/>
        <w:ind w:left="540" w:hanging="540"/>
      </w:pPr>
      <w:r w:rsidRPr="00677CE8">
        <w:t xml:space="preserve">Kalba, K. (2008). The </w:t>
      </w:r>
      <w:r w:rsidR="003E3769">
        <w:t>a</w:t>
      </w:r>
      <w:r w:rsidRPr="00677CE8">
        <w:t xml:space="preserve">doption of </w:t>
      </w:r>
      <w:r w:rsidR="003E3769">
        <w:t>m</w:t>
      </w:r>
      <w:r w:rsidRPr="00677CE8">
        <w:t xml:space="preserve">obile </w:t>
      </w:r>
      <w:r w:rsidR="003E3769">
        <w:t>p</w:t>
      </w:r>
      <w:r w:rsidRPr="00677CE8">
        <w:t xml:space="preserve">hones in </w:t>
      </w:r>
      <w:r w:rsidR="003E3769">
        <w:t>e</w:t>
      </w:r>
      <w:r w:rsidRPr="00677CE8">
        <w:t xml:space="preserve">merging </w:t>
      </w:r>
      <w:r w:rsidR="003E3769">
        <w:t>m</w:t>
      </w:r>
      <w:r w:rsidRPr="00677CE8">
        <w:t xml:space="preserve">arkets: Global </w:t>
      </w:r>
      <w:r w:rsidR="003E3769">
        <w:t>d</w:t>
      </w:r>
      <w:r w:rsidRPr="00677CE8">
        <w:t xml:space="preserve">iffusion and the </w:t>
      </w:r>
      <w:r w:rsidR="003E3769">
        <w:t>r</w:t>
      </w:r>
      <w:r w:rsidRPr="00677CE8">
        <w:t xml:space="preserve">ural </w:t>
      </w:r>
      <w:r w:rsidR="003E3769">
        <w:t>c</w:t>
      </w:r>
      <w:r w:rsidRPr="00677CE8">
        <w:t xml:space="preserve">hallenge. </w:t>
      </w:r>
      <w:r w:rsidRPr="00677CE8">
        <w:rPr>
          <w:i/>
          <w:iCs/>
        </w:rPr>
        <w:t>International Journal of Communication</w:t>
      </w:r>
      <w:r w:rsidRPr="00677CE8">
        <w:t xml:space="preserve">, </w:t>
      </w:r>
      <w:r w:rsidRPr="00677CE8">
        <w:rPr>
          <w:i/>
          <w:iCs/>
        </w:rPr>
        <w:t>2</w:t>
      </w:r>
      <w:r w:rsidRPr="00677CE8">
        <w:t>, 31–31.</w:t>
      </w:r>
    </w:p>
    <w:p w14:paraId="427EBCFD" w14:textId="519EF275" w:rsidR="00431207" w:rsidRPr="00677CE8" w:rsidRDefault="00431207" w:rsidP="00242E6A">
      <w:pPr>
        <w:pStyle w:val="Bibliography"/>
        <w:spacing w:line="240" w:lineRule="auto"/>
        <w:ind w:left="540" w:hanging="540"/>
      </w:pPr>
      <w:r w:rsidRPr="00677CE8">
        <w:t xml:space="preserve">Karami, H., Abbasi, M., Samadzad, M., </w:t>
      </w:r>
      <w:r w:rsidR="00963916" w:rsidRPr="00677CE8">
        <w:t>and</w:t>
      </w:r>
      <w:r w:rsidRPr="00677CE8">
        <w:t xml:space="preserve"> Karami, A. (2024). Unraveling </w:t>
      </w:r>
      <w:r w:rsidR="003E3769">
        <w:t>b</w:t>
      </w:r>
      <w:r w:rsidRPr="00677CE8">
        <w:t xml:space="preserve">ehavioral </w:t>
      </w:r>
      <w:r w:rsidR="003E3769">
        <w:t>f</w:t>
      </w:r>
      <w:r w:rsidRPr="00677CE8">
        <w:t xml:space="preserve">actors </w:t>
      </w:r>
      <w:r w:rsidR="003E3769">
        <w:t>i</w:t>
      </w:r>
      <w:r w:rsidRPr="00677CE8">
        <w:t xml:space="preserve">nfluencing the </w:t>
      </w:r>
      <w:r w:rsidR="003E3769">
        <w:t>a</w:t>
      </w:r>
      <w:r w:rsidRPr="00677CE8">
        <w:t xml:space="preserve">doption of </w:t>
      </w:r>
      <w:r w:rsidR="003E3769">
        <w:t>u</w:t>
      </w:r>
      <w:r w:rsidRPr="00677CE8">
        <w:t xml:space="preserve">rban </w:t>
      </w:r>
      <w:r w:rsidR="003E3769">
        <w:t>a</w:t>
      </w:r>
      <w:r w:rsidRPr="00677CE8">
        <w:t xml:space="preserve">ir </w:t>
      </w:r>
      <w:r w:rsidR="003E3769">
        <w:t>m</w:t>
      </w:r>
      <w:r w:rsidRPr="00677CE8">
        <w:t xml:space="preserve">obility from the </w:t>
      </w:r>
      <w:r w:rsidR="003E3769">
        <w:t>e</w:t>
      </w:r>
      <w:r w:rsidRPr="00677CE8">
        <w:t xml:space="preserve">nd </w:t>
      </w:r>
      <w:r w:rsidR="003E3769">
        <w:t>u</w:t>
      </w:r>
      <w:r w:rsidRPr="00677CE8">
        <w:t xml:space="preserve">ser’s </w:t>
      </w:r>
      <w:r w:rsidR="003E3769">
        <w:t>p</w:t>
      </w:r>
      <w:r w:rsidRPr="00677CE8">
        <w:t xml:space="preserve">erspective in Tehran – A </w:t>
      </w:r>
      <w:r w:rsidR="003E3769">
        <w:t>d</w:t>
      </w:r>
      <w:r w:rsidRPr="00677CE8">
        <w:t xml:space="preserve">eveloping </w:t>
      </w:r>
      <w:r w:rsidR="003E3769">
        <w:t>c</w:t>
      </w:r>
      <w:r w:rsidRPr="00677CE8">
        <w:t xml:space="preserve">ountry </w:t>
      </w:r>
      <w:r w:rsidR="003E3769">
        <w:t>o</w:t>
      </w:r>
      <w:r w:rsidRPr="00677CE8">
        <w:t xml:space="preserve">utlook. </w:t>
      </w:r>
      <w:r w:rsidRPr="00677CE8">
        <w:rPr>
          <w:i/>
          <w:iCs/>
        </w:rPr>
        <w:t>Transport Policy</w:t>
      </w:r>
      <w:r w:rsidRPr="00677CE8">
        <w:t xml:space="preserve">, </w:t>
      </w:r>
      <w:r w:rsidRPr="00677CE8">
        <w:rPr>
          <w:i/>
          <w:iCs/>
        </w:rPr>
        <w:t>145</w:t>
      </w:r>
      <w:r w:rsidRPr="00677CE8">
        <w:t>, 74–84. https://doi.org/10.1016/j.tranpol.2023.10.010</w:t>
      </w:r>
    </w:p>
    <w:p w14:paraId="13251778" w14:textId="4F8B1511" w:rsidR="00431207" w:rsidRPr="00677CE8" w:rsidRDefault="00431207" w:rsidP="00242E6A">
      <w:pPr>
        <w:pStyle w:val="Bibliography"/>
        <w:spacing w:line="240" w:lineRule="auto"/>
        <w:ind w:left="540" w:hanging="540"/>
      </w:pPr>
      <w:r w:rsidRPr="00677CE8">
        <w:t xml:space="preserve">Karimi, S., Karami, H., </w:t>
      </w:r>
      <w:r w:rsidR="00963916" w:rsidRPr="00677CE8">
        <w:t>and</w:t>
      </w:r>
      <w:r w:rsidRPr="00677CE8">
        <w:t xml:space="preserve"> Samadzad, M. (2024). The </w:t>
      </w:r>
      <w:r w:rsidR="003E3769">
        <w:t>r</w:t>
      </w:r>
      <w:r w:rsidRPr="00677CE8">
        <w:t xml:space="preserve">ole of </w:t>
      </w:r>
      <w:r w:rsidR="003E3769">
        <w:t>t</w:t>
      </w:r>
      <w:r w:rsidRPr="00677CE8">
        <w:t xml:space="preserve">ravel </w:t>
      </w:r>
      <w:r w:rsidR="003E3769">
        <w:t>s</w:t>
      </w:r>
      <w:r w:rsidRPr="00677CE8">
        <w:t xml:space="preserve">atisfaction and </w:t>
      </w:r>
      <w:r w:rsidR="003E3769">
        <w:t>a</w:t>
      </w:r>
      <w:r w:rsidRPr="00677CE8">
        <w:t xml:space="preserve">ttitudes </w:t>
      </w:r>
      <w:r w:rsidR="003E3769">
        <w:t>t</w:t>
      </w:r>
      <w:r w:rsidRPr="00677CE8">
        <w:t xml:space="preserve">oward </w:t>
      </w:r>
      <w:r w:rsidR="003E3769">
        <w:t>t</w:t>
      </w:r>
      <w:r w:rsidRPr="00677CE8">
        <w:t xml:space="preserve">ravel </w:t>
      </w:r>
      <w:r w:rsidR="003E3769">
        <w:t>m</w:t>
      </w:r>
      <w:r w:rsidRPr="00677CE8">
        <w:t xml:space="preserve">odes in the </w:t>
      </w:r>
      <w:r w:rsidR="003E3769">
        <w:t>p</w:t>
      </w:r>
      <w:r w:rsidRPr="00677CE8">
        <w:t xml:space="preserve">rospect of </w:t>
      </w:r>
      <w:r w:rsidR="003E3769">
        <w:t>a</w:t>
      </w:r>
      <w:r w:rsidRPr="00677CE8">
        <w:t xml:space="preserve">doption of </w:t>
      </w:r>
      <w:r w:rsidR="003E3769">
        <w:t>u</w:t>
      </w:r>
      <w:r w:rsidRPr="00677CE8">
        <w:t xml:space="preserve">rban </w:t>
      </w:r>
      <w:r w:rsidR="003E3769">
        <w:t>a</w:t>
      </w:r>
      <w:r w:rsidRPr="00677CE8">
        <w:t xml:space="preserve">ir </w:t>
      </w:r>
      <w:r w:rsidR="003E3769">
        <w:t>t</w:t>
      </w:r>
      <w:r w:rsidRPr="00677CE8">
        <w:t xml:space="preserve">axis: Evidence from a </w:t>
      </w:r>
      <w:r w:rsidR="003E3769">
        <w:t>t</w:t>
      </w:r>
      <w:r w:rsidRPr="00677CE8">
        <w:t xml:space="preserve">tated </w:t>
      </w:r>
      <w:r w:rsidR="003E3769">
        <w:t>p</w:t>
      </w:r>
      <w:r w:rsidRPr="00677CE8">
        <w:t xml:space="preserve">reference </w:t>
      </w:r>
      <w:r w:rsidR="003E3769">
        <w:t>s</w:t>
      </w:r>
      <w:r w:rsidRPr="00677CE8">
        <w:t xml:space="preserve">urvey in </w:t>
      </w:r>
      <w:r w:rsidR="003E3769">
        <w:t>T</w:t>
      </w:r>
      <w:r w:rsidRPr="00677CE8">
        <w:t xml:space="preserve">ehran. </w:t>
      </w:r>
      <w:r w:rsidRPr="00677CE8">
        <w:rPr>
          <w:i/>
          <w:iCs/>
        </w:rPr>
        <w:t>Transportation Research Part A: Policy and Practice</w:t>
      </w:r>
      <w:r w:rsidRPr="00677CE8">
        <w:t xml:space="preserve">, </w:t>
      </w:r>
      <w:r w:rsidRPr="00677CE8">
        <w:rPr>
          <w:i/>
          <w:iCs/>
        </w:rPr>
        <w:t>179</w:t>
      </w:r>
      <w:r w:rsidR="00E604A4">
        <w:t xml:space="preserve">, </w:t>
      </w:r>
      <w:r w:rsidR="00E604A4" w:rsidRPr="00677CE8">
        <w:t>103885</w:t>
      </w:r>
      <w:r w:rsidR="00E604A4">
        <w:t>.</w:t>
      </w:r>
      <w:r w:rsidRPr="00677CE8">
        <w:t xml:space="preserve"> https://doi.org/10.1016/j.tra.2023.103885</w:t>
      </w:r>
    </w:p>
    <w:p w14:paraId="11021D1B" w14:textId="52BE312E" w:rsidR="00431207" w:rsidRPr="00677CE8" w:rsidRDefault="00431207" w:rsidP="00242E6A">
      <w:pPr>
        <w:pStyle w:val="Bibliography"/>
        <w:spacing w:line="240" w:lineRule="auto"/>
        <w:ind w:left="540" w:hanging="540"/>
      </w:pPr>
      <w:r w:rsidRPr="00677CE8">
        <w:t xml:space="preserve">Kim, S., </w:t>
      </w:r>
      <w:r w:rsidR="00963916" w:rsidRPr="00677CE8">
        <w:t>and</w:t>
      </w:r>
      <w:r w:rsidRPr="00677CE8">
        <w:t xml:space="preserve"> Zhang, K. (2025). Willingness to use urban air mobility (UAM) as an airport shuttle across levels of automation. </w:t>
      </w:r>
      <w:r w:rsidRPr="00677CE8">
        <w:rPr>
          <w:i/>
          <w:iCs/>
        </w:rPr>
        <w:t>Journal of Urban Mobility</w:t>
      </w:r>
      <w:r w:rsidRPr="00677CE8">
        <w:t xml:space="preserve">, </w:t>
      </w:r>
      <w:r w:rsidRPr="00677CE8">
        <w:rPr>
          <w:i/>
          <w:iCs/>
        </w:rPr>
        <w:t>8</w:t>
      </w:r>
      <w:r w:rsidRPr="00677CE8">
        <w:t>, 100162. https://doi.org/10.1016/j.urbmob.2025.100162</w:t>
      </w:r>
    </w:p>
    <w:p w14:paraId="1923455D" w14:textId="1712F83F" w:rsidR="00431207" w:rsidRPr="00677CE8" w:rsidRDefault="00431207" w:rsidP="00242E6A">
      <w:pPr>
        <w:pStyle w:val="Bibliography"/>
        <w:spacing w:line="240" w:lineRule="auto"/>
        <w:ind w:left="540" w:hanging="540"/>
      </w:pPr>
      <w:r w:rsidRPr="00677CE8">
        <w:t xml:space="preserve">Kim, Y. W., Lim, C., </w:t>
      </w:r>
      <w:r w:rsidR="00963916" w:rsidRPr="00677CE8">
        <w:t>and</w:t>
      </w:r>
      <w:r w:rsidRPr="00677CE8">
        <w:t xml:space="preserve"> Ji, Y. G. (2023). Exploring the </w:t>
      </w:r>
      <w:r w:rsidR="003E3769">
        <w:t>u</w:t>
      </w:r>
      <w:r w:rsidRPr="00677CE8">
        <w:t xml:space="preserve">ser </w:t>
      </w:r>
      <w:r w:rsidR="003E3769">
        <w:t>a</w:t>
      </w:r>
      <w:r w:rsidRPr="00677CE8">
        <w:t xml:space="preserve">cceptance of </w:t>
      </w:r>
      <w:r w:rsidR="003E3769">
        <w:t>u</w:t>
      </w:r>
      <w:r w:rsidRPr="00677CE8">
        <w:t xml:space="preserve">rban </w:t>
      </w:r>
      <w:r w:rsidR="003E3769">
        <w:t>a</w:t>
      </w:r>
      <w:r w:rsidRPr="00677CE8">
        <w:t xml:space="preserve">ir </w:t>
      </w:r>
      <w:r w:rsidR="003E3769">
        <w:t>m</w:t>
      </w:r>
      <w:r w:rsidRPr="00677CE8">
        <w:t xml:space="preserve">obility: Extending the </w:t>
      </w:r>
      <w:r w:rsidR="003E3769">
        <w:t>t</w:t>
      </w:r>
      <w:r w:rsidRPr="00677CE8">
        <w:t xml:space="preserve">echnology </w:t>
      </w:r>
      <w:r w:rsidR="003E3769">
        <w:t>a</w:t>
      </w:r>
      <w:r w:rsidRPr="00677CE8">
        <w:t xml:space="preserve">cceptance </w:t>
      </w:r>
      <w:r w:rsidR="003E3769">
        <w:t>m</w:t>
      </w:r>
      <w:r w:rsidRPr="00677CE8">
        <w:t xml:space="preserve">odel with </w:t>
      </w:r>
      <w:r w:rsidR="003E3769">
        <w:t>t</w:t>
      </w:r>
      <w:r w:rsidRPr="00677CE8">
        <w:t xml:space="preserve">rust and </w:t>
      </w:r>
      <w:r w:rsidR="003E3769">
        <w:t>s</w:t>
      </w:r>
      <w:r w:rsidRPr="00677CE8">
        <w:t xml:space="preserve">ervice </w:t>
      </w:r>
      <w:r w:rsidR="003E3769">
        <w:t>q</w:t>
      </w:r>
      <w:r w:rsidRPr="00677CE8">
        <w:t xml:space="preserve">uality </w:t>
      </w:r>
      <w:r w:rsidR="003E3769">
        <w:t>f</w:t>
      </w:r>
      <w:r w:rsidRPr="00677CE8">
        <w:t xml:space="preserve">actors. </w:t>
      </w:r>
      <w:r w:rsidRPr="00677CE8">
        <w:rPr>
          <w:i/>
          <w:iCs/>
        </w:rPr>
        <w:t>International Journal of Human–Computer Interaction</w:t>
      </w:r>
      <w:r w:rsidR="00E604A4">
        <w:t xml:space="preserve">, </w:t>
      </w:r>
      <w:r w:rsidR="00E604A4" w:rsidRPr="00E604A4">
        <w:rPr>
          <w:i/>
          <w:iCs/>
        </w:rPr>
        <w:t>39</w:t>
      </w:r>
      <w:r w:rsidR="00E604A4" w:rsidRPr="00E604A4">
        <w:t>(14), 2893–2904</w:t>
      </w:r>
      <w:r w:rsidRPr="00677CE8">
        <w:t>. https://www.tandfonline.com/doi/abs/10.1080/10447318.2022.2087662</w:t>
      </w:r>
    </w:p>
    <w:p w14:paraId="7928CF3B" w14:textId="39FC26E4" w:rsidR="00431207" w:rsidRPr="00677CE8" w:rsidRDefault="00431207" w:rsidP="00242E6A">
      <w:pPr>
        <w:pStyle w:val="Bibliography"/>
        <w:spacing w:line="240" w:lineRule="auto"/>
        <w:ind w:left="540" w:hanging="540"/>
      </w:pPr>
      <w:r w:rsidRPr="00677CE8">
        <w:t>Kwate, N. O. A. (2017). T</w:t>
      </w:r>
      <w:r w:rsidR="003E3769">
        <w:t>he Race Against Time</w:t>
      </w:r>
      <w:r w:rsidRPr="00677CE8">
        <w:t xml:space="preserve"> | Du Bois Review: Social Science Research on Race. </w:t>
      </w:r>
      <w:r w:rsidRPr="00677CE8">
        <w:rPr>
          <w:i/>
          <w:iCs/>
        </w:rPr>
        <w:t>Cambridge Core</w:t>
      </w:r>
      <w:r w:rsidRPr="00677CE8">
        <w:t xml:space="preserve">, </w:t>
      </w:r>
      <w:r w:rsidRPr="00677CE8">
        <w:rPr>
          <w:i/>
          <w:iCs/>
        </w:rPr>
        <w:t>14</w:t>
      </w:r>
      <w:r w:rsidRPr="00677CE8">
        <w:t>(2)</w:t>
      </w:r>
      <w:r w:rsidR="00E604A4">
        <w:t xml:space="preserve">, </w:t>
      </w:r>
      <w:r w:rsidR="00E604A4" w:rsidRPr="00E604A4">
        <w:t>497</w:t>
      </w:r>
      <w:r w:rsidR="00E604A4">
        <w:t>–</w:t>
      </w:r>
      <w:r w:rsidR="00E604A4" w:rsidRPr="00E604A4">
        <w:t>514</w:t>
      </w:r>
      <w:r w:rsidRPr="00677CE8">
        <w:t>. https://doi.org/10.1017/S1742058X17000145</w:t>
      </w:r>
    </w:p>
    <w:p w14:paraId="545145EF" w14:textId="2C9CF0F9" w:rsidR="00903823" w:rsidRDefault="00903823" w:rsidP="00242E6A">
      <w:pPr>
        <w:pStyle w:val="Bibliography"/>
        <w:spacing w:line="240" w:lineRule="auto"/>
        <w:ind w:left="540" w:hanging="540"/>
      </w:pPr>
      <w:r w:rsidRPr="00903823">
        <w:rPr>
          <w:kern w:val="0"/>
        </w:rPr>
        <w:t>LA28 Olympics</w:t>
      </w:r>
      <w:r w:rsidRPr="00903823">
        <w:t xml:space="preserve"> </w:t>
      </w:r>
      <w:r w:rsidRPr="00677CE8">
        <w:t xml:space="preserve">(2025, May). </w:t>
      </w:r>
      <w:r w:rsidRPr="00677CE8">
        <w:rPr>
          <w:i/>
          <w:iCs/>
        </w:rPr>
        <w:t xml:space="preserve">Archer </w:t>
      </w:r>
      <w:r w:rsidR="003E3769">
        <w:rPr>
          <w:i/>
          <w:iCs/>
        </w:rPr>
        <w:t>s</w:t>
      </w:r>
      <w:r w:rsidRPr="00677CE8">
        <w:rPr>
          <w:i/>
          <w:iCs/>
        </w:rPr>
        <w:t xml:space="preserve">elected as the </w:t>
      </w:r>
      <w:r w:rsidR="003E3769">
        <w:rPr>
          <w:i/>
          <w:iCs/>
        </w:rPr>
        <w:t>o</w:t>
      </w:r>
      <w:r w:rsidRPr="00677CE8">
        <w:rPr>
          <w:i/>
          <w:iCs/>
        </w:rPr>
        <w:t xml:space="preserve">fficial </w:t>
      </w:r>
      <w:r w:rsidR="003E3769">
        <w:rPr>
          <w:i/>
          <w:iCs/>
        </w:rPr>
        <w:t>a</w:t>
      </w:r>
      <w:r w:rsidRPr="00677CE8">
        <w:rPr>
          <w:i/>
          <w:iCs/>
        </w:rPr>
        <w:t xml:space="preserve">ir </w:t>
      </w:r>
      <w:r w:rsidR="003E3769">
        <w:rPr>
          <w:i/>
          <w:iCs/>
        </w:rPr>
        <w:t>t</w:t>
      </w:r>
      <w:r w:rsidRPr="00677CE8">
        <w:rPr>
          <w:i/>
          <w:iCs/>
        </w:rPr>
        <w:t xml:space="preserve">axi </w:t>
      </w:r>
      <w:r w:rsidR="003E3769">
        <w:rPr>
          <w:i/>
          <w:iCs/>
        </w:rPr>
        <w:t>p</w:t>
      </w:r>
      <w:r w:rsidRPr="00677CE8">
        <w:rPr>
          <w:i/>
          <w:iCs/>
        </w:rPr>
        <w:t>rovider of the LA28 Olympic and Paralympic Games</w:t>
      </w:r>
      <w:r w:rsidRPr="00677CE8">
        <w:t>. https://la28.org/en/newsroom/archer-selected-as-official-air-taxi-provider-of-la28-games.html</w:t>
      </w:r>
    </w:p>
    <w:p w14:paraId="2DA31175" w14:textId="7B09A738" w:rsidR="00431207" w:rsidRPr="00677CE8" w:rsidRDefault="00431207" w:rsidP="00242E6A">
      <w:pPr>
        <w:pStyle w:val="Bibliography"/>
        <w:spacing w:line="240" w:lineRule="auto"/>
        <w:ind w:left="540" w:hanging="540"/>
      </w:pPr>
      <w:r w:rsidRPr="00677CE8">
        <w:t xml:space="preserve">Lam, S.-H., </w:t>
      </w:r>
      <w:r w:rsidR="00963916" w:rsidRPr="00677CE8">
        <w:t>and</w:t>
      </w:r>
      <w:r w:rsidRPr="00677CE8">
        <w:t xml:space="preserve"> Xie, F. (2002). Transit </w:t>
      </w:r>
      <w:r w:rsidR="003E3769">
        <w:t>p</w:t>
      </w:r>
      <w:r w:rsidRPr="00677CE8">
        <w:t>ath-</w:t>
      </w:r>
      <w:r w:rsidR="003E3769">
        <w:t>c</w:t>
      </w:r>
      <w:r w:rsidRPr="00677CE8">
        <w:t xml:space="preserve">hoice </w:t>
      </w:r>
      <w:r w:rsidR="003E3769">
        <w:t>m</w:t>
      </w:r>
      <w:r w:rsidRPr="00677CE8">
        <w:t xml:space="preserve">odels </w:t>
      </w:r>
      <w:r w:rsidR="003E3769">
        <w:t>t</w:t>
      </w:r>
      <w:r w:rsidRPr="00677CE8">
        <w:t xml:space="preserve">hat </w:t>
      </w:r>
      <w:r w:rsidR="003E3769">
        <w:t>u</w:t>
      </w:r>
      <w:r w:rsidRPr="00677CE8">
        <w:t xml:space="preserve">se </w:t>
      </w:r>
      <w:r w:rsidR="003E3769">
        <w:t>r</w:t>
      </w:r>
      <w:r w:rsidRPr="00677CE8">
        <w:t xml:space="preserve">evealed </w:t>
      </w:r>
      <w:r w:rsidR="003E3769">
        <w:t>p</w:t>
      </w:r>
      <w:r w:rsidRPr="00677CE8">
        <w:t xml:space="preserve">reference and </w:t>
      </w:r>
      <w:r w:rsidR="003E3769">
        <w:t>s</w:t>
      </w:r>
      <w:r w:rsidRPr="00677CE8">
        <w:t xml:space="preserve">tated </w:t>
      </w:r>
      <w:r w:rsidR="003E3769">
        <w:t>p</w:t>
      </w:r>
      <w:r w:rsidRPr="00677CE8">
        <w:t xml:space="preserve">reference </w:t>
      </w:r>
      <w:r w:rsidR="003E3769">
        <w:t>d</w:t>
      </w:r>
      <w:r w:rsidRPr="00677CE8">
        <w:t xml:space="preserve">ata. </w:t>
      </w:r>
      <w:r w:rsidRPr="00677CE8">
        <w:rPr>
          <w:i/>
          <w:iCs/>
        </w:rPr>
        <w:t>Transportation Research Record</w:t>
      </w:r>
      <w:r w:rsidRPr="00677CE8">
        <w:t xml:space="preserve">, </w:t>
      </w:r>
      <w:r w:rsidRPr="00677CE8">
        <w:rPr>
          <w:i/>
          <w:iCs/>
        </w:rPr>
        <w:t>1799</w:t>
      </w:r>
      <w:r w:rsidRPr="00677CE8">
        <w:t>(1), 58–65. https://doi.org/10.3141/1799-08</w:t>
      </w:r>
    </w:p>
    <w:p w14:paraId="63E17544" w14:textId="77F7EBE3" w:rsidR="00431207" w:rsidRPr="00677CE8" w:rsidRDefault="00431207" w:rsidP="00242E6A">
      <w:pPr>
        <w:pStyle w:val="Bibliography"/>
        <w:spacing w:line="240" w:lineRule="auto"/>
        <w:ind w:left="540" w:hanging="540"/>
      </w:pPr>
      <w:r w:rsidRPr="00677CE8">
        <w:t xml:space="preserve">Lavieri, P. S., Garikapati, V. M., Bhat, C. R., Pendyala, R. M., Astroza, S., </w:t>
      </w:r>
      <w:r w:rsidR="00963916" w:rsidRPr="00677CE8">
        <w:t>and</w:t>
      </w:r>
      <w:r w:rsidRPr="00677CE8">
        <w:t xml:space="preserve"> Dias, F. F. (2017). Modeling </w:t>
      </w:r>
      <w:r w:rsidR="003E3769">
        <w:t>i</w:t>
      </w:r>
      <w:r w:rsidRPr="00677CE8">
        <w:t xml:space="preserve">ndividual </w:t>
      </w:r>
      <w:r w:rsidR="003E3769">
        <w:t>p</w:t>
      </w:r>
      <w:r w:rsidRPr="00677CE8">
        <w:t xml:space="preserve">references for </w:t>
      </w:r>
      <w:r w:rsidR="003E3769">
        <w:t>o</w:t>
      </w:r>
      <w:r w:rsidRPr="00677CE8">
        <w:t xml:space="preserve">wnership and </w:t>
      </w:r>
      <w:r w:rsidR="003E3769">
        <w:t>s</w:t>
      </w:r>
      <w:r w:rsidRPr="00677CE8">
        <w:t xml:space="preserve">haring of </w:t>
      </w:r>
      <w:r w:rsidR="003E3769">
        <w:t>a</w:t>
      </w:r>
      <w:r w:rsidRPr="00677CE8">
        <w:t xml:space="preserve">utonomous </w:t>
      </w:r>
      <w:r w:rsidR="003E3769">
        <w:t>v</w:t>
      </w:r>
      <w:r w:rsidRPr="00677CE8">
        <w:t xml:space="preserve">ehicle </w:t>
      </w:r>
      <w:r w:rsidR="003E3769">
        <w:t>t</w:t>
      </w:r>
      <w:r w:rsidRPr="00677CE8">
        <w:t xml:space="preserve">echnologies. </w:t>
      </w:r>
      <w:r w:rsidRPr="00677CE8">
        <w:rPr>
          <w:i/>
          <w:iCs/>
        </w:rPr>
        <w:t>Transportation Research Record</w:t>
      </w:r>
      <w:r w:rsidRPr="00677CE8">
        <w:t xml:space="preserve">, </w:t>
      </w:r>
      <w:r w:rsidRPr="00677CE8">
        <w:rPr>
          <w:i/>
          <w:iCs/>
        </w:rPr>
        <w:t>2665</w:t>
      </w:r>
      <w:r w:rsidRPr="00677CE8">
        <w:t>(1), 1–10. https://doi.org/10.3141/2665-01</w:t>
      </w:r>
    </w:p>
    <w:p w14:paraId="5B5CA1A5" w14:textId="43E140E0" w:rsidR="00431207" w:rsidRPr="00677CE8" w:rsidRDefault="00431207" w:rsidP="00242E6A">
      <w:pPr>
        <w:pStyle w:val="Bibliography"/>
        <w:spacing w:line="240" w:lineRule="auto"/>
        <w:ind w:left="540" w:hanging="540"/>
      </w:pPr>
      <w:r w:rsidRPr="00677CE8">
        <w:t xml:space="preserve">Lee, C., Bae, B., Lee, Y. L., </w:t>
      </w:r>
      <w:r w:rsidR="00963916" w:rsidRPr="00677CE8">
        <w:t>and</w:t>
      </w:r>
      <w:r w:rsidRPr="00677CE8">
        <w:t xml:space="preserve"> Pak, T.-Y. (2023). Societal </w:t>
      </w:r>
      <w:r w:rsidR="003E3769">
        <w:t>a</w:t>
      </w:r>
      <w:r w:rsidRPr="00677CE8">
        <w:t xml:space="preserve">cceptance of </w:t>
      </w:r>
      <w:r w:rsidR="003E3769">
        <w:t>u</w:t>
      </w:r>
      <w:r w:rsidRPr="00677CE8">
        <w:t xml:space="preserve">rban </w:t>
      </w:r>
      <w:r w:rsidR="003E3769">
        <w:t>a</w:t>
      </w:r>
      <w:r w:rsidRPr="00677CE8">
        <w:t xml:space="preserve">ir </w:t>
      </w:r>
      <w:r w:rsidR="003E3769">
        <w:t>m</w:t>
      </w:r>
      <w:r w:rsidRPr="00677CE8">
        <w:t xml:space="preserve">obility </w:t>
      </w:r>
      <w:r w:rsidR="003E3769">
        <w:t>b</w:t>
      </w:r>
      <w:r w:rsidRPr="00677CE8">
        <w:t xml:space="preserve">ased on the </w:t>
      </w:r>
      <w:r w:rsidR="003E3769">
        <w:t>t</w:t>
      </w:r>
      <w:r w:rsidRPr="00677CE8">
        <w:t xml:space="preserve">echnology </w:t>
      </w:r>
      <w:r w:rsidR="003E3769">
        <w:t>a</w:t>
      </w:r>
      <w:r w:rsidRPr="00677CE8">
        <w:t xml:space="preserve">doption </w:t>
      </w:r>
      <w:r w:rsidR="003E3769">
        <w:t>f</w:t>
      </w:r>
      <w:r w:rsidRPr="00677CE8">
        <w:t xml:space="preserve">ramework. </w:t>
      </w:r>
      <w:r w:rsidRPr="00677CE8">
        <w:rPr>
          <w:i/>
          <w:iCs/>
        </w:rPr>
        <w:t>Technological Forecasting and Social Change</w:t>
      </w:r>
      <w:r w:rsidRPr="00677CE8">
        <w:t xml:space="preserve">, </w:t>
      </w:r>
      <w:r w:rsidRPr="00677CE8">
        <w:rPr>
          <w:i/>
          <w:iCs/>
        </w:rPr>
        <w:t>196</w:t>
      </w:r>
      <w:r w:rsidR="00E604A4">
        <w:t xml:space="preserve">, </w:t>
      </w:r>
      <w:r w:rsidR="00E604A4" w:rsidRPr="00677CE8">
        <w:t>122807</w:t>
      </w:r>
      <w:r w:rsidR="00E604A4">
        <w:t>.</w:t>
      </w:r>
      <w:r w:rsidRPr="00677CE8">
        <w:t xml:space="preserve"> https://doi.org/10.1016/j.techfore.2023.122807</w:t>
      </w:r>
    </w:p>
    <w:p w14:paraId="0BB21F05" w14:textId="6FBC21EC" w:rsidR="00431207" w:rsidRPr="00C07E56" w:rsidRDefault="00431207" w:rsidP="00242E6A">
      <w:pPr>
        <w:pStyle w:val="Bibliography"/>
        <w:spacing w:line="240" w:lineRule="auto"/>
        <w:ind w:left="540" w:hanging="540"/>
        <w:rPr>
          <w:sz w:val="23"/>
          <w:szCs w:val="23"/>
        </w:rPr>
      </w:pPr>
      <w:r w:rsidRPr="00677CE8">
        <w:lastRenderedPageBreak/>
        <w:t xml:space="preserve">Letellier, N., Yang, J.-A., Cavaillès, C., Casey, J. A., Carrasco-Escobar, G., Zamora, S., Jankowska, M. M., </w:t>
      </w:r>
      <w:r w:rsidR="00963916" w:rsidRPr="00677CE8">
        <w:t>and</w:t>
      </w:r>
      <w:r w:rsidRPr="00677CE8">
        <w:t xml:space="preserve"> Benmarhnia, T. (2023). Aircraft and road traffic noise, insulin resistance, and diabetes: The role of neighborhood socioeconomic status in San Diego County. </w:t>
      </w:r>
      <w:r w:rsidRPr="00677CE8">
        <w:rPr>
          <w:i/>
          <w:iCs/>
        </w:rPr>
        <w:t>Environmental Pollution</w:t>
      </w:r>
      <w:r w:rsidRPr="00677CE8">
        <w:t xml:space="preserve">, </w:t>
      </w:r>
      <w:r w:rsidRPr="00677CE8">
        <w:rPr>
          <w:i/>
          <w:iCs/>
        </w:rPr>
        <w:t>335</w:t>
      </w:r>
      <w:r w:rsidRPr="00677CE8">
        <w:t xml:space="preserve">, 122277. </w:t>
      </w:r>
      <w:r w:rsidRPr="00C07E56">
        <w:rPr>
          <w:sz w:val="23"/>
          <w:szCs w:val="23"/>
        </w:rPr>
        <w:t>https://doi.org/10.1016/j.envpol.2023.122277</w:t>
      </w:r>
    </w:p>
    <w:p w14:paraId="4B5CC1C1" w14:textId="684980FF" w:rsidR="00431207" w:rsidRPr="00677CE8" w:rsidRDefault="00431207" w:rsidP="00242E6A">
      <w:pPr>
        <w:pStyle w:val="Bibliography"/>
        <w:spacing w:line="240" w:lineRule="auto"/>
        <w:ind w:left="540" w:hanging="540"/>
      </w:pPr>
      <w:r w:rsidRPr="00677CE8">
        <w:t xml:space="preserve">Lin Tan, L. K., Lim, B. C., Park, G., Low, K. H., </w:t>
      </w:r>
      <w:r w:rsidR="00963916" w:rsidRPr="00677CE8">
        <w:t>and</w:t>
      </w:r>
      <w:r w:rsidRPr="00677CE8">
        <w:t xml:space="preserve"> Seng Yeo, V. C. (2021). Public acceptance of drone applications in a highly urbanized environment. </w:t>
      </w:r>
      <w:r w:rsidRPr="00677CE8">
        <w:rPr>
          <w:i/>
          <w:iCs/>
        </w:rPr>
        <w:t>Technology in Society</w:t>
      </w:r>
      <w:r w:rsidRPr="00677CE8">
        <w:t xml:space="preserve">, </w:t>
      </w:r>
      <w:r w:rsidRPr="00677CE8">
        <w:rPr>
          <w:i/>
          <w:iCs/>
        </w:rPr>
        <w:t>64</w:t>
      </w:r>
      <w:r w:rsidRPr="00677CE8">
        <w:t>, 101462. https://doi.org/10.1016/j.techsoc.2020.101462</w:t>
      </w:r>
    </w:p>
    <w:p w14:paraId="4081F922" w14:textId="098A6B3B" w:rsidR="00431207" w:rsidRPr="00677CE8" w:rsidRDefault="00431207" w:rsidP="00242E6A">
      <w:pPr>
        <w:pStyle w:val="Bibliography"/>
        <w:spacing w:line="240" w:lineRule="auto"/>
        <w:ind w:left="540" w:hanging="540"/>
      </w:pPr>
      <w:r w:rsidRPr="00677CE8">
        <w:t xml:space="preserve">Liu, P., Teng, M., </w:t>
      </w:r>
      <w:r w:rsidR="00963916" w:rsidRPr="00677CE8">
        <w:t>and</w:t>
      </w:r>
      <w:r w:rsidRPr="00677CE8">
        <w:t xml:space="preserve"> Han, C. (2020). How does environmental knowledge translate into pro-environmental behaviors? The mediating role of environmental attitudes and behavioral intentions. </w:t>
      </w:r>
      <w:r w:rsidRPr="00677CE8">
        <w:rPr>
          <w:i/>
          <w:iCs/>
        </w:rPr>
        <w:t>Science of The Total Environment</w:t>
      </w:r>
      <w:r w:rsidRPr="00677CE8">
        <w:t xml:space="preserve">, </w:t>
      </w:r>
      <w:r w:rsidRPr="00677CE8">
        <w:rPr>
          <w:i/>
          <w:iCs/>
        </w:rPr>
        <w:t>728</w:t>
      </w:r>
      <w:r w:rsidRPr="00677CE8">
        <w:t>, 138126. https://doi.org/10.1016/j.scitotenv.2020.138126</w:t>
      </w:r>
    </w:p>
    <w:p w14:paraId="553F5608" w14:textId="66AD5224" w:rsidR="00431207" w:rsidRPr="00677CE8" w:rsidRDefault="00431207" w:rsidP="00242E6A">
      <w:pPr>
        <w:pStyle w:val="Bibliography"/>
        <w:spacing w:line="240" w:lineRule="auto"/>
        <w:ind w:left="540" w:hanging="540"/>
      </w:pPr>
      <w:r w:rsidRPr="00677CE8">
        <w:t xml:space="preserve">Lotz, V., Kirste, A., Lidynia, C., Stumpf, E., </w:t>
      </w:r>
      <w:r w:rsidR="00963916" w:rsidRPr="00677CE8">
        <w:t>and</w:t>
      </w:r>
      <w:r w:rsidRPr="00677CE8">
        <w:t xml:space="preserve"> Ziefle, M. (2023). User </w:t>
      </w:r>
      <w:r w:rsidR="003E3769">
        <w:t>a</w:t>
      </w:r>
      <w:r w:rsidRPr="00677CE8">
        <w:t>cceptance of </w:t>
      </w:r>
      <w:r w:rsidR="003E3769">
        <w:t>u</w:t>
      </w:r>
      <w:r w:rsidRPr="00677CE8">
        <w:t xml:space="preserve">rban </w:t>
      </w:r>
      <w:r w:rsidR="003E3769">
        <w:t>a</w:t>
      </w:r>
      <w:r w:rsidRPr="00677CE8">
        <w:t xml:space="preserve">ir </w:t>
      </w:r>
      <w:r w:rsidR="003E3769">
        <w:t>m</w:t>
      </w:r>
      <w:r w:rsidRPr="00677CE8">
        <w:t>obility (UAM) for </w:t>
      </w:r>
      <w:r w:rsidR="003E3769">
        <w:t>p</w:t>
      </w:r>
      <w:r w:rsidRPr="00677CE8">
        <w:t xml:space="preserve">assenger </w:t>
      </w:r>
      <w:r w:rsidR="003E3769">
        <w:t>t</w:t>
      </w:r>
      <w:r w:rsidRPr="00677CE8">
        <w:t xml:space="preserve">ransport: A </w:t>
      </w:r>
      <w:r w:rsidR="003E3769">
        <w:t>c</w:t>
      </w:r>
      <w:r w:rsidRPr="00677CE8">
        <w:t>hoice-</w:t>
      </w:r>
      <w:r w:rsidR="003E3769">
        <w:t>b</w:t>
      </w:r>
      <w:r w:rsidRPr="00677CE8">
        <w:t xml:space="preserve">ased </w:t>
      </w:r>
      <w:r w:rsidR="003E3769">
        <w:t>c</w:t>
      </w:r>
      <w:r w:rsidRPr="00677CE8">
        <w:t xml:space="preserve">onjoint </w:t>
      </w:r>
      <w:r w:rsidR="003E3769">
        <w:t>s</w:t>
      </w:r>
      <w:r w:rsidRPr="00677CE8">
        <w:t xml:space="preserve">tudy. In H. Krömker (Ed.), </w:t>
      </w:r>
      <w:r w:rsidRPr="00677CE8">
        <w:rPr>
          <w:i/>
          <w:iCs/>
        </w:rPr>
        <w:t>HCI in Mobility, Transport, and Automotive Systems</w:t>
      </w:r>
      <w:r w:rsidRPr="00677CE8">
        <w:t xml:space="preserve"> (pp. 296–315). Springer Nature Switzerland. https://doi.org/10.1007/978-3-031-35678-0_20</w:t>
      </w:r>
    </w:p>
    <w:p w14:paraId="79D45216" w14:textId="53062914" w:rsidR="00431207" w:rsidRPr="00677CE8" w:rsidRDefault="00431207" w:rsidP="00242E6A">
      <w:pPr>
        <w:pStyle w:val="Bibliography"/>
        <w:spacing w:line="240" w:lineRule="auto"/>
        <w:ind w:left="540" w:hanging="540"/>
      </w:pPr>
      <w:r w:rsidRPr="00677CE8">
        <w:t xml:space="preserve">MacLeod, K. E., Thorhauge, M., Villalobos, V., van Meijgaard, J., Karriker-Jaffe, K. J., Kelley-Baker, T., </w:t>
      </w:r>
      <w:r w:rsidR="00963916" w:rsidRPr="00677CE8">
        <w:t>and</w:t>
      </w:r>
      <w:r w:rsidRPr="00677CE8">
        <w:t xml:space="preserve"> Ragland, D. R. (2020). To drive or not to drive? A study of travel behavior for a recent drinking occasion. </w:t>
      </w:r>
      <w:r w:rsidRPr="00677CE8">
        <w:rPr>
          <w:i/>
          <w:iCs/>
        </w:rPr>
        <w:t>Travel Behaviour and Society</w:t>
      </w:r>
      <w:r w:rsidRPr="00677CE8">
        <w:t xml:space="preserve">, </w:t>
      </w:r>
      <w:r w:rsidRPr="00677CE8">
        <w:rPr>
          <w:i/>
          <w:iCs/>
        </w:rPr>
        <w:t>20</w:t>
      </w:r>
      <w:r w:rsidRPr="00677CE8">
        <w:t>, 74–82. https://doi.org/10.1016/j.tbs.2020.02.008</w:t>
      </w:r>
    </w:p>
    <w:p w14:paraId="615E0662" w14:textId="0B05D578" w:rsidR="00431207" w:rsidRPr="00677CE8" w:rsidRDefault="00431207" w:rsidP="00242E6A">
      <w:pPr>
        <w:pStyle w:val="Bibliography"/>
        <w:spacing w:line="240" w:lineRule="auto"/>
        <w:ind w:left="540" w:hanging="540"/>
      </w:pPr>
      <w:r w:rsidRPr="00677CE8">
        <w:t xml:space="preserve">Michaud, D. S., Marro, L., Denning, A., Shackleton, S., Toutant, N., </w:t>
      </w:r>
      <w:r w:rsidR="00963916" w:rsidRPr="00677CE8">
        <w:t>and</w:t>
      </w:r>
      <w:r w:rsidRPr="00677CE8">
        <w:t xml:space="preserve"> McNamee, J. P. (2022). Annoyance toward transportation and construction noise in rural suburban and urban regions across Canada. </w:t>
      </w:r>
      <w:r w:rsidRPr="00677CE8">
        <w:rPr>
          <w:i/>
          <w:iCs/>
        </w:rPr>
        <w:t>Environmental Impact Assessment Review</w:t>
      </w:r>
      <w:r w:rsidRPr="00677CE8">
        <w:t xml:space="preserve">, </w:t>
      </w:r>
      <w:r w:rsidRPr="00677CE8">
        <w:rPr>
          <w:i/>
          <w:iCs/>
        </w:rPr>
        <w:t>97</w:t>
      </w:r>
      <w:r w:rsidRPr="00677CE8">
        <w:t>, 106881. https://doi.org/10.1016/j.eiar.2022.106881</w:t>
      </w:r>
    </w:p>
    <w:p w14:paraId="6F27C91F" w14:textId="4F81F24B" w:rsidR="00431207" w:rsidRPr="00677CE8" w:rsidRDefault="00431207" w:rsidP="00242E6A">
      <w:pPr>
        <w:pStyle w:val="Bibliography"/>
        <w:spacing w:line="240" w:lineRule="auto"/>
        <w:ind w:left="540" w:hanging="540"/>
      </w:pPr>
      <w:r w:rsidRPr="00677CE8">
        <w:t xml:space="preserve">Miedema, H., </w:t>
      </w:r>
      <w:r w:rsidR="00963916" w:rsidRPr="00677CE8">
        <w:t>and</w:t>
      </w:r>
      <w:r w:rsidRPr="00677CE8">
        <w:t xml:space="preserve"> Vos, H. (1999). </w:t>
      </w:r>
      <w:r w:rsidRPr="00E604A4">
        <w:t xml:space="preserve">Demographic and attitudinal factors that modify annoyance from transportation noise. </w:t>
      </w:r>
      <w:r w:rsidR="00E604A4">
        <w:rPr>
          <w:i/>
          <w:iCs/>
        </w:rPr>
        <w:t>The Journal of the Acoustical Society of America</w:t>
      </w:r>
      <w:r w:rsidR="00E604A4" w:rsidRPr="00E604A4">
        <w:t xml:space="preserve">, </w:t>
      </w:r>
      <w:r w:rsidR="00E604A4" w:rsidRPr="00E604A4">
        <w:rPr>
          <w:i/>
          <w:iCs/>
        </w:rPr>
        <w:t>105</w:t>
      </w:r>
      <w:r w:rsidR="00E604A4" w:rsidRPr="00E604A4">
        <w:t>(6)</w:t>
      </w:r>
      <w:r w:rsidR="00E604A4">
        <w:t xml:space="preserve">, </w:t>
      </w:r>
      <w:r w:rsidR="00E604A4" w:rsidRPr="00E604A4">
        <w:t>3336–3344</w:t>
      </w:r>
      <w:r w:rsidRPr="00E604A4">
        <w:t xml:space="preserve">. </w:t>
      </w:r>
      <w:r w:rsidRPr="00677CE8">
        <w:t>https://doi.org/https://doi.org/10.1121/1.424662</w:t>
      </w:r>
    </w:p>
    <w:p w14:paraId="645B9D33" w14:textId="1ECA3C8F" w:rsidR="00431207" w:rsidRPr="00677CE8" w:rsidRDefault="00431207" w:rsidP="00242E6A">
      <w:pPr>
        <w:pStyle w:val="Bibliography"/>
        <w:spacing w:line="240" w:lineRule="auto"/>
        <w:ind w:left="540" w:hanging="540"/>
      </w:pPr>
      <w:r w:rsidRPr="00677CE8">
        <w:t xml:space="preserve">Mohan, R., Saleem, F., Voderhobli, K., </w:t>
      </w:r>
      <w:r w:rsidR="00963916" w:rsidRPr="00677CE8">
        <w:t>and</w:t>
      </w:r>
      <w:r w:rsidRPr="00677CE8">
        <w:t xml:space="preserve"> Sheikh-Akbari, A. (2024). Ensuring </w:t>
      </w:r>
      <w:r w:rsidR="003E3769">
        <w:t>s</w:t>
      </w:r>
      <w:r w:rsidRPr="00677CE8">
        <w:t xml:space="preserve">ustainable </w:t>
      </w:r>
      <w:r w:rsidR="003E3769">
        <w:t>d</w:t>
      </w:r>
      <w:r w:rsidRPr="00677CE8">
        <w:t xml:space="preserve">igital </w:t>
      </w:r>
      <w:r w:rsidR="003E3769">
        <w:t>i</w:t>
      </w:r>
      <w:r w:rsidRPr="00677CE8">
        <w:t xml:space="preserve">nclusion among the </w:t>
      </w:r>
      <w:r w:rsidR="003E3769">
        <w:t>e</w:t>
      </w:r>
      <w:r w:rsidRPr="00677CE8">
        <w:t xml:space="preserve">lderly: A </w:t>
      </w:r>
      <w:r w:rsidR="003E3769">
        <w:t>c</w:t>
      </w:r>
      <w:r w:rsidRPr="00677CE8">
        <w:t xml:space="preserve">omprehensive </w:t>
      </w:r>
      <w:r w:rsidR="003E3769">
        <w:t>a</w:t>
      </w:r>
      <w:r w:rsidRPr="00677CE8">
        <w:t xml:space="preserve">nalysis. </w:t>
      </w:r>
      <w:r w:rsidRPr="00677CE8">
        <w:rPr>
          <w:i/>
          <w:iCs/>
        </w:rPr>
        <w:t>Sustainability</w:t>
      </w:r>
      <w:r w:rsidRPr="00677CE8">
        <w:t xml:space="preserve">, </w:t>
      </w:r>
      <w:r w:rsidRPr="00677CE8">
        <w:rPr>
          <w:i/>
          <w:iCs/>
        </w:rPr>
        <w:t>16</w:t>
      </w:r>
      <w:r w:rsidRPr="00677CE8">
        <w:t>(17)</w:t>
      </w:r>
      <w:r w:rsidR="00E604A4">
        <w:t xml:space="preserve">, </w:t>
      </w:r>
      <w:r w:rsidR="00E604A4" w:rsidRPr="00677CE8">
        <w:t>17/7485</w:t>
      </w:r>
      <w:r w:rsidR="00E604A4">
        <w:t>.</w:t>
      </w:r>
      <w:r w:rsidRPr="00677CE8">
        <w:t xml:space="preserve"> https://www.mdpi.com/2071-1050/16/17/7485</w:t>
      </w:r>
    </w:p>
    <w:p w14:paraId="29AA9FF2" w14:textId="18D6FA44" w:rsidR="00431207" w:rsidRPr="00677CE8" w:rsidRDefault="00431207" w:rsidP="00242E6A">
      <w:pPr>
        <w:pStyle w:val="Bibliography"/>
        <w:spacing w:line="240" w:lineRule="auto"/>
        <w:ind w:left="540" w:hanging="540"/>
      </w:pPr>
      <w:r w:rsidRPr="00677CE8">
        <w:t xml:space="preserve">Moody, J., </w:t>
      </w:r>
      <w:r w:rsidR="00963916" w:rsidRPr="00677CE8">
        <w:t>and</w:t>
      </w:r>
      <w:r w:rsidRPr="00677CE8">
        <w:t xml:space="preserve"> Zhao, J. (2019). Car pride and its bidirectional relations with car ownership: Case studies in New York City and Houston. </w:t>
      </w:r>
      <w:r w:rsidRPr="00677CE8">
        <w:rPr>
          <w:i/>
          <w:iCs/>
        </w:rPr>
        <w:t>Transportation Research Part A: Policy and Practice</w:t>
      </w:r>
      <w:r w:rsidRPr="00677CE8">
        <w:t xml:space="preserve">, </w:t>
      </w:r>
      <w:r w:rsidRPr="00677CE8">
        <w:rPr>
          <w:i/>
          <w:iCs/>
        </w:rPr>
        <w:t>124</w:t>
      </w:r>
      <w:r w:rsidRPr="00677CE8">
        <w:t>, 334–353. https://doi.org/10.1016/j.tra.2019.04.005</w:t>
      </w:r>
    </w:p>
    <w:p w14:paraId="11C6C868" w14:textId="725E085C" w:rsidR="00431207" w:rsidRPr="00677CE8" w:rsidRDefault="00431207" w:rsidP="00242E6A">
      <w:pPr>
        <w:pStyle w:val="Bibliography"/>
        <w:spacing w:line="240" w:lineRule="auto"/>
        <w:ind w:left="540" w:hanging="540"/>
      </w:pPr>
      <w:r w:rsidRPr="00677CE8">
        <w:t xml:space="preserve">Moody, J., </w:t>
      </w:r>
      <w:r w:rsidR="00963916" w:rsidRPr="00677CE8">
        <w:t>and</w:t>
      </w:r>
      <w:r w:rsidRPr="00677CE8">
        <w:t xml:space="preserve"> Zhao, J. (2020). Travel behavior as a driver of attitude: Car use and car pride in U.S. cities. </w:t>
      </w:r>
      <w:r w:rsidRPr="00677CE8">
        <w:rPr>
          <w:i/>
          <w:iCs/>
        </w:rPr>
        <w:t>Transportation Research Part F: Traffic Psychology and Behaviour</w:t>
      </w:r>
      <w:r w:rsidRPr="00677CE8">
        <w:t xml:space="preserve">, </w:t>
      </w:r>
      <w:r w:rsidRPr="00677CE8">
        <w:rPr>
          <w:i/>
          <w:iCs/>
        </w:rPr>
        <w:t>74</w:t>
      </w:r>
      <w:r w:rsidRPr="00677CE8">
        <w:t>, 225–236. https://doi.org/10.1016/j.trf.2020.08.021</w:t>
      </w:r>
    </w:p>
    <w:p w14:paraId="1202E7D2" w14:textId="0A281D8C" w:rsidR="00431207" w:rsidRDefault="00431207" w:rsidP="00242E6A">
      <w:pPr>
        <w:pStyle w:val="Bibliography"/>
        <w:spacing w:line="240" w:lineRule="auto"/>
        <w:ind w:left="540" w:hanging="540"/>
      </w:pPr>
      <w:r w:rsidRPr="00677CE8">
        <w:t xml:space="preserve">Mostofi, H., Biehle, T., Kellermann, R., </w:t>
      </w:r>
      <w:r w:rsidR="00963916" w:rsidRPr="00677CE8">
        <w:t>and</w:t>
      </w:r>
      <w:r w:rsidRPr="00677CE8">
        <w:t xml:space="preserve"> Dienel, H.-L. (2024). Modelling public attitude towards air taxis in Germany. </w:t>
      </w:r>
      <w:r w:rsidRPr="00677CE8">
        <w:rPr>
          <w:i/>
          <w:iCs/>
        </w:rPr>
        <w:t>Transportation Research Interdisciplinary Perspectives</w:t>
      </w:r>
      <w:r w:rsidRPr="00677CE8">
        <w:t xml:space="preserve">, </w:t>
      </w:r>
      <w:r w:rsidRPr="00677CE8">
        <w:rPr>
          <w:i/>
          <w:iCs/>
        </w:rPr>
        <w:t>24</w:t>
      </w:r>
      <w:r w:rsidRPr="00677CE8">
        <w:t>, 101045. https://doi.org/10.1016/j.trip.2024.101045</w:t>
      </w:r>
    </w:p>
    <w:p w14:paraId="4AF4B431" w14:textId="3AFD0BD7" w:rsidR="00515A6F" w:rsidRPr="00515A6F" w:rsidRDefault="00515A6F" w:rsidP="00E84616">
      <w:pPr>
        <w:spacing w:after="0" w:line="240" w:lineRule="auto"/>
        <w:ind w:left="540" w:hanging="540"/>
      </w:pPr>
      <w:r w:rsidRPr="00515A6F">
        <w:t xml:space="preserve">Murphy, K. M., </w:t>
      </w:r>
      <w:r>
        <w:t>and</w:t>
      </w:r>
      <w:r w:rsidRPr="00515A6F">
        <w:t xml:space="preserve"> Topel, R. H. (2002). Estimation and </w:t>
      </w:r>
      <w:r w:rsidR="003E3769">
        <w:t>i</w:t>
      </w:r>
      <w:r w:rsidRPr="00515A6F">
        <w:t xml:space="preserve">nference in </w:t>
      </w:r>
      <w:r w:rsidR="003E3769">
        <w:t>t</w:t>
      </w:r>
      <w:r w:rsidRPr="00515A6F">
        <w:t>wo-</w:t>
      </w:r>
      <w:r w:rsidR="003E3769">
        <w:t>s</w:t>
      </w:r>
      <w:r w:rsidRPr="00515A6F">
        <w:t xml:space="preserve">tep </w:t>
      </w:r>
      <w:r w:rsidR="003E3769">
        <w:t>e</w:t>
      </w:r>
      <w:r w:rsidRPr="00515A6F">
        <w:t xml:space="preserve">conometric </w:t>
      </w:r>
      <w:r w:rsidR="003E3769">
        <w:t>m</w:t>
      </w:r>
      <w:r w:rsidRPr="00515A6F">
        <w:t>odels. Journal of Business &amp; Economic Statistics, 20(1), 88–97. https://doi.org/10.1198/073500102753410417</w:t>
      </w:r>
    </w:p>
    <w:p w14:paraId="148412F2" w14:textId="662614A7" w:rsidR="00431207" w:rsidRPr="00677CE8" w:rsidRDefault="00431207" w:rsidP="00E84616">
      <w:pPr>
        <w:pStyle w:val="Bibliography"/>
        <w:spacing w:line="240" w:lineRule="auto"/>
        <w:ind w:left="540" w:hanging="540"/>
      </w:pPr>
      <w:r w:rsidRPr="00677CE8">
        <w:t xml:space="preserve">Mushtaq, T., </w:t>
      </w:r>
      <w:r w:rsidR="00963916" w:rsidRPr="00677CE8">
        <w:t>and</w:t>
      </w:r>
      <w:r w:rsidRPr="00677CE8">
        <w:t xml:space="preserve"> Riyaz, S. (2020). The </w:t>
      </w:r>
      <w:r w:rsidR="003E3769">
        <w:t>g</w:t>
      </w:r>
      <w:r w:rsidRPr="00677CE8">
        <w:t xml:space="preserve">ender </w:t>
      </w:r>
      <w:r w:rsidR="003E3769">
        <w:t>d</w:t>
      </w:r>
      <w:r w:rsidRPr="00677CE8">
        <w:t xml:space="preserve">igital </w:t>
      </w:r>
      <w:r w:rsidR="003E3769">
        <w:t>d</w:t>
      </w:r>
      <w:r w:rsidRPr="00677CE8">
        <w:t xml:space="preserve">ivide: An </w:t>
      </w:r>
      <w:r w:rsidR="003E3769">
        <w:t>e</w:t>
      </w:r>
      <w:r w:rsidRPr="00677CE8">
        <w:t xml:space="preserve">xploratory </w:t>
      </w:r>
      <w:r w:rsidR="003E3769">
        <w:t>r</w:t>
      </w:r>
      <w:r w:rsidRPr="00677CE8">
        <w:t xml:space="preserve">esearch </w:t>
      </w:r>
      <w:r w:rsidR="003E3769">
        <w:t>o</w:t>
      </w:r>
      <w:r w:rsidRPr="00677CE8">
        <w:t xml:space="preserve">f University </w:t>
      </w:r>
      <w:r w:rsidR="003E3769">
        <w:t>o</w:t>
      </w:r>
      <w:r w:rsidRPr="00677CE8">
        <w:t xml:space="preserve">f Kashmir. </w:t>
      </w:r>
      <w:r w:rsidRPr="00677CE8">
        <w:rPr>
          <w:i/>
          <w:iCs/>
        </w:rPr>
        <w:t>Global Academic Journal of Humanities and Social Sciences</w:t>
      </w:r>
      <w:r w:rsidRPr="00677CE8">
        <w:t xml:space="preserve">, </w:t>
      </w:r>
      <w:r w:rsidRPr="00677CE8">
        <w:rPr>
          <w:i/>
          <w:iCs/>
        </w:rPr>
        <w:t>2</w:t>
      </w:r>
      <w:r w:rsidRPr="00677CE8">
        <w:t>(2)</w:t>
      </w:r>
      <w:r w:rsidR="00E604A4">
        <w:t>, 18–21</w:t>
      </w:r>
      <w:r w:rsidRPr="00677CE8">
        <w:t>.</w:t>
      </w:r>
    </w:p>
    <w:p w14:paraId="29D79579" w14:textId="3E3C583A" w:rsidR="00431207" w:rsidRPr="00677CE8" w:rsidRDefault="00431207" w:rsidP="00242E6A">
      <w:pPr>
        <w:pStyle w:val="Bibliography"/>
        <w:spacing w:line="240" w:lineRule="auto"/>
        <w:ind w:left="540" w:hanging="540"/>
      </w:pPr>
      <w:r w:rsidRPr="00677CE8">
        <w:lastRenderedPageBreak/>
        <w:t xml:space="preserve">Nair, G. S., </w:t>
      </w:r>
      <w:r w:rsidR="00963916" w:rsidRPr="00677CE8">
        <w:t>and</w:t>
      </w:r>
      <w:r w:rsidRPr="00677CE8">
        <w:t xml:space="preserve"> Bhat, C. R. (2021). Sharing the road with autonomous vehicles: Perceived safety and regulatory preferences. </w:t>
      </w:r>
      <w:r w:rsidRPr="00677CE8">
        <w:rPr>
          <w:i/>
          <w:iCs/>
        </w:rPr>
        <w:t>Transportation Research Part C: Emerging Technologies</w:t>
      </w:r>
      <w:r w:rsidRPr="00677CE8">
        <w:t xml:space="preserve">, </w:t>
      </w:r>
      <w:r w:rsidRPr="00677CE8">
        <w:rPr>
          <w:i/>
          <w:iCs/>
        </w:rPr>
        <w:t>122</w:t>
      </w:r>
      <w:r w:rsidRPr="00677CE8">
        <w:t>, 102885. https://doi.org/10.1016/j.trc.2020.102885</w:t>
      </w:r>
    </w:p>
    <w:p w14:paraId="4E8E0857" w14:textId="38DEB5EE" w:rsidR="00431207" w:rsidRPr="00677CE8" w:rsidRDefault="00431207" w:rsidP="00242E6A">
      <w:pPr>
        <w:pStyle w:val="Bibliography"/>
        <w:spacing w:line="240" w:lineRule="auto"/>
        <w:ind w:left="540" w:hanging="540"/>
      </w:pPr>
      <w:r w:rsidRPr="00677CE8">
        <w:t xml:space="preserve">Nair, G. S., Bhat, C. R., Pendyala, R. M., Loo, B. P. Y., </w:t>
      </w:r>
      <w:r w:rsidR="00963916" w:rsidRPr="00677CE8">
        <w:t>and</w:t>
      </w:r>
      <w:r w:rsidRPr="00677CE8">
        <w:t xml:space="preserve"> Lam, W. H. K. (2019). On the </w:t>
      </w:r>
      <w:r w:rsidR="003E3769">
        <w:t>u</w:t>
      </w:r>
      <w:r w:rsidRPr="00677CE8">
        <w:t xml:space="preserve">se of </w:t>
      </w:r>
      <w:r w:rsidR="003E3769">
        <w:t>p</w:t>
      </w:r>
      <w:r w:rsidRPr="00677CE8">
        <w:t>robit-</w:t>
      </w:r>
      <w:r w:rsidR="003E3769">
        <w:t>b</w:t>
      </w:r>
      <w:r w:rsidRPr="00677CE8">
        <w:t xml:space="preserve">ased </w:t>
      </w:r>
      <w:r w:rsidR="003E3769">
        <w:t>m</w:t>
      </w:r>
      <w:r w:rsidRPr="00677CE8">
        <w:t xml:space="preserve">odels for </w:t>
      </w:r>
      <w:r w:rsidR="003E3769">
        <w:t>r</w:t>
      </w:r>
      <w:r w:rsidRPr="00677CE8">
        <w:t xml:space="preserve">anking </w:t>
      </w:r>
      <w:r w:rsidR="003E3769">
        <w:t>d</w:t>
      </w:r>
      <w:r w:rsidRPr="00677CE8">
        <w:t xml:space="preserve">ata </w:t>
      </w:r>
      <w:r w:rsidR="003E3769">
        <w:t>a</w:t>
      </w:r>
      <w:r w:rsidRPr="00677CE8">
        <w:t xml:space="preserve">nalysis. </w:t>
      </w:r>
      <w:r w:rsidRPr="00677CE8">
        <w:rPr>
          <w:i/>
          <w:iCs/>
        </w:rPr>
        <w:t>Transportation Research Record</w:t>
      </w:r>
      <w:r w:rsidRPr="00677CE8">
        <w:t xml:space="preserve">, </w:t>
      </w:r>
      <w:r w:rsidRPr="00677CE8">
        <w:rPr>
          <w:i/>
          <w:iCs/>
        </w:rPr>
        <w:t>2673</w:t>
      </w:r>
      <w:r w:rsidRPr="00677CE8">
        <w:t>(4), 229–240. https://doi.org/10.1177/0361198119838987</w:t>
      </w:r>
    </w:p>
    <w:p w14:paraId="39E2D316" w14:textId="3FD00E10" w:rsidR="00431207" w:rsidRDefault="00431207" w:rsidP="00242E6A">
      <w:pPr>
        <w:pStyle w:val="Bibliography"/>
        <w:spacing w:line="240" w:lineRule="auto"/>
        <w:ind w:left="540" w:hanging="540"/>
      </w:pPr>
      <w:r w:rsidRPr="00677CE8">
        <w:t xml:space="preserve">Neff, J., </w:t>
      </w:r>
      <w:r w:rsidR="00963916" w:rsidRPr="00677CE8">
        <w:t>and</w:t>
      </w:r>
      <w:r w:rsidRPr="00677CE8">
        <w:t xml:space="preserve"> Pham, L. (2007, May 1). </w:t>
      </w:r>
      <w:r w:rsidRPr="00677CE8">
        <w:rPr>
          <w:i/>
          <w:iCs/>
        </w:rPr>
        <w:t xml:space="preserve">A </w:t>
      </w:r>
      <w:r w:rsidR="003E3769">
        <w:rPr>
          <w:i/>
          <w:iCs/>
        </w:rPr>
        <w:t>p</w:t>
      </w:r>
      <w:r w:rsidRPr="00677CE8">
        <w:rPr>
          <w:i/>
          <w:iCs/>
        </w:rPr>
        <w:t xml:space="preserve">rofile of </w:t>
      </w:r>
      <w:r w:rsidR="003E3769">
        <w:rPr>
          <w:i/>
          <w:iCs/>
        </w:rPr>
        <w:t>p</w:t>
      </w:r>
      <w:r w:rsidRPr="00677CE8">
        <w:rPr>
          <w:i/>
          <w:iCs/>
        </w:rPr>
        <w:t xml:space="preserve">ublic </w:t>
      </w:r>
      <w:r w:rsidR="003E3769">
        <w:rPr>
          <w:i/>
          <w:iCs/>
        </w:rPr>
        <w:t>t</w:t>
      </w:r>
      <w:r w:rsidRPr="00677CE8">
        <w:rPr>
          <w:i/>
          <w:iCs/>
        </w:rPr>
        <w:t xml:space="preserve">ransportation </w:t>
      </w:r>
      <w:r w:rsidR="003E3769">
        <w:rPr>
          <w:i/>
          <w:iCs/>
        </w:rPr>
        <w:t>p</w:t>
      </w:r>
      <w:r w:rsidRPr="00677CE8">
        <w:rPr>
          <w:i/>
          <w:iCs/>
        </w:rPr>
        <w:t xml:space="preserve">assenger </w:t>
      </w:r>
      <w:r w:rsidR="003E3769">
        <w:rPr>
          <w:i/>
          <w:iCs/>
        </w:rPr>
        <w:t>d</w:t>
      </w:r>
      <w:r w:rsidRPr="00677CE8">
        <w:rPr>
          <w:i/>
          <w:iCs/>
        </w:rPr>
        <w:t xml:space="preserve">emographics and </w:t>
      </w:r>
      <w:r w:rsidR="003E3769">
        <w:rPr>
          <w:i/>
          <w:iCs/>
        </w:rPr>
        <w:t>t</w:t>
      </w:r>
      <w:r w:rsidRPr="00677CE8">
        <w:rPr>
          <w:i/>
          <w:iCs/>
        </w:rPr>
        <w:t xml:space="preserve">ravel </w:t>
      </w:r>
      <w:r w:rsidR="003E3769">
        <w:rPr>
          <w:i/>
          <w:iCs/>
        </w:rPr>
        <w:t>c</w:t>
      </w:r>
      <w:r w:rsidRPr="00677CE8">
        <w:rPr>
          <w:i/>
          <w:iCs/>
        </w:rPr>
        <w:t xml:space="preserve">haracteristics </w:t>
      </w:r>
      <w:r w:rsidR="003E3769">
        <w:rPr>
          <w:i/>
          <w:iCs/>
        </w:rPr>
        <w:t>r</w:t>
      </w:r>
      <w:r w:rsidRPr="00677CE8">
        <w:rPr>
          <w:i/>
          <w:iCs/>
        </w:rPr>
        <w:t xml:space="preserve">eported in </w:t>
      </w:r>
      <w:r w:rsidR="003E3769">
        <w:rPr>
          <w:i/>
          <w:iCs/>
        </w:rPr>
        <w:t>o</w:t>
      </w:r>
      <w:r w:rsidRPr="00677CE8">
        <w:rPr>
          <w:i/>
          <w:iCs/>
        </w:rPr>
        <w:t>n-</w:t>
      </w:r>
      <w:r w:rsidR="003E3769">
        <w:rPr>
          <w:i/>
          <w:iCs/>
        </w:rPr>
        <w:t>b</w:t>
      </w:r>
      <w:r w:rsidRPr="00677CE8">
        <w:rPr>
          <w:i/>
          <w:iCs/>
        </w:rPr>
        <w:t xml:space="preserve">oard </w:t>
      </w:r>
      <w:r w:rsidR="003E3769">
        <w:rPr>
          <w:i/>
          <w:iCs/>
        </w:rPr>
        <w:t>s</w:t>
      </w:r>
      <w:r w:rsidRPr="00677CE8">
        <w:rPr>
          <w:i/>
          <w:iCs/>
        </w:rPr>
        <w:t>urveys</w:t>
      </w:r>
      <w:r w:rsidRPr="00677CE8">
        <w:t>. https://rosap.ntl.bts.gov</w:t>
      </w:r>
    </w:p>
    <w:p w14:paraId="1E56F252" w14:textId="4C1BB646" w:rsidR="009A5B02" w:rsidRPr="008D3C9B" w:rsidRDefault="009A5B02" w:rsidP="00242E6A">
      <w:pPr>
        <w:pStyle w:val="Bibliography"/>
        <w:spacing w:line="240" w:lineRule="auto"/>
        <w:ind w:left="540" w:hanging="540"/>
      </w:pPr>
      <w:r>
        <w:fldChar w:fldCharType="begin"/>
      </w:r>
      <w:r>
        <w:instrText xml:space="preserve"> ADDIN ZOTERO_BIBL {"uncited":[],"omitted":[],"custom":[]} CSL_BIBLIOGRAPHY </w:instrText>
      </w:r>
      <w:r>
        <w:fldChar w:fldCharType="separate"/>
      </w:r>
      <w:r w:rsidRPr="008D3C9B">
        <w:t xml:space="preserve">Newey, W. K., </w:t>
      </w:r>
      <w:r>
        <w:t>and</w:t>
      </w:r>
      <w:r w:rsidRPr="008D3C9B">
        <w:t xml:space="preserve"> McFadden, D. (1994). Chapter 36 Large sample estimation and hypothesis testing. In </w:t>
      </w:r>
      <w:r w:rsidRPr="008D3C9B">
        <w:rPr>
          <w:i/>
          <w:iCs/>
        </w:rPr>
        <w:t>Handbook of Econometrics</w:t>
      </w:r>
      <w:r w:rsidRPr="008D3C9B">
        <w:t xml:space="preserve"> (Vol. 4, pp. 2111–2245). Elsevier. https://doi.org/10.1016/S1573-4412(05)80005-4</w:t>
      </w:r>
    </w:p>
    <w:p w14:paraId="4DC8D8E5" w14:textId="7FC696FA" w:rsidR="00431207" w:rsidRPr="00677CE8" w:rsidRDefault="009A5B02" w:rsidP="00242E6A">
      <w:pPr>
        <w:spacing w:after="0" w:line="240" w:lineRule="auto"/>
        <w:ind w:left="540" w:hanging="540"/>
      </w:pPr>
      <w:r>
        <w:fldChar w:fldCharType="end"/>
      </w:r>
      <w:r w:rsidR="00431207" w:rsidRPr="00677CE8">
        <w:t xml:space="preserve">Ni, K., </w:t>
      </w:r>
      <w:r w:rsidR="00963916" w:rsidRPr="00677CE8">
        <w:t>and</w:t>
      </w:r>
      <w:r w:rsidR="00431207" w:rsidRPr="00677CE8">
        <w:t xml:space="preserve"> Huang, Y. (2022). An investigation of the age effect on acoustical annoyance developed from data of previous studies. </w:t>
      </w:r>
      <w:r w:rsidR="00431207" w:rsidRPr="00677CE8">
        <w:rPr>
          <w:i/>
          <w:iCs/>
        </w:rPr>
        <w:t>Applied Acoustics</w:t>
      </w:r>
      <w:r w:rsidR="00431207" w:rsidRPr="00677CE8">
        <w:t xml:space="preserve">, </w:t>
      </w:r>
      <w:r w:rsidR="00431207" w:rsidRPr="00677CE8">
        <w:rPr>
          <w:i/>
          <w:iCs/>
        </w:rPr>
        <w:t>192</w:t>
      </w:r>
      <w:r w:rsidR="00431207" w:rsidRPr="00677CE8">
        <w:t>, 108720. https://doi.org/10.1016/j.apacoust.2022.108720</w:t>
      </w:r>
    </w:p>
    <w:p w14:paraId="2D35A43B" w14:textId="113832DA" w:rsidR="00431207" w:rsidRPr="00677CE8" w:rsidRDefault="00431207" w:rsidP="00242E6A">
      <w:pPr>
        <w:pStyle w:val="Bibliography"/>
        <w:spacing w:line="240" w:lineRule="auto"/>
        <w:ind w:left="540" w:hanging="540"/>
      </w:pPr>
      <w:r w:rsidRPr="00677CE8">
        <w:t xml:space="preserve">Orit Taubman, B.-A., </w:t>
      </w:r>
      <w:r w:rsidR="00963916" w:rsidRPr="00677CE8">
        <w:t>and</w:t>
      </w:r>
      <w:r w:rsidRPr="00677CE8">
        <w:t xml:space="preserve"> Noy, A. (2011). Does the transition to parenthood influence driving? </w:t>
      </w:r>
      <w:r w:rsidRPr="00677CE8">
        <w:rPr>
          <w:i/>
          <w:iCs/>
        </w:rPr>
        <w:t>Accident Analysis &amp; Prevention</w:t>
      </w:r>
      <w:r w:rsidRPr="00677CE8">
        <w:t xml:space="preserve">, </w:t>
      </w:r>
      <w:r w:rsidRPr="00677CE8">
        <w:rPr>
          <w:i/>
          <w:iCs/>
        </w:rPr>
        <w:t>43</w:t>
      </w:r>
      <w:r w:rsidRPr="00677CE8">
        <w:t>(3), 1022–1035. https://doi.org/10.1016/j.aap.2010.12.001</w:t>
      </w:r>
    </w:p>
    <w:p w14:paraId="7DEA3981" w14:textId="599B4CD2" w:rsidR="00431207" w:rsidRPr="00677CE8" w:rsidRDefault="00431207" w:rsidP="00242E6A">
      <w:pPr>
        <w:pStyle w:val="Bibliography"/>
        <w:spacing w:line="240" w:lineRule="auto"/>
        <w:ind w:left="540" w:hanging="540"/>
      </w:pPr>
      <w:r w:rsidRPr="00677CE8">
        <w:t xml:space="preserve">Pan, G., </w:t>
      </w:r>
      <w:r w:rsidR="00963916" w:rsidRPr="00677CE8">
        <w:t>and</w:t>
      </w:r>
      <w:r w:rsidRPr="00677CE8">
        <w:t xml:space="preserve"> Alouini, M.-S. (2021). Flying </w:t>
      </w:r>
      <w:r w:rsidR="00B90606">
        <w:t>c</w:t>
      </w:r>
      <w:r w:rsidRPr="00677CE8">
        <w:t xml:space="preserve">ar </w:t>
      </w:r>
      <w:r w:rsidR="00B90606">
        <w:t>t</w:t>
      </w:r>
      <w:r w:rsidRPr="00677CE8">
        <w:t xml:space="preserve">ransportation </w:t>
      </w:r>
      <w:r w:rsidR="00B90606">
        <w:t>s</w:t>
      </w:r>
      <w:r w:rsidRPr="00677CE8">
        <w:t xml:space="preserve">ystem: Advances, </w:t>
      </w:r>
      <w:r w:rsidR="00B90606">
        <w:t>t</w:t>
      </w:r>
      <w:r w:rsidRPr="00677CE8">
        <w:t xml:space="preserve">echniques, and </w:t>
      </w:r>
      <w:r w:rsidR="00B90606">
        <w:t>c</w:t>
      </w:r>
      <w:r w:rsidRPr="00677CE8">
        <w:t xml:space="preserve">hallenges. </w:t>
      </w:r>
      <w:r w:rsidRPr="00677CE8">
        <w:rPr>
          <w:i/>
          <w:iCs/>
        </w:rPr>
        <w:t>IEEE Access</w:t>
      </w:r>
      <w:r w:rsidRPr="00677CE8">
        <w:t xml:space="preserve">, </w:t>
      </w:r>
      <w:r w:rsidRPr="00677CE8">
        <w:rPr>
          <w:i/>
          <w:iCs/>
        </w:rPr>
        <w:t>9</w:t>
      </w:r>
      <w:r w:rsidRPr="00677CE8">
        <w:t>, 24586–24603. https://doi.org/10.1109/ACCESS.2021.3056798</w:t>
      </w:r>
    </w:p>
    <w:p w14:paraId="1DAD1468" w14:textId="48F89EE8" w:rsidR="00431207" w:rsidRPr="00677CE8" w:rsidRDefault="00431207" w:rsidP="00242E6A">
      <w:pPr>
        <w:pStyle w:val="Bibliography"/>
        <w:spacing w:line="240" w:lineRule="auto"/>
        <w:ind w:left="540" w:hanging="540"/>
      </w:pPr>
      <w:r w:rsidRPr="00677CE8">
        <w:t xml:space="preserve">Pertz, J., Niklaß, M., Swaid, M., Gollnick, V., Kopera, S., Schunck, K., </w:t>
      </w:r>
      <w:r w:rsidR="00963916" w:rsidRPr="00677CE8">
        <w:t>and</w:t>
      </w:r>
      <w:r w:rsidRPr="00677CE8">
        <w:t xml:space="preserve"> Baur, S. (2023). Estimating the </w:t>
      </w:r>
      <w:r w:rsidR="00B90606">
        <w:t>e</w:t>
      </w:r>
      <w:r w:rsidRPr="00677CE8">
        <w:t xml:space="preserve">conomic </w:t>
      </w:r>
      <w:r w:rsidR="00B90606">
        <w:t>v</w:t>
      </w:r>
      <w:r w:rsidRPr="00677CE8">
        <w:t xml:space="preserve">iability of </w:t>
      </w:r>
      <w:r w:rsidR="00B90606">
        <w:t>a</w:t>
      </w:r>
      <w:r w:rsidRPr="00677CE8">
        <w:t xml:space="preserve">dvanced </w:t>
      </w:r>
      <w:r w:rsidR="00B90606">
        <w:t>a</w:t>
      </w:r>
      <w:r w:rsidRPr="00677CE8">
        <w:t xml:space="preserve">ir </w:t>
      </w:r>
      <w:r w:rsidR="00B90606">
        <w:t>m</w:t>
      </w:r>
      <w:r w:rsidRPr="00677CE8">
        <w:t xml:space="preserve">obility </w:t>
      </w:r>
      <w:r w:rsidR="00B90606">
        <w:t>u</w:t>
      </w:r>
      <w:r w:rsidRPr="00677CE8">
        <w:t xml:space="preserve">se </w:t>
      </w:r>
      <w:r w:rsidR="00B90606">
        <w:t>c</w:t>
      </w:r>
      <w:r w:rsidRPr="00677CE8">
        <w:t xml:space="preserve">ases: Towards the </w:t>
      </w:r>
      <w:r w:rsidR="00B90606">
        <w:t>s</w:t>
      </w:r>
      <w:r w:rsidRPr="00677CE8">
        <w:t xml:space="preserve">lope of </w:t>
      </w:r>
      <w:r w:rsidR="00B90606">
        <w:t>e</w:t>
      </w:r>
      <w:r w:rsidRPr="00677CE8">
        <w:t xml:space="preserve">nlightenment. </w:t>
      </w:r>
      <w:r w:rsidRPr="00677CE8">
        <w:rPr>
          <w:i/>
          <w:iCs/>
        </w:rPr>
        <w:t>Drones</w:t>
      </w:r>
      <w:r w:rsidRPr="00677CE8">
        <w:t xml:space="preserve">, </w:t>
      </w:r>
      <w:r w:rsidRPr="00677CE8">
        <w:rPr>
          <w:i/>
          <w:iCs/>
        </w:rPr>
        <w:t>7</w:t>
      </w:r>
      <w:r w:rsidRPr="00677CE8">
        <w:t>(2)</w:t>
      </w:r>
      <w:r w:rsidR="00E604A4">
        <w:t>, 75</w:t>
      </w:r>
      <w:r w:rsidRPr="00677CE8">
        <w:t>. https://doi.org/10.3390/drones7020075</w:t>
      </w:r>
    </w:p>
    <w:p w14:paraId="13F4AE14" w14:textId="10BB522C" w:rsidR="00431207" w:rsidRPr="00677CE8" w:rsidRDefault="00431207" w:rsidP="00242E6A">
      <w:pPr>
        <w:pStyle w:val="Bibliography"/>
        <w:spacing w:line="240" w:lineRule="auto"/>
        <w:ind w:left="540" w:hanging="540"/>
      </w:pPr>
      <w:r w:rsidRPr="00677CE8">
        <w:t xml:space="preserve">Purifoye, G. Y. (2020). Transit boundaries: </w:t>
      </w:r>
      <w:r w:rsidR="00B90606">
        <w:t>R</w:t>
      </w:r>
      <w:r w:rsidRPr="00677CE8">
        <w:t xml:space="preserve">ace and the paradox of immobility within mobile systems. </w:t>
      </w:r>
      <w:r w:rsidRPr="00677CE8">
        <w:rPr>
          <w:i/>
          <w:iCs/>
        </w:rPr>
        <w:t>Mobilities</w:t>
      </w:r>
      <w:r w:rsidRPr="00677CE8">
        <w:t xml:space="preserve">, </w:t>
      </w:r>
      <w:r w:rsidRPr="00677CE8">
        <w:rPr>
          <w:i/>
          <w:iCs/>
        </w:rPr>
        <w:t>15</w:t>
      </w:r>
      <w:r w:rsidRPr="00677CE8">
        <w:t>(4), 480–499. https://doi.org/10.1080/17450101.2020.1738684</w:t>
      </w:r>
    </w:p>
    <w:p w14:paraId="2CC6F601" w14:textId="32CD77D4" w:rsidR="00431207" w:rsidRPr="00677CE8" w:rsidRDefault="00431207" w:rsidP="00242E6A">
      <w:pPr>
        <w:pStyle w:val="Bibliography"/>
        <w:spacing w:line="240" w:lineRule="auto"/>
        <w:ind w:left="540" w:hanging="540"/>
      </w:pPr>
      <w:r w:rsidRPr="00677CE8">
        <w:t xml:space="preserve">Qu, W., Huang, J., Li, C., </w:t>
      </w:r>
      <w:r w:rsidR="00963916" w:rsidRPr="00677CE8">
        <w:t>and</w:t>
      </w:r>
      <w:r w:rsidRPr="00677CE8">
        <w:t xml:space="preserve"> Liao, X. (2024). A </w:t>
      </w:r>
      <w:r w:rsidR="00B90606">
        <w:t>d</w:t>
      </w:r>
      <w:r w:rsidRPr="00677CE8">
        <w:t xml:space="preserve">emand </w:t>
      </w:r>
      <w:r w:rsidR="00B90606">
        <w:t>f</w:t>
      </w:r>
      <w:r w:rsidRPr="00677CE8">
        <w:t xml:space="preserve">orecasting </w:t>
      </w:r>
      <w:r w:rsidR="00B90606">
        <w:t>m</w:t>
      </w:r>
      <w:r w:rsidRPr="00677CE8">
        <w:t xml:space="preserve">odel for </w:t>
      </w:r>
      <w:r w:rsidR="00B90606">
        <w:t>u</w:t>
      </w:r>
      <w:r w:rsidRPr="00677CE8">
        <w:t xml:space="preserve">rban </w:t>
      </w:r>
      <w:r w:rsidR="00B90606">
        <w:t>a</w:t>
      </w:r>
      <w:r w:rsidRPr="00677CE8">
        <w:t xml:space="preserve">ir </w:t>
      </w:r>
      <w:r w:rsidR="00B90606">
        <w:t>m</w:t>
      </w:r>
      <w:r w:rsidRPr="00677CE8">
        <w:t xml:space="preserve">obility in Chengdu, China. </w:t>
      </w:r>
      <w:r w:rsidRPr="00677CE8">
        <w:rPr>
          <w:i/>
          <w:iCs/>
        </w:rPr>
        <w:t>Green Energy and Intelligent Transportation</w:t>
      </w:r>
      <w:r w:rsidRPr="00677CE8">
        <w:t xml:space="preserve">, </w:t>
      </w:r>
      <w:r w:rsidRPr="00677CE8">
        <w:rPr>
          <w:i/>
          <w:iCs/>
        </w:rPr>
        <w:t>3</w:t>
      </w:r>
      <w:r w:rsidRPr="00677CE8">
        <w:t>(3), 100173. https://doi.org/10.1016/j.geits.2024.100173</w:t>
      </w:r>
    </w:p>
    <w:p w14:paraId="67D85BCD" w14:textId="0DF8C332" w:rsidR="00431207" w:rsidRPr="00677CE8" w:rsidRDefault="00431207" w:rsidP="00242E6A">
      <w:pPr>
        <w:pStyle w:val="Bibliography"/>
        <w:spacing w:line="240" w:lineRule="auto"/>
        <w:ind w:left="540" w:hanging="540"/>
      </w:pPr>
      <w:r w:rsidRPr="00677CE8">
        <w:t xml:space="preserve">Ragbir, N. K., Rice, S., Winter, S. R., Choy, E. C., </w:t>
      </w:r>
      <w:r w:rsidR="00963916" w:rsidRPr="00677CE8">
        <w:t>and</w:t>
      </w:r>
      <w:r w:rsidRPr="00677CE8">
        <w:t xml:space="preserve"> Milner, M. N. (2020). How </w:t>
      </w:r>
      <w:r w:rsidR="00B90606">
        <w:t>w</w:t>
      </w:r>
      <w:r w:rsidRPr="00677CE8">
        <w:t xml:space="preserve">eather, </w:t>
      </w:r>
      <w:r w:rsidR="00B90606">
        <w:t>d</w:t>
      </w:r>
      <w:r w:rsidRPr="00677CE8">
        <w:t xml:space="preserve">istance, </w:t>
      </w:r>
      <w:r w:rsidR="00B90606">
        <w:t>f</w:t>
      </w:r>
      <w:r w:rsidRPr="00677CE8">
        <w:t xml:space="preserve">light </w:t>
      </w:r>
      <w:r w:rsidR="00B90606">
        <w:t>t</w:t>
      </w:r>
      <w:r w:rsidRPr="00677CE8">
        <w:t xml:space="preserve">ime, and </w:t>
      </w:r>
      <w:r w:rsidR="00B90606">
        <w:t>g</w:t>
      </w:r>
      <w:r w:rsidRPr="00677CE8">
        <w:t xml:space="preserve">eography </w:t>
      </w:r>
      <w:r w:rsidR="00B90606">
        <w:t>a</w:t>
      </w:r>
      <w:r w:rsidRPr="00677CE8">
        <w:t xml:space="preserve">ffect </w:t>
      </w:r>
      <w:r w:rsidR="00B90606">
        <w:t>c</w:t>
      </w:r>
      <w:r w:rsidRPr="00677CE8">
        <w:t xml:space="preserve">onsumer </w:t>
      </w:r>
      <w:r w:rsidR="00B90606">
        <w:t>w</w:t>
      </w:r>
      <w:r w:rsidRPr="00677CE8">
        <w:t xml:space="preserve">illingness to </w:t>
      </w:r>
      <w:r w:rsidR="00B90606">
        <w:t>f</w:t>
      </w:r>
      <w:r w:rsidRPr="00677CE8">
        <w:t xml:space="preserve">ly in </w:t>
      </w:r>
      <w:r w:rsidR="00B90606">
        <w:t>a</w:t>
      </w:r>
      <w:r w:rsidRPr="00677CE8">
        <w:t xml:space="preserve">utonomous </w:t>
      </w:r>
      <w:r w:rsidR="00B90606">
        <w:t>a</w:t>
      </w:r>
      <w:r w:rsidRPr="00677CE8">
        <w:t xml:space="preserve">ir </w:t>
      </w:r>
      <w:r w:rsidR="00B90606">
        <w:t>t</w:t>
      </w:r>
      <w:r w:rsidRPr="00677CE8">
        <w:t xml:space="preserve">axis. </w:t>
      </w:r>
      <w:r w:rsidRPr="00677CE8">
        <w:rPr>
          <w:i/>
          <w:iCs/>
        </w:rPr>
        <w:t>The Collegiate Aviation Review International</w:t>
      </w:r>
      <w:r w:rsidRPr="00677CE8">
        <w:t xml:space="preserve">, </w:t>
      </w:r>
      <w:r w:rsidRPr="00677CE8">
        <w:rPr>
          <w:i/>
          <w:iCs/>
        </w:rPr>
        <w:t>38</w:t>
      </w:r>
      <w:r w:rsidRPr="00677CE8">
        <w:t>(1)</w:t>
      </w:r>
      <w:r w:rsidR="00E604A4">
        <w:t>, 69–87</w:t>
      </w:r>
      <w:r w:rsidRPr="00677CE8">
        <w:t>. https://doi.org/10.22488/okstate.20.100205</w:t>
      </w:r>
    </w:p>
    <w:p w14:paraId="7246C6B3" w14:textId="0E7ECDF1" w:rsidR="00431207" w:rsidRPr="00677CE8" w:rsidRDefault="00431207" w:rsidP="00242E6A">
      <w:pPr>
        <w:pStyle w:val="Bibliography"/>
        <w:spacing w:line="240" w:lineRule="auto"/>
        <w:ind w:left="540" w:hanging="540"/>
      </w:pPr>
      <w:r w:rsidRPr="00677CE8">
        <w:t xml:space="preserve">Ranjan, R., </w:t>
      </w:r>
      <w:r w:rsidR="00963916" w:rsidRPr="00677CE8">
        <w:t>and</w:t>
      </w:r>
      <w:r w:rsidRPr="00677CE8">
        <w:t xml:space="preserve"> Sinha, S. (2025). A systematic review of mode choice behavior in urban transportation with emphasis on individual preferences and influencing factor. </w:t>
      </w:r>
      <w:r w:rsidRPr="00677CE8">
        <w:rPr>
          <w:i/>
          <w:iCs/>
        </w:rPr>
        <w:t>Discover Cities</w:t>
      </w:r>
      <w:r w:rsidRPr="00677CE8">
        <w:t xml:space="preserve">, </w:t>
      </w:r>
      <w:r w:rsidRPr="00677CE8">
        <w:rPr>
          <w:i/>
          <w:iCs/>
        </w:rPr>
        <w:t>2</w:t>
      </w:r>
      <w:r w:rsidRPr="00677CE8">
        <w:t>(1), 98. https://doi.org/10.1007/s44327-025-00138-3</w:t>
      </w:r>
    </w:p>
    <w:p w14:paraId="2041AB34" w14:textId="737C829C" w:rsidR="00431207" w:rsidRPr="00677CE8" w:rsidRDefault="00431207" w:rsidP="00242E6A">
      <w:pPr>
        <w:pStyle w:val="Bibliography"/>
        <w:spacing w:line="240" w:lineRule="auto"/>
        <w:ind w:left="540" w:hanging="540"/>
      </w:pPr>
      <w:r w:rsidRPr="00677CE8">
        <w:t xml:space="preserve">Reimer, F., Herzig, J., Winkler, L., Biedermann, J., Meller, F., </w:t>
      </w:r>
      <w:r w:rsidR="00963916" w:rsidRPr="00677CE8">
        <w:t>and</w:t>
      </w:r>
      <w:r w:rsidRPr="00677CE8">
        <w:t xml:space="preserve"> Nagel, B. (2025). Applied </w:t>
      </w:r>
      <w:r w:rsidR="00B90606">
        <w:t>d</w:t>
      </w:r>
      <w:r w:rsidRPr="00677CE8">
        <w:t xml:space="preserve">esign </w:t>
      </w:r>
      <w:r w:rsidR="00B90606">
        <w:t>t</w:t>
      </w:r>
      <w:r w:rsidRPr="00677CE8">
        <w:t xml:space="preserve">hinking in urban air mobility: creating the airtaxi cabin design of the future from a user perspective. </w:t>
      </w:r>
      <w:r w:rsidRPr="00677CE8">
        <w:rPr>
          <w:i/>
          <w:iCs/>
        </w:rPr>
        <w:t>CEAS Aeronautical Journal</w:t>
      </w:r>
      <w:r w:rsidRPr="00677CE8">
        <w:t xml:space="preserve">, </w:t>
      </w:r>
      <w:r w:rsidRPr="00677CE8">
        <w:rPr>
          <w:i/>
          <w:iCs/>
        </w:rPr>
        <w:t>16</w:t>
      </w:r>
      <w:r w:rsidRPr="00677CE8">
        <w:t>(3), 957–972. https://doi.org/10.1007/s13272-025-00821-6</w:t>
      </w:r>
    </w:p>
    <w:p w14:paraId="1251AC35" w14:textId="1A7C958E" w:rsidR="00431207" w:rsidRPr="00677CE8" w:rsidRDefault="00431207" w:rsidP="00242E6A">
      <w:pPr>
        <w:pStyle w:val="Bibliography"/>
        <w:spacing w:line="240" w:lineRule="auto"/>
        <w:ind w:left="540" w:hanging="540"/>
      </w:pPr>
      <w:r w:rsidRPr="00677CE8">
        <w:t xml:space="preserve">Riza, L., Bruehl, R., Fricke, H., </w:t>
      </w:r>
      <w:r w:rsidR="00963916" w:rsidRPr="00677CE8">
        <w:t>and</w:t>
      </w:r>
      <w:r w:rsidRPr="00677CE8">
        <w:t xml:space="preserve"> Planing, P. (2024). Will </w:t>
      </w:r>
      <w:r w:rsidR="00B90606">
        <w:t>a</w:t>
      </w:r>
      <w:r w:rsidRPr="00677CE8">
        <w:t xml:space="preserve">ir </w:t>
      </w:r>
      <w:r w:rsidR="00B90606">
        <w:t>t</w:t>
      </w:r>
      <w:r w:rsidRPr="00677CE8">
        <w:t xml:space="preserve">axis </w:t>
      </w:r>
      <w:r w:rsidR="00B90606">
        <w:t>e</w:t>
      </w:r>
      <w:r w:rsidRPr="00677CE8">
        <w:t xml:space="preserve">xtend </w:t>
      </w:r>
      <w:r w:rsidR="00B90606">
        <w:t>p</w:t>
      </w:r>
      <w:r w:rsidRPr="00677CE8">
        <w:t xml:space="preserve">ublic </w:t>
      </w:r>
      <w:r w:rsidR="00B90606">
        <w:t>t</w:t>
      </w:r>
      <w:r w:rsidRPr="00677CE8">
        <w:t xml:space="preserve">ransportation? A </w:t>
      </w:r>
      <w:r w:rsidR="00B90606">
        <w:t>s</w:t>
      </w:r>
      <w:r w:rsidRPr="00677CE8">
        <w:t>cenario-</w:t>
      </w:r>
      <w:r w:rsidR="00B90606">
        <w:t>b</w:t>
      </w:r>
      <w:r w:rsidRPr="00677CE8">
        <w:t xml:space="preserve">ased </w:t>
      </w:r>
      <w:r w:rsidR="00B90606">
        <w:t>a</w:t>
      </w:r>
      <w:r w:rsidRPr="00677CE8">
        <w:t xml:space="preserve">pproach on </w:t>
      </w:r>
      <w:r w:rsidR="00B90606">
        <w:t>u</w:t>
      </w:r>
      <w:r w:rsidRPr="00677CE8">
        <w:t xml:space="preserve">ser </w:t>
      </w:r>
      <w:r w:rsidR="00B90606">
        <w:t>a</w:t>
      </w:r>
      <w:r w:rsidRPr="00677CE8">
        <w:t xml:space="preserve">cceptance in </w:t>
      </w:r>
      <w:r w:rsidR="00B90606">
        <w:t>d</w:t>
      </w:r>
      <w:r w:rsidRPr="00677CE8">
        <w:t xml:space="preserve">ifferent </w:t>
      </w:r>
      <w:r w:rsidR="00B90606">
        <w:t>u</w:t>
      </w:r>
      <w:r w:rsidRPr="00677CE8">
        <w:t xml:space="preserve">rban </w:t>
      </w:r>
      <w:r w:rsidR="00B90606">
        <w:t>s</w:t>
      </w:r>
      <w:r w:rsidRPr="00677CE8">
        <w:t xml:space="preserve">ettings. </w:t>
      </w:r>
      <w:r w:rsidRPr="00677CE8">
        <w:rPr>
          <w:i/>
          <w:iCs/>
        </w:rPr>
        <w:t>Transportation Research Interdisciplinary Perspectives</w:t>
      </w:r>
      <w:r w:rsidRPr="00677CE8">
        <w:t xml:space="preserve">, </w:t>
      </w:r>
      <w:r w:rsidRPr="00677CE8">
        <w:rPr>
          <w:i/>
          <w:iCs/>
        </w:rPr>
        <w:t>23</w:t>
      </w:r>
      <w:r w:rsidRPr="00677CE8">
        <w:t>, 101001. https://doi.org/10.1016/j.trip.2023.101001</w:t>
      </w:r>
    </w:p>
    <w:p w14:paraId="62481736" w14:textId="70E3549F" w:rsidR="00431207" w:rsidRPr="00677CE8" w:rsidRDefault="00431207" w:rsidP="00242E6A">
      <w:pPr>
        <w:pStyle w:val="Bibliography"/>
        <w:spacing w:line="240" w:lineRule="auto"/>
        <w:ind w:left="540" w:hanging="540"/>
      </w:pPr>
      <w:r w:rsidRPr="00677CE8">
        <w:t xml:space="preserve">Robbennolt, D., Hardman, S., Firestone, J., </w:t>
      </w:r>
      <w:r w:rsidR="00963916" w:rsidRPr="00677CE8">
        <w:t>and</w:t>
      </w:r>
      <w:r w:rsidRPr="00677CE8">
        <w:t xml:space="preserve"> Bhat, C. R. (2025). A model of electric vehicle adoption and motivating reasons for adoption. </w:t>
      </w:r>
      <w:r w:rsidRPr="00677CE8">
        <w:rPr>
          <w:i/>
          <w:iCs/>
        </w:rPr>
        <w:t>Transportation Research Part D: Transport and Environment</w:t>
      </w:r>
      <w:r w:rsidRPr="00677CE8">
        <w:t xml:space="preserve">, </w:t>
      </w:r>
      <w:r w:rsidRPr="00677CE8">
        <w:rPr>
          <w:i/>
          <w:iCs/>
        </w:rPr>
        <w:t>146</w:t>
      </w:r>
      <w:r w:rsidRPr="00677CE8">
        <w:t>, 104906. https://doi.org/10.1016/j.trd.2025.104906</w:t>
      </w:r>
    </w:p>
    <w:p w14:paraId="02AF6809" w14:textId="62D7489A" w:rsidR="00431207" w:rsidRPr="00677CE8" w:rsidRDefault="00431207" w:rsidP="00242E6A">
      <w:pPr>
        <w:pStyle w:val="Bibliography"/>
        <w:spacing w:line="240" w:lineRule="auto"/>
        <w:ind w:left="540" w:hanging="540"/>
      </w:pPr>
      <w:r w:rsidRPr="00677CE8">
        <w:lastRenderedPageBreak/>
        <w:t xml:space="preserve">Robbennolt, D., Pendyala, R. M., </w:t>
      </w:r>
      <w:r w:rsidR="00963916" w:rsidRPr="00677CE8">
        <w:t>and</w:t>
      </w:r>
      <w:r w:rsidRPr="00677CE8">
        <w:t xml:space="preserve"> Bhat, C. R. (2026). Data collection, weighting, and modeling techniques to estimate consistent population parameters. </w:t>
      </w:r>
      <w:r w:rsidRPr="00677CE8">
        <w:rPr>
          <w:i/>
          <w:iCs/>
        </w:rPr>
        <w:t>Transportation Research Part B: Methodological</w:t>
      </w:r>
      <w:r w:rsidRPr="00677CE8">
        <w:t xml:space="preserve">, </w:t>
      </w:r>
      <w:r w:rsidRPr="00677CE8">
        <w:rPr>
          <w:i/>
          <w:iCs/>
        </w:rPr>
        <w:t>203</w:t>
      </w:r>
      <w:r w:rsidRPr="00677CE8">
        <w:t>, 103349. https://doi.org/10.1016/j.trb.2025.103349</w:t>
      </w:r>
    </w:p>
    <w:p w14:paraId="1E36C696" w14:textId="0CB4658B" w:rsidR="00431207" w:rsidRPr="00677CE8" w:rsidRDefault="00431207" w:rsidP="00242E6A">
      <w:pPr>
        <w:pStyle w:val="Bibliography"/>
        <w:spacing w:line="240" w:lineRule="auto"/>
        <w:ind w:left="540" w:hanging="540"/>
      </w:pPr>
      <w:r w:rsidRPr="00677CE8">
        <w:t xml:space="preserve">Sandstrom, A., </w:t>
      </w:r>
      <w:r w:rsidR="00963916" w:rsidRPr="00677CE8">
        <w:t>and</w:t>
      </w:r>
      <w:r w:rsidRPr="00677CE8">
        <w:t xml:space="preserve"> Alper, B. A. (2019, February 22). </w:t>
      </w:r>
      <w:r w:rsidRPr="00677CE8">
        <w:rPr>
          <w:i/>
          <w:iCs/>
        </w:rPr>
        <w:t>Who’s active in community groups? Often, those with more education or income</w:t>
      </w:r>
      <w:r w:rsidRPr="00677CE8">
        <w:t>. Pew Research Center. https://www.pewresearch.org/short-reads/2019/02/22/americans-with-higher-education-and-income-are-more-likely-to-be-involved-in-community-groups/</w:t>
      </w:r>
    </w:p>
    <w:p w14:paraId="366D2D81" w14:textId="77358D09" w:rsidR="00431207" w:rsidRPr="00677CE8" w:rsidRDefault="00431207" w:rsidP="00C07E56">
      <w:pPr>
        <w:pStyle w:val="Bibliography"/>
        <w:keepLines/>
        <w:spacing w:line="240" w:lineRule="auto"/>
        <w:ind w:left="547" w:hanging="547"/>
      </w:pPr>
      <w:r w:rsidRPr="00677CE8">
        <w:t xml:space="preserve">Schneider, F., Ton, D., Zomer, L.-B., Daamen, W., Duives, D., Hoogendoorn-Lanser, S., </w:t>
      </w:r>
      <w:r w:rsidR="00963916" w:rsidRPr="00677CE8">
        <w:t>and</w:t>
      </w:r>
      <w:r w:rsidRPr="00677CE8">
        <w:t xml:space="preserve"> Hoogendoorn, S. (2021). Trip chain complexity: </w:t>
      </w:r>
      <w:r w:rsidR="00B90606">
        <w:t>A</w:t>
      </w:r>
      <w:r w:rsidRPr="00677CE8">
        <w:t xml:space="preserve"> comparison among latent classes of daily mobility patterns. </w:t>
      </w:r>
      <w:r w:rsidRPr="00677CE8">
        <w:rPr>
          <w:i/>
          <w:iCs/>
        </w:rPr>
        <w:t>Transportation</w:t>
      </w:r>
      <w:r w:rsidRPr="00677CE8">
        <w:t xml:space="preserve">, </w:t>
      </w:r>
      <w:r w:rsidRPr="00677CE8">
        <w:rPr>
          <w:i/>
          <w:iCs/>
        </w:rPr>
        <w:t>48</w:t>
      </w:r>
      <w:r w:rsidRPr="00677CE8">
        <w:t>(2), 953–975. https://doi.org/10.1007/s11116-020-10084-1</w:t>
      </w:r>
    </w:p>
    <w:p w14:paraId="15778382" w14:textId="0D70694F" w:rsidR="00431207" w:rsidRPr="00677CE8" w:rsidRDefault="00431207" w:rsidP="00242E6A">
      <w:pPr>
        <w:pStyle w:val="Bibliography"/>
        <w:spacing w:line="240" w:lineRule="auto"/>
        <w:ind w:left="540" w:hanging="540"/>
      </w:pPr>
      <w:r w:rsidRPr="00677CE8">
        <w:t xml:space="preserve">Schutte, M., Marks, A., Wenning, E., </w:t>
      </w:r>
      <w:r w:rsidR="00963916" w:rsidRPr="00677CE8">
        <w:t>and</w:t>
      </w:r>
      <w:r w:rsidRPr="00677CE8">
        <w:t xml:space="preserve"> Griefahn, B. (2007). The development of the noise sensitivity questionnaire. </w:t>
      </w:r>
      <w:r w:rsidRPr="00677CE8">
        <w:rPr>
          <w:i/>
          <w:iCs/>
        </w:rPr>
        <w:t>Noise and Health</w:t>
      </w:r>
      <w:r w:rsidRPr="00677CE8">
        <w:t xml:space="preserve">, </w:t>
      </w:r>
      <w:r w:rsidRPr="00677CE8">
        <w:rPr>
          <w:i/>
          <w:iCs/>
        </w:rPr>
        <w:t>9</w:t>
      </w:r>
      <w:r w:rsidRPr="00677CE8">
        <w:t>(34), 15. https://doi.org/10.4103/1463-1741.34700</w:t>
      </w:r>
    </w:p>
    <w:p w14:paraId="24FCDD4F" w14:textId="77777777" w:rsidR="00431207" w:rsidRPr="00677CE8" w:rsidRDefault="00431207" w:rsidP="00242E6A">
      <w:pPr>
        <w:pStyle w:val="Bibliography"/>
        <w:spacing w:line="240" w:lineRule="auto"/>
        <w:ind w:left="540" w:hanging="540"/>
      </w:pPr>
      <w:r w:rsidRPr="00677CE8">
        <w:t xml:space="preserve">Schwartz, S. H. (1992). Universals in the content and structure of values: Theoretical advances and empirical tests in 20 countires. </w:t>
      </w:r>
      <w:r w:rsidRPr="00677CE8">
        <w:rPr>
          <w:i/>
          <w:iCs/>
        </w:rPr>
        <w:t>Advances in Experimental and Social Psycology</w:t>
      </w:r>
      <w:r w:rsidRPr="00677CE8">
        <w:t xml:space="preserve">, </w:t>
      </w:r>
      <w:r w:rsidRPr="00677CE8">
        <w:rPr>
          <w:i/>
          <w:iCs/>
        </w:rPr>
        <w:t>25</w:t>
      </w:r>
      <w:r w:rsidRPr="00677CE8">
        <w:t>(1), 1–65. https://doi.org/https://doi.org/10.1016/S0065-2601(08)60281-6</w:t>
      </w:r>
    </w:p>
    <w:p w14:paraId="13C2D354" w14:textId="7A05D949" w:rsidR="00431207" w:rsidRPr="00677CE8" w:rsidRDefault="00431207" w:rsidP="00242E6A">
      <w:pPr>
        <w:pStyle w:val="Bibliography"/>
        <w:spacing w:line="240" w:lineRule="auto"/>
        <w:ind w:left="540" w:hanging="540"/>
      </w:pPr>
      <w:r w:rsidRPr="00677CE8">
        <w:t xml:space="preserve">Sezgen, E., Mason, K. J., </w:t>
      </w:r>
      <w:r w:rsidR="00963916" w:rsidRPr="00677CE8">
        <w:t>and</w:t>
      </w:r>
      <w:r w:rsidRPr="00677CE8">
        <w:t xml:space="preserve"> Mayer, R. (2019). Voice of airline passenger: A text mining approach to understand customer satisfaction. </w:t>
      </w:r>
      <w:r w:rsidRPr="00677CE8">
        <w:rPr>
          <w:i/>
          <w:iCs/>
        </w:rPr>
        <w:t>Journal of Air Transport Management</w:t>
      </w:r>
      <w:r w:rsidRPr="00677CE8">
        <w:t xml:space="preserve">, </w:t>
      </w:r>
      <w:r w:rsidRPr="00677CE8">
        <w:rPr>
          <w:i/>
          <w:iCs/>
        </w:rPr>
        <w:t>77</w:t>
      </w:r>
      <w:r w:rsidRPr="00677CE8">
        <w:t>, 65–74. https://doi.org/10.1016/j.jairtraman.2019.04.001</w:t>
      </w:r>
    </w:p>
    <w:p w14:paraId="3431F6C3" w14:textId="3BA5B3B9" w:rsidR="00431207" w:rsidRPr="00677CE8" w:rsidRDefault="00431207" w:rsidP="00242E6A">
      <w:pPr>
        <w:pStyle w:val="Bibliography"/>
        <w:spacing w:line="240" w:lineRule="auto"/>
        <w:ind w:left="540" w:hanging="540"/>
      </w:pPr>
      <w:r w:rsidRPr="00677CE8">
        <w:t xml:space="preserve">Shepherd, D., Welch, D., Dirks, K. N., </w:t>
      </w:r>
      <w:r w:rsidR="00963916" w:rsidRPr="00677CE8">
        <w:t>and</w:t>
      </w:r>
      <w:r w:rsidRPr="00677CE8">
        <w:t xml:space="preserve"> Mathews, R. (2010). Exploring the </w:t>
      </w:r>
      <w:r w:rsidR="00B90606">
        <w:t>r</w:t>
      </w:r>
      <w:r w:rsidRPr="00677CE8">
        <w:t xml:space="preserve">elationship between </w:t>
      </w:r>
      <w:r w:rsidR="00B90606">
        <w:t>n</w:t>
      </w:r>
      <w:r w:rsidRPr="00677CE8">
        <w:t xml:space="preserve">oise </w:t>
      </w:r>
      <w:r w:rsidR="00B90606">
        <w:t>s</w:t>
      </w:r>
      <w:r w:rsidRPr="00677CE8">
        <w:t xml:space="preserve">ensitivity, </w:t>
      </w:r>
      <w:r w:rsidR="00B90606">
        <w:t>a</w:t>
      </w:r>
      <w:r w:rsidRPr="00677CE8">
        <w:t xml:space="preserve">nnoyance and </w:t>
      </w:r>
      <w:r w:rsidR="00B90606">
        <w:t>h</w:t>
      </w:r>
      <w:r w:rsidRPr="00677CE8">
        <w:t>ealth-</w:t>
      </w:r>
      <w:r w:rsidR="00B90606">
        <w:t>r</w:t>
      </w:r>
      <w:r w:rsidRPr="00677CE8">
        <w:t xml:space="preserve">elated </w:t>
      </w:r>
      <w:r w:rsidR="00B90606">
        <w:t>q</w:t>
      </w:r>
      <w:r w:rsidRPr="00677CE8">
        <w:t xml:space="preserve">uality of </w:t>
      </w:r>
      <w:r w:rsidR="00B90606">
        <w:t>l</w:t>
      </w:r>
      <w:r w:rsidRPr="00677CE8">
        <w:t xml:space="preserve">ife in a </w:t>
      </w:r>
      <w:r w:rsidR="00B90606">
        <w:t>s</w:t>
      </w:r>
      <w:r w:rsidRPr="00677CE8">
        <w:t xml:space="preserve">ample of </w:t>
      </w:r>
      <w:r w:rsidR="00B90606">
        <w:t>a</w:t>
      </w:r>
      <w:r w:rsidRPr="00677CE8">
        <w:t xml:space="preserve">dults </w:t>
      </w:r>
      <w:r w:rsidR="00B90606">
        <w:t>e</w:t>
      </w:r>
      <w:r w:rsidRPr="00677CE8">
        <w:t xml:space="preserve">xposed to </w:t>
      </w:r>
      <w:r w:rsidR="00B90606">
        <w:t>e</w:t>
      </w:r>
      <w:r w:rsidRPr="00677CE8">
        <w:t xml:space="preserve">nvironmental </w:t>
      </w:r>
      <w:r w:rsidR="00B90606">
        <w:t>n</w:t>
      </w:r>
      <w:r w:rsidRPr="00677CE8">
        <w:t xml:space="preserve">oise. </w:t>
      </w:r>
      <w:r w:rsidRPr="00677CE8">
        <w:rPr>
          <w:i/>
          <w:iCs/>
        </w:rPr>
        <w:t>International Journal of Environmental Research and Public Health</w:t>
      </w:r>
      <w:r w:rsidRPr="00677CE8">
        <w:t xml:space="preserve">, </w:t>
      </w:r>
      <w:r w:rsidRPr="00677CE8">
        <w:rPr>
          <w:i/>
          <w:iCs/>
        </w:rPr>
        <w:t>7</w:t>
      </w:r>
      <w:r w:rsidRPr="00677CE8">
        <w:t>(10), 3579–3594. https://doi.org/10.3390/ijerph7103580</w:t>
      </w:r>
    </w:p>
    <w:p w14:paraId="7BD467FC" w14:textId="0977EE8A" w:rsidR="00431207" w:rsidRPr="00677CE8" w:rsidRDefault="00431207" w:rsidP="00242E6A">
      <w:pPr>
        <w:pStyle w:val="Bibliography"/>
        <w:spacing w:line="240" w:lineRule="auto"/>
        <w:ind w:left="540" w:hanging="540"/>
      </w:pPr>
      <w:r w:rsidRPr="00677CE8">
        <w:t xml:space="preserve">Smith, B. V., Robbennolt, D., </w:t>
      </w:r>
      <w:r w:rsidR="00963916" w:rsidRPr="00677CE8">
        <w:t>and</w:t>
      </w:r>
      <w:r w:rsidRPr="00677CE8">
        <w:t xml:space="preserve"> Bhat, C. R. (2025). An evaluation of the long-term effects of the COVID-19 pandemic on public transit use in the United States. </w:t>
      </w:r>
      <w:r w:rsidRPr="00677CE8">
        <w:rPr>
          <w:i/>
          <w:iCs/>
        </w:rPr>
        <w:t>Transport Policy</w:t>
      </w:r>
      <w:r w:rsidRPr="00677CE8">
        <w:t xml:space="preserve">, </w:t>
      </w:r>
      <w:r w:rsidRPr="00677CE8">
        <w:rPr>
          <w:i/>
          <w:iCs/>
        </w:rPr>
        <w:t>169</w:t>
      </w:r>
      <w:r w:rsidRPr="00677CE8">
        <w:t>, 90–100. https://doi.org/10.1016/j.tranpol.2025.04.027</w:t>
      </w:r>
    </w:p>
    <w:p w14:paraId="1EA623E3" w14:textId="19ABFB1C" w:rsidR="00431207" w:rsidRPr="00677CE8" w:rsidRDefault="00431207" w:rsidP="00242E6A">
      <w:pPr>
        <w:pStyle w:val="Bibliography"/>
        <w:spacing w:line="240" w:lineRule="auto"/>
        <w:ind w:left="540" w:hanging="540"/>
      </w:pPr>
      <w:r w:rsidRPr="00677CE8">
        <w:t xml:space="preserve">Solon, G., Haider, S. J., </w:t>
      </w:r>
      <w:r w:rsidR="00963916" w:rsidRPr="00677CE8">
        <w:t>and</w:t>
      </w:r>
      <w:r w:rsidRPr="00677CE8">
        <w:t xml:space="preserve"> Wooldridge, J. M. (2015). What </w:t>
      </w:r>
      <w:r w:rsidR="00B90606">
        <w:t>a</w:t>
      </w:r>
      <w:r w:rsidRPr="00677CE8">
        <w:t xml:space="preserve">re </w:t>
      </w:r>
      <w:r w:rsidR="00B90606">
        <w:t>w</w:t>
      </w:r>
      <w:r w:rsidRPr="00677CE8">
        <w:t xml:space="preserve">e </w:t>
      </w:r>
      <w:r w:rsidR="00B90606">
        <w:t>w</w:t>
      </w:r>
      <w:r w:rsidRPr="00677CE8">
        <w:t xml:space="preserve">eighting </w:t>
      </w:r>
      <w:r w:rsidR="00B90606">
        <w:t>f</w:t>
      </w:r>
      <w:r w:rsidRPr="00677CE8">
        <w:t xml:space="preserve">or? </w:t>
      </w:r>
      <w:r w:rsidRPr="00677CE8">
        <w:rPr>
          <w:i/>
          <w:iCs/>
        </w:rPr>
        <w:t>Journal of Human Resources</w:t>
      </w:r>
      <w:r w:rsidRPr="00677CE8">
        <w:t xml:space="preserve">, </w:t>
      </w:r>
      <w:r w:rsidRPr="00677CE8">
        <w:rPr>
          <w:i/>
          <w:iCs/>
        </w:rPr>
        <w:t>50</w:t>
      </w:r>
      <w:r w:rsidRPr="00677CE8">
        <w:t>(2), 301–316. https://doi.org/10.3368/jhr.50.2.301</w:t>
      </w:r>
    </w:p>
    <w:p w14:paraId="66BB8052" w14:textId="20D63200" w:rsidR="00431207" w:rsidRPr="00677CE8" w:rsidRDefault="00431207" w:rsidP="00242E6A">
      <w:pPr>
        <w:pStyle w:val="Bibliography"/>
        <w:spacing w:line="240" w:lineRule="auto"/>
        <w:ind w:left="540" w:hanging="540"/>
      </w:pPr>
      <w:r w:rsidRPr="00677CE8">
        <w:t xml:space="preserve">Sovacool, B. K., </w:t>
      </w:r>
      <w:r w:rsidR="00963916" w:rsidRPr="00677CE8">
        <w:t>and</w:t>
      </w:r>
      <w:r w:rsidRPr="00677CE8">
        <w:t xml:space="preserve"> Axsen, J. (2018). Functional, symbolic and societal frames for automobility: Implications for sustainability transitions. </w:t>
      </w:r>
      <w:r w:rsidRPr="00677CE8">
        <w:rPr>
          <w:i/>
          <w:iCs/>
        </w:rPr>
        <w:t>Transportation Research Part A: Policy and Practice</w:t>
      </w:r>
      <w:r w:rsidRPr="00677CE8">
        <w:t xml:space="preserve">, </w:t>
      </w:r>
      <w:r w:rsidRPr="00677CE8">
        <w:rPr>
          <w:i/>
          <w:iCs/>
        </w:rPr>
        <w:t>118</w:t>
      </w:r>
      <w:r w:rsidRPr="00677CE8">
        <w:t>, 730–746. https://doi.org/10.1016/j.tra.2018.10.008</w:t>
      </w:r>
    </w:p>
    <w:p w14:paraId="4236C738" w14:textId="646650FD" w:rsidR="00431207" w:rsidRPr="00677CE8" w:rsidRDefault="00431207" w:rsidP="00242E6A">
      <w:pPr>
        <w:pStyle w:val="Bibliography"/>
        <w:spacing w:line="240" w:lineRule="auto"/>
        <w:ind w:left="540" w:hanging="540"/>
      </w:pPr>
      <w:r w:rsidRPr="00677CE8">
        <w:t xml:space="preserve">Stolz, M., Reimer, F., Moerland-Masic, I., </w:t>
      </w:r>
      <w:r w:rsidR="00963916" w:rsidRPr="00677CE8">
        <w:t>and</w:t>
      </w:r>
      <w:r w:rsidRPr="00677CE8">
        <w:t xml:space="preserve"> Hardie, T. (2021). A </w:t>
      </w:r>
      <w:r w:rsidR="00B90606">
        <w:t>u</w:t>
      </w:r>
      <w:r w:rsidRPr="00677CE8">
        <w:t>ser-</w:t>
      </w:r>
      <w:r w:rsidR="00B90606">
        <w:t>c</w:t>
      </w:r>
      <w:r w:rsidRPr="00677CE8">
        <w:t xml:space="preserve">entered </w:t>
      </w:r>
      <w:r w:rsidR="00B90606">
        <w:t>c</w:t>
      </w:r>
      <w:r w:rsidRPr="00677CE8">
        <w:t xml:space="preserve">abin </w:t>
      </w:r>
      <w:r w:rsidR="00B90606">
        <w:t>d</w:t>
      </w:r>
      <w:r w:rsidRPr="00677CE8">
        <w:t xml:space="preserve">esign </w:t>
      </w:r>
      <w:r w:rsidR="00B90606">
        <w:t>a</w:t>
      </w:r>
      <w:r w:rsidRPr="00677CE8">
        <w:t xml:space="preserve">pproach to </w:t>
      </w:r>
      <w:r w:rsidR="00B90606">
        <w:t>i</w:t>
      </w:r>
      <w:r w:rsidRPr="00677CE8">
        <w:t xml:space="preserve">nvestigate </w:t>
      </w:r>
      <w:r w:rsidR="00B90606">
        <w:t>p</w:t>
      </w:r>
      <w:r w:rsidRPr="00677CE8">
        <w:t>eoples</w:t>
      </w:r>
      <w:r w:rsidR="00B90606">
        <w:t>'</w:t>
      </w:r>
      <w:r w:rsidRPr="00677CE8">
        <w:t xml:space="preserve"> </w:t>
      </w:r>
      <w:r w:rsidR="00B90606">
        <w:t>p</w:t>
      </w:r>
      <w:r w:rsidRPr="00677CE8">
        <w:t xml:space="preserve">references on the </w:t>
      </w:r>
      <w:r w:rsidR="00B90606">
        <w:t>i</w:t>
      </w:r>
      <w:r w:rsidRPr="00677CE8">
        <w:t xml:space="preserve">nterior </w:t>
      </w:r>
      <w:r w:rsidR="00B90606">
        <w:t>d</w:t>
      </w:r>
      <w:r w:rsidRPr="00677CE8">
        <w:t xml:space="preserve">esign of </w:t>
      </w:r>
      <w:r w:rsidR="00B90606">
        <w:t>f</w:t>
      </w:r>
      <w:r w:rsidRPr="00677CE8">
        <w:t xml:space="preserve">uture </w:t>
      </w:r>
      <w:r w:rsidR="00B90606">
        <w:t>a</w:t>
      </w:r>
      <w:r w:rsidRPr="00677CE8">
        <w:t xml:space="preserve">ir </w:t>
      </w:r>
      <w:r w:rsidR="00B90606">
        <w:t>t</w:t>
      </w:r>
      <w:r w:rsidRPr="00677CE8">
        <w:t xml:space="preserve">axis. </w:t>
      </w:r>
      <w:r w:rsidRPr="00677CE8">
        <w:rPr>
          <w:i/>
          <w:iCs/>
        </w:rPr>
        <w:t>2021 IEEE/AIAA 40th Digital Avionics Systems Conference (DASC)</w:t>
      </w:r>
      <w:r w:rsidRPr="00677CE8">
        <w:t>, 1–7. https://doi.org/10.1109/DASC52595.2021.9594438</w:t>
      </w:r>
    </w:p>
    <w:p w14:paraId="4A858BBB" w14:textId="07FC8538" w:rsidR="00431207" w:rsidRPr="00677CE8" w:rsidRDefault="00431207" w:rsidP="00242E6A">
      <w:pPr>
        <w:pStyle w:val="Bibliography"/>
        <w:spacing w:line="240" w:lineRule="auto"/>
        <w:ind w:left="540" w:hanging="540"/>
      </w:pPr>
      <w:r w:rsidRPr="00677CE8">
        <w:t xml:space="preserve">Swistara, M. (2020). A </w:t>
      </w:r>
      <w:r w:rsidR="00B90606">
        <w:t>f</w:t>
      </w:r>
      <w:r w:rsidRPr="00677CE8">
        <w:t xml:space="preserve">are </w:t>
      </w:r>
      <w:r w:rsidR="00B90606">
        <w:t>s</w:t>
      </w:r>
      <w:r w:rsidRPr="00677CE8">
        <w:t xml:space="preserve">hare: A </w:t>
      </w:r>
      <w:r w:rsidR="00B90606">
        <w:t>p</w:t>
      </w:r>
      <w:r w:rsidRPr="00677CE8">
        <w:t xml:space="preserve">roposed </w:t>
      </w:r>
      <w:r w:rsidR="00B90606">
        <w:t>s</w:t>
      </w:r>
      <w:r w:rsidRPr="00677CE8">
        <w:t xml:space="preserve">olution to </w:t>
      </w:r>
      <w:r w:rsidR="00B90606">
        <w:t>a</w:t>
      </w:r>
      <w:r w:rsidRPr="00677CE8">
        <w:t xml:space="preserve">ddress the </w:t>
      </w:r>
      <w:r w:rsidR="00B90606">
        <w:t>r</w:t>
      </w:r>
      <w:r w:rsidRPr="00677CE8">
        <w:t xml:space="preserve">acial </w:t>
      </w:r>
      <w:r w:rsidR="00B90606">
        <w:t>d</w:t>
      </w:r>
      <w:r w:rsidRPr="00677CE8">
        <w:t xml:space="preserve">isparity in </w:t>
      </w:r>
      <w:r w:rsidR="00B90606">
        <w:t>a</w:t>
      </w:r>
      <w:r w:rsidRPr="00677CE8">
        <w:t xml:space="preserve">ccess to </w:t>
      </w:r>
      <w:r w:rsidR="00B90606">
        <w:t>p</w:t>
      </w:r>
      <w:r w:rsidRPr="00677CE8">
        <w:t xml:space="preserve">ublic </w:t>
      </w:r>
      <w:r w:rsidR="00B90606">
        <w:t>t</w:t>
      </w:r>
      <w:r w:rsidRPr="00677CE8">
        <w:t xml:space="preserve">ransportation </w:t>
      </w:r>
      <w:r w:rsidR="00B90606">
        <w:t>f</w:t>
      </w:r>
      <w:r w:rsidRPr="00677CE8">
        <w:t>unding in</w:t>
      </w:r>
      <w:r w:rsidR="00B90606">
        <w:t xml:space="preserve"> a</w:t>
      </w:r>
      <w:r w:rsidRPr="00677CE8">
        <w:t xml:space="preserve">merica. </w:t>
      </w:r>
      <w:r w:rsidRPr="00677CE8">
        <w:rPr>
          <w:i/>
          <w:iCs/>
        </w:rPr>
        <w:t>Michigan Journal of Race &amp; Law</w:t>
      </w:r>
      <w:r w:rsidRPr="00677CE8">
        <w:t xml:space="preserve">, </w:t>
      </w:r>
      <w:r w:rsidRPr="00677CE8">
        <w:rPr>
          <w:i/>
          <w:iCs/>
        </w:rPr>
        <w:t>26</w:t>
      </w:r>
      <w:r w:rsidRPr="00677CE8">
        <w:t>(2), 521–566.</w:t>
      </w:r>
    </w:p>
    <w:p w14:paraId="004E5D5A" w14:textId="0C04D93C" w:rsidR="00431207" w:rsidRPr="00677CE8" w:rsidRDefault="00431207" w:rsidP="00242E6A">
      <w:pPr>
        <w:pStyle w:val="Bibliography"/>
        <w:spacing w:line="240" w:lineRule="auto"/>
        <w:ind w:left="540" w:hanging="540"/>
      </w:pPr>
      <w:r w:rsidRPr="00677CE8">
        <w:t xml:space="preserve">Tarabay, R., </w:t>
      </w:r>
      <w:r w:rsidR="00963916" w:rsidRPr="00677CE8">
        <w:t>and</w:t>
      </w:r>
      <w:r w:rsidRPr="00677CE8">
        <w:t xml:space="preserve"> Abou-Zeid, M. (2020). Modeling the choice to switch from traditional modes to ridesourcing services for social/recreational trips in Lebanon. </w:t>
      </w:r>
      <w:r w:rsidRPr="00677CE8">
        <w:rPr>
          <w:i/>
          <w:iCs/>
        </w:rPr>
        <w:t>Transportation</w:t>
      </w:r>
      <w:r w:rsidRPr="00677CE8">
        <w:t xml:space="preserve">, </w:t>
      </w:r>
      <w:r w:rsidRPr="00677CE8">
        <w:rPr>
          <w:i/>
          <w:iCs/>
        </w:rPr>
        <w:t>47</w:t>
      </w:r>
      <w:r w:rsidRPr="00677CE8">
        <w:t>(4), 1733–1763. https://doi.org/10.1007/s11116-019-09973-x</w:t>
      </w:r>
    </w:p>
    <w:p w14:paraId="5960060F" w14:textId="01FFCE9A" w:rsidR="00431207" w:rsidRPr="00677CE8" w:rsidRDefault="00431207" w:rsidP="00242E6A">
      <w:pPr>
        <w:pStyle w:val="Bibliography"/>
        <w:spacing w:line="240" w:lineRule="auto"/>
        <w:ind w:left="540" w:hanging="540"/>
      </w:pPr>
      <w:r w:rsidRPr="00677CE8">
        <w:t xml:space="preserve">Taylor, B. D., </w:t>
      </w:r>
      <w:r w:rsidR="00963916" w:rsidRPr="00677CE8">
        <w:t>and</w:t>
      </w:r>
      <w:r w:rsidRPr="00677CE8">
        <w:t xml:space="preserve"> Morris, E. A. (2015). Public transportation objectives and rider demographics: </w:t>
      </w:r>
      <w:r w:rsidR="00B90606">
        <w:t>A</w:t>
      </w:r>
      <w:r w:rsidRPr="00677CE8">
        <w:t xml:space="preserve">re transit’s priorities poor public policy? </w:t>
      </w:r>
      <w:r w:rsidRPr="00677CE8">
        <w:rPr>
          <w:i/>
          <w:iCs/>
        </w:rPr>
        <w:t>Transportation</w:t>
      </w:r>
      <w:r w:rsidRPr="00677CE8">
        <w:t xml:space="preserve">, </w:t>
      </w:r>
      <w:r w:rsidRPr="00677CE8">
        <w:rPr>
          <w:i/>
          <w:iCs/>
        </w:rPr>
        <w:t>42</w:t>
      </w:r>
      <w:r w:rsidRPr="00677CE8">
        <w:t>(2), 347–367. https://doi.org/10.1007/s11116-014-9547-0</w:t>
      </w:r>
    </w:p>
    <w:p w14:paraId="53D5486A" w14:textId="4D628F5D" w:rsidR="00431207" w:rsidRPr="00677CE8" w:rsidRDefault="00431207" w:rsidP="00242E6A">
      <w:pPr>
        <w:pStyle w:val="Bibliography"/>
        <w:spacing w:line="240" w:lineRule="auto"/>
        <w:ind w:left="540" w:hanging="540"/>
      </w:pPr>
      <w:r w:rsidRPr="00677CE8">
        <w:lastRenderedPageBreak/>
        <w:t xml:space="preserve">Terza, J. V. (2016). </w:t>
      </w:r>
      <w:r w:rsidRPr="00242E6A">
        <w:t xml:space="preserve">Simpler </w:t>
      </w:r>
      <w:r w:rsidR="00B90606" w:rsidRPr="00242E6A">
        <w:t>s</w:t>
      </w:r>
      <w:r w:rsidRPr="00242E6A">
        <w:t xml:space="preserve">tandard </w:t>
      </w:r>
      <w:r w:rsidR="00B90606" w:rsidRPr="00242E6A">
        <w:t>e</w:t>
      </w:r>
      <w:r w:rsidRPr="00242E6A">
        <w:t xml:space="preserve">rrors for </w:t>
      </w:r>
      <w:r w:rsidR="00B90606" w:rsidRPr="00242E6A">
        <w:t>t</w:t>
      </w:r>
      <w:r w:rsidRPr="00242E6A">
        <w:t xml:space="preserve">wo-stage </w:t>
      </w:r>
      <w:r w:rsidR="00B90606" w:rsidRPr="00242E6A">
        <w:t>o</w:t>
      </w:r>
      <w:r w:rsidRPr="00242E6A">
        <w:t xml:space="preserve">ptimization </w:t>
      </w:r>
      <w:r w:rsidR="00B90606" w:rsidRPr="00242E6A">
        <w:t>e</w:t>
      </w:r>
      <w:r w:rsidRPr="00242E6A">
        <w:t xml:space="preserve">stimators. </w:t>
      </w:r>
      <w:r w:rsidR="00242E6A" w:rsidRPr="00242E6A">
        <w:rPr>
          <w:i/>
          <w:iCs/>
        </w:rPr>
        <w:t>The Stata Journal: Promoting Communications on Statistics and Stata</w:t>
      </w:r>
      <w:r w:rsidR="00242E6A" w:rsidRPr="00242E6A">
        <w:t xml:space="preserve">, </w:t>
      </w:r>
      <w:r w:rsidR="00242E6A" w:rsidRPr="00242E6A">
        <w:rPr>
          <w:i/>
          <w:iCs/>
        </w:rPr>
        <w:t>16</w:t>
      </w:r>
      <w:r w:rsidR="00242E6A" w:rsidRPr="00242E6A">
        <w:t>(2), 368</w:t>
      </w:r>
      <w:r w:rsidR="00242E6A">
        <w:t>–</w:t>
      </w:r>
      <w:r w:rsidR="00242E6A" w:rsidRPr="00242E6A">
        <w:t>385</w:t>
      </w:r>
      <w:r w:rsidRPr="00677CE8">
        <w:t>. https://doi.org/10.1177/1536867X1601600206</w:t>
      </w:r>
    </w:p>
    <w:p w14:paraId="3847E000" w14:textId="242A7E70" w:rsidR="00431207" w:rsidRPr="00677CE8" w:rsidRDefault="00431207" w:rsidP="00242E6A">
      <w:pPr>
        <w:pStyle w:val="Bibliography"/>
        <w:spacing w:line="240" w:lineRule="auto"/>
        <w:ind w:left="540" w:hanging="540"/>
      </w:pPr>
      <w:r w:rsidRPr="00677CE8">
        <w:t xml:space="preserve">Tirachini, A. (2020). Ride-hailing, travel behaviour and sustainable mobility: </w:t>
      </w:r>
      <w:r w:rsidR="00B90606">
        <w:t>A</w:t>
      </w:r>
      <w:r w:rsidRPr="00677CE8">
        <w:t xml:space="preserve">n international review. </w:t>
      </w:r>
      <w:r w:rsidRPr="00677CE8">
        <w:rPr>
          <w:i/>
          <w:iCs/>
        </w:rPr>
        <w:t>Transportation</w:t>
      </w:r>
      <w:r w:rsidRPr="00677CE8">
        <w:t xml:space="preserve">, </w:t>
      </w:r>
      <w:r w:rsidRPr="00677CE8">
        <w:rPr>
          <w:i/>
          <w:iCs/>
        </w:rPr>
        <w:t>47</w:t>
      </w:r>
      <w:r w:rsidRPr="00677CE8">
        <w:t>(4), 2011–2047. https://doi.org/10.1007/s11116-019-10070-2</w:t>
      </w:r>
    </w:p>
    <w:p w14:paraId="38694381" w14:textId="76E84BEE" w:rsidR="00431207" w:rsidRPr="00677CE8" w:rsidRDefault="00431207" w:rsidP="00242E6A">
      <w:pPr>
        <w:pStyle w:val="Bibliography"/>
        <w:spacing w:line="240" w:lineRule="auto"/>
        <w:ind w:left="540" w:hanging="540"/>
      </w:pPr>
      <w:r w:rsidRPr="00677CE8">
        <w:t xml:space="preserve">United States Census Bureau. (2023). </w:t>
      </w:r>
      <w:r w:rsidRPr="00677CE8">
        <w:rPr>
          <w:i/>
          <w:iCs/>
        </w:rPr>
        <w:t xml:space="preserve">County </w:t>
      </w:r>
      <w:r w:rsidR="00B90606">
        <w:rPr>
          <w:i/>
          <w:iCs/>
        </w:rPr>
        <w:t>b</w:t>
      </w:r>
      <w:r w:rsidRPr="00677CE8">
        <w:rPr>
          <w:i/>
          <w:iCs/>
        </w:rPr>
        <w:t xml:space="preserve">usiness </w:t>
      </w:r>
      <w:r w:rsidR="00B90606">
        <w:rPr>
          <w:i/>
          <w:iCs/>
        </w:rPr>
        <w:t>p</w:t>
      </w:r>
      <w:r w:rsidRPr="00677CE8">
        <w:rPr>
          <w:i/>
          <w:iCs/>
        </w:rPr>
        <w:t>atterns</w:t>
      </w:r>
      <w:r w:rsidRPr="00677CE8">
        <w:t>. Census.Gov. https://www.census.gov/programs-surveys/cbp.html</w:t>
      </w:r>
    </w:p>
    <w:p w14:paraId="394F8E18" w14:textId="24A62777" w:rsidR="00431207" w:rsidRPr="00677CE8" w:rsidRDefault="00431207" w:rsidP="00242E6A">
      <w:pPr>
        <w:pStyle w:val="Bibliography"/>
        <w:spacing w:line="240" w:lineRule="auto"/>
        <w:ind w:left="540" w:hanging="540"/>
      </w:pPr>
      <w:r w:rsidRPr="007806B4">
        <w:rPr>
          <w:lang w:val="es-MX"/>
        </w:rPr>
        <w:t xml:space="preserve">van Laar, E., van Deursen, A. J. A. M., van Dijk, J. A. G. M., </w:t>
      </w:r>
      <w:r w:rsidR="00963916" w:rsidRPr="007806B4">
        <w:rPr>
          <w:lang w:val="es-MX"/>
        </w:rPr>
        <w:t>and</w:t>
      </w:r>
      <w:r w:rsidRPr="007806B4">
        <w:rPr>
          <w:lang w:val="es-MX"/>
        </w:rPr>
        <w:t xml:space="preserve"> de Haan, J. (2017). </w:t>
      </w:r>
      <w:r w:rsidRPr="00677CE8">
        <w:t xml:space="preserve">The relation between 21st-century skills and digital skills: A systematic literature review. </w:t>
      </w:r>
      <w:r w:rsidRPr="00677CE8">
        <w:rPr>
          <w:i/>
          <w:iCs/>
        </w:rPr>
        <w:t>Computers in Human Behavior</w:t>
      </w:r>
      <w:r w:rsidRPr="00677CE8">
        <w:t xml:space="preserve">, </w:t>
      </w:r>
      <w:r w:rsidRPr="00677CE8">
        <w:rPr>
          <w:i/>
          <w:iCs/>
        </w:rPr>
        <w:t>72</w:t>
      </w:r>
      <w:r w:rsidRPr="00677CE8">
        <w:t>, 577–588. https://doi.org/10.1016/j.chb.2017.03.010</w:t>
      </w:r>
    </w:p>
    <w:p w14:paraId="3C0B0D94" w14:textId="4523ED34" w:rsidR="00431207" w:rsidRPr="00677CE8" w:rsidRDefault="00431207" w:rsidP="00242E6A">
      <w:pPr>
        <w:pStyle w:val="Bibliography"/>
        <w:spacing w:line="240" w:lineRule="auto"/>
        <w:ind w:left="540" w:hanging="540"/>
      </w:pPr>
      <w:r w:rsidRPr="00677CE8">
        <w:t>V</w:t>
      </w:r>
      <w:r w:rsidR="005F032A">
        <w:t>e</w:t>
      </w:r>
      <w:r w:rsidRPr="00677CE8">
        <w:t xml:space="preserve">nkatesh, V., </w:t>
      </w:r>
      <w:r w:rsidR="00963916" w:rsidRPr="00677CE8">
        <w:t>and</w:t>
      </w:r>
      <w:r w:rsidRPr="00677CE8">
        <w:t xml:space="preserve"> Davis, F. D. (2000). A </w:t>
      </w:r>
      <w:r w:rsidR="00B90606">
        <w:t>t</w:t>
      </w:r>
      <w:r w:rsidRPr="00677CE8">
        <w:t xml:space="preserve">heoretical </w:t>
      </w:r>
      <w:r w:rsidR="00B90606">
        <w:t>e</w:t>
      </w:r>
      <w:r w:rsidRPr="00677CE8">
        <w:t xml:space="preserve">xtension of the </w:t>
      </w:r>
      <w:r w:rsidR="00B90606">
        <w:t>t</w:t>
      </w:r>
      <w:r w:rsidRPr="00677CE8">
        <w:t xml:space="preserve">echnology </w:t>
      </w:r>
      <w:r w:rsidR="00B90606">
        <w:t>a</w:t>
      </w:r>
      <w:r w:rsidRPr="00677CE8">
        <w:t xml:space="preserve">cceptance </w:t>
      </w:r>
      <w:r w:rsidR="00B90606">
        <w:t>m</w:t>
      </w:r>
      <w:r w:rsidRPr="00677CE8">
        <w:t>odel: Four</w:t>
      </w:r>
      <w:r w:rsidR="00B90606">
        <w:t xml:space="preserve"> l</w:t>
      </w:r>
      <w:r w:rsidRPr="00677CE8">
        <w:t xml:space="preserve">ongitudinal </w:t>
      </w:r>
      <w:r w:rsidR="00B90606">
        <w:t>f</w:t>
      </w:r>
      <w:r w:rsidRPr="00677CE8">
        <w:t xml:space="preserve">ield </w:t>
      </w:r>
      <w:r w:rsidR="00B90606">
        <w:t>s</w:t>
      </w:r>
      <w:r w:rsidRPr="00677CE8">
        <w:t xml:space="preserve">tudies. </w:t>
      </w:r>
      <w:r w:rsidRPr="00677CE8">
        <w:rPr>
          <w:i/>
          <w:iCs/>
        </w:rPr>
        <w:t>Management Science</w:t>
      </w:r>
      <w:r w:rsidRPr="00677CE8">
        <w:t xml:space="preserve">, </w:t>
      </w:r>
      <w:r w:rsidR="00242E6A" w:rsidRPr="00242E6A">
        <w:rPr>
          <w:i/>
          <w:iCs/>
        </w:rPr>
        <w:t>46</w:t>
      </w:r>
      <w:r w:rsidR="00242E6A" w:rsidRPr="00242E6A">
        <w:t>(2)</w:t>
      </w:r>
      <w:r w:rsidR="00242E6A">
        <w:t xml:space="preserve">, </w:t>
      </w:r>
      <w:r w:rsidR="00242E6A" w:rsidRPr="00242E6A">
        <w:t>186</w:t>
      </w:r>
      <w:r w:rsidR="00242E6A">
        <w:t>–</w:t>
      </w:r>
      <w:r w:rsidR="00242E6A" w:rsidRPr="00242E6A">
        <w:t>204</w:t>
      </w:r>
      <w:r w:rsidRPr="00242E6A">
        <w:t xml:space="preserve">. </w:t>
      </w:r>
      <w:r w:rsidRPr="00677CE8">
        <w:t>https://doi.org/https://doi.org/10.1287/mnsc.46.2.186.11926</w:t>
      </w:r>
    </w:p>
    <w:p w14:paraId="0F14BEF6" w14:textId="528A7DAF" w:rsidR="00431207" w:rsidRPr="00677CE8" w:rsidRDefault="00431207" w:rsidP="00242E6A">
      <w:pPr>
        <w:pStyle w:val="Bibliography"/>
        <w:spacing w:line="240" w:lineRule="auto"/>
        <w:ind w:left="540" w:hanging="540"/>
      </w:pPr>
      <w:r w:rsidRPr="00677CE8">
        <w:t xml:space="preserve">Vianello, M., Schnabel, K., Sriram, N., </w:t>
      </w:r>
      <w:r w:rsidR="00963916" w:rsidRPr="00677CE8">
        <w:t>and</w:t>
      </w:r>
      <w:r w:rsidRPr="00677CE8">
        <w:t xml:space="preserve"> Nosek, B. (2013). Gender differences in implicit and explicit personality traits. </w:t>
      </w:r>
      <w:r w:rsidRPr="00677CE8">
        <w:rPr>
          <w:i/>
          <w:iCs/>
        </w:rPr>
        <w:t>Personality and Individual Differences</w:t>
      </w:r>
      <w:r w:rsidRPr="00677CE8">
        <w:t xml:space="preserve">, </w:t>
      </w:r>
      <w:r w:rsidRPr="00677CE8">
        <w:rPr>
          <w:i/>
          <w:iCs/>
        </w:rPr>
        <w:t>55</w:t>
      </w:r>
      <w:r w:rsidRPr="00677CE8">
        <w:t>(8), 994–999. https://doi.org/10.1016/j.paid.2013.08.008</w:t>
      </w:r>
    </w:p>
    <w:p w14:paraId="29EE8ED4" w14:textId="54A71C90" w:rsidR="00431207" w:rsidRPr="00677CE8" w:rsidRDefault="00431207" w:rsidP="00242E6A">
      <w:pPr>
        <w:pStyle w:val="Bibliography"/>
        <w:spacing w:line="240" w:lineRule="auto"/>
        <w:ind w:left="540" w:hanging="540"/>
      </w:pPr>
      <w:r w:rsidRPr="00677CE8">
        <w:t xml:space="preserve">Wallius, E., Kaipainen, K., </w:t>
      </w:r>
      <w:r w:rsidR="00963916" w:rsidRPr="00677CE8">
        <w:t>and</w:t>
      </w:r>
      <w:r w:rsidRPr="00677CE8">
        <w:t xml:space="preserve"> Pihlajamaa, O. (2026). Trip chain characteristics and situational factors influencing private car mode choices – A survey study in two Finnish urban areas. </w:t>
      </w:r>
      <w:r w:rsidRPr="00677CE8">
        <w:rPr>
          <w:i/>
          <w:iCs/>
        </w:rPr>
        <w:t>Transportation Research Interdisciplinary Perspectives</w:t>
      </w:r>
      <w:r w:rsidRPr="00677CE8">
        <w:t xml:space="preserve">, </w:t>
      </w:r>
      <w:r w:rsidRPr="00677CE8">
        <w:rPr>
          <w:i/>
          <w:iCs/>
        </w:rPr>
        <w:t>36</w:t>
      </w:r>
      <w:r w:rsidRPr="00677CE8">
        <w:t>, 101821. https://doi.org/10.1016/j.trip.2025.101821</w:t>
      </w:r>
    </w:p>
    <w:p w14:paraId="3FEA1BFB" w14:textId="6082A03B" w:rsidR="00431207" w:rsidRPr="00677CE8" w:rsidRDefault="00431207" w:rsidP="00242E6A">
      <w:pPr>
        <w:pStyle w:val="Bibliography"/>
        <w:spacing w:line="240" w:lineRule="auto"/>
        <w:ind w:left="540" w:hanging="540"/>
      </w:pPr>
      <w:r w:rsidRPr="00677CE8">
        <w:t xml:space="preserve">Wardman, M., Chintakayala, V. P. K., </w:t>
      </w:r>
      <w:r w:rsidR="00963916" w:rsidRPr="00677CE8">
        <w:t>and</w:t>
      </w:r>
      <w:r w:rsidRPr="00677CE8">
        <w:t xml:space="preserve"> de Jong, G. (2016). Values of travel time in Europe: Review and meta-analysis. </w:t>
      </w:r>
      <w:r w:rsidRPr="00677CE8">
        <w:rPr>
          <w:i/>
          <w:iCs/>
        </w:rPr>
        <w:t>Transportation Research Part A: Policy and Practice</w:t>
      </w:r>
      <w:r w:rsidRPr="00677CE8">
        <w:t xml:space="preserve">, </w:t>
      </w:r>
      <w:r w:rsidRPr="00677CE8">
        <w:rPr>
          <w:i/>
          <w:iCs/>
        </w:rPr>
        <w:t>94</w:t>
      </w:r>
      <w:r w:rsidRPr="00677CE8">
        <w:t>, 93–111. https://doi.org/10.1016/j.tra.2016.08.019</w:t>
      </w:r>
    </w:p>
    <w:p w14:paraId="1340322B" w14:textId="3A3F675E" w:rsidR="00431207" w:rsidRPr="00677CE8" w:rsidRDefault="00431207" w:rsidP="00242E6A">
      <w:pPr>
        <w:pStyle w:val="Bibliography"/>
        <w:spacing w:line="240" w:lineRule="auto"/>
        <w:ind w:left="540" w:hanging="540"/>
      </w:pPr>
      <w:r w:rsidRPr="00677CE8">
        <w:t xml:space="preserve">Wasserstein, R. L., </w:t>
      </w:r>
      <w:r w:rsidR="00963916" w:rsidRPr="00677CE8">
        <w:t>and</w:t>
      </w:r>
      <w:r w:rsidRPr="00677CE8">
        <w:t xml:space="preserve"> Lazar, N. A. (2016). The ASA </w:t>
      </w:r>
      <w:r w:rsidR="00B90606">
        <w:t>s</w:t>
      </w:r>
      <w:r w:rsidRPr="00677CE8">
        <w:t>tatement on p-</w:t>
      </w:r>
      <w:r w:rsidR="00B90606">
        <w:t>v</w:t>
      </w:r>
      <w:r w:rsidRPr="00677CE8">
        <w:t xml:space="preserve">alues: Context, </w:t>
      </w:r>
      <w:r w:rsidR="00B90606">
        <w:t>p</w:t>
      </w:r>
      <w:r w:rsidRPr="00677CE8">
        <w:t xml:space="preserve">rocess, and </w:t>
      </w:r>
      <w:r w:rsidR="00B90606">
        <w:t>p</w:t>
      </w:r>
      <w:r w:rsidRPr="00677CE8">
        <w:t xml:space="preserve">urpose. </w:t>
      </w:r>
      <w:r w:rsidRPr="00677CE8">
        <w:rPr>
          <w:i/>
          <w:iCs/>
        </w:rPr>
        <w:t>The American Statistician</w:t>
      </w:r>
      <w:r w:rsidRPr="00677CE8">
        <w:t xml:space="preserve">, </w:t>
      </w:r>
      <w:r w:rsidRPr="00677CE8">
        <w:rPr>
          <w:i/>
          <w:iCs/>
        </w:rPr>
        <w:t>70</w:t>
      </w:r>
      <w:r w:rsidRPr="00677CE8">
        <w:t>(2)</w:t>
      </w:r>
      <w:r w:rsidR="00242E6A">
        <w:t xml:space="preserve">, </w:t>
      </w:r>
      <w:r w:rsidR="00242E6A" w:rsidRPr="00242E6A">
        <w:t>129–133</w:t>
      </w:r>
      <w:r w:rsidRPr="00677CE8">
        <w:t>. https://doi.org/https://doi.org/10.1080/00031305.2016.1154108</w:t>
      </w:r>
    </w:p>
    <w:p w14:paraId="20D16820" w14:textId="1EB1C7BB" w:rsidR="00431207" w:rsidRPr="00677CE8" w:rsidRDefault="00431207" w:rsidP="00242E6A">
      <w:pPr>
        <w:pStyle w:val="Bibliography"/>
        <w:spacing w:line="240" w:lineRule="auto"/>
        <w:ind w:left="540" w:hanging="540"/>
      </w:pPr>
      <w:r w:rsidRPr="00677CE8">
        <w:t xml:space="preserve">Wasserstein, R. L., Schirm, A. L., </w:t>
      </w:r>
      <w:r w:rsidR="00963916" w:rsidRPr="00677CE8">
        <w:t>and</w:t>
      </w:r>
      <w:r w:rsidRPr="00677CE8">
        <w:t xml:space="preserve"> Lazar, N. A. (2019). Moving to a </w:t>
      </w:r>
      <w:r w:rsidR="00B90606">
        <w:t>w</w:t>
      </w:r>
      <w:r w:rsidRPr="00677CE8">
        <w:t xml:space="preserve">orld </w:t>
      </w:r>
      <w:r w:rsidR="00B90606">
        <w:t>b</w:t>
      </w:r>
      <w:r w:rsidRPr="00677CE8">
        <w:t xml:space="preserve">eyond “p &lt; 0.05.” </w:t>
      </w:r>
      <w:r w:rsidRPr="00677CE8">
        <w:rPr>
          <w:i/>
          <w:iCs/>
        </w:rPr>
        <w:t>The American Statistician</w:t>
      </w:r>
      <w:r w:rsidRPr="00677CE8">
        <w:t xml:space="preserve">, </w:t>
      </w:r>
      <w:r w:rsidRPr="00677CE8">
        <w:rPr>
          <w:i/>
          <w:iCs/>
        </w:rPr>
        <w:t>73</w:t>
      </w:r>
      <w:r w:rsidRPr="00677CE8">
        <w:t>(sup1), 1–19. https://doi.org/10.1080/00031305.2019.1583913</w:t>
      </w:r>
    </w:p>
    <w:p w14:paraId="1C945890" w14:textId="77777777" w:rsidR="00431207" w:rsidRPr="00677CE8" w:rsidRDefault="00431207" w:rsidP="00242E6A">
      <w:pPr>
        <w:pStyle w:val="Bibliography"/>
        <w:spacing w:line="240" w:lineRule="auto"/>
        <w:ind w:left="540" w:hanging="540"/>
      </w:pPr>
      <w:r w:rsidRPr="00677CE8">
        <w:t xml:space="preserve">Wilkins, L. C. (2016). Officially ridin’ swangas: Slab as tangible and intangible cultural heritage in Houston, Texas. In </w:t>
      </w:r>
      <w:r w:rsidRPr="00677CE8">
        <w:rPr>
          <w:i/>
          <w:iCs/>
        </w:rPr>
        <w:t>The Routledge Companion to Intangible Cultural Heritage</w:t>
      </w:r>
      <w:r w:rsidRPr="00677CE8">
        <w:t>. Routledge.</w:t>
      </w:r>
    </w:p>
    <w:p w14:paraId="021643FD" w14:textId="5984634B" w:rsidR="00431207" w:rsidRPr="00677CE8" w:rsidRDefault="00431207" w:rsidP="00242E6A">
      <w:pPr>
        <w:pStyle w:val="Bibliography"/>
        <w:spacing w:line="240" w:lineRule="auto"/>
        <w:ind w:left="540" w:hanging="540"/>
      </w:pPr>
      <w:r w:rsidRPr="00677CE8">
        <w:t xml:space="preserve">Xu, L., Ng, D. T. K., Lee, C. S. Y., Peng, P., </w:t>
      </w:r>
      <w:r w:rsidR="00963916" w:rsidRPr="00677CE8">
        <w:t>and</w:t>
      </w:r>
      <w:r w:rsidRPr="00677CE8">
        <w:t xml:space="preserve"> Chu, S. K. W. (2025). A systematic review of digital literacy in lifelong learning for older adults: </w:t>
      </w:r>
      <w:r w:rsidR="00B90606">
        <w:t>C</w:t>
      </w:r>
      <w:r w:rsidRPr="00677CE8">
        <w:t xml:space="preserve">hallenges, strategies, and learning outcomes. </w:t>
      </w:r>
      <w:r w:rsidRPr="00677CE8">
        <w:rPr>
          <w:i/>
          <w:iCs/>
        </w:rPr>
        <w:t>Educational Technology Research and Development</w:t>
      </w:r>
      <w:r w:rsidRPr="00677CE8">
        <w:t xml:space="preserve">, </w:t>
      </w:r>
      <w:r w:rsidRPr="00677CE8">
        <w:rPr>
          <w:i/>
          <w:iCs/>
        </w:rPr>
        <w:t>73</w:t>
      </w:r>
      <w:r w:rsidRPr="00677CE8">
        <w:t>(6), 3627–3674. https://doi.org/10.1007/s11423-025-10530-w</w:t>
      </w:r>
    </w:p>
    <w:p w14:paraId="2B3AF2D0" w14:textId="77777777" w:rsidR="00431207" w:rsidRPr="00677CE8" w:rsidRDefault="00431207" w:rsidP="00242E6A">
      <w:pPr>
        <w:pStyle w:val="Bibliography"/>
        <w:spacing w:line="240" w:lineRule="auto"/>
        <w:ind w:left="540" w:hanging="540"/>
      </w:pPr>
      <w:r w:rsidRPr="00677CE8">
        <w:t xml:space="preserve">Yang, Y. (2025). Public transit use among American older adults: Insights from a nationally representative survey. </w:t>
      </w:r>
      <w:r w:rsidRPr="00677CE8">
        <w:rPr>
          <w:i/>
          <w:iCs/>
        </w:rPr>
        <w:t>Journal of Transport &amp; Health</w:t>
      </w:r>
      <w:r w:rsidRPr="00677CE8">
        <w:t xml:space="preserve">, </w:t>
      </w:r>
      <w:r w:rsidRPr="00677CE8">
        <w:rPr>
          <w:i/>
          <w:iCs/>
        </w:rPr>
        <w:t>41</w:t>
      </w:r>
      <w:r w:rsidRPr="00677CE8">
        <w:t>, 101982. https://doi.org/10.1016/j.jth.2025.101982</w:t>
      </w:r>
    </w:p>
    <w:p w14:paraId="0F81EE5C" w14:textId="3025AEBD" w:rsidR="00431207" w:rsidRPr="00677CE8" w:rsidRDefault="00431207" w:rsidP="00242E6A">
      <w:pPr>
        <w:pStyle w:val="Bibliography"/>
        <w:spacing w:line="240" w:lineRule="auto"/>
        <w:ind w:left="540" w:hanging="540"/>
      </w:pPr>
      <w:bookmarkStart w:id="3" w:name="_Hlk236061407"/>
      <w:r w:rsidRPr="00677CE8">
        <w:t xml:space="preserve">Yavuz, Y. C. (2024). Exploring </w:t>
      </w:r>
      <w:r w:rsidR="00B90606">
        <w:t>u</w:t>
      </w:r>
      <w:r w:rsidRPr="00677CE8">
        <w:t xml:space="preserve">niversity </w:t>
      </w:r>
      <w:r w:rsidR="00B90606">
        <w:t>s</w:t>
      </w:r>
      <w:r w:rsidRPr="00677CE8">
        <w:t xml:space="preserve">tudents’ </w:t>
      </w:r>
      <w:r w:rsidR="00B90606">
        <w:t>a</w:t>
      </w:r>
      <w:r w:rsidRPr="00677CE8">
        <w:t xml:space="preserve">cceptability of </w:t>
      </w:r>
      <w:r w:rsidR="00B90606">
        <w:t>a</w:t>
      </w:r>
      <w:r w:rsidRPr="00677CE8">
        <w:t xml:space="preserve">utonomous </w:t>
      </w:r>
      <w:r w:rsidR="00B90606">
        <w:t>v</w:t>
      </w:r>
      <w:r w:rsidRPr="00677CE8">
        <w:t xml:space="preserve">ehicles and </w:t>
      </w:r>
      <w:r w:rsidR="00B90606">
        <w:t>u</w:t>
      </w:r>
      <w:r w:rsidRPr="00677CE8">
        <w:t xml:space="preserve">rban </w:t>
      </w:r>
      <w:r w:rsidR="00B90606">
        <w:t>a</w:t>
      </w:r>
      <w:r w:rsidRPr="00677CE8">
        <w:t xml:space="preserve">ir </w:t>
      </w:r>
      <w:r w:rsidR="00B90606">
        <w:t>m</w:t>
      </w:r>
      <w:r w:rsidRPr="00677CE8">
        <w:t xml:space="preserve">obility. </w:t>
      </w:r>
      <w:r w:rsidRPr="00677CE8">
        <w:rPr>
          <w:i/>
          <w:iCs/>
        </w:rPr>
        <w:t>Journal of Air Transport Management</w:t>
      </w:r>
      <w:r w:rsidRPr="00677CE8">
        <w:t xml:space="preserve">, </w:t>
      </w:r>
      <w:r w:rsidRPr="00677CE8">
        <w:rPr>
          <w:i/>
          <w:iCs/>
        </w:rPr>
        <w:t>115</w:t>
      </w:r>
      <w:r w:rsidRPr="00677CE8">
        <w:t>, 102546. https://doi.org/10.1016/j.jairtraman.2024.102546</w:t>
      </w:r>
    </w:p>
    <w:bookmarkEnd w:id="3"/>
    <w:p w14:paraId="06A1ECE8" w14:textId="5562C59F" w:rsidR="00431207" w:rsidRPr="00677CE8" w:rsidRDefault="00431207" w:rsidP="00242E6A">
      <w:pPr>
        <w:pStyle w:val="Bibliography"/>
        <w:spacing w:line="240" w:lineRule="auto"/>
        <w:ind w:left="540" w:hanging="540"/>
      </w:pPr>
      <w:r w:rsidRPr="00677CE8">
        <w:t xml:space="preserve">Yedavalli, P., </w:t>
      </w:r>
      <w:r w:rsidR="00963916" w:rsidRPr="00677CE8">
        <w:t>and</w:t>
      </w:r>
      <w:r w:rsidRPr="00677CE8">
        <w:t xml:space="preserve"> Mooberry, J. (2019). </w:t>
      </w:r>
      <w:r w:rsidRPr="00677CE8">
        <w:rPr>
          <w:i/>
          <w:iCs/>
        </w:rPr>
        <w:t xml:space="preserve">An </w:t>
      </w:r>
      <w:r w:rsidR="00B90606">
        <w:rPr>
          <w:i/>
          <w:iCs/>
        </w:rPr>
        <w:t>a</w:t>
      </w:r>
      <w:r w:rsidR="00B90606" w:rsidRPr="00677CE8">
        <w:rPr>
          <w:i/>
          <w:iCs/>
        </w:rPr>
        <w:t>ssessment</w:t>
      </w:r>
      <w:r w:rsidRPr="00677CE8">
        <w:rPr>
          <w:i/>
          <w:iCs/>
        </w:rPr>
        <w:t xml:space="preserve"> of </w:t>
      </w:r>
      <w:r w:rsidR="00B90606">
        <w:rPr>
          <w:i/>
          <w:iCs/>
        </w:rPr>
        <w:t>p</w:t>
      </w:r>
      <w:r w:rsidRPr="00677CE8">
        <w:rPr>
          <w:i/>
          <w:iCs/>
        </w:rPr>
        <w:t xml:space="preserve">ublic </w:t>
      </w:r>
      <w:r w:rsidR="00B90606">
        <w:rPr>
          <w:i/>
          <w:iCs/>
        </w:rPr>
        <w:t>p</w:t>
      </w:r>
      <w:r w:rsidRPr="00677CE8">
        <w:rPr>
          <w:i/>
          <w:iCs/>
        </w:rPr>
        <w:t xml:space="preserve">erception of </w:t>
      </w:r>
      <w:r w:rsidR="00B90606">
        <w:rPr>
          <w:i/>
          <w:iCs/>
        </w:rPr>
        <w:t>u</w:t>
      </w:r>
      <w:r w:rsidRPr="00677CE8">
        <w:rPr>
          <w:i/>
          <w:iCs/>
        </w:rPr>
        <w:t xml:space="preserve">rban </w:t>
      </w:r>
      <w:r w:rsidR="00B90606">
        <w:rPr>
          <w:i/>
          <w:iCs/>
        </w:rPr>
        <w:t>a</w:t>
      </w:r>
      <w:r w:rsidRPr="00677CE8">
        <w:rPr>
          <w:i/>
          <w:iCs/>
        </w:rPr>
        <w:t xml:space="preserve">ir </w:t>
      </w:r>
      <w:r w:rsidR="00B90606">
        <w:rPr>
          <w:i/>
          <w:iCs/>
        </w:rPr>
        <w:t>m</w:t>
      </w:r>
      <w:r w:rsidRPr="00677CE8">
        <w:rPr>
          <w:i/>
          <w:iCs/>
        </w:rPr>
        <w:t>obility (UAM)</w:t>
      </w:r>
      <w:r w:rsidRPr="00677CE8">
        <w:t xml:space="preserve">. Airbus. </w:t>
      </w:r>
    </w:p>
    <w:p w14:paraId="0D0A3D93" w14:textId="5237F9ED" w:rsidR="00431207" w:rsidRPr="00677CE8" w:rsidRDefault="00431207" w:rsidP="00C07E56">
      <w:pPr>
        <w:pStyle w:val="Bibliography"/>
        <w:keepLines/>
        <w:spacing w:line="240" w:lineRule="auto"/>
        <w:ind w:left="547" w:hanging="547"/>
      </w:pPr>
      <w:bookmarkStart w:id="4" w:name="_Hlk236061266"/>
      <w:r w:rsidRPr="00677CE8">
        <w:lastRenderedPageBreak/>
        <w:t xml:space="preserve">Zaps, R., </w:t>
      </w:r>
      <w:r w:rsidR="00963916" w:rsidRPr="00677CE8">
        <w:t>and</w:t>
      </w:r>
      <w:r w:rsidRPr="00677CE8">
        <w:t xml:space="preserve"> Chankov, S. M. (2022). Are </w:t>
      </w:r>
      <w:r w:rsidR="00B90606">
        <w:t>c</w:t>
      </w:r>
      <w:r w:rsidRPr="00677CE8">
        <w:t xml:space="preserve">onsumers </w:t>
      </w:r>
      <w:r w:rsidR="00B90606">
        <w:t>r</w:t>
      </w:r>
      <w:r w:rsidRPr="00677CE8">
        <w:t xml:space="preserve">eady for </w:t>
      </w:r>
      <w:r w:rsidR="00B90606">
        <w:t>f</w:t>
      </w:r>
      <w:r w:rsidRPr="00677CE8">
        <w:t xml:space="preserve">lying </w:t>
      </w:r>
      <w:r w:rsidR="00B90606">
        <w:t>t</w:t>
      </w:r>
      <w:r w:rsidRPr="00677CE8">
        <w:t xml:space="preserve">axis? A </w:t>
      </w:r>
      <w:r w:rsidR="00B90606">
        <w:t>c</w:t>
      </w:r>
      <w:r w:rsidRPr="00677CE8">
        <w:t xml:space="preserve">hoice-based </w:t>
      </w:r>
      <w:r w:rsidR="00B90606">
        <w:t>c</w:t>
      </w:r>
      <w:r w:rsidRPr="00677CE8">
        <w:t xml:space="preserve">onjoint </w:t>
      </w:r>
      <w:r w:rsidR="00B90606">
        <w:t>a</w:t>
      </w:r>
      <w:r w:rsidRPr="00677CE8">
        <w:t xml:space="preserve">nalysis of eVTOLs in Germany. </w:t>
      </w:r>
      <w:r w:rsidRPr="00677CE8">
        <w:rPr>
          <w:i/>
          <w:iCs/>
        </w:rPr>
        <w:t>2022 IEEE International Conference on Industrial Engineering and Engineering Management (IEEM)</w:t>
      </w:r>
      <w:r w:rsidRPr="00677CE8">
        <w:t>, 1337–1341. https://doi.org/10.1109/IEEM55944.2022.9989956</w:t>
      </w:r>
      <w:bookmarkEnd w:id="4"/>
    </w:p>
    <w:p w14:paraId="5CE8FA35" w14:textId="52972481" w:rsidR="00431207" w:rsidRPr="00677CE8" w:rsidRDefault="00431207" w:rsidP="00242E6A">
      <w:pPr>
        <w:pStyle w:val="Bibliography"/>
        <w:spacing w:line="240" w:lineRule="auto"/>
        <w:ind w:left="540" w:hanging="540"/>
      </w:pPr>
      <w:bookmarkStart w:id="5" w:name="_Hlk236061296"/>
      <w:r w:rsidRPr="00677CE8">
        <w:t xml:space="preserve">Zhang, Y., </w:t>
      </w:r>
      <w:r w:rsidR="00963916" w:rsidRPr="00677CE8">
        <w:t>and</w:t>
      </w:r>
      <w:r w:rsidRPr="00677CE8">
        <w:t xml:space="preserve"> Kamargianni, M. (2023). A review on the factors influencing the adoption of new mobility technologies and services: </w:t>
      </w:r>
      <w:r w:rsidR="00B90606">
        <w:t>A</w:t>
      </w:r>
      <w:r w:rsidRPr="00677CE8">
        <w:t xml:space="preserve">utonomous vehicle, drone, micromobility and mobility as a service. </w:t>
      </w:r>
      <w:r w:rsidRPr="00677CE8">
        <w:rPr>
          <w:i/>
          <w:iCs/>
        </w:rPr>
        <w:t>Transport Reviews</w:t>
      </w:r>
      <w:r w:rsidRPr="00677CE8">
        <w:t xml:space="preserve">, </w:t>
      </w:r>
      <w:r w:rsidRPr="00677CE8">
        <w:rPr>
          <w:i/>
          <w:iCs/>
        </w:rPr>
        <w:t>43</w:t>
      </w:r>
      <w:r w:rsidRPr="00677CE8">
        <w:t>(3), 407–429. https://doi.org/10.1080/01441647.2022.2119297</w:t>
      </w:r>
    </w:p>
    <w:bookmarkEnd w:id="5"/>
    <w:p w14:paraId="70D399DE" w14:textId="36B4AE99" w:rsidR="00431207" w:rsidRPr="00677CE8" w:rsidRDefault="00431207" w:rsidP="00242E6A">
      <w:pPr>
        <w:pStyle w:val="Bibliography"/>
        <w:spacing w:line="240" w:lineRule="auto"/>
        <w:ind w:left="540" w:hanging="540"/>
      </w:pPr>
      <w:r w:rsidRPr="00677CE8">
        <w:t xml:space="preserve">Zhu, Y., </w:t>
      </w:r>
      <w:r w:rsidR="00963916" w:rsidRPr="00677CE8">
        <w:t>and</w:t>
      </w:r>
      <w:r w:rsidRPr="00677CE8">
        <w:t xml:space="preserve"> Chen, Y. (2023). A study of noise exposure of traffic-type pocket parks in old urban districts based on audio-visual interaction. </w:t>
      </w:r>
      <w:r w:rsidRPr="00677CE8">
        <w:rPr>
          <w:i/>
          <w:iCs/>
        </w:rPr>
        <w:t>Applied Acoustics</w:t>
      </w:r>
      <w:r w:rsidRPr="00677CE8">
        <w:t xml:space="preserve">, </w:t>
      </w:r>
      <w:r w:rsidRPr="00677CE8">
        <w:rPr>
          <w:i/>
          <w:iCs/>
        </w:rPr>
        <w:t>213</w:t>
      </w:r>
      <w:r w:rsidRPr="00677CE8">
        <w:t>, 109628. https://doi.org/10.1016/j.apacoust.2023.109628</w:t>
      </w:r>
    </w:p>
    <w:p w14:paraId="79B593E1" w14:textId="4E09D37E" w:rsidR="00891C71" w:rsidRPr="00677CE8" w:rsidRDefault="00994620" w:rsidP="00242E6A">
      <w:pPr>
        <w:spacing w:after="0" w:line="240" w:lineRule="auto"/>
        <w:ind w:left="540" w:hanging="540"/>
        <w:jc w:val="both"/>
        <w:sectPr w:rsidR="00891C71" w:rsidRPr="00677CE8" w:rsidSect="00F37DBF">
          <w:footerReference w:type="default" r:id="rId305"/>
          <w:pgSz w:w="12240" w:h="15840"/>
          <w:pgMar w:top="1440" w:right="1440" w:bottom="1440" w:left="1440" w:header="720" w:footer="720" w:gutter="0"/>
          <w:pgNumType w:start="1"/>
          <w:cols w:space="720"/>
          <w:docGrid w:linePitch="360"/>
        </w:sectPr>
      </w:pPr>
      <w:r w:rsidRPr="00677CE8">
        <w:fldChar w:fldCharType="end"/>
      </w:r>
    </w:p>
    <w:p w14:paraId="3A7EB0B4" w14:textId="6A119FFD" w:rsidR="007577D6" w:rsidRPr="00677CE8" w:rsidRDefault="00891C71" w:rsidP="007A7EFB">
      <w:pPr>
        <w:pStyle w:val="Heading2"/>
        <w:spacing w:after="0" w:line="240" w:lineRule="auto"/>
      </w:pPr>
      <w:r w:rsidRPr="00677CE8">
        <w:lastRenderedPageBreak/>
        <w:t>Table</w:t>
      </w:r>
      <w:r w:rsidR="007577D6" w:rsidRPr="00677CE8">
        <w:t xml:space="preserve"> 1: Summary of Literature </w:t>
      </w:r>
      <w:r w:rsidR="007A7EFB" w:rsidRPr="00677CE8">
        <w:t xml:space="preserve">on </w:t>
      </w:r>
      <w:r w:rsidR="007577D6" w:rsidRPr="00677CE8">
        <w:t>UAM Adoption</w:t>
      </w:r>
    </w:p>
    <w:tbl>
      <w:tblPr>
        <w:tblStyle w:val="TableGrid"/>
        <w:tblW w:w="14485" w:type="dxa"/>
        <w:jc w:val="center"/>
        <w:tblLayout w:type="fixed"/>
        <w:tblCellMar>
          <w:left w:w="29" w:type="dxa"/>
          <w:right w:w="29" w:type="dxa"/>
        </w:tblCellMar>
        <w:tblLook w:val="04A0" w:firstRow="1" w:lastRow="0" w:firstColumn="1" w:lastColumn="0" w:noHBand="0" w:noVBand="1"/>
      </w:tblPr>
      <w:tblGrid>
        <w:gridCol w:w="1876"/>
        <w:gridCol w:w="1444"/>
        <w:gridCol w:w="1350"/>
        <w:gridCol w:w="445"/>
        <w:gridCol w:w="277"/>
        <w:gridCol w:w="720"/>
        <w:gridCol w:w="263"/>
        <w:gridCol w:w="461"/>
        <w:gridCol w:w="360"/>
        <w:gridCol w:w="360"/>
        <w:gridCol w:w="527"/>
        <w:gridCol w:w="559"/>
        <w:gridCol w:w="433"/>
        <w:gridCol w:w="525"/>
        <w:gridCol w:w="465"/>
        <w:gridCol w:w="270"/>
        <w:gridCol w:w="404"/>
        <w:gridCol w:w="406"/>
        <w:gridCol w:w="3340"/>
      </w:tblGrid>
      <w:tr w:rsidR="004407E2" w:rsidRPr="00677CE8" w14:paraId="66291E18" w14:textId="77777777" w:rsidTr="00007FF5">
        <w:trPr>
          <w:cantSplit/>
          <w:trHeight w:val="233"/>
          <w:jc w:val="center"/>
        </w:trPr>
        <w:tc>
          <w:tcPr>
            <w:tcW w:w="1876" w:type="dxa"/>
            <w:vMerge w:val="restart"/>
            <w:tcBorders>
              <w:top w:val="single" w:sz="12" w:space="0" w:color="auto"/>
              <w:left w:val="single" w:sz="12" w:space="0" w:color="auto"/>
            </w:tcBorders>
            <w:shd w:val="clear" w:color="auto" w:fill="D9D9D9" w:themeFill="background1" w:themeFillShade="D9"/>
            <w:vAlign w:val="center"/>
          </w:tcPr>
          <w:p w14:paraId="67EF800F" w14:textId="0F3AE934" w:rsidR="004407E2" w:rsidRPr="00677CE8" w:rsidRDefault="004407E2" w:rsidP="007B293E">
            <w:pPr>
              <w:pStyle w:val="Heading2"/>
              <w:spacing w:line="240" w:lineRule="auto"/>
              <w:jc w:val="center"/>
              <w:rPr>
                <w:sz w:val="17"/>
                <w:szCs w:val="17"/>
              </w:rPr>
            </w:pPr>
            <w:r w:rsidRPr="00677CE8">
              <w:rPr>
                <w:sz w:val="17"/>
                <w:szCs w:val="17"/>
              </w:rPr>
              <w:t>Reference</w:t>
            </w:r>
          </w:p>
        </w:tc>
        <w:tc>
          <w:tcPr>
            <w:tcW w:w="1444" w:type="dxa"/>
            <w:vMerge w:val="restart"/>
            <w:tcBorders>
              <w:top w:val="single" w:sz="12" w:space="0" w:color="auto"/>
            </w:tcBorders>
            <w:shd w:val="clear" w:color="auto" w:fill="D9D9D9" w:themeFill="background1" w:themeFillShade="D9"/>
            <w:vAlign w:val="center"/>
          </w:tcPr>
          <w:p w14:paraId="6A10B9A8" w14:textId="5EC8F05F" w:rsidR="004407E2" w:rsidRPr="00677CE8" w:rsidRDefault="004407E2" w:rsidP="007B293E">
            <w:pPr>
              <w:pStyle w:val="Heading2"/>
              <w:spacing w:line="240" w:lineRule="auto"/>
              <w:jc w:val="center"/>
              <w:rPr>
                <w:sz w:val="17"/>
                <w:szCs w:val="17"/>
              </w:rPr>
            </w:pPr>
            <w:r w:rsidRPr="00677CE8">
              <w:rPr>
                <w:sz w:val="17"/>
                <w:szCs w:val="17"/>
              </w:rPr>
              <w:t>Aerial Modes*</w:t>
            </w:r>
          </w:p>
        </w:tc>
        <w:tc>
          <w:tcPr>
            <w:tcW w:w="1350" w:type="dxa"/>
            <w:vMerge w:val="restart"/>
            <w:tcBorders>
              <w:top w:val="single" w:sz="12" w:space="0" w:color="auto"/>
              <w:right w:val="single" w:sz="4" w:space="0" w:color="000000" w:themeColor="text1"/>
            </w:tcBorders>
            <w:shd w:val="clear" w:color="auto" w:fill="D9D9D9" w:themeFill="background1" w:themeFillShade="D9"/>
            <w:vAlign w:val="center"/>
          </w:tcPr>
          <w:p w14:paraId="1EAF45B0" w14:textId="1004A3AE" w:rsidR="004407E2" w:rsidRPr="00677CE8" w:rsidRDefault="004407E2" w:rsidP="007B293E">
            <w:pPr>
              <w:pStyle w:val="Heading2"/>
              <w:spacing w:line="240" w:lineRule="auto"/>
              <w:jc w:val="center"/>
              <w:rPr>
                <w:sz w:val="17"/>
                <w:szCs w:val="17"/>
              </w:rPr>
            </w:pPr>
            <w:r w:rsidRPr="00677CE8">
              <w:rPr>
                <w:sz w:val="17"/>
                <w:szCs w:val="17"/>
              </w:rPr>
              <w:t>Ground-Based Modes*</w:t>
            </w:r>
          </w:p>
        </w:tc>
        <w:tc>
          <w:tcPr>
            <w:tcW w:w="6475" w:type="dxa"/>
            <w:gridSpan w:val="15"/>
            <w:tcBorders>
              <w:top w:val="single" w:sz="12" w:space="0" w:color="000000" w:themeColor="text1"/>
              <w:right w:val="single" w:sz="4" w:space="0" w:color="000000" w:themeColor="text1"/>
            </w:tcBorders>
            <w:shd w:val="clear" w:color="auto" w:fill="D9D9D9" w:themeFill="background1" w:themeFillShade="D9"/>
          </w:tcPr>
          <w:p w14:paraId="7ABA2247" w14:textId="7C646F7E" w:rsidR="004407E2" w:rsidRPr="00677CE8" w:rsidRDefault="004407E2" w:rsidP="007B293E">
            <w:pPr>
              <w:pStyle w:val="Heading2"/>
              <w:spacing w:line="240" w:lineRule="auto"/>
              <w:jc w:val="center"/>
              <w:rPr>
                <w:sz w:val="17"/>
                <w:szCs w:val="17"/>
              </w:rPr>
            </w:pPr>
            <w:r w:rsidRPr="00677CE8">
              <w:rPr>
                <w:sz w:val="17"/>
                <w:szCs w:val="17"/>
              </w:rPr>
              <w:t>Contextual Characteristics</w:t>
            </w:r>
          </w:p>
        </w:tc>
        <w:tc>
          <w:tcPr>
            <w:tcW w:w="3338" w:type="dxa"/>
            <w:tcBorders>
              <w:top w:val="single" w:sz="12" w:space="0" w:color="000000" w:themeColor="text1"/>
              <w:left w:val="single" w:sz="4" w:space="0" w:color="000000" w:themeColor="text1"/>
              <w:bottom w:val="single" w:sz="4" w:space="0" w:color="000000" w:themeColor="text1"/>
              <w:right w:val="single" w:sz="12" w:space="0" w:color="000000" w:themeColor="text1"/>
            </w:tcBorders>
            <w:shd w:val="clear" w:color="auto" w:fill="D9D9D9" w:themeFill="background1" w:themeFillShade="D9"/>
            <w:vAlign w:val="center"/>
          </w:tcPr>
          <w:p w14:paraId="5339A984" w14:textId="09016F9A" w:rsidR="004407E2" w:rsidRPr="00677CE8" w:rsidRDefault="004407E2" w:rsidP="007B293E">
            <w:pPr>
              <w:pStyle w:val="Heading2"/>
              <w:spacing w:line="240" w:lineRule="auto"/>
              <w:jc w:val="center"/>
              <w:rPr>
                <w:sz w:val="17"/>
                <w:szCs w:val="17"/>
              </w:rPr>
            </w:pPr>
            <w:r w:rsidRPr="00677CE8">
              <w:rPr>
                <w:sz w:val="17"/>
                <w:szCs w:val="17"/>
              </w:rPr>
              <w:t>Individual-Level Characteristics</w:t>
            </w:r>
          </w:p>
        </w:tc>
      </w:tr>
      <w:tr w:rsidR="004407E2" w:rsidRPr="00677CE8" w14:paraId="533BFCA1" w14:textId="7F7BAE92" w:rsidTr="00007FF5">
        <w:trPr>
          <w:cantSplit/>
          <w:trHeight w:val="144"/>
          <w:jc w:val="center"/>
        </w:trPr>
        <w:tc>
          <w:tcPr>
            <w:tcW w:w="1876" w:type="dxa"/>
            <w:vMerge/>
            <w:tcBorders>
              <w:left w:val="single" w:sz="12" w:space="0" w:color="auto"/>
            </w:tcBorders>
            <w:shd w:val="clear" w:color="auto" w:fill="D9D9D9" w:themeFill="background1" w:themeFillShade="D9"/>
            <w:vAlign w:val="center"/>
          </w:tcPr>
          <w:p w14:paraId="6C00EF98" w14:textId="6A5D0FFA" w:rsidR="004407E2" w:rsidRPr="00677CE8" w:rsidRDefault="004407E2" w:rsidP="007B293E">
            <w:pPr>
              <w:pStyle w:val="Heading2"/>
              <w:spacing w:line="240" w:lineRule="auto"/>
              <w:jc w:val="center"/>
              <w:rPr>
                <w:sz w:val="17"/>
                <w:szCs w:val="17"/>
              </w:rPr>
            </w:pPr>
          </w:p>
        </w:tc>
        <w:tc>
          <w:tcPr>
            <w:tcW w:w="1444" w:type="dxa"/>
            <w:vMerge/>
            <w:shd w:val="clear" w:color="auto" w:fill="D9D9D9" w:themeFill="background1" w:themeFillShade="D9"/>
            <w:vAlign w:val="center"/>
          </w:tcPr>
          <w:p w14:paraId="259E935E" w14:textId="7A5660B5" w:rsidR="004407E2" w:rsidRPr="00677CE8" w:rsidRDefault="004407E2" w:rsidP="007B293E">
            <w:pPr>
              <w:pStyle w:val="Heading2"/>
              <w:spacing w:line="240" w:lineRule="auto"/>
              <w:jc w:val="center"/>
              <w:rPr>
                <w:sz w:val="17"/>
                <w:szCs w:val="17"/>
              </w:rPr>
            </w:pPr>
          </w:p>
        </w:tc>
        <w:tc>
          <w:tcPr>
            <w:tcW w:w="1350" w:type="dxa"/>
            <w:vMerge/>
            <w:tcBorders>
              <w:right w:val="single" w:sz="4" w:space="0" w:color="000000" w:themeColor="text1"/>
            </w:tcBorders>
            <w:shd w:val="clear" w:color="auto" w:fill="D9D9D9" w:themeFill="background1" w:themeFillShade="D9"/>
            <w:vAlign w:val="center"/>
          </w:tcPr>
          <w:p w14:paraId="44E817FB" w14:textId="4711C6CE" w:rsidR="004407E2" w:rsidRPr="00677CE8" w:rsidRDefault="004407E2" w:rsidP="007B293E">
            <w:pPr>
              <w:pStyle w:val="Heading2"/>
              <w:spacing w:line="240" w:lineRule="auto"/>
              <w:jc w:val="center"/>
              <w:rPr>
                <w:sz w:val="17"/>
                <w:szCs w:val="17"/>
              </w:rPr>
            </w:pPr>
          </w:p>
        </w:tc>
        <w:tc>
          <w:tcPr>
            <w:tcW w:w="5665" w:type="dxa"/>
            <w:gridSpan w:val="13"/>
            <w:tcBorders>
              <w:left w:val="single" w:sz="4" w:space="0" w:color="000000" w:themeColor="text1"/>
            </w:tcBorders>
            <w:shd w:val="clear" w:color="auto" w:fill="D9D9D9" w:themeFill="background1" w:themeFillShade="D9"/>
            <w:vAlign w:val="center"/>
          </w:tcPr>
          <w:p w14:paraId="7362FD1C" w14:textId="51AADBC6" w:rsidR="004407E2" w:rsidRPr="00677CE8" w:rsidRDefault="004407E2" w:rsidP="00FF3482">
            <w:pPr>
              <w:pStyle w:val="Heading2"/>
              <w:spacing w:line="240" w:lineRule="auto"/>
              <w:ind w:left="-67"/>
              <w:jc w:val="center"/>
              <w:rPr>
                <w:sz w:val="17"/>
                <w:szCs w:val="17"/>
              </w:rPr>
            </w:pPr>
            <w:r w:rsidRPr="00677CE8">
              <w:rPr>
                <w:sz w:val="17"/>
                <w:szCs w:val="17"/>
              </w:rPr>
              <w:t>Service Attributes</w:t>
            </w:r>
          </w:p>
        </w:tc>
        <w:tc>
          <w:tcPr>
            <w:tcW w:w="810" w:type="dxa"/>
            <w:gridSpan w:val="2"/>
            <w:vMerge w:val="restart"/>
            <w:tcBorders>
              <w:top w:val="single" w:sz="4" w:space="0" w:color="000000" w:themeColor="text1"/>
            </w:tcBorders>
            <w:shd w:val="clear" w:color="auto" w:fill="D9D9D9" w:themeFill="background1" w:themeFillShade="D9"/>
            <w:vAlign w:val="center"/>
          </w:tcPr>
          <w:p w14:paraId="6407E324" w14:textId="1B0A40C1" w:rsidR="004407E2" w:rsidRPr="00677CE8" w:rsidRDefault="004407E2" w:rsidP="00AD7692">
            <w:pPr>
              <w:pStyle w:val="Heading2"/>
              <w:spacing w:line="240" w:lineRule="auto"/>
              <w:ind w:left="-67"/>
              <w:jc w:val="center"/>
              <w:rPr>
                <w:sz w:val="17"/>
                <w:szCs w:val="17"/>
              </w:rPr>
            </w:pPr>
            <w:r w:rsidRPr="00677CE8">
              <w:rPr>
                <w:sz w:val="17"/>
                <w:szCs w:val="17"/>
              </w:rPr>
              <w:t>Trip Context</w:t>
            </w:r>
          </w:p>
        </w:tc>
        <w:tc>
          <w:tcPr>
            <w:tcW w:w="3338" w:type="dxa"/>
            <w:vMerge w:val="restart"/>
            <w:tcBorders>
              <w:top w:val="single" w:sz="4" w:space="0" w:color="000000" w:themeColor="text1"/>
              <w:right w:val="single" w:sz="12" w:space="0" w:color="auto"/>
            </w:tcBorders>
            <w:shd w:val="clear" w:color="auto" w:fill="D9D9D9" w:themeFill="background1" w:themeFillShade="D9"/>
            <w:vAlign w:val="center"/>
          </w:tcPr>
          <w:p w14:paraId="0ADB8F86" w14:textId="08C30FE2" w:rsidR="004407E2" w:rsidRPr="00677CE8" w:rsidRDefault="004407E2" w:rsidP="007B293E">
            <w:pPr>
              <w:pStyle w:val="Heading2"/>
              <w:spacing w:line="240" w:lineRule="auto"/>
              <w:jc w:val="center"/>
              <w:rPr>
                <w:sz w:val="17"/>
                <w:szCs w:val="17"/>
              </w:rPr>
            </w:pPr>
            <w:r>
              <w:rPr>
                <w:sz w:val="17"/>
                <w:szCs w:val="17"/>
              </w:rPr>
              <w:t>Perceptions/</w:t>
            </w:r>
            <w:r w:rsidRPr="00677CE8">
              <w:rPr>
                <w:sz w:val="17"/>
                <w:szCs w:val="17"/>
              </w:rPr>
              <w:t>Attitudes</w:t>
            </w:r>
            <w:r>
              <w:rPr>
                <w:sz w:val="17"/>
                <w:szCs w:val="17"/>
              </w:rPr>
              <w:t>/Subjective Norms</w:t>
            </w:r>
          </w:p>
          <w:p w14:paraId="5B35943D" w14:textId="1117EB59" w:rsidR="004407E2" w:rsidRPr="00677CE8" w:rsidRDefault="004407E2" w:rsidP="00FF417D">
            <w:pPr>
              <w:pStyle w:val="Heading2"/>
              <w:tabs>
                <w:tab w:val="left" w:pos="2857"/>
              </w:tabs>
              <w:spacing w:line="240" w:lineRule="auto"/>
              <w:ind w:left="113" w:right="113"/>
              <w:jc w:val="center"/>
              <w:rPr>
                <w:sz w:val="17"/>
                <w:szCs w:val="17"/>
              </w:rPr>
            </w:pPr>
          </w:p>
        </w:tc>
      </w:tr>
      <w:tr w:rsidR="004407E2" w:rsidRPr="00677CE8" w14:paraId="0C774899" w14:textId="77777777" w:rsidTr="00007FF5">
        <w:trPr>
          <w:cantSplit/>
          <w:trHeight w:val="143"/>
          <w:jc w:val="center"/>
        </w:trPr>
        <w:tc>
          <w:tcPr>
            <w:tcW w:w="1876" w:type="dxa"/>
            <w:vMerge/>
            <w:tcBorders>
              <w:left w:val="single" w:sz="12" w:space="0" w:color="auto"/>
            </w:tcBorders>
            <w:shd w:val="clear" w:color="auto" w:fill="D9D9D9" w:themeFill="background1" w:themeFillShade="D9"/>
            <w:vAlign w:val="center"/>
          </w:tcPr>
          <w:p w14:paraId="0EE4DD13" w14:textId="77777777" w:rsidR="004407E2" w:rsidRPr="00677CE8" w:rsidRDefault="004407E2" w:rsidP="007B293E">
            <w:pPr>
              <w:pStyle w:val="Heading2"/>
              <w:spacing w:line="240" w:lineRule="auto"/>
              <w:jc w:val="center"/>
              <w:rPr>
                <w:sz w:val="17"/>
                <w:szCs w:val="17"/>
              </w:rPr>
            </w:pPr>
          </w:p>
        </w:tc>
        <w:tc>
          <w:tcPr>
            <w:tcW w:w="1444" w:type="dxa"/>
            <w:vMerge/>
            <w:shd w:val="clear" w:color="auto" w:fill="D9D9D9" w:themeFill="background1" w:themeFillShade="D9"/>
            <w:vAlign w:val="center"/>
          </w:tcPr>
          <w:p w14:paraId="7D01E5C9" w14:textId="77777777" w:rsidR="004407E2" w:rsidRPr="00677CE8" w:rsidRDefault="004407E2" w:rsidP="007B293E">
            <w:pPr>
              <w:pStyle w:val="Heading2"/>
              <w:spacing w:line="240" w:lineRule="auto"/>
              <w:jc w:val="center"/>
              <w:rPr>
                <w:sz w:val="17"/>
                <w:szCs w:val="17"/>
              </w:rPr>
            </w:pPr>
          </w:p>
        </w:tc>
        <w:tc>
          <w:tcPr>
            <w:tcW w:w="1350" w:type="dxa"/>
            <w:vMerge/>
            <w:tcBorders>
              <w:right w:val="single" w:sz="4" w:space="0" w:color="000000" w:themeColor="text1"/>
            </w:tcBorders>
            <w:shd w:val="clear" w:color="auto" w:fill="D9D9D9" w:themeFill="background1" w:themeFillShade="D9"/>
            <w:vAlign w:val="center"/>
          </w:tcPr>
          <w:p w14:paraId="4CD93F96" w14:textId="77777777" w:rsidR="004407E2" w:rsidRPr="00677CE8" w:rsidRDefault="004407E2" w:rsidP="007B293E">
            <w:pPr>
              <w:pStyle w:val="Heading2"/>
              <w:spacing w:line="240" w:lineRule="auto"/>
              <w:jc w:val="center"/>
              <w:rPr>
                <w:sz w:val="17"/>
                <w:szCs w:val="17"/>
              </w:rPr>
            </w:pPr>
          </w:p>
        </w:tc>
        <w:tc>
          <w:tcPr>
            <w:tcW w:w="1705" w:type="dxa"/>
            <w:gridSpan w:val="4"/>
            <w:tcBorders>
              <w:left w:val="single" w:sz="4" w:space="0" w:color="000000" w:themeColor="text1"/>
            </w:tcBorders>
            <w:shd w:val="clear" w:color="auto" w:fill="D9D9D9" w:themeFill="background1" w:themeFillShade="D9"/>
            <w:vAlign w:val="center"/>
          </w:tcPr>
          <w:p w14:paraId="4C07B54A" w14:textId="33624874" w:rsidR="004407E2" w:rsidRPr="004407E2" w:rsidRDefault="004407E2" w:rsidP="004407E2">
            <w:pPr>
              <w:jc w:val="center"/>
              <w:rPr>
                <w:b/>
                <w:bCs/>
                <w:i/>
                <w:iCs/>
                <w:sz w:val="17"/>
                <w:szCs w:val="17"/>
              </w:rPr>
            </w:pPr>
            <w:r w:rsidRPr="004407E2">
              <w:rPr>
                <w:b/>
                <w:bCs/>
                <w:i/>
                <w:iCs/>
                <w:sz w:val="17"/>
                <w:szCs w:val="17"/>
              </w:rPr>
              <w:t>Traditional</w:t>
            </w:r>
            <w:r w:rsidR="00DB38BB">
              <w:rPr>
                <w:b/>
                <w:bCs/>
                <w:i/>
                <w:iCs/>
                <w:sz w:val="17"/>
                <w:szCs w:val="17"/>
              </w:rPr>
              <w:t xml:space="preserve"> Attributes</w:t>
            </w:r>
          </w:p>
        </w:tc>
        <w:tc>
          <w:tcPr>
            <w:tcW w:w="3960" w:type="dxa"/>
            <w:gridSpan w:val="9"/>
            <w:tcBorders>
              <w:left w:val="single" w:sz="4" w:space="0" w:color="000000" w:themeColor="text1"/>
            </w:tcBorders>
            <w:shd w:val="clear" w:color="auto" w:fill="D9D9D9" w:themeFill="background1" w:themeFillShade="D9"/>
            <w:vAlign w:val="center"/>
          </w:tcPr>
          <w:p w14:paraId="4569492A" w14:textId="61F65C4C" w:rsidR="004407E2" w:rsidRPr="004407E2" w:rsidRDefault="00DB38BB" w:rsidP="00FF3482">
            <w:pPr>
              <w:pStyle w:val="Heading2"/>
              <w:spacing w:line="240" w:lineRule="auto"/>
              <w:ind w:left="-67"/>
              <w:jc w:val="center"/>
              <w:rPr>
                <w:i/>
                <w:iCs/>
                <w:sz w:val="17"/>
                <w:szCs w:val="17"/>
              </w:rPr>
            </w:pPr>
            <w:r>
              <w:rPr>
                <w:i/>
                <w:iCs/>
                <w:sz w:val="17"/>
                <w:szCs w:val="17"/>
              </w:rPr>
              <w:t>UAM</w:t>
            </w:r>
            <w:r w:rsidR="004407E2" w:rsidRPr="004407E2">
              <w:rPr>
                <w:i/>
                <w:iCs/>
                <w:sz w:val="17"/>
                <w:szCs w:val="17"/>
              </w:rPr>
              <w:t xml:space="preserve"> Salient Attributes</w:t>
            </w:r>
          </w:p>
        </w:tc>
        <w:tc>
          <w:tcPr>
            <w:tcW w:w="810" w:type="dxa"/>
            <w:gridSpan w:val="2"/>
            <w:vMerge/>
            <w:shd w:val="clear" w:color="auto" w:fill="D9D9D9" w:themeFill="background1" w:themeFillShade="D9"/>
            <w:vAlign w:val="center"/>
          </w:tcPr>
          <w:p w14:paraId="7328AAC5" w14:textId="77777777" w:rsidR="004407E2" w:rsidRPr="00677CE8" w:rsidRDefault="004407E2" w:rsidP="00AD7692">
            <w:pPr>
              <w:pStyle w:val="Heading2"/>
              <w:spacing w:line="240" w:lineRule="auto"/>
              <w:ind w:left="-67"/>
              <w:jc w:val="center"/>
              <w:rPr>
                <w:sz w:val="17"/>
                <w:szCs w:val="17"/>
              </w:rPr>
            </w:pPr>
          </w:p>
        </w:tc>
        <w:tc>
          <w:tcPr>
            <w:tcW w:w="3338" w:type="dxa"/>
            <w:vMerge/>
            <w:tcBorders>
              <w:right w:val="single" w:sz="12" w:space="0" w:color="auto"/>
            </w:tcBorders>
            <w:shd w:val="clear" w:color="auto" w:fill="D9D9D9" w:themeFill="background1" w:themeFillShade="D9"/>
            <w:vAlign w:val="center"/>
          </w:tcPr>
          <w:p w14:paraId="7A2C3196" w14:textId="77777777" w:rsidR="004407E2" w:rsidRPr="00677CE8" w:rsidRDefault="004407E2" w:rsidP="007B293E">
            <w:pPr>
              <w:pStyle w:val="Heading2"/>
              <w:spacing w:line="240" w:lineRule="auto"/>
              <w:jc w:val="center"/>
              <w:rPr>
                <w:sz w:val="17"/>
                <w:szCs w:val="17"/>
              </w:rPr>
            </w:pPr>
          </w:p>
        </w:tc>
      </w:tr>
      <w:tr w:rsidR="004407E2" w:rsidRPr="00677CE8" w14:paraId="63EAC837" w14:textId="73CE4DBA" w:rsidTr="00007FF5">
        <w:trPr>
          <w:cantSplit/>
          <w:trHeight w:val="1817"/>
          <w:jc w:val="center"/>
        </w:trPr>
        <w:tc>
          <w:tcPr>
            <w:tcW w:w="1876" w:type="dxa"/>
            <w:vMerge/>
            <w:tcBorders>
              <w:left w:val="single" w:sz="12" w:space="0" w:color="auto"/>
              <w:bottom w:val="single" w:sz="12" w:space="0" w:color="auto"/>
            </w:tcBorders>
            <w:shd w:val="clear" w:color="auto" w:fill="D9D9D9" w:themeFill="background1" w:themeFillShade="D9"/>
          </w:tcPr>
          <w:p w14:paraId="3F5780A2" w14:textId="77777777" w:rsidR="004407E2" w:rsidRPr="00677CE8" w:rsidRDefault="004407E2" w:rsidP="00FF3482">
            <w:pPr>
              <w:pStyle w:val="Heading2"/>
              <w:spacing w:line="240" w:lineRule="auto"/>
              <w:rPr>
                <w:sz w:val="17"/>
                <w:szCs w:val="17"/>
              </w:rPr>
            </w:pPr>
          </w:p>
        </w:tc>
        <w:tc>
          <w:tcPr>
            <w:tcW w:w="1444" w:type="dxa"/>
            <w:vMerge/>
            <w:tcBorders>
              <w:bottom w:val="single" w:sz="12" w:space="0" w:color="auto"/>
            </w:tcBorders>
            <w:shd w:val="clear" w:color="auto" w:fill="D9D9D9" w:themeFill="background1" w:themeFillShade="D9"/>
            <w:textDirection w:val="btLr"/>
          </w:tcPr>
          <w:p w14:paraId="662C76DA" w14:textId="77777777" w:rsidR="004407E2" w:rsidRPr="00677CE8" w:rsidRDefault="004407E2" w:rsidP="00FF3482">
            <w:pPr>
              <w:pStyle w:val="Heading2"/>
              <w:spacing w:line="240" w:lineRule="auto"/>
              <w:ind w:left="113" w:right="113"/>
              <w:jc w:val="center"/>
              <w:rPr>
                <w:sz w:val="17"/>
                <w:szCs w:val="17"/>
              </w:rPr>
            </w:pPr>
          </w:p>
        </w:tc>
        <w:tc>
          <w:tcPr>
            <w:tcW w:w="1350" w:type="dxa"/>
            <w:vMerge/>
            <w:tcBorders>
              <w:bottom w:val="single" w:sz="12" w:space="0" w:color="auto"/>
              <w:right w:val="single" w:sz="4" w:space="0" w:color="000000" w:themeColor="text1"/>
            </w:tcBorders>
            <w:shd w:val="clear" w:color="auto" w:fill="D9D9D9" w:themeFill="background1" w:themeFillShade="D9"/>
            <w:textDirection w:val="btLr"/>
          </w:tcPr>
          <w:p w14:paraId="4855DF9E" w14:textId="77777777" w:rsidR="004407E2" w:rsidRPr="00677CE8" w:rsidRDefault="004407E2" w:rsidP="00FF3482">
            <w:pPr>
              <w:pStyle w:val="Heading2"/>
              <w:spacing w:line="240" w:lineRule="auto"/>
              <w:ind w:left="113" w:right="113"/>
              <w:jc w:val="center"/>
              <w:rPr>
                <w:sz w:val="17"/>
                <w:szCs w:val="17"/>
              </w:rPr>
            </w:pPr>
          </w:p>
        </w:tc>
        <w:tc>
          <w:tcPr>
            <w:tcW w:w="445" w:type="dxa"/>
            <w:tcBorders>
              <w:left w:val="single" w:sz="4" w:space="0" w:color="000000" w:themeColor="text1"/>
              <w:bottom w:val="single" w:sz="12" w:space="0" w:color="auto"/>
            </w:tcBorders>
            <w:shd w:val="clear" w:color="auto" w:fill="D9D9D9" w:themeFill="background1" w:themeFillShade="D9"/>
            <w:textDirection w:val="btLr"/>
            <w:vAlign w:val="center"/>
          </w:tcPr>
          <w:p w14:paraId="6A94D53B" w14:textId="0DB1AA96" w:rsidR="004407E2" w:rsidRPr="00677CE8" w:rsidRDefault="004407E2" w:rsidP="00FF3482">
            <w:pPr>
              <w:pStyle w:val="Heading2"/>
              <w:spacing w:line="240" w:lineRule="auto"/>
              <w:ind w:left="113" w:right="113"/>
              <w:jc w:val="center"/>
              <w:rPr>
                <w:sz w:val="17"/>
                <w:szCs w:val="17"/>
              </w:rPr>
            </w:pPr>
            <w:r>
              <w:rPr>
                <w:sz w:val="17"/>
                <w:szCs w:val="17"/>
              </w:rPr>
              <w:t xml:space="preserve">In-Vehicle </w:t>
            </w:r>
            <w:r w:rsidRPr="00677CE8">
              <w:rPr>
                <w:sz w:val="17"/>
                <w:szCs w:val="17"/>
              </w:rPr>
              <w:t>Travel Time</w:t>
            </w:r>
          </w:p>
        </w:tc>
        <w:tc>
          <w:tcPr>
            <w:tcW w:w="277" w:type="dxa"/>
            <w:tcBorders>
              <w:bottom w:val="single" w:sz="12" w:space="0" w:color="auto"/>
            </w:tcBorders>
            <w:shd w:val="clear" w:color="auto" w:fill="D9D9D9" w:themeFill="background1" w:themeFillShade="D9"/>
            <w:textDirection w:val="btLr"/>
            <w:vAlign w:val="center"/>
          </w:tcPr>
          <w:p w14:paraId="36595F0C" w14:textId="7DC8171F" w:rsidR="004407E2" w:rsidRPr="00677CE8" w:rsidRDefault="004407E2" w:rsidP="00FF3482">
            <w:pPr>
              <w:pStyle w:val="Heading2"/>
              <w:spacing w:line="240" w:lineRule="auto"/>
              <w:ind w:left="113" w:right="113"/>
              <w:jc w:val="center"/>
              <w:rPr>
                <w:sz w:val="17"/>
                <w:szCs w:val="17"/>
              </w:rPr>
            </w:pPr>
            <w:r w:rsidRPr="00677CE8">
              <w:rPr>
                <w:sz w:val="17"/>
                <w:szCs w:val="17"/>
              </w:rPr>
              <w:t>Waiting Time</w:t>
            </w:r>
          </w:p>
        </w:tc>
        <w:tc>
          <w:tcPr>
            <w:tcW w:w="720" w:type="dxa"/>
            <w:tcBorders>
              <w:bottom w:val="single" w:sz="12" w:space="0" w:color="auto"/>
            </w:tcBorders>
            <w:shd w:val="clear" w:color="auto" w:fill="D9D9D9" w:themeFill="background1" w:themeFillShade="D9"/>
            <w:textDirection w:val="btLr"/>
            <w:vAlign w:val="center"/>
          </w:tcPr>
          <w:p w14:paraId="17D3F9AC" w14:textId="4B4B5C91" w:rsidR="004407E2" w:rsidRPr="00677CE8" w:rsidRDefault="004407E2" w:rsidP="00FF3482">
            <w:pPr>
              <w:pStyle w:val="Heading2"/>
              <w:spacing w:line="240" w:lineRule="auto"/>
              <w:ind w:left="113" w:right="113"/>
              <w:jc w:val="center"/>
              <w:rPr>
                <w:sz w:val="17"/>
                <w:szCs w:val="17"/>
              </w:rPr>
            </w:pPr>
            <w:r w:rsidRPr="00677CE8">
              <w:rPr>
                <w:sz w:val="17"/>
                <w:szCs w:val="17"/>
              </w:rPr>
              <w:t>Distance to Pick-up/Drop-off Locations</w:t>
            </w:r>
          </w:p>
        </w:tc>
        <w:tc>
          <w:tcPr>
            <w:tcW w:w="263" w:type="dxa"/>
            <w:tcBorders>
              <w:bottom w:val="single" w:sz="12" w:space="0" w:color="auto"/>
            </w:tcBorders>
            <w:shd w:val="clear" w:color="auto" w:fill="D9D9D9" w:themeFill="background1" w:themeFillShade="D9"/>
            <w:textDirection w:val="btLr"/>
            <w:vAlign w:val="center"/>
          </w:tcPr>
          <w:p w14:paraId="566D0248" w14:textId="08AD4F47" w:rsidR="004407E2" w:rsidRPr="00677CE8" w:rsidRDefault="004407E2" w:rsidP="00FF3482">
            <w:pPr>
              <w:pStyle w:val="Heading2"/>
              <w:spacing w:line="240" w:lineRule="auto"/>
              <w:ind w:left="113" w:right="113"/>
              <w:jc w:val="center"/>
              <w:rPr>
                <w:sz w:val="17"/>
                <w:szCs w:val="17"/>
              </w:rPr>
            </w:pPr>
            <w:r w:rsidRPr="00677CE8">
              <w:rPr>
                <w:sz w:val="17"/>
                <w:szCs w:val="17"/>
              </w:rPr>
              <w:t>Cost</w:t>
            </w:r>
          </w:p>
        </w:tc>
        <w:tc>
          <w:tcPr>
            <w:tcW w:w="461" w:type="dxa"/>
            <w:tcBorders>
              <w:bottom w:val="single" w:sz="12" w:space="0" w:color="auto"/>
            </w:tcBorders>
            <w:shd w:val="clear" w:color="auto" w:fill="D9D9D9" w:themeFill="background1" w:themeFillShade="D9"/>
            <w:textDirection w:val="btLr"/>
            <w:vAlign w:val="center"/>
          </w:tcPr>
          <w:p w14:paraId="3A1DEE49" w14:textId="0D184AF2" w:rsidR="004407E2" w:rsidRPr="00677CE8" w:rsidRDefault="004407E2" w:rsidP="00FF3482">
            <w:pPr>
              <w:pStyle w:val="Heading2"/>
              <w:spacing w:line="240" w:lineRule="auto"/>
              <w:ind w:left="113" w:right="113"/>
              <w:jc w:val="center"/>
              <w:rPr>
                <w:sz w:val="17"/>
                <w:szCs w:val="17"/>
              </w:rPr>
            </w:pPr>
            <w:r w:rsidRPr="00677CE8">
              <w:rPr>
                <w:sz w:val="17"/>
                <w:szCs w:val="17"/>
              </w:rPr>
              <w:t>UAM Flight Altitude</w:t>
            </w:r>
          </w:p>
        </w:tc>
        <w:tc>
          <w:tcPr>
            <w:tcW w:w="360" w:type="dxa"/>
            <w:tcBorders>
              <w:bottom w:val="single" w:sz="12" w:space="0" w:color="auto"/>
            </w:tcBorders>
            <w:shd w:val="clear" w:color="auto" w:fill="D9D9D9" w:themeFill="background1" w:themeFillShade="D9"/>
            <w:textDirection w:val="btLr"/>
            <w:vAlign w:val="center"/>
          </w:tcPr>
          <w:p w14:paraId="32A4701E" w14:textId="6133B6D6" w:rsidR="004407E2" w:rsidRPr="00677CE8" w:rsidRDefault="004407E2" w:rsidP="00FF3482">
            <w:pPr>
              <w:pStyle w:val="Heading2"/>
              <w:spacing w:line="240" w:lineRule="auto"/>
              <w:ind w:left="113" w:right="113"/>
              <w:jc w:val="center"/>
              <w:rPr>
                <w:sz w:val="17"/>
                <w:szCs w:val="17"/>
              </w:rPr>
            </w:pPr>
            <w:r w:rsidRPr="00677CE8">
              <w:rPr>
                <w:sz w:val="17"/>
                <w:szCs w:val="17"/>
              </w:rPr>
              <w:t>UAM Availability</w:t>
            </w:r>
          </w:p>
        </w:tc>
        <w:tc>
          <w:tcPr>
            <w:tcW w:w="360" w:type="dxa"/>
            <w:tcBorders>
              <w:bottom w:val="single" w:sz="12" w:space="0" w:color="auto"/>
            </w:tcBorders>
            <w:shd w:val="clear" w:color="auto" w:fill="D9D9D9" w:themeFill="background1" w:themeFillShade="D9"/>
            <w:textDirection w:val="btLr"/>
            <w:vAlign w:val="center"/>
          </w:tcPr>
          <w:p w14:paraId="696DEC0A" w14:textId="73EDEAC5" w:rsidR="004407E2" w:rsidRPr="00677CE8" w:rsidRDefault="004407E2" w:rsidP="00FF3482">
            <w:pPr>
              <w:pStyle w:val="Heading2"/>
              <w:spacing w:line="240" w:lineRule="auto"/>
              <w:ind w:left="113" w:right="113"/>
              <w:jc w:val="center"/>
              <w:rPr>
                <w:sz w:val="17"/>
                <w:szCs w:val="17"/>
              </w:rPr>
            </w:pPr>
            <w:r w:rsidRPr="00677CE8">
              <w:rPr>
                <w:sz w:val="17"/>
                <w:szCs w:val="17"/>
              </w:rPr>
              <w:t>Noise Level</w:t>
            </w:r>
          </w:p>
        </w:tc>
        <w:tc>
          <w:tcPr>
            <w:tcW w:w="527" w:type="dxa"/>
            <w:tcBorders>
              <w:bottom w:val="single" w:sz="12" w:space="0" w:color="auto"/>
            </w:tcBorders>
            <w:shd w:val="clear" w:color="auto" w:fill="D9D9D9" w:themeFill="background1" w:themeFillShade="D9"/>
            <w:textDirection w:val="btLr"/>
            <w:vAlign w:val="center"/>
          </w:tcPr>
          <w:p w14:paraId="3E3569A8" w14:textId="553C716B" w:rsidR="004407E2" w:rsidRPr="00677CE8" w:rsidRDefault="004407E2" w:rsidP="00FF3482">
            <w:pPr>
              <w:pStyle w:val="Heading2"/>
              <w:spacing w:line="240" w:lineRule="auto"/>
              <w:ind w:left="113" w:right="113"/>
              <w:jc w:val="center"/>
              <w:rPr>
                <w:sz w:val="17"/>
                <w:szCs w:val="17"/>
              </w:rPr>
            </w:pPr>
            <w:r w:rsidRPr="00677CE8">
              <w:rPr>
                <w:sz w:val="17"/>
                <w:szCs w:val="17"/>
              </w:rPr>
              <w:t>UAM In-Flight Experience</w:t>
            </w:r>
          </w:p>
        </w:tc>
        <w:tc>
          <w:tcPr>
            <w:tcW w:w="559" w:type="dxa"/>
            <w:tcBorders>
              <w:bottom w:val="single" w:sz="12" w:space="0" w:color="auto"/>
            </w:tcBorders>
            <w:shd w:val="clear" w:color="auto" w:fill="D9D9D9" w:themeFill="background1" w:themeFillShade="D9"/>
            <w:textDirection w:val="btLr"/>
            <w:vAlign w:val="center"/>
          </w:tcPr>
          <w:p w14:paraId="7A4FF1E9" w14:textId="1A231E17" w:rsidR="004407E2" w:rsidRPr="00677CE8" w:rsidRDefault="004407E2" w:rsidP="00FF3482">
            <w:pPr>
              <w:pStyle w:val="Heading2"/>
              <w:spacing w:line="240" w:lineRule="auto"/>
              <w:ind w:left="113" w:right="113"/>
              <w:jc w:val="center"/>
              <w:rPr>
                <w:sz w:val="17"/>
                <w:szCs w:val="17"/>
              </w:rPr>
            </w:pPr>
            <w:r w:rsidRPr="00677CE8">
              <w:rPr>
                <w:sz w:val="17"/>
                <w:szCs w:val="17"/>
              </w:rPr>
              <w:t>Environmental Sustainability</w:t>
            </w:r>
          </w:p>
        </w:tc>
        <w:tc>
          <w:tcPr>
            <w:tcW w:w="433" w:type="dxa"/>
            <w:tcBorders>
              <w:bottom w:val="single" w:sz="12" w:space="0" w:color="auto"/>
            </w:tcBorders>
            <w:shd w:val="clear" w:color="auto" w:fill="D9D9D9" w:themeFill="background1" w:themeFillShade="D9"/>
            <w:textDirection w:val="btLr"/>
            <w:vAlign w:val="center"/>
          </w:tcPr>
          <w:p w14:paraId="099AEBB3" w14:textId="6126815B" w:rsidR="004407E2" w:rsidRPr="00677CE8" w:rsidRDefault="001859CD" w:rsidP="00FF3482">
            <w:pPr>
              <w:pStyle w:val="Heading2"/>
              <w:spacing w:line="240" w:lineRule="auto"/>
              <w:ind w:left="113" w:right="113"/>
              <w:jc w:val="center"/>
              <w:rPr>
                <w:sz w:val="17"/>
                <w:szCs w:val="17"/>
              </w:rPr>
            </w:pPr>
            <w:r>
              <w:rPr>
                <w:sz w:val="17"/>
                <w:szCs w:val="17"/>
              </w:rPr>
              <w:t xml:space="preserve">UAM </w:t>
            </w:r>
            <w:r w:rsidR="004407E2">
              <w:rPr>
                <w:sz w:val="17"/>
                <w:szCs w:val="17"/>
              </w:rPr>
              <w:t xml:space="preserve">Crash-Related </w:t>
            </w:r>
            <w:r w:rsidR="004407E2" w:rsidRPr="00677CE8">
              <w:rPr>
                <w:sz w:val="17"/>
                <w:szCs w:val="17"/>
              </w:rPr>
              <w:t>Safety</w:t>
            </w:r>
            <w:r w:rsidR="004407E2">
              <w:rPr>
                <w:sz w:val="17"/>
                <w:szCs w:val="17"/>
              </w:rPr>
              <w:t xml:space="preserve"> Level</w:t>
            </w:r>
          </w:p>
        </w:tc>
        <w:tc>
          <w:tcPr>
            <w:tcW w:w="525" w:type="dxa"/>
            <w:tcBorders>
              <w:bottom w:val="single" w:sz="12" w:space="0" w:color="auto"/>
            </w:tcBorders>
            <w:shd w:val="clear" w:color="auto" w:fill="D9D9D9" w:themeFill="background1" w:themeFillShade="D9"/>
            <w:textDirection w:val="btLr"/>
            <w:vAlign w:val="center"/>
          </w:tcPr>
          <w:p w14:paraId="76FED6C8" w14:textId="7C79030F" w:rsidR="004407E2" w:rsidRPr="00677CE8" w:rsidRDefault="004407E2" w:rsidP="00FF3482">
            <w:pPr>
              <w:pStyle w:val="Heading2"/>
              <w:spacing w:line="240" w:lineRule="auto"/>
              <w:ind w:left="113" w:right="113"/>
              <w:jc w:val="center"/>
              <w:rPr>
                <w:sz w:val="17"/>
                <w:szCs w:val="17"/>
              </w:rPr>
            </w:pPr>
            <w:r w:rsidRPr="00677CE8">
              <w:rPr>
                <w:sz w:val="17"/>
                <w:szCs w:val="17"/>
              </w:rPr>
              <w:t>In-Vehicle Personal Safety Monitoring</w:t>
            </w:r>
          </w:p>
        </w:tc>
        <w:tc>
          <w:tcPr>
            <w:tcW w:w="465" w:type="dxa"/>
            <w:tcBorders>
              <w:bottom w:val="single" w:sz="12" w:space="0" w:color="auto"/>
            </w:tcBorders>
            <w:shd w:val="clear" w:color="auto" w:fill="D9D9D9" w:themeFill="background1" w:themeFillShade="D9"/>
            <w:textDirection w:val="btLr"/>
            <w:vAlign w:val="center"/>
          </w:tcPr>
          <w:p w14:paraId="211C5709" w14:textId="54A0957C" w:rsidR="004407E2" w:rsidRPr="00677CE8" w:rsidRDefault="004407E2" w:rsidP="00FF3482">
            <w:pPr>
              <w:pStyle w:val="Heading2"/>
              <w:spacing w:line="240" w:lineRule="auto"/>
              <w:ind w:left="113" w:right="113"/>
              <w:jc w:val="center"/>
              <w:rPr>
                <w:sz w:val="17"/>
                <w:szCs w:val="17"/>
              </w:rPr>
            </w:pPr>
            <w:r w:rsidRPr="00677CE8">
              <w:rPr>
                <w:sz w:val="17"/>
                <w:szCs w:val="17"/>
              </w:rPr>
              <w:t>UAM Pre-Boarding Security Screening</w:t>
            </w:r>
          </w:p>
        </w:tc>
        <w:tc>
          <w:tcPr>
            <w:tcW w:w="270" w:type="dxa"/>
            <w:tcBorders>
              <w:bottom w:val="single" w:sz="12" w:space="0" w:color="auto"/>
            </w:tcBorders>
            <w:shd w:val="clear" w:color="auto" w:fill="D9D9D9" w:themeFill="background1" w:themeFillShade="D9"/>
            <w:textDirection w:val="btLr"/>
            <w:vAlign w:val="center"/>
          </w:tcPr>
          <w:p w14:paraId="1750EA27" w14:textId="70B9C08A" w:rsidR="004407E2" w:rsidRPr="00677CE8" w:rsidRDefault="004407E2" w:rsidP="00FF3482">
            <w:pPr>
              <w:pStyle w:val="Heading2"/>
              <w:spacing w:line="240" w:lineRule="auto"/>
              <w:ind w:left="113" w:right="113"/>
              <w:jc w:val="center"/>
              <w:rPr>
                <w:sz w:val="17"/>
                <w:szCs w:val="17"/>
              </w:rPr>
            </w:pPr>
            <w:r w:rsidRPr="00677CE8">
              <w:rPr>
                <w:sz w:val="17"/>
                <w:szCs w:val="17"/>
              </w:rPr>
              <w:t>Level of Automation</w:t>
            </w:r>
          </w:p>
        </w:tc>
        <w:tc>
          <w:tcPr>
            <w:tcW w:w="404" w:type="dxa"/>
            <w:tcBorders>
              <w:bottom w:val="single" w:sz="12" w:space="0" w:color="auto"/>
            </w:tcBorders>
            <w:shd w:val="clear" w:color="auto" w:fill="D9D9D9" w:themeFill="background1" w:themeFillShade="D9"/>
            <w:textDirection w:val="btLr"/>
            <w:vAlign w:val="center"/>
          </w:tcPr>
          <w:p w14:paraId="6198B559" w14:textId="37950293" w:rsidR="004407E2" w:rsidRPr="00677CE8" w:rsidRDefault="004407E2" w:rsidP="00FF3482">
            <w:pPr>
              <w:pStyle w:val="Heading2"/>
              <w:spacing w:line="240" w:lineRule="auto"/>
              <w:ind w:left="113" w:right="113"/>
              <w:jc w:val="center"/>
              <w:rPr>
                <w:sz w:val="17"/>
                <w:szCs w:val="17"/>
              </w:rPr>
            </w:pPr>
            <w:r w:rsidRPr="00677CE8">
              <w:rPr>
                <w:sz w:val="17"/>
                <w:szCs w:val="17"/>
              </w:rPr>
              <w:t>Trip Purpose</w:t>
            </w:r>
          </w:p>
        </w:tc>
        <w:tc>
          <w:tcPr>
            <w:tcW w:w="406" w:type="dxa"/>
            <w:tcBorders>
              <w:bottom w:val="single" w:sz="12" w:space="0" w:color="auto"/>
            </w:tcBorders>
            <w:shd w:val="clear" w:color="auto" w:fill="D9D9D9" w:themeFill="background1" w:themeFillShade="D9"/>
            <w:textDirection w:val="btLr"/>
            <w:vAlign w:val="center"/>
          </w:tcPr>
          <w:p w14:paraId="3A720FE4" w14:textId="07847561" w:rsidR="004407E2" w:rsidRPr="00677CE8" w:rsidRDefault="004407E2" w:rsidP="00FF3482">
            <w:pPr>
              <w:pStyle w:val="Heading2"/>
              <w:spacing w:line="240" w:lineRule="auto"/>
              <w:ind w:left="113" w:right="113"/>
              <w:jc w:val="center"/>
              <w:rPr>
                <w:sz w:val="17"/>
                <w:szCs w:val="17"/>
              </w:rPr>
            </w:pPr>
            <w:r w:rsidRPr="00677CE8">
              <w:rPr>
                <w:sz w:val="17"/>
                <w:szCs w:val="17"/>
              </w:rPr>
              <w:t>Trip Distance</w:t>
            </w:r>
          </w:p>
        </w:tc>
        <w:tc>
          <w:tcPr>
            <w:tcW w:w="3338" w:type="dxa"/>
            <w:vMerge/>
            <w:tcBorders>
              <w:bottom w:val="single" w:sz="12" w:space="0" w:color="auto"/>
              <w:right w:val="single" w:sz="12" w:space="0" w:color="auto"/>
            </w:tcBorders>
            <w:shd w:val="clear" w:color="auto" w:fill="D9D9D9" w:themeFill="background1" w:themeFillShade="D9"/>
            <w:textDirection w:val="btLr"/>
            <w:vAlign w:val="center"/>
          </w:tcPr>
          <w:p w14:paraId="3744A906" w14:textId="765A8CE1" w:rsidR="004407E2" w:rsidRPr="00677CE8" w:rsidRDefault="004407E2" w:rsidP="00FF3482">
            <w:pPr>
              <w:pStyle w:val="Heading2"/>
              <w:spacing w:line="240" w:lineRule="auto"/>
              <w:ind w:left="113" w:right="113"/>
              <w:jc w:val="center"/>
              <w:rPr>
                <w:sz w:val="17"/>
                <w:szCs w:val="17"/>
              </w:rPr>
            </w:pPr>
          </w:p>
        </w:tc>
      </w:tr>
      <w:tr w:rsidR="00FF3482" w:rsidRPr="00677CE8" w14:paraId="79901271" w14:textId="77777777" w:rsidTr="00007FF5">
        <w:trPr>
          <w:jc w:val="center"/>
        </w:trPr>
        <w:tc>
          <w:tcPr>
            <w:tcW w:w="14485" w:type="dxa"/>
            <w:gridSpan w:val="19"/>
            <w:tcBorders>
              <w:top w:val="single" w:sz="12" w:space="0" w:color="auto"/>
              <w:left w:val="single" w:sz="12" w:space="0" w:color="auto"/>
              <w:bottom w:val="single" w:sz="12" w:space="0" w:color="auto"/>
              <w:right w:val="single" w:sz="12" w:space="0" w:color="auto"/>
            </w:tcBorders>
          </w:tcPr>
          <w:p w14:paraId="5B3C0866" w14:textId="6BA51942" w:rsidR="00FF3482" w:rsidRPr="00677CE8" w:rsidRDefault="00FF3482" w:rsidP="00FF3482">
            <w:pPr>
              <w:pStyle w:val="Heading2"/>
              <w:spacing w:line="240" w:lineRule="auto"/>
              <w:rPr>
                <w:sz w:val="17"/>
                <w:szCs w:val="17"/>
              </w:rPr>
            </w:pPr>
            <w:r w:rsidRPr="00677CE8">
              <w:rPr>
                <w:sz w:val="17"/>
                <w:szCs w:val="17"/>
              </w:rPr>
              <w:t>General UAM Adoption Intentions</w:t>
            </w:r>
          </w:p>
        </w:tc>
      </w:tr>
      <w:tr w:rsidR="00FF3482" w:rsidRPr="00677CE8" w14:paraId="41966372" w14:textId="77777777" w:rsidTr="00007FF5">
        <w:trPr>
          <w:jc w:val="center"/>
        </w:trPr>
        <w:tc>
          <w:tcPr>
            <w:tcW w:w="1876" w:type="dxa"/>
            <w:tcBorders>
              <w:top w:val="single" w:sz="12" w:space="0" w:color="auto"/>
              <w:left w:val="single" w:sz="12" w:space="0" w:color="auto"/>
              <w:bottom w:val="single" w:sz="2" w:space="0" w:color="auto"/>
              <w:right w:val="single" w:sz="2" w:space="0" w:color="auto"/>
            </w:tcBorders>
            <w:vAlign w:val="center"/>
          </w:tcPr>
          <w:p w14:paraId="07EED44A" w14:textId="195607FC" w:rsidR="00FF3482" w:rsidRPr="00677CE8" w:rsidRDefault="00FF3482" w:rsidP="00FF3482">
            <w:pPr>
              <w:rPr>
                <w:sz w:val="17"/>
                <w:szCs w:val="17"/>
              </w:rPr>
            </w:pPr>
            <w:r w:rsidRPr="00677CE8">
              <w:rPr>
                <w:sz w:val="17"/>
                <w:szCs w:val="17"/>
              </w:rPr>
              <w:t>Johnson et al., 2022</w:t>
            </w:r>
          </w:p>
        </w:tc>
        <w:tc>
          <w:tcPr>
            <w:tcW w:w="1444" w:type="dxa"/>
            <w:tcBorders>
              <w:top w:val="single" w:sz="12" w:space="0" w:color="auto"/>
              <w:left w:val="single" w:sz="2" w:space="0" w:color="auto"/>
              <w:bottom w:val="single" w:sz="2" w:space="0" w:color="auto"/>
              <w:right w:val="single" w:sz="2" w:space="0" w:color="auto"/>
            </w:tcBorders>
            <w:vAlign w:val="center"/>
          </w:tcPr>
          <w:p w14:paraId="7052D1E1" w14:textId="1B366CAE" w:rsidR="00FF3482" w:rsidRPr="00677CE8" w:rsidRDefault="00FF3482" w:rsidP="00FF3482">
            <w:pPr>
              <w:pStyle w:val="Heading2"/>
              <w:spacing w:line="240" w:lineRule="auto"/>
              <w:rPr>
                <w:b w:val="0"/>
                <w:bCs w:val="0"/>
                <w:sz w:val="17"/>
                <w:szCs w:val="17"/>
              </w:rPr>
            </w:pPr>
            <w:r w:rsidRPr="00677CE8">
              <w:rPr>
                <w:b w:val="0"/>
                <w:bCs w:val="0"/>
                <w:sz w:val="17"/>
                <w:szCs w:val="17"/>
              </w:rPr>
              <w:t>AT</w:t>
            </w:r>
          </w:p>
        </w:tc>
        <w:tc>
          <w:tcPr>
            <w:tcW w:w="1350" w:type="dxa"/>
            <w:tcBorders>
              <w:top w:val="single" w:sz="12" w:space="0" w:color="auto"/>
              <w:left w:val="single" w:sz="2" w:space="0" w:color="auto"/>
              <w:bottom w:val="single" w:sz="2" w:space="0" w:color="auto"/>
              <w:right w:val="single" w:sz="2" w:space="0" w:color="auto"/>
            </w:tcBorders>
            <w:vAlign w:val="center"/>
          </w:tcPr>
          <w:p w14:paraId="344A8B04" w14:textId="77777777" w:rsidR="00FF3482" w:rsidRPr="00677CE8" w:rsidRDefault="00FF3482" w:rsidP="00FF3482">
            <w:pPr>
              <w:pStyle w:val="Heading2"/>
              <w:spacing w:line="240" w:lineRule="auto"/>
              <w:rPr>
                <w:b w:val="0"/>
                <w:bCs w:val="0"/>
                <w:sz w:val="17"/>
                <w:szCs w:val="17"/>
              </w:rPr>
            </w:pPr>
          </w:p>
        </w:tc>
        <w:tc>
          <w:tcPr>
            <w:tcW w:w="445" w:type="dxa"/>
            <w:tcBorders>
              <w:top w:val="single" w:sz="12" w:space="0" w:color="auto"/>
              <w:left w:val="single" w:sz="2" w:space="0" w:color="auto"/>
              <w:bottom w:val="single" w:sz="2" w:space="0" w:color="auto"/>
              <w:right w:val="single" w:sz="2" w:space="0" w:color="auto"/>
            </w:tcBorders>
            <w:vAlign w:val="center"/>
          </w:tcPr>
          <w:p w14:paraId="2AC3F00C" w14:textId="77777777" w:rsidR="00FF3482" w:rsidRPr="00677CE8" w:rsidRDefault="00FF3482" w:rsidP="00FF3482">
            <w:pPr>
              <w:pStyle w:val="Heading2"/>
              <w:spacing w:line="240" w:lineRule="auto"/>
              <w:jc w:val="center"/>
              <w:rPr>
                <w:sz w:val="17"/>
                <w:szCs w:val="17"/>
              </w:rPr>
            </w:pPr>
          </w:p>
        </w:tc>
        <w:tc>
          <w:tcPr>
            <w:tcW w:w="277" w:type="dxa"/>
            <w:tcBorders>
              <w:top w:val="single" w:sz="12" w:space="0" w:color="auto"/>
              <w:left w:val="single" w:sz="2" w:space="0" w:color="auto"/>
              <w:bottom w:val="single" w:sz="2" w:space="0" w:color="auto"/>
              <w:right w:val="single" w:sz="2" w:space="0" w:color="auto"/>
            </w:tcBorders>
            <w:vAlign w:val="center"/>
          </w:tcPr>
          <w:p w14:paraId="39DCBCCC" w14:textId="77777777" w:rsidR="00FF3482" w:rsidRPr="00677CE8" w:rsidRDefault="00FF3482" w:rsidP="00FF3482">
            <w:pPr>
              <w:pStyle w:val="Heading2"/>
              <w:spacing w:line="240" w:lineRule="auto"/>
              <w:jc w:val="center"/>
              <w:rPr>
                <w:sz w:val="17"/>
                <w:szCs w:val="17"/>
              </w:rPr>
            </w:pPr>
          </w:p>
        </w:tc>
        <w:tc>
          <w:tcPr>
            <w:tcW w:w="720" w:type="dxa"/>
            <w:tcBorders>
              <w:top w:val="single" w:sz="12" w:space="0" w:color="auto"/>
              <w:left w:val="single" w:sz="2" w:space="0" w:color="auto"/>
              <w:bottom w:val="single" w:sz="2" w:space="0" w:color="auto"/>
              <w:right w:val="single" w:sz="2" w:space="0" w:color="auto"/>
            </w:tcBorders>
            <w:vAlign w:val="center"/>
          </w:tcPr>
          <w:p w14:paraId="162B28FC" w14:textId="77777777" w:rsidR="00FF3482" w:rsidRPr="00677CE8" w:rsidRDefault="00FF3482" w:rsidP="00FF3482">
            <w:pPr>
              <w:pStyle w:val="Heading2"/>
              <w:spacing w:line="240" w:lineRule="auto"/>
              <w:jc w:val="center"/>
              <w:rPr>
                <w:sz w:val="17"/>
                <w:szCs w:val="17"/>
              </w:rPr>
            </w:pPr>
          </w:p>
        </w:tc>
        <w:tc>
          <w:tcPr>
            <w:tcW w:w="263" w:type="dxa"/>
            <w:tcBorders>
              <w:top w:val="single" w:sz="12" w:space="0" w:color="auto"/>
              <w:left w:val="single" w:sz="2" w:space="0" w:color="auto"/>
              <w:bottom w:val="single" w:sz="2" w:space="0" w:color="auto"/>
              <w:right w:val="single" w:sz="2" w:space="0" w:color="auto"/>
            </w:tcBorders>
            <w:vAlign w:val="center"/>
          </w:tcPr>
          <w:p w14:paraId="4A61E1EB" w14:textId="77777777" w:rsidR="00FF3482" w:rsidRPr="00677CE8" w:rsidRDefault="00FF3482" w:rsidP="00FF3482">
            <w:pPr>
              <w:pStyle w:val="Heading2"/>
              <w:spacing w:line="240" w:lineRule="auto"/>
              <w:jc w:val="center"/>
              <w:rPr>
                <w:sz w:val="17"/>
                <w:szCs w:val="17"/>
              </w:rPr>
            </w:pPr>
          </w:p>
        </w:tc>
        <w:tc>
          <w:tcPr>
            <w:tcW w:w="461" w:type="dxa"/>
            <w:tcBorders>
              <w:top w:val="single" w:sz="12" w:space="0" w:color="auto"/>
              <w:left w:val="single" w:sz="2" w:space="0" w:color="auto"/>
              <w:bottom w:val="single" w:sz="2" w:space="0" w:color="auto"/>
              <w:right w:val="single" w:sz="2" w:space="0" w:color="auto"/>
            </w:tcBorders>
            <w:vAlign w:val="center"/>
          </w:tcPr>
          <w:p w14:paraId="10D00DDD" w14:textId="2EFD66EA" w:rsidR="00FF3482" w:rsidRPr="00677CE8" w:rsidRDefault="00FF3482" w:rsidP="00FF3482">
            <w:pPr>
              <w:pStyle w:val="Heading2"/>
              <w:spacing w:line="240" w:lineRule="auto"/>
              <w:jc w:val="center"/>
              <w:rPr>
                <w:sz w:val="17"/>
                <w:szCs w:val="17"/>
              </w:rPr>
            </w:pPr>
          </w:p>
        </w:tc>
        <w:tc>
          <w:tcPr>
            <w:tcW w:w="360" w:type="dxa"/>
            <w:tcBorders>
              <w:top w:val="single" w:sz="12" w:space="0" w:color="auto"/>
              <w:left w:val="single" w:sz="2" w:space="0" w:color="auto"/>
              <w:bottom w:val="single" w:sz="2" w:space="0" w:color="auto"/>
              <w:right w:val="single" w:sz="2" w:space="0" w:color="auto"/>
            </w:tcBorders>
            <w:vAlign w:val="center"/>
          </w:tcPr>
          <w:p w14:paraId="18B0813F" w14:textId="77777777" w:rsidR="00FF3482" w:rsidRPr="00677CE8" w:rsidRDefault="00FF3482" w:rsidP="00FF3482">
            <w:pPr>
              <w:pStyle w:val="Heading2"/>
              <w:spacing w:line="240" w:lineRule="auto"/>
              <w:jc w:val="center"/>
              <w:rPr>
                <w:sz w:val="17"/>
                <w:szCs w:val="17"/>
              </w:rPr>
            </w:pPr>
          </w:p>
        </w:tc>
        <w:tc>
          <w:tcPr>
            <w:tcW w:w="360" w:type="dxa"/>
            <w:tcBorders>
              <w:top w:val="single" w:sz="12" w:space="0" w:color="auto"/>
              <w:left w:val="single" w:sz="2" w:space="0" w:color="auto"/>
              <w:bottom w:val="single" w:sz="2" w:space="0" w:color="auto"/>
              <w:right w:val="single" w:sz="2" w:space="0" w:color="auto"/>
            </w:tcBorders>
            <w:vAlign w:val="center"/>
          </w:tcPr>
          <w:p w14:paraId="465B1CF0" w14:textId="77777777" w:rsidR="00FF3482" w:rsidRPr="00677CE8" w:rsidRDefault="00FF3482" w:rsidP="00FF3482">
            <w:pPr>
              <w:pStyle w:val="Heading2"/>
              <w:spacing w:line="240" w:lineRule="auto"/>
              <w:jc w:val="center"/>
              <w:rPr>
                <w:sz w:val="17"/>
                <w:szCs w:val="17"/>
              </w:rPr>
            </w:pPr>
          </w:p>
        </w:tc>
        <w:tc>
          <w:tcPr>
            <w:tcW w:w="527" w:type="dxa"/>
            <w:tcBorders>
              <w:top w:val="single" w:sz="12" w:space="0" w:color="auto"/>
              <w:left w:val="single" w:sz="2" w:space="0" w:color="auto"/>
              <w:bottom w:val="single" w:sz="2" w:space="0" w:color="auto"/>
              <w:right w:val="single" w:sz="2" w:space="0" w:color="auto"/>
            </w:tcBorders>
            <w:vAlign w:val="center"/>
          </w:tcPr>
          <w:p w14:paraId="1DE57FA9" w14:textId="5D117DD4" w:rsidR="00FF3482" w:rsidRPr="00677CE8" w:rsidRDefault="00FF3482" w:rsidP="00FF3482">
            <w:pPr>
              <w:pStyle w:val="Heading2"/>
              <w:spacing w:line="240" w:lineRule="auto"/>
              <w:jc w:val="center"/>
              <w:rPr>
                <w:sz w:val="17"/>
                <w:szCs w:val="17"/>
              </w:rPr>
            </w:pPr>
            <w:r w:rsidRPr="00677CE8">
              <w:rPr>
                <w:sz w:val="17"/>
                <w:szCs w:val="17"/>
              </w:rPr>
              <w:t>×</w:t>
            </w:r>
          </w:p>
        </w:tc>
        <w:tc>
          <w:tcPr>
            <w:tcW w:w="559" w:type="dxa"/>
            <w:tcBorders>
              <w:top w:val="single" w:sz="12" w:space="0" w:color="auto"/>
              <w:left w:val="single" w:sz="2" w:space="0" w:color="auto"/>
              <w:bottom w:val="single" w:sz="2" w:space="0" w:color="auto"/>
              <w:right w:val="single" w:sz="2" w:space="0" w:color="auto"/>
            </w:tcBorders>
            <w:vAlign w:val="center"/>
          </w:tcPr>
          <w:p w14:paraId="085F350A" w14:textId="77777777" w:rsidR="00FF3482" w:rsidRPr="00677CE8" w:rsidRDefault="00FF3482" w:rsidP="00FF3482">
            <w:pPr>
              <w:pStyle w:val="Heading2"/>
              <w:spacing w:line="240" w:lineRule="auto"/>
              <w:jc w:val="center"/>
              <w:rPr>
                <w:sz w:val="17"/>
                <w:szCs w:val="17"/>
              </w:rPr>
            </w:pPr>
          </w:p>
        </w:tc>
        <w:tc>
          <w:tcPr>
            <w:tcW w:w="433" w:type="dxa"/>
            <w:tcBorders>
              <w:top w:val="single" w:sz="12" w:space="0" w:color="auto"/>
              <w:left w:val="single" w:sz="2" w:space="0" w:color="auto"/>
              <w:bottom w:val="single" w:sz="2" w:space="0" w:color="auto"/>
              <w:right w:val="single" w:sz="2" w:space="0" w:color="auto"/>
            </w:tcBorders>
            <w:vAlign w:val="center"/>
          </w:tcPr>
          <w:p w14:paraId="47826E6A" w14:textId="77777777" w:rsidR="00FF3482" w:rsidRPr="00677CE8" w:rsidRDefault="00FF3482" w:rsidP="00FF3482">
            <w:pPr>
              <w:pStyle w:val="Heading2"/>
              <w:spacing w:line="240" w:lineRule="auto"/>
              <w:jc w:val="center"/>
              <w:rPr>
                <w:sz w:val="17"/>
                <w:szCs w:val="17"/>
              </w:rPr>
            </w:pPr>
          </w:p>
        </w:tc>
        <w:tc>
          <w:tcPr>
            <w:tcW w:w="525" w:type="dxa"/>
            <w:tcBorders>
              <w:top w:val="single" w:sz="12" w:space="0" w:color="auto"/>
              <w:left w:val="single" w:sz="2" w:space="0" w:color="auto"/>
              <w:bottom w:val="single" w:sz="2" w:space="0" w:color="auto"/>
              <w:right w:val="single" w:sz="2" w:space="0" w:color="auto"/>
            </w:tcBorders>
          </w:tcPr>
          <w:p w14:paraId="6054C705" w14:textId="03365D76" w:rsidR="00FF3482" w:rsidRPr="00677CE8" w:rsidRDefault="00FF3482" w:rsidP="00FF3482">
            <w:pPr>
              <w:pStyle w:val="Heading2"/>
              <w:spacing w:line="240" w:lineRule="auto"/>
              <w:jc w:val="center"/>
              <w:rPr>
                <w:sz w:val="17"/>
                <w:szCs w:val="17"/>
              </w:rPr>
            </w:pPr>
            <w:r w:rsidRPr="00677CE8">
              <w:rPr>
                <w:sz w:val="17"/>
                <w:szCs w:val="17"/>
              </w:rPr>
              <w:t>×</w:t>
            </w:r>
          </w:p>
        </w:tc>
        <w:tc>
          <w:tcPr>
            <w:tcW w:w="465" w:type="dxa"/>
            <w:tcBorders>
              <w:top w:val="single" w:sz="12" w:space="0" w:color="auto"/>
              <w:left w:val="single" w:sz="2" w:space="0" w:color="auto"/>
              <w:bottom w:val="single" w:sz="2" w:space="0" w:color="auto"/>
              <w:right w:val="single" w:sz="2" w:space="0" w:color="auto"/>
            </w:tcBorders>
          </w:tcPr>
          <w:p w14:paraId="11495927" w14:textId="77777777" w:rsidR="00FF3482" w:rsidRPr="00677CE8" w:rsidRDefault="00FF3482" w:rsidP="00FF3482">
            <w:pPr>
              <w:pStyle w:val="Heading2"/>
              <w:spacing w:line="240" w:lineRule="auto"/>
              <w:jc w:val="center"/>
              <w:rPr>
                <w:sz w:val="17"/>
                <w:szCs w:val="17"/>
              </w:rPr>
            </w:pPr>
          </w:p>
        </w:tc>
        <w:tc>
          <w:tcPr>
            <w:tcW w:w="270" w:type="dxa"/>
            <w:tcBorders>
              <w:top w:val="single" w:sz="12" w:space="0" w:color="auto"/>
              <w:left w:val="single" w:sz="2" w:space="0" w:color="auto"/>
              <w:bottom w:val="single" w:sz="2" w:space="0" w:color="auto"/>
              <w:right w:val="single" w:sz="2" w:space="0" w:color="auto"/>
            </w:tcBorders>
            <w:vAlign w:val="center"/>
          </w:tcPr>
          <w:p w14:paraId="71D2B1AB" w14:textId="291B2439" w:rsidR="00FF3482" w:rsidRPr="00677CE8" w:rsidRDefault="00FF3482" w:rsidP="00FF3482">
            <w:pPr>
              <w:pStyle w:val="Heading2"/>
              <w:spacing w:line="240" w:lineRule="auto"/>
              <w:jc w:val="center"/>
              <w:rPr>
                <w:sz w:val="17"/>
                <w:szCs w:val="17"/>
              </w:rPr>
            </w:pPr>
            <w:r w:rsidRPr="00677CE8">
              <w:rPr>
                <w:sz w:val="17"/>
                <w:szCs w:val="17"/>
              </w:rPr>
              <w:t>×</w:t>
            </w:r>
          </w:p>
        </w:tc>
        <w:tc>
          <w:tcPr>
            <w:tcW w:w="404" w:type="dxa"/>
            <w:tcBorders>
              <w:top w:val="single" w:sz="12" w:space="0" w:color="auto"/>
              <w:left w:val="single" w:sz="2" w:space="0" w:color="auto"/>
              <w:bottom w:val="single" w:sz="2" w:space="0" w:color="auto"/>
              <w:right w:val="single" w:sz="2" w:space="0" w:color="auto"/>
            </w:tcBorders>
            <w:vAlign w:val="center"/>
          </w:tcPr>
          <w:p w14:paraId="2EDB90D0" w14:textId="46B20170" w:rsidR="00FF3482" w:rsidRPr="00677CE8" w:rsidRDefault="00FF3482" w:rsidP="00FF3482">
            <w:pPr>
              <w:pStyle w:val="Heading2"/>
              <w:spacing w:line="240" w:lineRule="auto"/>
              <w:jc w:val="center"/>
              <w:rPr>
                <w:sz w:val="17"/>
                <w:szCs w:val="17"/>
              </w:rPr>
            </w:pPr>
            <w:r w:rsidRPr="00677CE8">
              <w:rPr>
                <w:sz w:val="17"/>
                <w:szCs w:val="17"/>
              </w:rPr>
              <w:t>×</w:t>
            </w:r>
          </w:p>
        </w:tc>
        <w:tc>
          <w:tcPr>
            <w:tcW w:w="406" w:type="dxa"/>
            <w:tcBorders>
              <w:top w:val="single" w:sz="12" w:space="0" w:color="auto"/>
              <w:left w:val="single" w:sz="2" w:space="0" w:color="auto"/>
              <w:bottom w:val="single" w:sz="2" w:space="0" w:color="auto"/>
              <w:right w:val="single" w:sz="2" w:space="0" w:color="auto"/>
            </w:tcBorders>
          </w:tcPr>
          <w:p w14:paraId="384F4D63" w14:textId="77777777" w:rsidR="00FF3482" w:rsidRPr="00677CE8" w:rsidRDefault="00FF3482" w:rsidP="00FF3482">
            <w:pPr>
              <w:pStyle w:val="Heading2"/>
              <w:spacing w:line="240" w:lineRule="auto"/>
              <w:jc w:val="center"/>
              <w:rPr>
                <w:sz w:val="17"/>
                <w:szCs w:val="17"/>
              </w:rPr>
            </w:pPr>
          </w:p>
        </w:tc>
        <w:tc>
          <w:tcPr>
            <w:tcW w:w="3338" w:type="dxa"/>
            <w:tcBorders>
              <w:top w:val="single" w:sz="12" w:space="0" w:color="auto"/>
              <w:left w:val="single" w:sz="2" w:space="0" w:color="auto"/>
              <w:bottom w:val="single" w:sz="2" w:space="0" w:color="auto"/>
              <w:right w:val="single" w:sz="12" w:space="0" w:color="auto"/>
            </w:tcBorders>
            <w:vAlign w:val="center"/>
          </w:tcPr>
          <w:p w14:paraId="55588FED" w14:textId="6D365AE7" w:rsidR="00FF3482" w:rsidRPr="00677CE8" w:rsidRDefault="00FF3482" w:rsidP="00FF3482">
            <w:pPr>
              <w:pStyle w:val="Heading2"/>
              <w:spacing w:line="240" w:lineRule="auto"/>
              <w:rPr>
                <w:b w:val="0"/>
                <w:bCs w:val="0"/>
                <w:sz w:val="17"/>
                <w:szCs w:val="17"/>
              </w:rPr>
            </w:pPr>
            <w:r w:rsidRPr="00677CE8">
              <w:rPr>
                <w:b w:val="0"/>
                <w:bCs w:val="0"/>
                <w:sz w:val="17"/>
                <w:szCs w:val="17"/>
              </w:rPr>
              <w:t>Tech-savviness, Safety perceptions</w:t>
            </w:r>
          </w:p>
        </w:tc>
      </w:tr>
      <w:tr w:rsidR="00FF3482" w:rsidRPr="00677CE8" w14:paraId="60A82AD0" w14:textId="77777777" w:rsidTr="00007FF5">
        <w:trPr>
          <w:jc w:val="center"/>
        </w:trPr>
        <w:tc>
          <w:tcPr>
            <w:tcW w:w="1876" w:type="dxa"/>
            <w:tcBorders>
              <w:top w:val="single" w:sz="2" w:space="0" w:color="auto"/>
              <w:left w:val="single" w:sz="12" w:space="0" w:color="auto"/>
              <w:bottom w:val="single" w:sz="2" w:space="0" w:color="auto"/>
              <w:right w:val="single" w:sz="2" w:space="0" w:color="auto"/>
            </w:tcBorders>
            <w:vAlign w:val="center"/>
          </w:tcPr>
          <w:p w14:paraId="5E8445B0" w14:textId="5293A8DB" w:rsidR="00FF3482" w:rsidRPr="00677CE8" w:rsidRDefault="00FF3482" w:rsidP="00FF3482">
            <w:pPr>
              <w:rPr>
                <w:sz w:val="17"/>
                <w:szCs w:val="17"/>
              </w:rPr>
            </w:pPr>
            <w:r w:rsidRPr="00677CE8">
              <w:rPr>
                <w:sz w:val="17"/>
                <w:szCs w:val="17"/>
              </w:rPr>
              <w:t>Karami et al., 2024</w:t>
            </w:r>
          </w:p>
        </w:tc>
        <w:tc>
          <w:tcPr>
            <w:tcW w:w="1444" w:type="dxa"/>
            <w:tcBorders>
              <w:top w:val="single" w:sz="2" w:space="0" w:color="auto"/>
              <w:left w:val="single" w:sz="2" w:space="0" w:color="auto"/>
              <w:bottom w:val="single" w:sz="2" w:space="0" w:color="auto"/>
              <w:right w:val="single" w:sz="2" w:space="0" w:color="auto"/>
            </w:tcBorders>
            <w:vAlign w:val="center"/>
          </w:tcPr>
          <w:p w14:paraId="1372641B" w14:textId="05C1AF0E" w:rsidR="00FF3482" w:rsidRPr="00677CE8" w:rsidRDefault="00FF3482" w:rsidP="00FF3482">
            <w:pPr>
              <w:pStyle w:val="Heading2"/>
              <w:spacing w:line="240" w:lineRule="auto"/>
              <w:rPr>
                <w:b w:val="0"/>
                <w:bCs w:val="0"/>
                <w:sz w:val="17"/>
                <w:szCs w:val="17"/>
              </w:rPr>
            </w:pPr>
            <w:r w:rsidRPr="00677CE8">
              <w:rPr>
                <w:b w:val="0"/>
                <w:bCs w:val="0"/>
                <w:sz w:val="17"/>
                <w:szCs w:val="17"/>
              </w:rPr>
              <w:t>AT</w:t>
            </w:r>
          </w:p>
        </w:tc>
        <w:tc>
          <w:tcPr>
            <w:tcW w:w="1350" w:type="dxa"/>
            <w:tcBorders>
              <w:top w:val="single" w:sz="2" w:space="0" w:color="auto"/>
              <w:left w:val="single" w:sz="2" w:space="0" w:color="auto"/>
              <w:bottom w:val="single" w:sz="2" w:space="0" w:color="auto"/>
              <w:right w:val="single" w:sz="2" w:space="0" w:color="auto"/>
            </w:tcBorders>
            <w:vAlign w:val="center"/>
          </w:tcPr>
          <w:p w14:paraId="26771A41" w14:textId="77777777" w:rsidR="00FF3482" w:rsidRPr="00677CE8" w:rsidRDefault="00FF3482" w:rsidP="00FF3482">
            <w:pPr>
              <w:pStyle w:val="Heading2"/>
              <w:spacing w:line="240" w:lineRule="auto"/>
              <w:rPr>
                <w:b w:val="0"/>
                <w:bCs w:val="0"/>
                <w:sz w:val="17"/>
                <w:szCs w:val="17"/>
              </w:rPr>
            </w:pPr>
          </w:p>
        </w:tc>
        <w:tc>
          <w:tcPr>
            <w:tcW w:w="445" w:type="dxa"/>
            <w:tcBorders>
              <w:top w:val="single" w:sz="2" w:space="0" w:color="auto"/>
              <w:left w:val="single" w:sz="2" w:space="0" w:color="auto"/>
              <w:bottom w:val="single" w:sz="2" w:space="0" w:color="auto"/>
              <w:right w:val="single" w:sz="2" w:space="0" w:color="auto"/>
            </w:tcBorders>
            <w:vAlign w:val="center"/>
          </w:tcPr>
          <w:p w14:paraId="4236FD2A" w14:textId="77777777" w:rsidR="00FF3482" w:rsidRPr="00677CE8" w:rsidRDefault="00FF3482" w:rsidP="00FF3482">
            <w:pPr>
              <w:pStyle w:val="Heading2"/>
              <w:spacing w:line="240" w:lineRule="auto"/>
              <w:jc w:val="center"/>
              <w:rPr>
                <w:sz w:val="17"/>
                <w:szCs w:val="17"/>
              </w:rPr>
            </w:pPr>
          </w:p>
        </w:tc>
        <w:tc>
          <w:tcPr>
            <w:tcW w:w="277" w:type="dxa"/>
            <w:tcBorders>
              <w:top w:val="single" w:sz="2" w:space="0" w:color="auto"/>
              <w:left w:val="single" w:sz="2" w:space="0" w:color="auto"/>
              <w:bottom w:val="single" w:sz="2" w:space="0" w:color="auto"/>
              <w:right w:val="single" w:sz="2" w:space="0" w:color="auto"/>
            </w:tcBorders>
            <w:vAlign w:val="center"/>
          </w:tcPr>
          <w:p w14:paraId="529B0E05" w14:textId="77777777" w:rsidR="00FF3482" w:rsidRPr="00677CE8" w:rsidRDefault="00FF3482" w:rsidP="00FF3482">
            <w:pPr>
              <w:pStyle w:val="Heading2"/>
              <w:spacing w:line="240" w:lineRule="auto"/>
              <w:jc w:val="center"/>
              <w:rPr>
                <w:sz w:val="17"/>
                <w:szCs w:val="17"/>
              </w:rPr>
            </w:pPr>
          </w:p>
        </w:tc>
        <w:tc>
          <w:tcPr>
            <w:tcW w:w="720" w:type="dxa"/>
            <w:tcBorders>
              <w:top w:val="single" w:sz="2" w:space="0" w:color="auto"/>
              <w:left w:val="single" w:sz="2" w:space="0" w:color="auto"/>
              <w:bottom w:val="single" w:sz="2" w:space="0" w:color="auto"/>
              <w:right w:val="single" w:sz="2" w:space="0" w:color="auto"/>
            </w:tcBorders>
            <w:vAlign w:val="center"/>
          </w:tcPr>
          <w:p w14:paraId="3E5BA99D" w14:textId="77777777" w:rsidR="00FF3482" w:rsidRPr="00677CE8" w:rsidRDefault="00FF3482" w:rsidP="00FF3482">
            <w:pPr>
              <w:pStyle w:val="Heading2"/>
              <w:spacing w:line="240" w:lineRule="auto"/>
              <w:jc w:val="center"/>
              <w:rPr>
                <w:sz w:val="17"/>
                <w:szCs w:val="17"/>
              </w:rPr>
            </w:pPr>
          </w:p>
        </w:tc>
        <w:tc>
          <w:tcPr>
            <w:tcW w:w="263" w:type="dxa"/>
            <w:tcBorders>
              <w:top w:val="single" w:sz="2" w:space="0" w:color="auto"/>
              <w:left w:val="single" w:sz="2" w:space="0" w:color="auto"/>
              <w:bottom w:val="single" w:sz="2" w:space="0" w:color="auto"/>
              <w:right w:val="single" w:sz="2" w:space="0" w:color="auto"/>
            </w:tcBorders>
            <w:vAlign w:val="center"/>
          </w:tcPr>
          <w:p w14:paraId="283591B6" w14:textId="7BC70F83" w:rsidR="00FF3482" w:rsidRPr="00677CE8" w:rsidRDefault="00FF3482" w:rsidP="00FF3482">
            <w:pPr>
              <w:pStyle w:val="Heading2"/>
              <w:spacing w:line="240" w:lineRule="auto"/>
              <w:jc w:val="center"/>
              <w:rPr>
                <w:sz w:val="17"/>
                <w:szCs w:val="17"/>
              </w:rPr>
            </w:pPr>
            <w:r w:rsidRPr="00677CE8">
              <w:rPr>
                <w:sz w:val="17"/>
                <w:szCs w:val="17"/>
              </w:rPr>
              <w:t>×</w:t>
            </w:r>
          </w:p>
        </w:tc>
        <w:tc>
          <w:tcPr>
            <w:tcW w:w="461" w:type="dxa"/>
            <w:tcBorders>
              <w:top w:val="single" w:sz="2" w:space="0" w:color="auto"/>
              <w:left w:val="single" w:sz="2" w:space="0" w:color="auto"/>
              <w:bottom w:val="single" w:sz="2" w:space="0" w:color="auto"/>
              <w:right w:val="single" w:sz="2" w:space="0" w:color="auto"/>
            </w:tcBorders>
            <w:vAlign w:val="center"/>
          </w:tcPr>
          <w:p w14:paraId="5D86B9E2" w14:textId="2824D614"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2" w:space="0" w:color="auto"/>
              <w:right w:val="single" w:sz="2" w:space="0" w:color="auto"/>
            </w:tcBorders>
            <w:vAlign w:val="center"/>
          </w:tcPr>
          <w:p w14:paraId="149608BE" w14:textId="77777777"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2" w:space="0" w:color="auto"/>
              <w:right w:val="single" w:sz="2" w:space="0" w:color="auto"/>
            </w:tcBorders>
            <w:vAlign w:val="center"/>
          </w:tcPr>
          <w:p w14:paraId="5ADA1B3E" w14:textId="77777777" w:rsidR="00FF3482" w:rsidRPr="00677CE8" w:rsidRDefault="00FF3482" w:rsidP="00FF3482">
            <w:pPr>
              <w:pStyle w:val="Heading2"/>
              <w:spacing w:line="240" w:lineRule="auto"/>
              <w:jc w:val="center"/>
              <w:rPr>
                <w:sz w:val="17"/>
                <w:szCs w:val="17"/>
              </w:rPr>
            </w:pPr>
          </w:p>
        </w:tc>
        <w:tc>
          <w:tcPr>
            <w:tcW w:w="527" w:type="dxa"/>
            <w:tcBorders>
              <w:top w:val="single" w:sz="2" w:space="0" w:color="auto"/>
              <w:left w:val="single" w:sz="2" w:space="0" w:color="auto"/>
              <w:bottom w:val="single" w:sz="2" w:space="0" w:color="auto"/>
              <w:right w:val="single" w:sz="2" w:space="0" w:color="auto"/>
            </w:tcBorders>
            <w:vAlign w:val="center"/>
          </w:tcPr>
          <w:p w14:paraId="3C725F89" w14:textId="77777777" w:rsidR="00FF3482" w:rsidRPr="00677CE8" w:rsidRDefault="00FF3482" w:rsidP="00FF3482">
            <w:pPr>
              <w:pStyle w:val="Heading2"/>
              <w:spacing w:line="240" w:lineRule="auto"/>
              <w:jc w:val="center"/>
              <w:rPr>
                <w:sz w:val="17"/>
                <w:szCs w:val="17"/>
              </w:rPr>
            </w:pPr>
          </w:p>
        </w:tc>
        <w:tc>
          <w:tcPr>
            <w:tcW w:w="559" w:type="dxa"/>
            <w:tcBorders>
              <w:top w:val="single" w:sz="2" w:space="0" w:color="auto"/>
              <w:left w:val="single" w:sz="2" w:space="0" w:color="auto"/>
              <w:bottom w:val="single" w:sz="2" w:space="0" w:color="auto"/>
              <w:right w:val="single" w:sz="2" w:space="0" w:color="auto"/>
            </w:tcBorders>
            <w:vAlign w:val="center"/>
          </w:tcPr>
          <w:p w14:paraId="0AC7D46D" w14:textId="3782B84D" w:rsidR="00FF3482" w:rsidRPr="00677CE8" w:rsidRDefault="00FF3482" w:rsidP="00FF3482">
            <w:pPr>
              <w:pStyle w:val="Heading2"/>
              <w:spacing w:line="240" w:lineRule="auto"/>
              <w:jc w:val="center"/>
              <w:rPr>
                <w:sz w:val="17"/>
                <w:szCs w:val="17"/>
              </w:rPr>
            </w:pPr>
            <w:r w:rsidRPr="00677CE8">
              <w:rPr>
                <w:sz w:val="17"/>
                <w:szCs w:val="17"/>
              </w:rPr>
              <w:t>×</w:t>
            </w:r>
          </w:p>
        </w:tc>
        <w:tc>
          <w:tcPr>
            <w:tcW w:w="433" w:type="dxa"/>
            <w:tcBorders>
              <w:top w:val="single" w:sz="2" w:space="0" w:color="auto"/>
              <w:left w:val="single" w:sz="2" w:space="0" w:color="auto"/>
              <w:bottom w:val="single" w:sz="2" w:space="0" w:color="auto"/>
              <w:right w:val="single" w:sz="2" w:space="0" w:color="auto"/>
            </w:tcBorders>
            <w:vAlign w:val="center"/>
          </w:tcPr>
          <w:p w14:paraId="2F2D2248" w14:textId="77777777" w:rsidR="00FF3482" w:rsidRPr="00677CE8" w:rsidRDefault="00FF3482" w:rsidP="00FF3482">
            <w:pPr>
              <w:pStyle w:val="Heading2"/>
              <w:spacing w:line="240" w:lineRule="auto"/>
              <w:jc w:val="center"/>
              <w:rPr>
                <w:sz w:val="17"/>
                <w:szCs w:val="17"/>
              </w:rPr>
            </w:pPr>
          </w:p>
        </w:tc>
        <w:tc>
          <w:tcPr>
            <w:tcW w:w="525" w:type="dxa"/>
            <w:tcBorders>
              <w:top w:val="single" w:sz="2" w:space="0" w:color="auto"/>
              <w:left w:val="single" w:sz="2" w:space="0" w:color="auto"/>
              <w:bottom w:val="single" w:sz="2" w:space="0" w:color="auto"/>
              <w:right w:val="single" w:sz="2" w:space="0" w:color="auto"/>
            </w:tcBorders>
          </w:tcPr>
          <w:p w14:paraId="292A9178" w14:textId="77777777" w:rsidR="00FF3482" w:rsidRPr="00677CE8" w:rsidRDefault="00FF3482" w:rsidP="00FF3482">
            <w:pPr>
              <w:pStyle w:val="Heading2"/>
              <w:spacing w:line="240" w:lineRule="auto"/>
              <w:jc w:val="center"/>
              <w:rPr>
                <w:sz w:val="17"/>
                <w:szCs w:val="17"/>
              </w:rPr>
            </w:pPr>
          </w:p>
        </w:tc>
        <w:tc>
          <w:tcPr>
            <w:tcW w:w="465" w:type="dxa"/>
            <w:tcBorders>
              <w:top w:val="single" w:sz="2" w:space="0" w:color="auto"/>
              <w:left w:val="single" w:sz="2" w:space="0" w:color="auto"/>
              <w:bottom w:val="single" w:sz="2" w:space="0" w:color="auto"/>
              <w:right w:val="single" w:sz="2" w:space="0" w:color="auto"/>
            </w:tcBorders>
          </w:tcPr>
          <w:p w14:paraId="55B83E9B" w14:textId="77777777" w:rsidR="00FF3482" w:rsidRPr="00677CE8" w:rsidRDefault="00FF3482" w:rsidP="00FF3482">
            <w:pPr>
              <w:pStyle w:val="Heading2"/>
              <w:spacing w:line="240" w:lineRule="auto"/>
              <w:jc w:val="center"/>
              <w:rPr>
                <w:sz w:val="17"/>
                <w:szCs w:val="17"/>
              </w:rPr>
            </w:pPr>
          </w:p>
        </w:tc>
        <w:tc>
          <w:tcPr>
            <w:tcW w:w="270" w:type="dxa"/>
            <w:tcBorders>
              <w:top w:val="single" w:sz="2" w:space="0" w:color="auto"/>
              <w:left w:val="single" w:sz="2" w:space="0" w:color="auto"/>
              <w:bottom w:val="single" w:sz="2" w:space="0" w:color="auto"/>
              <w:right w:val="single" w:sz="2" w:space="0" w:color="auto"/>
            </w:tcBorders>
            <w:vAlign w:val="center"/>
          </w:tcPr>
          <w:p w14:paraId="7188DEF9" w14:textId="45EDFAB8" w:rsidR="00FF3482" w:rsidRPr="00677CE8" w:rsidRDefault="00FF3482" w:rsidP="00FF3482">
            <w:pPr>
              <w:pStyle w:val="Heading2"/>
              <w:spacing w:line="240" w:lineRule="auto"/>
              <w:jc w:val="center"/>
              <w:rPr>
                <w:sz w:val="17"/>
                <w:szCs w:val="17"/>
              </w:rPr>
            </w:pPr>
          </w:p>
        </w:tc>
        <w:tc>
          <w:tcPr>
            <w:tcW w:w="404" w:type="dxa"/>
            <w:tcBorders>
              <w:top w:val="single" w:sz="2" w:space="0" w:color="auto"/>
              <w:left w:val="single" w:sz="2" w:space="0" w:color="auto"/>
              <w:bottom w:val="single" w:sz="2" w:space="0" w:color="auto"/>
              <w:right w:val="single" w:sz="2" w:space="0" w:color="auto"/>
            </w:tcBorders>
          </w:tcPr>
          <w:p w14:paraId="444AFE5B" w14:textId="091CD0F0" w:rsidR="00FF3482" w:rsidRPr="00677CE8" w:rsidRDefault="00FF3482" w:rsidP="00FF3482">
            <w:pPr>
              <w:pStyle w:val="Heading2"/>
              <w:spacing w:line="240" w:lineRule="auto"/>
              <w:jc w:val="center"/>
              <w:rPr>
                <w:sz w:val="17"/>
                <w:szCs w:val="17"/>
              </w:rPr>
            </w:pPr>
          </w:p>
        </w:tc>
        <w:tc>
          <w:tcPr>
            <w:tcW w:w="406" w:type="dxa"/>
            <w:tcBorders>
              <w:top w:val="single" w:sz="2" w:space="0" w:color="auto"/>
              <w:left w:val="single" w:sz="2" w:space="0" w:color="auto"/>
              <w:bottom w:val="single" w:sz="2" w:space="0" w:color="auto"/>
              <w:right w:val="single" w:sz="2" w:space="0" w:color="auto"/>
            </w:tcBorders>
          </w:tcPr>
          <w:p w14:paraId="0C0CB5A4" w14:textId="77777777" w:rsidR="00FF3482" w:rsidRPr="00677CE8" w:rsidRDefault="00FF3482" w:rsidP="00FF3482">
            <w:pPr>
              <w:pStyle w:val="Heading2"/>
              <w:spacing w:line="240" w:lineRule="auto"/>
              <w:jc w:val="center"/>
              <w:rPr>
                <w:sz w:val="17"/>
                <w:szCs w:val="17"/>
              </w:rPr>
            </w:pPr>
          </w:p>
        </w:tc>
        <w:tc>
          <w:tcPr>
            <w:tcW w:w="3338" w:type="dxa"/>
            <w:tcBorders>
              <w:top w:val="single" w:sz="2" w:space="0" w:color="auto"/>
              <w:left w:val="single" w:sz="2" w:space="0" w:color="auto"/>
              <w:bottom w:val="single" w:sz="2" w:space="0" w:color="auto"/>
              <w:right w:val="single" w:sz="12" w:space="0" w:color="auto"/>
            </w:tcBorders>
            <w:vAlign w:val="center"/>
          </w:tcPr>
          <w:p w14:paraId="5EA0FA1E" w14:textId="14F87389" w:rsidR="00FF3482" w:rsidRPr="00677CE8" w:rsidRDefault="00FF3482" w:rsidP="00FF3482">
            <w:pPr>
              <w:pStyle w:val="Heading2"/>
              <w:spacing w:line="240" w:lineRule="auto"/>
              <w:rPr>
                <w:b w:val="0"/>
                <w:bCs w:val="0"/>
                <w:sz w:val="17"/>
                <w:szCs w:val="17"/>
              </w:rPr>
            </w:pPr>
            <w:r w:rsidRPr="00677CE8">
              <w:rPr>
                <w:b w:val="0"/>
                <w:bCs w:val="0"/>
                <w:sz w:val="17"/>
                <w:szCs w:val="17"/>
              </w:rPr>
              <w:t xml:space="preserve">Tech-savviness, </w:t>
            </w:r>
            <w:proofErr w:type="gramStart"/>
            <w:r w:rsidRPr="00677CE8">
              <w:rPr>
                <w:b w:val="0"/>
                <w:bCs w:val="0"/>
                <w:sz w:val="17"/>
                <w:szCs w:val="17"/>
              </w:rPr>
              <w:t>Green</w:t>
            </w:r>
            <w:proofErr w:type="gramEnd"/>
            <w:r w:rsidRPr="00677CE8">
              <w:rPr>
                <w:b w:val="0"/>
                <w:bCs w:val="0"/>
                <w:sz w:val="17"/>
                <w:szCs w:val="17"/>
              </w:rPr>
              <w:t xml:space="preserve"> lifestyle propensity Safety perceptions</w:t>
            </w:r>
          </w:p>
        </w:tc>
      </w:tr>
      <w:tr w:rsidR="00FF3482" w:rsidRPr="00677CE8" w14:paraId="6D04EB5D" w14:textId="77777777" w:rsidTr="00007FF5">
        <w:trPr>
          <w:jc w:val="center"/>
        </w:trPr>
        <w:tc>
          <w:tcPr>
            <w:tcW w:w="1876" w:type="dxa"/>
            <w:tcBorders>
              <w:top w:val="single" w:sz="2" w:space="0" w:color="auto"/>
              <w:left w:val="single" w:sz="12" w:space="0" w:color="auto"/>
              <w:bottom w:val="single" w:sz="2" w:space="0" w:color="auto"/>
              <w:right w:val="single" w:sz="2" w:space="0" w:color="auto"/>
            </w:tcBorders>
            <w:vAlign w:val="center"/>
          </w:tcPr>
          <w:p w14:paraId="5BE28926" w14:textId="266A0BAA" w:rsidR="00FF3482" w:rsidRPr="00677CE8" w:rsidRDefault="00FF3482" w:rsidP="00FF3482">
            <w:pPr>
              <w:rPr>
                <w:sz w:val="17"/>
                <w:szCs w:val="17"/>
              </w:rPr>
            </w:pPr>
            <w:r w:rsidRPr="00677CE8">
              <w:rPr>
                <w:sz w:val="17"/>
                <w:szCs w:val="17"/>
              </w:rPr>
              <w:t>Kim et al., 2023</w:t>
            </w:r>
          </w:p>
        </w:tc>
        <w:tc>
          <w:tcPr>
            <w:tcW w:w="1444" w:type="dxa"/>
            <w:tcBorders>
              <w:top w:val="single" w:sz="2" w:space="0" w:color="auto"/>
              <w:left w:val="single" w:sz="2" w:space="0" w:color="auto"/>
              <w:bottom w:val="single" w:sz="2" w:space="0" w:color="auto"/>
              <w:right w:val="single" w:sz="2" w:space="0" w:color="auto"/>
            </w:tcBorders>
            <w:vAlign w:val="center"/>
          </w:tcPr>
          <w:p w14:paraId="1CB462DB" w14:textId="1F0AE587" w:rsidR="00FF3482" w:rsidRPr="00677CE8" w:rsidRDefault="00FF3482" w:rsidP="00FF3482">
            <w:pPr>
              <w:pStyle w:val="Heading2"/>
              <w:spacing w:line="240" w:lineRule="auto"/>
              <w:rPr>
                <w:b w:val="0"/>
                <w:bCs w:val="0"/>
                <w:sz w:val="17"/>
                <w:szCs w:val="17"/>
              </w:rPr>
            </w:pPr>
            <w:r w:rsidRPr="00677CE8">
              <w:rPr>
                <w:b w:val="0"/>
                <w:bCs w:val="0"/>
                <w:sz w:val="17"/>
                <w:szCs w:val="17"/>
              </w:rPr>
              <w:t>AT</w:t>
            </w:r>
          </w:p>
        </w:tc>
        <w:tc>
          <w:tcPr>
            <w:tcW w:w="1350" w:type="dxa"/>
            <w:tcBorders>
              <w:top w:val="single" w:sz="2" w:space="0" w:color="auto"/>
              <w:left w:val="single" w:sz="2" w:space="0" w:color="auto"/>
              <w:bottom w:val="single" w:sz="2" w:space="0" w:color="auto"/>
              <w:right w:val="single" w:sz="2" w:space="0" w:color="auto"/>
            </w:tcBorders>
            <w:vAlign w:val="center"/>
          </w:tcPr>
          <w:p w14:paraId="4F411C30" w14:textId="77777777" w:rsidR="00FF3482" w:rsidRPr="00677CE8" w:rsidRDefault="00FF3482" w:rsidP="00FF3482">
            <w:pPr>
              <w:pStyle w:val="Heading2"/>
              <w:spacing w:line="240" w:lineRule="auto"/>
              <w:rPr>
                <w:b w:val="0"/>
                <w:bCs w:val="0"/>
                <w:sz w:val="17"/>
                <w:szCs w:val="17"/>
              </w:rPr>
            </w:pPr>
          </w:p>
        </w:tc>
        <w:tc>
          <w:tcPr>
            <w:tcW w:w="445" w:type="dxa"/>
            <w:tcBorders>
              <w:top w:val="single" w:sz="2" w:space="0" w:color="auto"/>
              <w:left w:val="single" w:sz="2" w:space="0" w:color="auto"/>
              <w:bottom w:val="single" w:sz="2" w:space="0" w:color="auto"/>
              <w:right w:val="single" w:sz="2" w:space="0" w:color="auto"/>
            </w:tcBorders>
            <w:vAlign w:val="center"/>
          </w:tcPr>
          <w:p w14:paraId="0FE332DC" w14:textId="758FBF99" w:rsidR="00FF3482" w:rsidRPr="00677CE8" w:rsidRDefault="00FF3482" w:rsidP="00FF3482">
            <w:pPr>
              <w:pStyle w:val="Heading2"/>
              <w:spacing w:line="240" w:lineRule="auto"/>
              <w:jc w:val="center"/>
              <w:rPr>
                <w:sz w:val="17"/>
                <w:szCs w:val="17"/>
              </w:rPr>
            </w:pPr>
            <w:r w:rsidRPr="00677CE8">
              <w:rPr>
                <w:sz w:val="17"/>
                <w:szCs w:val="17"/>
              </w:rPr>
              <w:t>×</w:t>
            </w:r>
          </w:p>
        </w:tc>
        <w:tc>
          <w:tcPr>
            <w:tcW w:w="277" w:type="dxa"/>
            <w:tcBorders>
              <w:top w:val="single" w:sz="2" w:space="0" w:color="auto"/>
              <w:left w:val="single" w:sz="2" w:space="0" w:color="auto"/>
              <w:bottom w:val="single" w:sz="2" w:space="0" w:color="auto"/>
              <w:right w:val="single" w:sz="2" w:space="0" w:color="auto"/>
            </w:tcBorders>
            <w:vAlign w:val="center"/>
          </w:tcPr>
          <w:p w14:paraId="1A22D819" w14:textId="77777777" w:rsidR="00FF3482" w:rsidRPr="00677CE8" w:rsidRDefault="00FF3482" w:rsidP="00FF3482">
            <w:pPr>
              <w:pStyle w:val="Heading2"/>
              <w:spacing w:line="240" w:lineRule="auto"/>
              <w:jc w:val="center"/>
              <w:rPr>
                <w:sz w:val="17"/>
                <w:szCs w:val="17"/>
              </w:rPr>
            </w:pPr>
          </w:p>
        </w:tc>
        <w:tc>
          <w:tcPr>
            <w:tcW w:w="720" w:type="dxa"/>
            <w:tcBorders>
              <w:top w:val="single" w:sz="2" w:space="0" w:color="auto"/>
              <w:left w:val="single" w:sz="2" w:space="0" w:color="auto"/>
              <w:bottom w:val="single" w:sz="2" w:space="0" w:color="auto"/>
              <w:right w:val="single" w:sz="2" w:space="0" w:color="auto"/>
            </w:tcBorders>
            <w:vAlign w:val="center"/>
          </w:tcPr>
          <w:p w14:paraId="49BB4C06" w14:textId="77777777" w:rsidR="00FF3482" w:rsidRPr="00677CE8" w:rsidRDefault="00FF3482" w:rsidP="00FF3482">
            <w:pPr>
              <w:pStyle w:val="Heading2"/>
              <w:spacing w:line="240" w:lineRule="auto"/>
              <w:jc w:val="center"/>
              <w:rPr>
                <w:sz w:val="17"/>
                <w:szCs w:val="17"/>
              </w:rPr>
            </w:pPr>
          </w:p>
        </w:tc>
        <w:tc>
          <w:tcPr>
            <w:tcW w:w="263" w:type="dxa"/>
            <w:tcBorders>
              <w:top w:val="single" w:sz="2" w:space="0" w:color="auto"/>
              <w:left w:val="single" w:sz="2" w:space="0" w:color="auto"/>
              <w:bottom w:val="single" w:sz="2" w:space="0" w:color="auto"/>
              <w:right w:val="single" w:sz="2" w:space="0" w:color="auto"/>
            </w:tcBorders>
            <w:vAlign w:val="center"/>
          </w:tcPr>
          <w:p w14:paraId="38CE57F2" w14:textId="1EAB01B0" w:rsidR="00FF3482" w:rsidRPr="00677CE8" w:rsidRDefault="00FF3482" w:rsidP="00FF3482">
            <w:pPr>
              <w:pStyle w:val="Heading2"/>
              <w:spacing w:line="240" w:lineRule="auto"/>
              <w:jc w:val="center"/>
              <w:rPr>
                <w:sz w:val="17"/>
                <w:szCs w:val="17"/>
              </w:rPr>
            </w:pPr>
            <w:r w:rsidRPr="00677CE8">
              <w:rPr>
                <w:sz w:val="17"/>
                <w:szCs w:val="17"/>
              </w:rPr>
              <w:t>×</w:t>
            </w:r>
          </w:p>
        </w:tc>
        <w:tc>
          <w:tcPr>
            <w:tcW w:w="461" w:type="dxa"/>
            <w:tcBorders>
              <w:top w:val="single" w:sz="2" w:space="0" w:color="auto"/>
              <w:left w:val="single" w:sz="2" w:space="0" w:color="auto"/>
              <w:bottom w:val="single" w:sz="2" w:space="0" w:color="auto"/>
              <w:right w:val="single" w:sz="2" w:space="0" w:color="auto"/>
            </w:tcBorders>
            <w:vAlign w:val="center"/>
          </w:tcPr>
          <w:p w14:paraId="31605DE5" w14:textId="2A23C1CB"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2" w:space="0" w:color="auto"/>
              <w:right w:val="single" w:sz="2" w:space="0" w:color="auto"/>
            </w:tcBorders>
            <w:vAlign w:val="center"/>
          </w:tcPr>
          <w:p w14:paraId="58FEDA41" w14:textId="26B65488" w:rsidR="00FF3482" w:rsidRPr="00677CE8" w:rsidRDefault="00FF3482" w:rsidP="00FF3482">
            <w:pPr>
              <w:pStyle w:val="Heading2"/>
              <w:spacing w:line="240" w:lineRule="auto"/>
              <w:jc w:val="center"/>
              <w:rPr>
                <w:sz w:val="17"/>
                <w:szCs w:val="17"/>
              </w:rPr>
            </w:pPr>
            <w:r w:rsidRPr="00677CE8">
              <w:rPr>
                <w:sz w:val="17"/>
                <w:szCs w:val="17"/>
              </w:rPr>
              <w:t>×</w:t>
            </w:r>
          </w:p>
        </w:tc>
        <w:tc>
          <w:tcPr>
            <w:tcW w:w="360" w:type="dxa"/>
            <w:tcBorders>
              <w:top w:val="single" w:sz="2" w:space="0" w:color="auto"/>
              <w:left w:val="single" w:sz="2" w:space="0" w:color="auto"/>
              <w:bottom w:val="single" w:sz="2" w:space="0" w:color="auto"/>
              <w:right w:val="single" w:sz="2" w:space="0" w:color="auto"/>
            </w:tcBorders>
            <w:vAlign w:val="center"/>
          </w:tcPr>
          <w:p w14:paraId="4407D511" w14:textId="77777777" w:rsidR="00FF3482" w:rsidRPr="00677CE8" w:rsidRDefault="00FF3482" w:rsidP="00FF3482">
            <w:pPr>
              <w:pStyle w:val="Heading2"/>
              <w:spacing w:line="240" w:lineRule="auto"/>
              <w:jc w:val="center"/>
              <w:rPr>
                <w:sz w:val="17"/>
                <w:szCs w:val="17"/>
              </w:rPr>
            </w:pPr>
          </w:p>
        </w:tc>
        <w:tc>
          <w:tcPr>
            <w:tcW w:w="527" w:type="dxa"/>
            <w:tcBorders>
              <w:top w:val="single" w:sz="2" w:space="0" w:color="auto"/>
              <w:left w:val="single" w:sz="2" w:space="0" w:color="auto"/>
              <w:bottom w:val="single" w:sz="2" w:space="0" w:color="auto"/>
              <w:right w:val="single" w:sz="2" w:space="0" w:color="auto"/>
            </w:tcBorders>
            <w:vAlign w:val="center"/>
          </w:tcPr>
          <w:p w14:paraId="7B85C4C3" w14:textId="3BD5BA4D" w:rsidR="00FF3482" w:rsidRPr="00677CE8" w:rsidRDefault="00FF3482" w:rsidP="00FF3482">
            <w:pPr>
              <w:pStyle w:val="Heading2"/>
              <w:spacing w:line="240" w:lineRule="auto"/>
              <w:jc w:val="center"/>
              <w:rPr>
                <w:sz w:val="17"/>
                <w:szCs w:val="17"/>
              </w:rPr>
            </w:pPr>
            <w:r w:rsidRPr="00677CE8">
              <w:rPr>
                <w:sz w:val="17"/>
                <w:szCs w:val="17"/>
              </w:rPr>
              <w:t>×</w:t>
            </w:r>
          </w:p>
        </w:tc>
        <w:tc>
          <w:tcPr>
            <w:tcW w:w="559" w:type="dxa"/>
            <w:tcBorders>
              <w:top w:val="single" w:sz="2" w:space="0" w:color="auto"/>
              <w:left w:val="single" w:sz="2" w:space="0" w:color="auto"/>
              <w:bottom w:val="single" w:sz="2" w:space="0" w:color="auto"/>
              <w:right w:val="single" w:sz="2" w:space="0" w:color="auto"/>
            </w:tcBorders>
            <w:vAlign w:val="center"/>
          </w:tcPr>
          <w:p w14:paraId="55DA7A01" w14:textId="77777777" w:rsidR="00FF3482" w:rsidRPr="00677CE8" w:rsidRDefault="00FF3482" w:rsidP="00FF3482">
            <w:pPr>
              <w:pStyle w:val="Heading2"/>
              <w:spacing w:line="240" w:lineRule="auto"/>
              <w:jc w:val="center"/>
              <w:rPr>
                <w:sz w:val="17"/>
                <w:szCs w:val="17"/>
              </w:rPr>
            </w:pPr>
          </w:p>
        </w:tc>
        <w:tc>
          <w:tcPr>
            <w:tcW w:w="433" w:type="dxa"/>
            <w:tcBorders>
              <w:top w:val="single" w:sz="2" w:space="0" w:color="auto"/>
              <w:left w:val="single" w:sz="2" w:space="0" w:color="auto"/>
              <w:bottom w:val="single" w:sz="2" w:space="0" w:color="auto"/>
              <w:right w:val="single" w:sz="2" w:space="0" w:color="auto"/>
            </w:tcBorders>
            <w:vAlign w:val="center"/>
          </w:tcPr>
          <w:p w14:paraId="39875A4C" w14:textId="4DA01AC3" w:rsidR="00FF3482" w:rsidRPr="00677CE8" w:rsidRDefault="00FF3482" w:rsidP="00FF3482">
            <w:pPr>
              <w:pStyle w:val="Heading2"/>
              <w:spacing w:line="240" w:lineRule="auto"/>
              <w:jc w:val="center"/>
              <w:rPr>
                <w:sz w:val="17"/>
                <w:szCs w:val="17"/>
              </w:rPr>
            </w:pPr>
          </w:p>
        </w:tc>
        <w:tc>
          <w:tcPr>
            <w:tcW w:w="525" w:type="dxa"/>
            <w:tcBorders>
              <w:top w:val="single" w:sz="2" w:space="0" w:color="auto"/>
              <w:left w:val="single" w:sz="2" w:space="0" w:color="auto"/>
              <w:bottom w:val="single" w:sz="2" w:space="0" w:color="auto"/>
              <w:right w:val="single" w:sz="2" w:space="0" w:color="auto"/>
            </w:tcBorders>
          </w:tcPr>
          <w:p w14:paraId="189FD899" w14:textId="77777777" w:rsidR="00FF3482" w:rsidRPr="00677CE8" w:rsidRDefault="00FF3482" w:rsidP="00FF3482">
            <w:pPr>
              <w:pStyle w:val="Heading2"/>
              <w:spacing w:line="240" w:lineRule="auto"/>
              <w:jc w:val="center"/>
              <w:rPr>
                <w:sz w:val="17"/>
                <w:szCs w:val="17"/>
              </w:rPr>
            </w:pPr>
          </w:p>
        </w:tc>
        <w:tc>
          <w:tcPr>
            <w:tcW w:w="465" w:type="dxa"/>
            <w:tcBorders>
              <w:top w:val="single" w:sz="2" w:space="0" w:color="auto"/>
              <w:left w:val="single" w:sz="2" w:space="0" w:color="auto"/>
              <w:bottom w:val="single" w:sz="2" w:space="0" w:color="auto"/>
              <w:right w:val="single" w:sz="2" w:space="0" w:color="auto"/>
            </w:tcBorders>
          </w:tcPr>
          <w:p w14:paraId="6B0F8D62" w14:textId="3C81B8CC" w:rsidR="00FF3482" w:rsidRPr="00677CE8" w:rsidRDefault="00FF3482" w:rsidP="00FF3482">
            <w:pPr>
              <w:pStyle w:val="Heading2"/>
              <w:spacing w:line="240" w:lineRule="auto"/>
              <w:jc w:val="center"/>
              <w:rPr>
                <w:sz w:val="17"/>
                <w:szCs w:val="17"/>
              </w:rPr>
            </w:pPr>
            <w:r w:rsidRPr="00677CE8">
              <w:rPr>
                <w:sz w:val="17"/>
                <w:szCs w:val="17"/>
              </w:rPr>
              <w:t>×</w:t>
            </w:r>
          </w:p>
        </w:tc>
        <w:tc>
          <w:tcPr>
            <w:tcW w:w="270" w:type="dxa"/>
            <w:tcBorders>
              <w:top w:val="single" w:sz="2" w:space="0" w:color="auto"/>
              <w:left w:val="single" w:sz="2" w:space="0" w:color="auto"/>
              <w:bottom w:val="single" w:sz="2" w:space="0" w:color="auto"/>
              <w:right w:val="single" w:sz="2" w:space="0" w:color="auto"/>
            </w:tcBorders>
            <w:vAlign w:val="center"/>
          </w:tcPr>
          <w:p w14:paraId="43184C84" w14:textId="1846B161" w:rsidR="00FF3482" w:rsidRPr="00677CE8" w:rsidRDefault="00FF3482" w:rsidP="00FF3482">
            <w:pPr>
              <w:pStyle w:val="Heading2"/>
              <w:spacing w:line="240" w:lineRule="auto"/>
              <w:jc w:val="center"/>
              <w:rPr>
                <w:sz w:val="17"/>
                <w:szCs w:val="17"/>
              </w:rPr>
            </w:pPr>
          </w:p>
        </w:tc>
        <w:tc>
          <w:tcPr>
            <w:tcW w:w="404" w:type="dxa"/>
            <w:tcBorders>
              <w:top w:val="single" w:sz="2" w:space="0" w:color="auto"/>
              <w:left w:val="single" w:sz="2" w:space="0" w:color="auto"/>
              <w:bottom w:val="single" w:sz="2" w:space="0" w:color="auto"/>
              <w:right w:val="single" w:sz="2" w:space="0" w:color="auto"/>
            </w:tcBorders>
            <w:vAlign w:val="center"/>
          </w:tcPr>
          <w:p w14:paraId="163C3301" w14:textId="54AC417F" w:rsidR="00FF3482" w:rsidRPr="00677CE8" w:rsidRDefault="00FF3482" w:rsidP="00FF3482">
            <w:pPr>
              <w:pStyle w:val="Heading2"/>
              <w:spacing w:line="240" w:lineRule="auto"/>
              <w:jc w:val="center"/>
              <w:rPr>
                <w:sz w:val="17"/>
                <w:szCs w:val="17"/>
              </w:rPr>
            </w:pPr>
          </w:p>
        </w:tc>
        <w:tc>
          <w:tcPr>
            <w:tcW w:w="406" w:type="dxa"/>
            <w:tcBorders>
              <w:top w:val="single" w:sz="2" w:space="0" w:color="auto"/>
              <w:left w:val="single" w:sz="2" w:space="0" w:color="auto"/>
              <w:bottom w:val="single" w:sz="2" w:space="0" w:color="auto"/>
              <w:right w:val="single" w:sz="2" w:space="0" w:color="auto"/>
            </w:tcBorders>
          </w:tcPr>
          <w:p w14:paraId="1E7D790B" w14:textId="77777777" w:rsidR="00FF3482" w:rsidRPr="00677CE8" w:rsidRDefault="00FF3482" w:rsidP="00FF3482">
            <w:pPr>
              <w:pStyle w:val="Heading2"/>
              <w:spacing w:line="240" w:lineRule="auto"/>
              <w:jc w:val="center"/>
              <w:rPr>
                <w:sz w:val="17"/>
                <w:szCs w:val="17"/>
              </w:rPr>
            </w:pPr>
          </w:p>
        </w:tc>
        <w:tc>
          <w:tcPr>
            <w:tcW w:w="3338" w:type="dxa"/>
            <w:tcBorders>
              <w:top w:val="single" w:sz="2" w:space="0" w:color="auto"/>
              <w:left w:val="single" w:sz="2" w:space="0" w:color="auto"/>
              <w:bottom w:val="single" w:sz="2" w:space="0" w:color="auto"/>
              <w:right w:val="single" w:sz="12" w:space="0" w:color="auto"/>
            </w:tcBorders>
            <w:vAlign w:val="center"/>
          </w:tcPr>
          <w:p w14:paraId="4E996001" w14:textId="0A285D20" w:rsidR="00FF3482" w:rsidRPr="00677CE8" w:rsidRDefault="00FF3482" w:rsidP="00FF3482">
            <w:pPr>
              <w:pStyle w:val="Heading2"/>
              <w:spacing w:line="240" w:lineRule="auto"/>
              <w:rPr>
                <w:b w:val="0"/>
                <w:bCs w:val="0"/>
                <w:sz w:val="17"/>
                <w:szCs w:val="17"/>
              </w:rPr>
            </w:pPr>
            <w:r w:rsidRPr="00677CE8">
              <w:rPr>
                <w:b w:val="0"/>
                <w:bCs w:val="0"/>
                <w:sz w:val="17"/>
                <w:szCs w:val="17"/>
              </w:rPr>
              <w:t>Safety perceptions</w:t>
            </w:r>
          </w:p>
        </w:tc>
      </w:tr>
      <w:tr w:rsidR="00FF3482" w:rsidRPr="00677CE8" w14:paraId="7DCEE1B0" w14:textId="77777777" w:rsidTr="00007FF5">
        <w:trPr>
          <w:jc w:val="center"/>
        </w:trPr>
        <w:tc>
          <w:tcPr>
            <w:tcW w:w="1876" w:type="dxa"/>
            <w:tcBorders>
              <w:top w:val="single" w:sz="2" w:space="0" w:color="auto"/>
              <w:left w:val="single" w:sz="12" w:space="0" w:color="auto"/>
              <w:bottom w:val="single" w:sz="2" w:space="0" w:color="auto"/>
              <w:right w:val="single" w:sz="2" w:space="0" w:color="auto"/>
            </w:tcBorders>
            <w:vAlign w:val="center"/>
          </w:tcPr>
          <w:p w14:paraId="20E73124" w14:textId="44F53312" w:rsidR="00FF3482" w:rsidRPr="00677CE8" w:rsidRDefault="00FF3482" w:rsidP="00FF3482">
            <w:pPr>
              <w:rPr>
                <w:sz w:val="17"/>
                <w:szCs w:val="17"/>
              </w:rPr>
            </w:pPr>
            <w:r w:rsidRPr="00677CE8">
              <w:rPr>
                <w:sz w:val="17"/>
                <w:szCs w:val="17"/>
              </w:rPr>
              <w:t>Kim and Zhang, 2025</w:t>
            </w:r>
          </w:p>
        </w:tc>
        <w:tc>
          <w:tcPr>
            <w:tcW w:w="1444" w:type="dxa"/>
            <w:tcBorders>
              <w:top w:val="single" w:sz="2" w:space="0" w:color="auto"/>
              <w:left w:val="single" w:sz="2" w:space="0" w:color="auto"/>
              <w:bottom w:val="single" w:sz="2" w:space="0" w:color="auto"/>
              <w:right w:val="single" w:sz="2" w:space="0" w:color="auto"/>
            </w:tcBorders>
            <w:vAlign w:val="center"/>
          </w:tcPr>
          <w:p w14:paraId="605501E0" w14:textId="59892B7F" w:rsidR="00FF3482" w:rsidRPr="00677CE8" w:rsidRDefault="00FF3482" w:rsidP="00FF3482">
            <w:pPr>
              <w:pStyle w:val="Heading2"/>
              <w:spacing w:line="240" w:lineRule="auto"/>
              <w:rPr>
                <w:b w:val="0"/>
                <w:bCs w:val="0"/>
                <w:sz w:val="17"/>
                <w:szCs w:val="17"/>
              </w:rPr>
            </w:pPr>
            <w:r w:rsidRPr="00677CE8">
              <w:rPr>
                <w:b w:val="0"/>
                <w:bCs w:val="0"/>
                <w:sz w:val="17"/>
                <w:szCs w:val="17"/>
              </w:rPr>
              <w:t>Airport Shuttle</w:t>
            </w:r>
          </w:p>
        </w:tc>
        <w:tc>
          <w:tcPr>
            <w:tcW w:w="1350" w:type="dxa"/>
            <w:tcBorders>
              <w:top w:val="single" w:sz="2" w:space="0" w:color="auto"/>
              <w:left w:val="single" w:sz="2" w:space="0" w:color="auto"/>
              <w:bottom w:val="single" w:sz="2" w:space="0" w:color="auto"/>
              <w:right w:val="single" w:sz="2" w:space="0" w:color="auto"/>
            </w:tcBorders>
            <w:vAlign w:val="center"/>
          </w:tcPr>
          <w:p w14:paraId="3835D960" w14:textId="77777777" w:rsidR="00FF3482" w:rsidRPr="00677CE8" w:rsidRDefault="00FF3482" w:rsidP="00FF3482">
            <w:pPr>
              <w:pStyle w:val="Heading2"/>
              <w:spacing w:line="240" w:lineRule="auto"/>
              <w:rPr>
                <w:b w:val="0"/>
                <w:bCs w:val="0"/>
                <w:sz w:val="17"/>
                <w:szCs w:val="17"/>
              </w:rPr>
            </w:pPr>
          </w:p>
        </w:tc>
        <w:tc>
          <w:tcPr>
            <w:tcW w:w="445" w:type="dxa"/>
            <w:tcBorders>
              <w:top w:val="single" w:sz="2" w:space="0" w:color="auto"/>
              <w:left w:val="single" w:sz="2" w:space="0" w:color="auto"/>
              <w:bottom w:val="single" w:sz="2" w:space="0" w:color="auto"/>
              <w:right w:val="single" w:sz="2" w:space="0" w:color="auto"/>
            </w:tcBorders>
            <w:vAlign w:val="center"/>
          </w:tcPr>
          <w:p w14:paraId="04E0FA0A" w14:textId="7E569162" w:rsidR="00FF3482" w:rsidRPr="00677CE8" w:rsidRDefault="00FF3482" w:rsidP="00FF3482">
            <w:pPr>
              <w:pStyle w:val="Heading2"/>
              <w:spacing w:line="240" w:lineRule="auto"/>
              <w:jc w:val="center"/>
              <w:rPr>
                <w:sz w:val="17"/>
                <w:szCs w:val="17"/>
              </w:rPr>
            </w:pPr>
            <w:r w:rsidRPr="00677CE8">
              <w:rPr>
                <w:sz w:val="17"/>
                <w:szCs w:val="17"/>
              </w:rPr>
              <w:t>×</w:t>
            </w:r>
          </w:p>
        </w:tc>
        <w:tc>
          <w:tcPr>
            <w:tcW w:w="277" w:type="dxa"/>
            <w:tcBorders>
              <w:top w:val="single" w:sz="2" w:space="0" w:color="auto"/>
              <w:left w:val="single" w:sz="2" w:space="0" w:color="auto"/>
              <w:bottom w:val="single" w:sz="2" w:space="0" w:color="auto"/>
              <w:right w:val="single" w:sz="2" w:space="0" w:color="auto"/>
            </w:tcBorders>
            <w:vAlign w:val="center"/>
          </w:tcPr>
          <w:p w14:paraId="45E51405" w14:textId="77777777" w:rsidR="00FF3482" w:rsidRPr="00677CE8" w:rsidRDefault="00FF3482" w:rsidP="00FF3482">
            <w:pPr>
              <w:pStyle w:val="Heading2"/>
              <w:spacing w:line="240" w:lineRule="auto"/>
              <w:jc w:val="center"/>
              <w:rPr>
                <w:sz w:val="17"/>
                <w:szCs w:val="17"/>
              </w:rPr>
            </w:pPr>
          </w:p>
        </w:tc>
        <w:tc>
          <w:tcPr>
            <w:tcW w:w="720" w:type="dxa"/>
            <w:tcBorders>
              <w:top w:val="single" w:sz="2" w:space="0" w:color="auto"/>
              <w:left w:val="single" w:sz="2" w:space="0" w:color="auto"/>
              <w:bottom w:val="single" w:sz="2" w:space="0" w:color="auto"/>
              <w:right w:val="single" w:sz="2" w:space="0" w:color="auto"/>
            </w:tcBorders>
            <w:vAlign w:val="center"/>
          </w:tcPr>
          <w:p w14:paraId="600B8C19" w14:textId="77777777" w:rsidR="00FF3482" w:rsidRPr="00677CE8" w:rsidRDefault="00FF3482" w:rsidP="00FF3482">
            <w:pPr>
              <w:pStyle w:val="Heading2"/>
              <w:spacing w:line="240" w:lineRule="auto"/>
              <w:jc w:val="center"/>
              <w:rPr>
                <w:sz w:val="17"/>
                <w:szCs w:val="17"/>
              </w:rPr>
            </w:pPr>
          </w:p>
        </w:tc>
        <w:tc>
          <w:tcPr>
            <w:tcW w:w="263" w:type="dxa"/>
            <w:tcBorders>
              <w:top w:val="single" w:sz="2" w:space="0" w:color="auto"/>
              <w:left w:val="single" w:sz="2" w:space="0" w:color="auto"/>
              <w:bottom w:val="single" w:sz="2" w:space="0" w:color="auto"/>
              <w:right w:val="single" w:sz="2" w:space="0" w:color="auto"/>
            </w:tcBorders>
            <w:vAlign w:val="center"/>
          </w:tcPr>
          <w:p w14:paraId="1F83F62D" w14:textId="77777777" w:rsidR="00FF3482" w:rsidRPr="00677CE8" w:rsidRDefault="00FF3482" w:rsidP="00FF3482">
            <w:pPr>
              <w:pStyle w:val="Heading2"/>
              <w:spacing w:line="240" w:lineRule="auto"/>
              <w:jc w:val="center"/>
              <w:rPr>
                <w:sz w:val="17"/>
                <w:szCs w:val="17"/>
              </w:rPr>
            </w:pPr>
          </w:p>
        </w:tc>
        <w:tc>
          <w:tcPr>
            <w:tcW w:w="461" w:type="dxa"/>
            <w:tcBorders>
              <w:top w:val="single" w:sz="2" w:space="0" w:color="auto"/>
              <w:left w:val="single" w:sz="2" w:space="0" w:color="auto"/>
              <w:bottom w:val="single" w:sz="2" w:space="0" w:color="auto"/>
              <w:right w:val="single" w:sz="2" w:space="0" w:color="auto"/>
            </w:tcBorders>
            <w:vAlign w:val="center"/>
          </w:tcPr>
          <w:p w14:paraId="360A8D80" w14:textId="5F10B887"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2" w:space="0" w:color="auto"/>
              <w:right w:val="single" w:sz="2" w:space="0" w:color="auto"/>
            </w:tcBorders>
            <w:vAlign w:val="center"/>
          </w:tcPr>
          <w:p w14:paraId="4DE3375F" w14:textId="77777777"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2" w:space="0" w:color="auto"/>
              <w:right w:val="single" w:sz="2" w:space="0" w:color="auto"/>
            </w:tcBorders>
            <w:vAlign w:val="center"/>
          </w:tcPr>
          <w:p w14:paraId="20D0297B" w14:textId="77777777" w:rsidR="00FF3482" w:rsidRPr="00677CE8" w:rsidRDefault="00FF3482" w:rsidP="00FF3482">
            <w:pPr>
              <w:pStyle w:val="Heading2"/>
              <w:spacing w:line="240" w:lineRule="auto"/>
              <w:jc w:val="center"/>
              <w:rPr>
                <w:sz w:val="17"/>
                <w:szCs w:val="17"/>
              </w:rPr>
            </w:pPr>
          </w:p>
        </w:tc>
        <w:tc>
          <w:tcPr>
            <w:tcW w:w="527" w:type="dxa"/>
            <w:tcBorders>
              <w:top w:val="single" w:sz="2" w:space="0" w:color="auto"/>
              <w:left w:val="single" w:sz="2" w:space="0" w:color="auto"/>
              <w:bottom w:val="single" w:sz="2" w:space="0" w:color="auto"/>
              <w:right w:val="single" w:sz="2" w:space="0" w:color="auto"/>
            </w:tcBorders>
            <w:vAlign w:val="center"/>
          </w:tcPr>
          <w:p w14:paraId="1EB8CF55" w14:textId="77777777" w:rsidR="00FF3482" w:rsidRPr="00677CE8" w:rsidRDefault="00FF3482" w:rsidP="00FF3482">
            <w:pPr>
              <w:pStyle w:val="Heading2"/>
              <w:spacing w:line="240" w:lineRule="auto"/>
              <w:jc w:val="center"/>
              <w:rPr>
                <w:sz w:val="17"/>
                <w:szCs w:val="17"/>
              </w:rPr>
            </w:pPr>
          </w:p>
        </w:tc>
        <w:tc>
          <w:tcPr>
            <w:tcW w:w="559" w:type="dxa"/>
            <w:tcBorders>
              <w:top w:val="single" w:sz="2" w:space="0" w:color="auto"/>
              <w:left w:val="single" w:sz="2" w:space="0" w:color="auto"/>
              <w:bottom w:val="single" w:sz="2" w:space="0" w:color="auto"/>
              <w:right w:val="single" w:sz="2" w:space="0" w:color="auto"/>
            </w:tcBorders>
            <w:vAlign w:val="center"/>
          </w:tcPr>
          <w:p w14:paraId="32F6C3BA" w14:textId="77777777" w:rsidR="00FF3482" w:rsidRPr="00677CE8" w:rsidRDefault="00FF3482" w:rsidP="00FF3482">
            <w:pPr>
              <w:pStyle w:val="Heading2"/>
              <w:spacing w:line="240" w:lineRule="auto"/>
              <w:jc w:val="center"/>
              <w:rPr>
                <w:sz w:val="17"/>
                <w:szCs w:val="17"/>
              </w:rPr>
            </w:pPr>
          </w:p>
        </w:tc>
        <w:tc>
          <w:tcPr>
            <w:tcW w:w="433" w:type="dxa"/>
            <w:tcBorders>
              <w:top w:val="single" w:sz="2" w:space="0" w:color="auto"/>
              <w:left w:val="single" w:sz="2" w:space="0" w:color="auto"/>
              <w:bottom w:val="single" w:sz="2" w:space="0" w:color="auto"/>
              <w:right w:val="single" w:sz="2" w:space="0" w:color="auto"/>
            </w:tcBorders>
            <w:vAlign w:val="center"/>
          </w:tcPr>
          <w:p w14:paraId="3FBF73DD" w14:textId="77777777" w:rsidR="00FF3482" w:rsidRPr="00677CE8" w:rsidRDefault="00FF3482" w:rsidP="00FF3482">
            <w:pPr>
              <w:pStyle w:val="Heading2"/>
              <w:spacing w:line="240" w:lineRule="auto"/>
              <w:jc w:val="center"/>
              <w:rPr>
                <w:sz w:val="17"/>
                <w:szCs w:val="17"/>
              </w:rPr>
            </w:pPr>
          </w:p>
        </w:tc>
        <w:tc>
          <w:tcPr>
            <w:tcW w:w="525" w:type="dxa"/>
            <w:tcBorders>
              <w:top w:val="single" w:sz="2" w:space="0" w:color="auto"/>
              <w:left w:val="single" w:sz="2" w:space="0" w:color="auto"/>
              <w:bottom w:val="single" w:sz="2" w:space="0" w:color="auto"/>
              <w:right w:val="single" w:sz="2" w:space="0" w:color="auto"/>
            </w:tcBorders>
          </w:tcPr>
          <w:p w14:paraId="73D876FD" w14:textId="77777777" w:rsidR="00FF3482" w:rsidRPr="00677CE8" w:rsidRDefault="00FF3482" w:rsidP="00FF3482">
            <w:pPr>
              <w:pStyle w:val="Heading2"/>
              <w:spacing w:line="240" w:lineRule="auto"/>
              <w:jc w:val="center"/>
              <w:rPr>
                <w:sz w:val="17"/>
                <w:szCs w:val="17"/>
              </w:rPr>
            </w:pPr>
          </w:p>
        </w:tc>
        <w:tc>
          <w:tcPr>
            <w:tcW w:w="465" w:type="dxa"/>
            <w:tcBorders>
              <w:top w:val="single" w:sz="2" w:space="0" w:color="auto"/>
              <w:left w:val="single" w:sz="2" w:space="0" w:color="auto"/>
              <w:bottom w:val="single" w:sz="2" w:space="0" w:color="auto"/>
              <w:right w:val="single" w:sz="2" w:space="0" w:color="auto"/>
            </w:tcBorders>
          </w:tcPr>
          <w:p w14:paraId="4BB70D46" w14:textId="77777777" w:rsidR="00FF3482" w:rsidRPr="00677CE8" w:rsidRDefault="00FF3482" w:rsidP="00FF3482">
            <w:pPr>
              <w:pStyle w:val="Heading2"/>
              <w:spacing w:line="240" w:lineRule="auto"/>
              <w:jc w:val="center"/>
              <w:rPr>
                <w:sz w:val="17"/>
                <w:szCs w:val="17"/>
              </w:rPr>
            </w:pPr>
          </w:p>
        </w:tc>
        <w:tc>
          <w:tcPr>
            <w:tcW w:w="270" w:type="dxa"/>
            <w:tcBorders>
              <w:top w:val="single" w:sz="2" w:space="0" w:color="auto"/>
              <w:left w:val="single" w:sz="2" w:space="0" w:color="auto"/>
              <w:bottom w:val="single" w:sz="2" w:space="0" w:color="auto"/>
              <w:right w:val="single" w:sz="2" w:space="0" w:color="auto"/>
            </w:tcBorders>
            <w:vAlign w:val="center"/>
          </w:tcPr>
          <w:p w14:paraId="2ECCAF17" w14:textId="4EAFDCD1" w:rsidR="00FF3482" w:rsidRPr="00677CE8" w:rsidRDefault="00FF3482" w:rsidP="00FF3482">
            <w:pPr>
              <w:pStyle w:val="Heading2"/>
              <w:spacing w:line="240" w:lineRule="auto"/>
              <w:jc w:val="center"/>
              <w:rPr>
                <w:sz w:val="17"/>
                <w:szCs w:val="17"/>
              </w:rPr>
            </w:pPr>
            <w:r w:rsidRPr="00677CE8">
              <w:rPr>
                <w:sz w:val="17"/>
                <w:szCs w:val="17"/>
              </w:rPr>
              <w:t>×</w:t>
            </w:r>
          </w:p>
        </w:tc>
        <w:tc>
          <w:tcPr>
            <w:tcW w:w="404" w:type="dxa"/>
            <w:tcBorders>
              <w:top w:val="single" w:sz="2" w:space="0" w:color="auto"/>
              <w:left w:val="single" w:sz="2" w:space="0" w:color="auto"/>
              <w:bottom w:val="single" w:sz="2" w:space="0" w:color="auto"/>
              <w:right w:val="single" w:sz="2" w:space="0" w:color="auto"/>
            </w:tcBorders>
            <w:vAlign w:val="center"/>
          </w:tcPr>
          <w:p w14:paraId="47B4B866" w14:textId="562CDCB8" w:rsidR="00FF3482" w:rsidRPr="00677CE8" w:rsidRDefault="00FF3482" w:rsidP="00FF3482">
            <w:pPr>
              <w:pStyle w:val="Heading2"/>
              <w:spacing w:line="240" w:lineRule="auto"/>
              <w:jc w:val="center"/>
              <w:rPr>
                <w:sz w:val="17"/>
                <w:szCs w:val="17"/>
              </w:rPr>
            </w:pPr>
            <w:r w:rsidRPr="00677CE8">
              <w:rPr>
                <w:sz w:val="17"/>
                <w:szCs w:val="17"/>
              </w:rPr>
              <w:t>×</w:t>
            </w:r>
          </w:p>
        </w:tc>
        <w:tc>
          <w:tcPr>
            <w:tcW w:w="406" w:type="dxa"/>
            <w:tcBorders>
              <w:top w:val="single" w:sz="2" w:space="0" w:color="auto"/>
              <w:left w:val="single" w:sz="2" w:space="0" w:color="auto"/>
              <w:bottom w:val="single" w:sz="2" w:space="0" w:color="auto"/>
              <w:right w:val="single" w:sz="2" w:space="0" w:color="auto"/>
            </w:tcBorders>
          </w:tcPr>
          <w:p w14:paraId="7B12EBE8" w14:textId="77777777" w:rsidR="00FF3482" w:rsidRPr="00677CE8" w:rsidRDefault="00FF3482" w:rsidP="00FF3482">
            <w:pPr>
              <w:pStyle w:val="Heading2"/>
              <w:spacing w:line="240" w:lineRule="auto"/>
              <w:jc w:val="center"/>
              <w:rPr>
                <w:sz w:val="17"/>
                <w:szCs w:val="17"/>
              </w:rPr>
            </w:pPr>
          </w:p>
        </w:tc>
        <w:tc>
          <w:tcPr>
            <w:tcW w:w="3338" w:type="dxa"/>
            <w:tcBorders>
              <w:top w:val="single" w:sz="2" w:space="0" w:color="auto"/>
              <w:left w:val="single" w:sz="2" w:space="0" w:color="auto"/>
              <w:bottom w:val="single" w:sz="2" w:space="0" w:color="auto"/>
              <w:right w:val="single" w:sz="12" w:space="0" w:color="auto"/>
            </w:tcBorders>
            <w:vAlign w:val="center"/>
          </w:tcPr>
          <w:p w14:paraId="1FF10EBB" w14:textId="72FE7F3D" w:rsidR="00FF3482" w:rsidRPr="00677CE8" w:rsidRDefault="00FF3482" w:rsidP="00FF3482">
            <w:pPr>
              <w:pStyle w:val="Heading2"/>
              <w:spacing w:line="240" w:lineRule="auto"/>
              <w:rPr>
                <w:b w:val="0"/>
                <w:bCs w:val="0"/>
                <w:sz w:val="17"/>
                <w:szCs w:val="17"/>
              </w:rPr>
            </w:pPr>
            <w:r w:rsidRPr="00677CE8">
              <w:rPr>
                <w:b w:val="0"/>
                <w:bCs w:val="0"/>
                <w:sz w:val="17"/>
                <w:szCs w:val="17"/>
              </w:rPr>
              <w:t>Did not consider</w:t>
            </w:r>
          </w:p>
        </w:tc>
      </w:tr>
      <w:tr w:rsidR="00FF3482" w:rsidRPr="00677CE8" w14:paraId="10CE2CAF" w14:textId="77777777" w:rsidTr="00007FF5">
        <w:trPr>
          <w:jc w:val="center"/>
        </w:trPr>
        <w:tc>
          <w:tcPr>
            <w:tcW w:w="1876" w:type="dxa"/>
            <w:tcBorders>
              <w:top w:val="single" w:sz="2" w:space="0" w:color="auto"/>
              <w:left w:val="single" w:sz="12" w:space="0" w:color="auto"/>
              <w:bottom w:val="single" w:sz="2" w:space="0" w:color="auto"/>
              <w:right w:val="single" w:sz="2" w:space="0" w:color="auto"/>
            </w:tcBorders>
            <w:vAlign w:val="center"/>
          </w:tcPr>
          <w:p w14:paraId="120B8CC4" w14:textId="2892A615" w:rsidR="00FF3482" w:rsidRPr="00677CE8" w:rsidRDefault="00FF3482" w:rsidP="00FF3482">
            <w:pPr>
              <w:rPr>
                <w:sz w:val="17"/>
                <w:szCs w:val="17"/>
              </w:rPr>
            </w:pPr>
            <w:r w:rsidRPr="00677CE8">
              <w:rPr>
                <w:sz w:val="17"/>
                <w:szCs w:val="17"/>
              </w:rPr>
              <w:t>Lee et al., 2023</w:t>
            </w:r>
          </w:p>
        </w:tc>
        <w:tc>
          <w:tcPr>
            <w:tcW w:w="1444" w:type="dxa"/>
            <w:tcBorders>
              <w:top w:val="single" w:sz="2" w:space="0" w:color="auto"/>
              <w:left w:val="single" w:sz="2" w:space="0" w:color="auto"/>
              <w:bottom w:val="single" w:sz="2" w:space="0" w:color="auto"/>
              <w:right w:val="single" w:sz="2" w:space="0" w:color="auto"/>
            </w:tcBorders>
            <w:vAlign w:val="center"/>
          </w:tcPr>
          <w:p w14:paraId="6023EC48" w14:textId="16D4B3CC" w:rsidR="00FF3482" w:rsidRPr="00677CE8" w:rsidRDefault="00FF3482" w:rsidP="00FF3482">
            <w:pPr>
              <w:pStyle w:val="Heading2"/>
              <w:spacing w:line="240" w:lineRule="auto"/>
              <w:rPr>
                <w:b w:val="0"/>
                <w:bCs w:val="0"/>
                <w:sz w:val="17"/>
                <w:szCs w:val="17"/>
              </w:rPr>
            </w:pPr>
            <w:r w:rsidRPr="00677CE8">
              <w:rPr>
                <w:b w:val="0"/>
                <w:bCs w:val="0"/>
                <w:sz w:val="17"/>
                <w:szCs w:val="17"/>
              </w:rPr>
              <w:t>AT</w:t>
            </w:r>
          </w:p>
        </w:tc>
        <w:tc>
          <w:tcPr>
            <w:tcW w:w="1350" w:type="dxa"/>
            <w:tcBorders>
              <w:top w:val="single" w:sz="2" w:space="0" w:color="auto"/>
              <w:left w:val="single" w:sz="2" w:space="0" w:color="auto"/>
              <w:bottom w:val="single" w:sz="2" w:space="0" w:color="auto"/>
              <w:right w:val="single" w:sz="2" w:space="0" w:color="auto"/>
            </w:tcBorders>
            <w:vAlign w:val="center"/>
          </w:tcPr>
          <w:p w14:paraId="5D2C5F05" w14:textId="77777777" w:rsidR="00FF3482" w:rsidRPr="00677CE8" w:rsidRDefault="00FF3482" w:rsidP="00FF3482">
            <w:pPr>
              <w:pStyle w:val="Heading2"/>
              <w:spacing w:line="240" w:lineRule="auto"/>
              <w:rPr>
                <w:b w:val="0"/>
                <w:bCs w:val="0"/>
                <w:sz w:val="17"/>
                <w:szCs w:val="17"/>
              </w:rPr>
            </w:pPr>
          </w:p>
        </w:tc>
        <w:tc>
          <w:tcPr>
            <w:tcW w:w="445" w:type="dxa"/>
            <w:tcBorders>
              <w:top w:val="single" w:sz="2" w:space="0" w:color="auto"/>
              <w:left w:val="single" w:sz="2" w:space="0" w:color="auto"/>
              <w:bottom w:val="single" w:sz="2" w:space="0" w:color="auto"/>
              <w:right w:val="single" w:sz="2" w:space="0" w:color="auto"/>
            </w:tcBorders>
            <w:vAlign w:val="center"/>
          </w:tcPr>
          <w:p w14:paraId="0A462CFE" w14:textId="77777777" w:rsidR="00FF3482" w:rsidRPr="00677CE8" w:rsidRDefault="00FF3482" w:rsidP="00FF3482">
            <w:pPr>
              <w:pStyle w:val="Heading2"/>
              <w:spacing w:line="240" w:lineRule="auto"/>
              <w:jc w:val="center"/>
              <w:rPr>
                <w:sz w:val="17"/>
                <w:szCs w:val="17"/>
              </w:rPr>
            </w:pPr>
          </w:p>
        </w:tc>
        <w:tc>
          <w:tcPr>
            <w:tcW w:w="277" w:type="dxa"/>
            <w:tcBorders>
              <w:top w:val="single" w:sz="2" w:space="0" w:color="auto"/>
              <w:left w:val="single" w:sz="2" w:space="0" w:color="auto"/>
              <w:bottom w:val="single" w:sz="2" w:space="0" w:color="auto"/>
              <w:right w:val="single" w:sz="2" w:space="0" w:color="auto"/>
            </w:tcBorders>
            <w:vAlign w:val="center"/>
          </w:tcPr>
          <w:p w14:paraId="4138CE83" w14:textId="77777777" w:rsidR="00FF3482" w:rsidRPr="00677CE8" w:rsidRDefault="00FF3482" w:rsidP="00FF3482">
            <w:pPr>
              <w:pStyle w:val="Heading2"/>
              <w:spacing w:line="240" w:lineRule="auto"/>
              <w:jc w:val="center"/>
              <w:rPr>
                <w:sz w:val="17"/>
                <w:szCs w:val="17"/>
              </w:rPr>
            </w:pPr>
          </w:p>
        </w:tc>
        <w:tc>
          <w:tcPr>
            <w:tcW w:w="720" w:type="dxa"/>
            <w:tcBorders>
              <w:top w:val="single" w:sz="2" w:space="0" w:color="auto"/>
              <w:left w:val="single" w:sz="2" w:space="0" w:color="auto"/>
              <w:bottom w:val="single" w:sz="2" w:space="0" w:color="auto"/>
              <w:right w:val="single" w:sz="2" w:space="0" w:color="auto"/>
            </w:tcBorders>
            <w:vAlign w:val="center"/>
          </w:tcPr>
          <w:p w14:paraId="1D635716" w14:textId="77777777" w:rsidR="00FF3482" w:rsidRPr="00677CE8" w:rsidRDefault="00FF3482" w:rsidP="00FF3482">
            <w:pPr>
              <w:pStyle w:val="Heading2"/>
              <w:spacing w:line="240" w:lineRule="auto"/>
              <w:jc w:val="center"/>
              <w:rPr>
                <w:sz w:val="17"/>
                <w:szCs w:val="17"/>
              </w:rPr>
            </w:pPr>
          </w:p>
        </w:tc>
        <w:tc>
          <w:tcPr>
            <w:tcW w:w="263" w:type="dxa"/>
            <w:tcBorders>
              <w:top w:val="single" w:sz="2" w:space="0" w:color="auto"/>
              <w:left w:val="single" w:sz="2" w:space="0" w:color="auto"/>
              <w:bottom w:val="single" w:sz="2" w:space="0" w:color="auto"/>
              <w:right w:val="single" w:sz="2" w:space="0" w:color="auto"/>
            </w:tcBorders>
            <w:vAlign w:val="center"/>
          </w:tcPr>
          <w:p w14:paraId="0B05AEC4" w14:textId="77777777" w:rsidR="00FF3482" w:rsidRPr="00677CE8" w:rsidRDefault="00FF3482" w:rsidP="00FF3482">
            <w:pPr>
              <w:pStyle w:val="Heading2"/>
              <w:spacing w:line="240" w:lineRule="auto"/>
              <w:jc w:val="center"/>
              <w:rPr>
                <w:sz w:val="17"/>
                <w:szCs w:val="17"/>
              </w:rPr>
            </w:pPr>
          </w:p>
        </w:tc>
        <w:tc>
          <w:tcPr>
            <w:tcW w:w="461" w:type="dxa"/>
            <w:tcBorders>
              <w:top w:val="single" w:sz="2" w:space="0" w:color="auto"/>
              <w:left w:val="single" w:sz="2" w:space="0" w:color="auto"/>
              <w:bottom w:val="single" w:sz="2" w:space="0" w:color="auto"/>
              <w:right w:val="single" w:sz="2" w:space="0" w:color="auto"/>
            </w:tcBorders>
            <w:vAlign w:val="center"/>
          </w:tcPr>
          <w:p w14:paraId="0710B24D" w14:textId="2487DBBD"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2" w:space="0" w:color="auto"/>
              <w:right w:val="single" w:sz="2" w:space="0" w:color="auto"/>
            </w:tcBorders>
            <w:vAlign w:val="center"/>
          </w:tcPr>
          <w:p w14:paraId="2694D624" w14:textId="77777777"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2" w:space="0" w:color="auto"/>
              <w:right w:val="single" w:sz="2" w:space="0" w:color="auto"/>
            </w:tcBorders>
            <w:vAlign w:val="center"/>
          </w:tcPr>
          <w:p w14:paraId="36E7F653" w14:textId="77777777" w:rsidR="00FF3482" w:rsidRPr="00677CE8" w:rsidRDefault="00FF3482" w:rsidP="00FF3482">
            <w:pPr>
              <w:pStyle w:val="Heading2"/>
              <w:spacing w:line="240" w:lineRule="auto"/>
              <w:jc w:val="center"/>
              <w:rPr>
                <w:sz w:val="17"/>
                <w:szCs w:val="17"/>
              </w:rPr>
            </w:pPr>
          </w:p>
        </w:tc>
        <w:tc>
          <w:tcPr>
            <w:tcW w:w="527" w:type="dxa"/>
            <w:tcBorders>
              <w:top w:val="single" w:sz="2" w:space="0" w:color="auto"/>
              <w:left w:val="single" w:sz="2" w:space="0" w:color="auto"/>
              <w:bottom w:val="single" w:sz="2" w:space="0" w:color="auto"/>
              <w:right w:val="single" w:sz="2" w:space="0" w:color="auto"/>
            </w:tcBorders>
            <w:vAlign w:val="center"/>
          </w:tcPr>
          <w:p w14:paraId="7BE1A06C" w14:textId="77777777" w:rsidR="00FF3482" w:rsidRPr="00677CE8" w:rsidRDefault="00FF3482" w:rsidP="00FF3482">
            <w:pPr>
              <w:pStyle w:val="Heading2"/>
              <w:spacing w:line="240" w:lineRule="auto"/>
              <w:jc w:val="center"/>
              <w:rPr>
                <w:sz w:val="17"/>
                <w:szCs w:val="17"/>
              </w:rPr>
            </w:pPr>
          </w:p>
        </w:tc>
        <w:tc>
          <w:tcPr>
            <w:tcW w:w="559" w:type="dxa"/>
            <w:tcBorders>
              <w:top w:val="single" w:sz="2" w:space="0" w:color="auto"/>
              <w:left w:val="single" w:sz="2" w:space="0" w:color="auto"/>
              <w:bottom w:val="single" w:sz="2" w:space="0" w:color="auto"/>
              <w:right w:val="single" w:sz="2" w:space="0" w:color="auto"/>
            </w:tcBorders>
            <w:vAlign w:val="center"/>
          </w:tcPr>
          <w:p w14:paraId="19D43A03" w14:textId="244DE5A4" w:rsidR="00FF3482" w:rsidRPr="00677CE8" w:rsidRDefault="00FF3482" w:rsidP="00FF3482">
            <w:pPr>
              <w:pStyle w:val="Heading2"/>
              <w:spacing w:line="240" w:lineRule="auto"/>
              <w:jc w:val="center"/>
              <w:rPr>
                <w:sz w:val="17"/>
                <w:szCs w:val="17"/>
              </w:rPr>
            </w:pPr>
            <w:r w:rsidRPr="00677CE8">
              <w:rPr>
                <w:sz w:val="17"/>
                <w:szCs w:val="17"/>
              </w:rPr>
              <w:t>×</w:t>
            </w:r>
          </w:p>
        </w:tc>
        <w:tc>
          <w:tcPr>
            <w:tcW w:w="433" w:type="dxa"/>
            <w:tcBorders>
              <w:top w:val="single" w:sz="2" w:space="0" w:color="auto"/>
              <w:left w:val="single" w:sz="2" w:space="0" w:color="auto"/>
              <w:bottom w:val="single" w:sz="2" w:space="0" w:color="auto"/>
              <w:right w:val="single" w:sz="2" w:space="0" w:color="auto"/>
            </w:tcBorders>
            <w:vAlign w:val="center"/>
          </w:tcPr>
          <w:p w14:paraId="7DC2326B" w14:textId="77777777" w:rsidR="00FF3482" w:rsidRPr="00677CE8" w:rsidRDefault="00FF3482" w:rsidP="00FF3482">
            <w:pPr>
              <w:pStyle w:val="Heading2"/>
              <w:spacing w:line="240" w:lineRule="auto"/>
              <w:jc w:val="center"/>
              <w:rPr>
                <w:sz w:val="17"/>
                <w:szCs w:val="17"/>
              </w:rPr>
            </w:pPr>
          </w:p>
        </w:tc>
        <w:tc>
          <w:tcPr>
            <w:tcW w:w="525" w:type="dxa"/>
            <w:tcBorders>
              <w:top w:val="single" w:sz="2" w:space="0" w:color="auto"/>
              <w:left w:val="single" w:sz="2" w:space="0" w:color="auto"/>
              <w:bottom w:val="single" w:sz="2" w:space="0" w:color="auto"/>
              <w:right w:val="single" w:sz="2" w:space="0" w:color="auto"/>
            </w:tcBorders>
          </w:tcPr>
          <w:p w14:paraId="1E152EF4" w14:textId="77777777" w:rsidR="00FF3482" w:rsidRPr="00677CE8" w:rsidRDefault="00FF3482" w:rsidP="00FF3482">
            <w:pPr>
              <w:pStyle w:val="Heading2"/>
              <w:spacing w:line="240" w:lineRule="auto"/>
              <w:jc w:val="center"/>
              <w:rPr>
                <w:sz w:val="17"/>
                <w:szCs w:val="17"/>
              </w:rPr>
            </w:pPr>
          </w:p>
        </w:tc>
        <w:tc>
          <w:tcPr>
            <w:tcW w:w="465" w:type="dxa"/>
            <w:tcBorders>
              <w:top w:val="single" w:sz="2" w:space="0" w:color="auto"/>
              <w:left w:val="single" w:sz="2" w:space="0" w:color="auto"/>
              <w:bottom w:val="single" w:sz="2" w:space="0" w:color="auto"/>
              <w:right w:val="single" w:sz="2" w:space="0" w:color="auto"/>
            </w:tcBorders>
          </w:tcPr>
          <w:p w14:paraId="35DC0113" w14:textId="77777777" w:rsidR="00FF3482" w:rsidRPr="00677CE8" w:rsidRDefault="00FF3482" w:rsidP="00FF3482">
            <w:pPr>
              <w:pStyle w:val="Heading2"/>
              <w:spacing w:line="240" w:lineRule="auto"/>
              <w:jc w:val="center"/>
              <w:rPr>
                <w:sz w:val="17"/>
                <w:szCs w:val="17"/>
              </w:rPr>
            </w:pPr>
          </w:p>
        </w:tc>
        <w:tc>
          <w:tcPr>
            <w:tcW w:w="270" w:type="dxa"/>
            <w:tcBorders>
              <w:top w:val="single" w:sz="2" w:space="0" w:color="auto"/>
              <w:left w:val="single" w:sz="2" w:space="0" w:color="auto"/>
              <w:bottom w:val="single" w:sz="2" w:space="0" w:color="auto"/>
              <w:right w:val="single" w:sz="2" w:space="0" w:color="auto"/>
            </w:tcBorders>
            <w:vAlign w:val="center"/>
          </w:tcPr>
          <w:p w14:paraId="643AEDCE" w14:textId="48851DFB" w:rsidR="00FF3482" w:rsidRPr="00677CE8" w:rsidRDefault="00FF3482" w:rsidP="00FF3482">
            <w:pPr>
              <w:pStyle w:val="Heading2"/>
              <w:spacing w:line="240" w:lineRule="auto"/>
              <w:jc w:val="center"/>
              <w:rPr>
                <w:sz w:val="17"/>
                <w:szCs w:val="17"/>
              </w:rPr>
            </w:pPr>
          </w:p>
        </w:tc>
        <w:tc>
          <w:tcPr>
            <w:tcW w:w="404" w:type="dxa"/>
            <w:tcBorders>
              <w:top w:val="single" w:sz="2" w:space="0" w:color="auto"/>
              <w:left w:val="single" w:sz="2" w:space="0" w:color="auto"/>
              <w:bottom w:val="single" w:sz="2" w:space="0" w:color="auto"/>
              <w:right w:val="single" w:sz="2" w:space="0" w:color="auto"/>
            </w:tcBorders>
          </w:tcPr>
          <w:p w14:paraId="43C1D7D2" w14:textId="6363902D" w:rsidR="00FF3482" w:rsidRPr="00677CE8" w:rsidRDefault="00FF3482" w:rsidP="00FF3482">
            <w:pPr>
              <w:pStyle w:val="Heading2"/>
              <w:spacing w:line="240" w:lineRule="auto"/>
              <w:jc w:val="center"/>
              <w:rPr>
                <w:sz w:val="17"/>
                <w:szCs w:val="17"/>
              </w:rPr>
            </w:pPr>
          </w:p>
        </w:tc>
        <w:tc>
          <w:tcPr>
            <w:tcW w:w="406" w:type="dxa"/>
            <w:tcBorders>
              <w:top w:val="single" w:sz="2" w:space="0" w:color="auto"/>
              <w:left w:val="single" w:sz="2" w:space="0" w:color="auto"/>
              <w:bottom w:val="single" w:sz="2" w:space="0" w:color="auto"/>
              <w:right w:val="single" w:sz="2" w:space="0" w:color="auto"/>
            </w:tcBorders>
          </w:tcPr>
          <w:p w14:paraId="7E8160E9" w14:textId="77777777" w:rsidR="00FF3482" w:rsidRPr="00677CE8" w:rsidRDefault="00FF3482" w:rsidP="00FF3482">
            <w:pPr>
              <w:pStyle w:val="Heading2"/>
              <w:spacing w:line="240" w:lineRule="auto"/>
              <w:jc w:val="center"/>
              <w:rPr>
                <w:sz w:val="17"/>
                <w:szCs w:val="17"/>
              </w:rPr>
            </w:pPr>
          </w:p>
        </w:tc>
        <w:tc>
          <w:tcPr>
            <w:tcW w:w="3338" w:type="dxa"/>
            <w:tcBorders>
              <w:top w:val="single" w:sz="2" w:space="0" w:color="auto"/>
              <w:left w:val="single" w:sz="2" w:space="0" w:color="auto"/>
              <w:bottom w:val="single" w:sz="2" w:space="0" w:color="auto"/>
              <w:right w:val="single" w:sz="12" w:space="0" w:color="auto"/>
            </w:tcBorders>
            <w:vAlign w:val="center"/>
          </w:tcPr>
          <w:p w14:paraId="446FD1BE" w14:textId="55B88EDF" w:rsidR="00FF3482" w:rsidRPr="00677CE8" w:rsidRDefault="00FF3482" w:rsidP="00FF3482">
            <w:pPr>
              <w:pStyle w:val="Heading2"/>
              <w:spacing w:line="240" w:lineRule="auto"/>
              <w:rPr>
                <w:b w:val="0"/>
                <w:bCs w:val="0"/>
                <w:sz w:val="17"/>
                <w:szCs w:val="17"/>
              </w:rPr>
            </w:pPr>
            <w:r w:rsidRPr="00677CE8">
              <w:rPr>
                <w:b w:val="0"/>
                <w:bCs w:val="0"/>
                <w:sz w:val="17"/>
                <w:szCs w:val="17"/>
              </w:rPr>
              <w:t>Safety perceptions</w:t>
            </w:r>
          </w:p>
        </w:tc>
      </w:tr>
      <w:tr w:rsidR="00FF3482" w:rsidRPr="00677CE8" w14:paraId="58A7A350" w14:textId="77777777" w:rsidTr="00007FF5">
        <w:trPr>
          <w:jc w:val="center"/>
        </w:trPr>
        <w:tc>
          <w:tcPr>
            <w:tcW w:w="1876" w:type="dxa"/>
            <w:tcBorders>
              <w:top w:val="single" w:sz="2" w:space="0" w:color="auto"/>
              <w:left w:val="single" w:sz="12" w:space="0" w:color="auto"/>
              <w:bottom w:val="single" w:sz="2" w:space="0" w:color="auto"/>
              <w:right w:val="single" w:sz="2" w:space="0" w:color="auto"/>
            </w:tcBorders>
            <w:vAlign w:val="center"/>
          </w:tcPr>
          <w:p w14:paraId="7B7FD523" w14:textId="3AFA8CC3" w:rsidR="00FF3482" w:rsidRPr="00677CE8" w:rsidRDefault="00FF3482" w:rsidP="00FF3482">
            <w:pPr>
              <w:rPr>
                <w:sz w:val="17"/>
                <w:szCs w:val="17"/>
              </w:rPr>
            </w:pPr>
            <w:r w:rsidRPr="00677CE8">
              <w:rPr>
                <w:sz w:val="17"/>
                <w:szCs w:val="17"/>
              </w:rPr>
              <w:t>Lotz et al., 2023</w:t>
            </w:r>
          </w:p>
        </w:tc>
        <w:tc>
          <w:tcPr>
            <w:tcW w:w="1444" w:type="dxa"/>
            <w:tcBorders>
              <w:top w:val="single" w:sz="2" w:space="0" w:color="auto"/>
              <w:left w:val="single" w:sz="2" w:space="0" w:color="auto"/>
              <w:bottom w:val="single" w:sz="2" w:space="0" w:color="auto"/>
              <w:right w:val="single" w:sz="2" w:space="0" w:color="auto"/>
            </w:tcBorders>
            <w:vAlign w:val="center"/>
          </w:tcPr>
          <w:p w14:paraId="7220ACBA" w14:textId="38F6D880" w:rsidR="00FF3482" w:rsidRPr="00677CE8" w:rsidRDefault="00FF3482" w:rsidP="00FF3482">
            <w:pPr>
              <w:pStyle w:val="Heading2"/>
              <w:spacing w:line="240" w:lineRule="auto"/>
              <w:rPr>
                <w:b w:val="0"/>
                <w:bCs w:val="0"/>
                <w:sz w:val="17"/>
                <w:szCs w:val="17"/>
              </w:rPr>
            </w:pPr>
            <w:r w:rsidRPr="00677CE8">
              <w:rPr>
                <w:b w:val="0"/>
                <w:bCs w:val="0"/>
                <w:sz w:val="17"/>
                <w:szCs w:val="17"/>
              </w:rPr>
              <w:t>AT</w:t>
            </w:r>
          </w:p>
        </w:tc>
        <w:tc>
          <w:tcPr>
            <w:tcW w:w="1350" w:type="dxa"/>
            <w:tcBorders>
              <w:top w:val="single" w:sz="2" w:space="0" w:color="auto"/>
              <w:left w:val="single" w:sz="2" w:space="0" w:color="auto"/>
              <w:bottom w:val="single" w:sz="2" w:space="0" w:color="auto"/>
              <w:right w:val="single" w:sz="2" w:space="0" w:color="auto"/>
            </w:tcBorders>
            <w:vAlign w:val="center"/>
          </w:tcPr>
          <w:p w14:paraId="6A8F5613" w14:textId="77777777" w:rsidR="00FF3482" w:rsidRPr="00677CE8" w:rsidRDefault="00FF3482" w:rsidP="00FF3482">
            <w:pPr>
              <w:pStyle w:val="Heading2"/>
              <w:spacing w:line="240" w:lineRule="auto"/>
              <w:rPr>
                <w:b w:val="0"/>
                <w:bCs w:val="0"/>
                <w:sz w:val="17"/>
                <w:szCs w:val="17"/>
              </w:rPr>
            </w:pPr>
          </w:p>
        </w:tc>
        <w:tc>
          <w:tcPr>
            <w:tcW w:w="445" w:type="dxa"/>
            <w:tcBorders>
              <w:top w:val="single" w:sz="2" w:space="0" w:color="auto"/>
              <w:left w:val="single" w:sz="2" w:space="0" w:color="auto"/>
              <w:bottom w:val="single" w:sz="2" w:space="0" w:color="auto"/>
              <w:right w:val="single" w:sz="2" w:space="0" w:color="auto"/>
            </w:tcBorders>
            <w:vAlign w:val="center"/>
          </w:tcPr>
          <w:p w14:paraId="17E61682" w14:textId="77777777" w:rsidR="00FF3482" w:rsidRPr="00677CE8" w:rsidRDefault="00FF3482" w:rsidP="00FF3482">
            <w:pPr>
              <w:pStyle w:val="Heading2"/>
              <w:spacing w:line="240" w:lineRule="auto"/>
              <w:jc w:val="center"/>
              <w:rPr>
                <w:sz w:val="17"/>
                <w:szCs w:val="17"/>
              </w:rPr>
            </w:pPr>
          </w:p>
        </w:tc>
        <w:tc>
          <w:tcPr>
            <w:tcW w:w="277" w:type="dxa"/>
            <w:tcBorders>
              <w:top w:val="single" w:sz="2" w:space="0" w:color="auto"/>
              <w:left w:val="single" w:sz="2" w:space="0" w:color="auto"/>
              <w:bottom w:val="single" w:sz="2" w:space="0" w:color="auto"/>
              <w:right w:val="single" w:sz="2" w:space="0" w:color="auto"/>
            </w:tcBorders>
            <w:vAlign w:val="center"/>
          </w:tcPr>
          <w:p w14:paraId="70FA3983" w14:textId="77777777" w:rsidR="00FF3482" w:rsidRPr="00677CE8" w:rsidRDefault="00FF3482" w:rsidP="00FF3482">
            <w:pPr>
              <w:pStyle w:val="Heading2"/>
              <w:spacing w:line="240" w:lineRule="auto"/>
              <w:jc w:val="center"/>
              <w:rPr>
                <w:sz w:val="17"/>
                <w:szCs w:val="17"/>
              </w:rPr>
            </w:pPr>
          </w:p>
        </w:tc>
        <w:tc>
          <w:tcPr>
            <w:tcW w:w="720" w:type="dxa"/>
            <w:tcBorders>
              <w:top w:val="single" w:sz="2" w:space="0" w:color="auto"/>
              <w:left w:val="single" w:sz="2" w:space="0" w:color="auto"/>
              <w:bottom w:val="single" w:sz="2" w:space="0" w:color="auto"/>
              <w:right w:val="single" w:sz="2" w:space="0" w:color="auto"/>
            </w:tcBorders>
            <w:vAlign w:val="center"/>
          </w:tcPr>
          <w:p w14:paraId="44974595" w14:textId="5653F9DB" w:rsidR="00FF3482" w:rsidRPr="00677CE8" w:rsidRDefault="00FF3482" w:rsidP="00FF3482">
            <w:pPr>
              <w:pStyle w:val="Heading2"/>
              <w:spacing w:line="240" w:lineRule="auto"/>
              <w:jc w:val="center"/>
              <w:rPr>
                <w:sz w:val="17"/>
                <w:szCs w:val="17"/>
              </w:rPr>
            </w:pPr>
            <w:r w:rsidRPr="00677CE8">
              <w:rPr>
                <w:sz w:val="17"/>
                <w:szCs w:val="17"/>
              </w:rPr>
              <w:t>×</w:t>
            </w:r>
          </w:p>
        </w:tc>
        <w:tc>
          <w:tcPr>
            <w:tcW w:w="263" w:type="dxa"/>
            <w:tcBorders>
              <w:top w:val="single" w:sz="2" w:space="0" w:color="auto"/>
              <w:left w:val="single" w:sz="2" w:space="0" w:color="auto"/>
              <w:bottom w:val="single" w:sz="2" w:space="0" w:color="auto"/>
              <w:right w:val="single" w:sz="2" w:space="0" w:color="auto"/>
            </w:tcBorders>
            <w:vAlign w:val="center"/>
          </w:tcPr>
          <w:p w14:paraId="627FF2F6" w14:textId="216C8266" w:rsidR="00FF3482" w:rsidRPr="00677CE8" w:rsidRDefault="00FF3482" w:rsidP="00FF3482">
            <w:pPr>
              <w:pStyle w:val="Heading2"/>
              <w:spacing w:line="240" w:lineRule="auto"/>
              <w:jc w:val="center"/>
              <w:rPr>
                <w:sz w:val="17"/>
                <w:szCs w:val="17"/>
              </w:rPr>
            </w:pPr>
            <w:r w:rsidRPr="00677CE8">
              <w:rPr>
                <w:sz w:val="17"/>
                <w:szCs w:val="17"/>
              </w:rPr>
              <w:t>×</w:t>
            </w:r>
          </w:p>
        </w:tc>
        <w:tc>
          <w:tcPr>
            <w:tcW w:w="461" w:type="dxa"/>
            <w:tcBorders>
              <w:top w:val="single" w:sz="2" w:space="0" w:color="auto"/>
              <w:left w:val="single" w:sz="2" w:space="0" w:color="auto"/>
              <w:bottom w:val="single" w:sz="2" w:space="0" w:color="auto"/>
              <w:right w:val="single" w:sz="2" w:space="0" w:color="auto"/>
            </w:tcBorders>
            <w:vAlign w:val="center"/>
          </w:tcPr>
          <w:p w14:paraId="7A552DA8" w14:textId="740E4528"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2" w:space="0" w:color="auto"/>
              <w:right w:val="single" w:sz="2" w:space="0" w:color="auto"/>
            </w:tcBorders>
            <w:vAlign w:val="center"/>
          </w:tcPr>
          <w:p w14:paraId="30C57FA4" w14:textId="77777777"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2" w:space="0" w:color="auto"/>
              <w:right w:val="single" w:sz="2" w:space="0" w:color="auto"/>
            </w:tcBorders>
            <w:vAlign w:val="center"/>
          </w:tcPr>
          <w:p w14:paraId="23BE88ED" w14:textId="77777777" w:rsidR="00FF3482" w:rsidRPr="00677CE8" w:rsidRDefault="00FF3482" w:rsidP="00FF3482">
            <w:pPr>
              <w:pStyle w:val="Heading2"/>
              <w:spacing w:line="240" w:lineRule="auto"/>
              <w:jc w:val="center"/>
              <w:rPr>
                <w:sz w:val="17"/>
                <w:szCs w:val="17"/>
              </w:rPr>
            </w:pPr>
          </w:p>
        </w:tc>
        <w:tc>
          <w:tcPr>
            <w:tcW w:w="527" w:type="dxa"/>
            <w:tcBorders>
              <w:top w:val="single" w:sz="2" w:space="0" w:color="auto"/>
              <w:left w:val="single" w:sz="2" w:space="0" w:color="auto"/>
              <w:bottom w:val="single" w:sz="2" w:space="0" w:color="auto"/>
              <w:right w:val="single" w:sz="2" w:space="0" w:color="auto"/>
            </w:tcBorders>
            <w:vAlign w:val="center"/>
          </w:tcPr>
          <w:p w14:paraId="5A6692D1" w14:textId="6EA5190D" w:rsidR="00FF3482" w:rsidRPr="00677CE8" w:rsidRDefault="00FF3482" w:rsidP="00FF3482">
            <w:pPr>
              <w:pStyle w:val="Heading2"/>
              <w:spacing w:line="240" w:lineRule="auto"/>
              <w:jc w:val="center"/>
              <w:rPr>
                <w:sz w:val="17"/>
                <w:szCs w:val="17"/>
              </w:rPr>
            </w:pPr>
            <w:r w:rsidRPr="00677CE8">
              <w:rPr>
                <w:sz w:val="17"/>
                <w:szCs w:val="17"/>
              </w:rPr>
              <w:t>×</w:t>
            </w:r>
          </w:p>
        </w:tc>
        <w:tc>
          <w:tcPr>
            <w:tcW w:w="559" w:type="dxa"/>
            <w:tcBorders>
              <w:top w:val="single" w:sz="2" w:space="0" w:color="auto"/>
              <w:left w:val="single" w:sz="2" w:space="0" w:color="auto"/>
              <w:bottom w:val="single" w:sz="2" w:space="0" w:color="auto"/>
              <w:right w:val="single" w:sz="2" w:space="0" w:color="auto"/>
            </w:tcBorders>
            <w:vAlign w:val="center"/>
          </w:tcPr>
          <w:p w14:paraId="2C1B516A" w14:textId="4EBF0766" w:rsidR="00FF3482" w:rsidRPr="00677CE8" w:rsidRDefault="00FF3482" w:rsidP="00FF3482">
            <w:pPr>
              <w:pStyle w:val="Heading2"/>
              <w:spacing w:line="240" w:lineRule="auto"/>
              <w:jc w:val="center"/>
              <w:rPr>
                <w:sz w:val="17"/>
                <w:szCs w:val="17"/>
              </w:rPr>
            </w:pPr>
            <w:r w:rsidRPr="00677CE8">
              <w:rPr>
                <w:sz w:val="17"/>
                <w:szCs w:val="17"/>
              </w:rPr>
              <w:t>×</w:t>
            </w:r>
          </w:p>
        </w:tc>
        <w:tc>
          <w:tcPr>
            <w:tcW w:w="433" w:type="dxa"/>
            <w:tcBorders>
              <w:top w:val="single" w:sz="2" w:space="0" w:color="auto"/>
              <w:left w:val="single" w:sz="2" w:space="0" w:color="auto"/>
              <w:bottom w:val="single" w:sz="2" w:space="0" w:color="auto"/>
              <w:right w:val="single" w:sz="2" w:space="0" w:color="auto"/>
            </w:tcBorders>
            <w:vAlign w:val="center"/>
          </w:tcPr>
          <w:p w14:paraId="2F0F2228" w14:textId="77777777" w:rsidR="00FF3482" w:rsidRPr="00677CE8" w:rsidRDefault="00FF3482" w:rsidP="00FF3482">
            <w:pPr>
              <w:pStyle w:val="Heading2"/>
              <w:spacing w:line="240" w:lineRule="auto"/>
              <w:jc w:val="center"/>
              <w:rPr>
                <w:sz w:val="17"/>
                <w:szCs w:val="17"/>
              </w:rPr>
            </w:pPr>
          </w:p>
        </w:tc>
        <w:tc>
          <w:tcPr>
            <w:tcW w:w="525" w:type="dxa"/>
            <w:tcBorders>
              <w:top w:val="single" w:sz="2" w:space="0" w:color="auto"/>
              <w:left w:val="single" w:sz="2" w:space="0" w:color="auto"/>
              <w:bottom w:val="single" w:sz="2" w:space="0" w:color="auto"/>
              <w:right w:val="single" w:sz="2" w:space="0" w:color="auto"/>
            </w:tcBorders>
          </w:tcPr>
          <w:p w14:paraId="599B2F7D" w14:textId="77777777" w:rsidR="00FF3482" w:rsidRPr="00677CE8" w:rsidRDefault="00FF3482" w:rsidP="00FF3482">
            <w:pPr>
              <w:pStyle w:val="Heading2"/>
              <w:spacing w:line="240" w:lineRule="auto"/>
              <w:jc w:val="center"/>
              <w:rPr>
                <w:sz w:val="17"/>
                <w:szCs w:val="17"/>
              </w:rPr>
            </w:pPr>
          </w:p>
        </w:tc>
        <w:tc>
          <w:tcPr>
            <w:tcW w:w="465" w:type="dxa"/>
            <w:tcBorders>
              <w:top w:val="single" w:sz="2" w:space="0" w:color="auto"/>
              <w:left w:val="single" w:sz="2" w:space="0" w:color="auto"/>
              <w:bottom w:val="single" w:sz="2" w:space="0" w:color="auto"/>
              <w:right w:val="single" w:sz="2" w:space="0" w:color="auto"/>
            </w:tcBorders>
          </w:tcPr>
          <w:p w14:paraId="35E8CA0E" w14:textId="77777777" w:rsidR="00FF3482" w:rsidRPr="00677CE8" w:rsidRDefault="00FF3482" w:rsidP="00FF3482">
            <w:pPr>
              <w:pStyle w:val="Heading2"/>
              <w:spacing w:line="240" w:lineRule="auto"/>
              <w:jc w:val="center"/>
              <w:rPr>
                <w:sz w:val="17"/>
                <w:szCs w:val="17"/>
              </w:rPr>
            </w:pPr>
          </w:p>
        </w:tc>
        <w:tc>
          <w:tcPr>
            <w:tcW w:w="270" w:type="dxa"/>
            <w:tcBorders>
              <w:top w:val="single" w:sz="2" w:space="0" w:color="auto"/>
              <w:left w:val="single" w:sz="2" w:space="0" w:color="auto"/>
              <w:bottom w:val="single" w:sz="2" w:space="0" w:color="auto"/>
              <w:right w:val="single" w:sz="2" w:space="0" w:color="auto"/>
            </w:tcBorders>
            <w:vAlign w:val="center"/>
          </w:tcPr>
          <w:p w14:paraId="729E196B" w14:textId="5421F60A" w:rsidR="00FF3482" w:rsidRPr="00677CE8" w:rsidRDefault="00FF3482" w:rsidP="00FF3482">
            <w:pPr>
              <w:pStyle w:val="Heading2"/>
              <w:spacing w:line="240" w:lineRule="auto"/>
              <w:jc w:val="center"/>
              <w:rPr>
                <w:sz w:val="17"/>
                <w:szCs w:val="17"/>
              </w:rPr>
            </w:pPr>
            <w:r w:rsidRPr="00677CE8">
              <w:rPr>
                <w:sz w:val="17"/>
                <w:szCs w:val="17"/>
              </w:rPr>
              <w:t>×</w:t>
            </w:r>
          </w:p>
        </w:tc>
        <w:tc>
          <w:tcPr>
            <w:tcW w:w="404" w:type="dxa"/>
            <w:tcBorders>
              <w:top w:val="single" w:sz="2" w:space="0" w:color="auto"/>
              <w:left w:val="single" w:sz="2" w:space="0" w:color="auto"/>
              <w:bottom w:val="single" w:sz="2" w:space="0" w:color="auto"/>
              <w:right w:val="single" w:sz="2" w:space="0" w:color="auto"/>
            </w:tcBorders>
          </w:tcPr>
          <w:p w14:paraId="1D837EF3" w14:textId="58715ABE" w:rsidR="00FF3482" w:rsidRPr="00677CE8" w:rsidRDefault="00FF3482" w:rsidP="00FF3482">
            <w:pPr>
              <w:pStyle w:val="Heading2"/>
              <w:spacing w:line="240" w:lineRule="auto"/>
              <w:jc w:val="center"/>
              <w:rPr>
                <w:sz w:val="17"/>
                <w:szCs w:val="17"/>
              </w:rPr>
            </w:pPr>
          </w:p>
        </w:tc>
        <w:tc>
          <w:tcPr>
            <w:tcW w:w="406" w:type="dxa"/>
            <w:tcBorders>
              <w:top w:val="single" w:sz="2" w:space="0" w:color="auto"/>
              <w:left w:val="single" w:sz="2" w:space="0" w:color="auto"/>
              <w:bottom w:val="single" w:sz="2" w:space="0" w:color="auto"/>
              <w:right w:val="single" w:sz="2" w:space="0" w:color="auto"/>
            </w:tcBorders>
          </w:tcPr>
          <w:p w14:paraId="58A9FBCE" w14:textId="77777777" w:rsidR="00FF3482" w:rsidRPr="00677CE8" w:rsidRDefault="00FF3482" w:rsidP="00FF3482">
            <w:pPr>
              <w:pStyle w:val="Heading2"/>
              <w:spacing w:line="240" w:lineRule="auto"/>
              <w:jc w:val="center"/>
              <w:rPr>
                <w:sz w:val="17"/>
                <w:szCs w:val="17"/>
              </w:rPr>
            </w:pPr>
          </w:p>
        </w:tc>
        <w:tc>
          <w:tcPr>
            <w:tcW w:w="3338" w:type="dxa"/>
            <w:tcBorders>
              <w:top w:val="single" w:sz="2" w:space="0" w:color="auto"/>
              <w:left w:val="single" w:sz="2" w:space="0" w:color="auto"/>
              <w:bottom w:val="single" w:sz="2" w:space="0" w:color="auto"/>
              <w:right w:val="single" w:sz="12" w:space="0" w:color="auto"/>
            </w:tcBorders>
            <w:vAlign w:val="center"/>
          </w:tcPr>
          <w:p w14:paraId="0C2DEB46" w14:textId="3991D9B9" w:rsidR="00FF3482" w:rsidRPr="00677CE8" w:rsidRDefault="00FF3482" w:rsidP="00FF3482">
            <w:pPr>
              <w:pStyle w:val="Heading2"/>
              <w:spacing w:line="240" w:lineRule="auto"/>
              <w:rPr>
                <w:b w:val="0"/>
                <w:bCs w:val="0"/>
                <w:sz w:val="17"/>
                <w:szCs w:val="17"/>
              </w:rPr>
            </w:pPr>
            <w:r w:rsidRPr="00677CE8">
              <w:rPr>
                <w:b w:val="0"/>
                <w:bCs w:val="0"/>
                <w:sz w:val="17"/>
                <w:szCs w:val="17"/>
              </w:rPr>
              <w:t>Tech-savviness</w:t>
            </w:r>
          </w:p>
        </w:tc>
      </w:tr>
      <w:tr w:rsidR="00FF3482" w:rsidRPr="00677CE8" w14:paraId="13729646" w14:textId="77777777" w:rsidTr="00007FF5">
        <w:trPr>
          <w:jc w:val="center"/>
        </w:trPr>
        <w:tc>
          <w:tcPr>
            <w:tcW w:w="1876" w:type="dxa"/>
            <w:tcBorders>
              <w:top w:val="single" w:sz="2" w:space="0" w:color="auto"/>
              <w:left w:val="single" w:sz="12" w:space="0" w:color="auto"/>
              <w:bottom w:val="single" w:sz="2" w:space="0" w:color="auto"/>
              <w:right w:val="single" w:sz="2" w:space="0" w:color="auto"/>
            </w:tcBorders>
            <w:vAlign w:val="center"/>
          </w:tcPr>
          <w:p w14:paraId="1FE249EA" w14:textId="44343E9A" w:rsidR="00FF3482" w:rsidRPr="00677CE8" w:rsidRDefault="00FF3482" w:rsidP="00FF3482">
            <w:pPr>
              <w:rPr>
                <w:sz w:val="17"/>
                <w:szCs w:val="17"/>
              </w:rPr>
            </w:pPr>
            <w:r w:rsidRPr="00677CE8">
              <w:rPr>
                <w:sz w:val="17"/>
                <w:szCs w:val="17"/>
              </w:rPr>
              <w:t>Qu et al., 2024</w:t>
            </w:r>
          </w:p>
        </w:tc>
        <w:tc>
          <w:tcPr>
            <w:tcW w:w="1444" w:type="dxa"/>
            <w:tcBorders>
              <w:top w:val="single" w:sz="2" w:space="0" w:color="auto"/>
              <w:left w:val="single" w:sz="2" w:space="0" w:color="auto"/>
              <w:bottom w:val="single" w:sz="2" w:space="0" w:color="auto"/>
              <w:right w:val="single" w:sz="2" w:space="0" w:color="auto"/>
            </w:tcBorders>
            <w:vAlign w:val="center"/>
          </w:tcPr>
          <w:p w14:paraId="473A570C" w14:textId="23528312" w:rsidR="00FF3482" w:rsidRPr="00677CE8" w:rsidRDefault="00FF3482" w:rsidP="00FF3482">
            <w:pPr>
              <w:pStyle w:val="Heading2"/>
              <w:spacing w:line="240" w:lineRule="auto"/>
              <w:rPr>
                <w:b w:val="0"/>
                <w:bCs w:val="0"/>
                <w:sz w:val="17"/>
                <w:szCs w:val="17"/>
              </w:rPr>
            </w:pPr>
            <w:r w:rsidRPr="00677CE8">
              <w:rPr>
                <w:b w:val="0"/>
                <w:bCs w:val="0"/>
                <w:sz w:val="17"/>
                <w:szCs w:val="17"/>
              </w:rPr>
              <w:t>AT</w:t>
            </w:r>
          </w:p>
        </w:tc>
        <w:tc>
          <w:tcPr>
            <w:tcW w:w="1350" w:type="dxa"/>
            <w:tcBorders>
              <w:top w:val="single" w:sz="2" w:space="0" w:color="auto"/>
              <w:left w:val="single" w:sz="2" w:space="0" w:color="auto"/>
              <w:bottom w:val="single" w:sz="2" w:space="0" w:color="auto"/>
              <w:right w:val="single" w:sz="2" w:space="0" w:color="auto"/>
            </w:tcBorders>
            <w:vAlign w:val="center"/>
          </w:tcPr>
          <w:p w14:paraId="242A3450" w14:textId="77777777" w:rsidR="00FF3482" w:rsidRPr="00677CE8" w:rsidRDefault="00FF3482" w:rsidP="00FF3482">
            <w:pPr>
              <w:pStyle w:val="Heading2"/>
              <w:spacing w:line="240" w:lineRule="auto"/>
              <w:rPr>
                <w:b w:val="0"/>
                <w:bCs w:val="0"/>
                <w:sz w:val="17"/>
                <w:szCs w:val="17"/>
              </w:rPr>
            </w:pPr>
          </w:p>
        </w:tc>
        <w:tc>
          <w:tcPr>
            <w:tcW w:w="445" w:type="dxa"/>
            <w:tcBorders>
              <w:top w:val="single" w:sz="2" w:space="0" w:color="auto"/>
              <w:left w:val="single" w:sz="2" w:space="0" w:color="auto"/>
              <w:bottom w:val="single" w:sz="2" w:space="0" w:color="auto"/>
              <w:right w:val="single" w:sz="2" w:space="0" w:color="auto"/>
            </w:tcBorders>
            <w:vAlign w:val="center"/>
          </w:tcPr>
          <w:p w14:paraId="0225A973" w14:textId="2F7B1D4F" w:rsidR="00FF3482" w:rsidRPr="00677CE8" w:rsidRDefault="00FF3482" w:rsidP="00FF3482">
            <w:pPr>
              <w:pStyle w:val="Heading2"/>
              <w:spacing w:line="240" w:lineRule="auto"/>
              <w:jc w:val="center"/>
              <w:rPr>
                <w:sz w:val="17"/>
                <w:szCs w:val="17"/>
              </w:rPr>
            </w:pPr>
            <w:r w:rsidRPr="00677CE8">
              <w:rPr>
                <w:sz w:val="17"/>
                <w:szCs w:val="17"/>
              </w:rPr>
              <w:t>×</w:t>
            </w:r>
          </w:p>
        </w:tc>
        <w:tc>
          <w:tcPr>
            <w:tcW w:w="277" w:type="dxa"/>
            <w:tcBorders>
              <w:top w:val="single" w:sz="2" w:space="0" w:color="auto"/>
              <w:left w:val="single" w:sz="2" w:space="0" w:color="auto"/>
              <w:bottom w:val="single" w:sz="2" w:space="0" w:color="auto"/>
              <w:right w:val="single" w:sz="2" w:space="0" w:color="auto"/>
            </w:tcBorders>
            <w:vAlign w:val="center"/>
          </w:tcPr>
          <w:p w14:paraId="79E23FB8" w14:textId="77777777" w:rsidR="00FF3482" w:rsidRPr="00677CE8" w:rsidRDefault="00FF3482" w:rsidP="00FF3482">
            <w:pPr>
              <w:pStyle w:val="Heading2"/>
              <w:spacing w:line="240" w:lineRule="auto"/>
              <w:jc w:val="center"/>
              <w:rPr>
                <w:sz w:val="17"/>
                <w:szCs w:val="17"/>
              </w:rPr>
            </w:pPr>
          </w:p>
        </w:tc>
        <w:tc>
          <w:tcPr>
            <w:tcW w:w="720" w:type="dxa"/>
            <w:tcBorders>
              <w:top w:val="single" w:sz="2" w:space="0" w:color="auto"/>
              <w:left w:val="single" w:sz="2" w:space="0" w:color="auto"/>
              <w:bottom w:val="single" w:sz="2" w:space="0" w:color="auto"/>
              <w:right w:val="single" w:sz="2" w:space="0" w:color="auto"/>
            </w:tcBorders>
            <w:vAlign w:val="center"/>
          </w:tcPr>
          <w:p w14:paraId="3ADE71F2" w14:textId="6CB96FE3" w:rsidR="00FF3482" w:rsidRPr="00677CE8" w:rsidRDefault="00FF3482" w:rsidP="00FF3482">
            <w:pPr>
              <w:pStyle w:val="Heading2"/>
              <w:spacing w:line="240" w:lineRule="auto"/>
              <w:jc w:val="center"/>
              <w:rPr>
                <w:sz w:val="17"/>
                <w:szCs w:val="17"/>
              </w:rPr>
            </w:pPr>
            <w:r w:rsidRPr="00677CE8">
              <w:rPr>
                <w:sz w:val="17"/>
                <w:szCs w:val="17"/>
              </w:rPr>
              <w:t>×</w:t>
            </w:r>
          </w:p>
        </w:tc>
        <w:tc>
          <w:tcPr>
            <w:tcW w:w="263" w:type="dxa"/>
            <w:tcBorders>
              <w:top w:val="single" w:sz="2" w:space="0" w:color="auto"/>
              <w:left w:val="single" w:sz="2" w:space="0" w:color="auto"/>
              <w:bottom w:val="single" w:sz="2" w:space="0" w:color="auto"/>
              <w:right w:val="single" w:sz="2" w:space="0" w:color="auto"/>
            </w:tcBorders>
            <w:vAlign w:val="center"/>
          </w:tcPr>
          <w:p w14:paraId="37A6BD57" w14:textId="5AD34524" w:rsidR="00FF3482" w:rsidRPr="00677CE8" w:rsidRDefault="00FF3482" w:rsidP="00FF3482">
            <w:pPr>
              <w:pStyle w:val="Heading2"/>
              <w:spacing w:line="240" w:lineRule="auto"/>
              <w:jc w:val="center"/>
              <w:rPr>
                <w:sz w:val="17"/>
                <w:szCs w:val="17"/>
              </w:rPr>
            </w:pPr>
            <w:r w:rsidRPr="00677CE8">
              <w:rPr>
                <w:sz w:val="17"/>
                <w:szCs w:val="17"/>
              </w:rPr>
              <w:t>×</w:t>
            </w:r>
          </w:p>
        </w:tc>
        <w:tc>
          <w:tcPr>
            <w:tcW w:w="461" w:type="dxa"/>
            <w:tcBorders>
              <w:top w:val="single" w:sz="2" w:space="0" w:color="auto"/>
              <w:left w:val="single" w:sz="2" w:space="0" w:color="auto"/>
              <w:bottom w:val="single" w:sz="2" w:space="0" w:color="auto"/>
              <w:right w:val="single" w:sz="2" w:space="0" w:color="auto"/>
            </w:tcBorders>
            <w:vAlign w:val="center"/>
          </w:tcPr>
          <w:p w14:paraId="02C6298F" w14:textId="6198A2B4"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2" w:space="0" w:color="auto"/>
              <w:right w:val="single" w:sz="2" w:space="0" w:color="auto"/>
            </w:tcBorders>
            <w:vAlign w:val="center"/>
          </w:tcPr>
          <w:p w14:paraId="073501DC" w14:textId="77777777"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2" w:space="0" w:color="auto"/>
              <w:right w:val="single" w:sz="2" w:space="0" w:color="auto"/>
            </w:tcBorders>
            <w:vAlign w:val="center"/>
          </w:tcPr>
          <w:p w14:paraId="1794FD2A" w14:textId="77777777" w:rsidR="00FF3482" w:rsidRPr="00677CE8" w:rsidRDefault="00FF3482" w:rsidP="00FF3482">
            <w:pPr>
              <w:pStyle w:val="Heading2"/>
              <w:spacing w:line="240" w:lineRule="auto"/>
              <w:jc w:val="center"/>
              <w:rPr>
                <w:sz w:val="17"/>
                <w:szCs w:val="17"/>
              </w:rPr>
            </w:pPr>
          </w:p>
        </w:tc>
        <w:tc>
          <w:tcPr>
            <w:tcW w:w="527" w:type="dxa"/>
            <w:tcBorders>
              <w:top w:val="single" w:sz="2" w:space="0" w:color="auto"/>
              <w:left w:val="single" w:sz="2" w:space="0" w:color="auto"/>
              <w:bottom w:val="single" w:sz="2" w:space="0" w:color="auto"/>
              <w:right w:val="single" w:sz="2" w:space="0" w:color="auto"/>
            </w:tcBorders>
            <w:vAlign w:val="center"/>
          </w:tcPr>
          <w:p w14:paraId="095583B0" w14:textId="1AC9E569" w:rsidR="00FF3482" w:rsidRPr="00677CE8" w:rsidRDefault="00FF3482" w:rsidP="00FF3482">
            <w:pPr>
              <w:pStyle w:val="Heading2"/>
              <w:spacing w:line="240" w:lineRule="auto"/>
              <w:jc w:val="center"/>
              <w:rPr>
                <w:sz w:val="17"/>
                <w:szCs w:val="17"/>
              </w:rPr>
            </w:pPr>
            <w:r w:rsidRPr="00677CE8">
              <w:rPr>
                <w:sz w:val="17"/>
                <w:szCs w:val="17"/>
              </w:rPr>
              <w:t>×</w:t>
            </w:r>
          </w:p>
        </w:tc>
        <w:tc>
          <w:tcPr>
            <w:tcW w:w="559" w:type="dxa"/>
            <w:tcBorders>
              <w:top w:val="single" w:sz="2" w:space="0" w:color="auto"/>
              <w:left w:val="single" w:sz="2" w:space="0" w:color="auto"/>
              <w:bottom w:val="single" w:sz="2" w:space="0" w:color="auto"/>
              <w:right w:val="single" w:sz="2" w:space="0" w:color="auto"/>
            </w:tcBorders>
            <w:vAlign w:val="center"/>
          </w:tcPr>
          <w:p w14:paraId="30A9A266" w14:textId="77777777" w:rsidR="00FF3482" w:rsidRPr="00677CE8" w:rsidRDefault="00FF3482" w:rsidP="00FF3482">
            <w:pPr>
              <w:pStyle w:val="Heading2"/>
              <w:spacing w:line="240" w:lineRule="auto"/>
              <w:jc w:val="center"/>
              <w:rPr>
                <w:sz w:val="17"/>
                <w:szCs w:val="17"/>
              </w:rPr>
            </w:pPr>
          </w:p>
        </w:tc>
        <w:tc>
          <w:tcPr>
            <w:tcW w:w="433" w:type="dxa"/>
            <w:tcBorders>
              <w:top w:val="single" w:sz="2" w:space="0" w:color="auto"/>
              <w:left w:val="single" w:sz="2" w:space="0" w:color="auto"/>
              <w:bottom w:val="single" w:sz="2" w:space="0" w:color="auto"/>
              <w:right w:val="single" w:sz="2" w:space="0" w:color="auto"/>
            </w:tcBorders>
            <w:vAlign w:val="center"/>
          </w:tcPr>
          <w:p w14:paraId="76C7E404" w14:textId="77777777" w:rsidR="00FF3482" w:rsidRPr="00677CE8" w:rsidRDefault="00FF3482" w:rsidP="00FF3482">
            <w:pPr>
              <w:pStyle w:val="Heading2"/>
              <w:spacing w:line="240" w:lineRule="auto"/>
              <w:jc w:val="center"/>
              <w:rPr>
                <w:sz w:val="17"/>
                <w:szCs w:val="17"/>
              </w:rPr>
            </w:pPr>
          </w:p>
        </w:tc>
        <w:tc>
          <w:tcPr>
            <w:tcW w:w="525" w:type="dxa"/>
            <w:tcBorders>
              <w:top w:val="single" w:sz="2" w:space="0" w:color="auto"/>
              <w:left w:val="single" w:sz="2" w:space="0" w:color="auto"/>
              <w:bottom w:val="single" w:sz="2" w:space="0" w:color="auto"/>
              <w:right w:val="single" w:sz="2" w:space="0" w:color="auto"/>
            </w:tcBorders>
          </w:tcPr>
          <w:p w14:paraId="276E606D" w14:textId="77777777" w:rsidR="00FF3482" w:rsidRPr="00677CE8" w:rsidRDefault="00FF3482" w:rsidP="00FF3482">
            <w:pPr>
              <w:pStyle w:val="Heading2"/>
              <w:spacing w:line="240" w:lineRule="auto"/>
              <w:jc w:val="center"/>
              <w:rPr>
                <w:sz w:val="17"/>
                <w:szCs w:val="17"/>
              </w:rPr>
            </w:pPr>
          </w:p>
        </w:tc>
        <w:tc>
          <w:tcPr>
            <w:tcW w:w="465" w:type="dxa"/>
            <w:tcBorders>
              <w:top w:val="single" w:sz="2" w:space="0" w:color="auto"/>
              <w:left w:val="single" w:sz="2" w:space="0" w:color="auto"/>
              <w:bottom w:val="single" w:sz="2" w:space="0" w:color="auto"/>
              <w:right w:val="single" w:sz="2" w:space="0" w:color="auto"/>
            </w:tcBorders>
          </w:tcPr>
          <w:p w14:paraId="0D7E84C4" w14:textId="77777777" w:rsidR="00FF3482" w:rsidRPr="00677CE8" w:rsidRDefault="00FF3482" w:rsidP="00FF3482">
            <w:pPr>
              <w:pStyle w:val="Heading2"/>
              <w:spacing w:line="240" w:lineRule="auto"/>
              <w:jc w:val="center"/>
              <w:rPr>
                <w:sz w:val="17"/>
                <w:szCs w:val="17"/>
              </w:rPr>
            </w:pPr>
          </w:p>
        </w:tc>
        <w:tc>
          <w:tcPr>
            <w:tcW w:w="270" w:type="dxa"/>
            <w:tcBorders>
              <w:top w:val="single" w:sz="2" w:space="0" w:color="auto"/>
              <w:left w:val="single" w:sz="2" w:space="0" w:color="auto"/>
              <w:bottom w:val="single" w:sz="2" w:space="0" w:color="auto"/>
              <w:right w:val="single" w:sz="2" w:space="0" w:color="auto"/>
            </w:tcBorders>
            <w:vAlign w:val="center"/>
          </w:tcPr>
          <w:p w14:paraId="6D8359CC" w14:textId="3E9C4E8E" w:rsidR="00FF3482" w:rsidRPr="00677CE8" w:rsidRDefault="00FF3482" w:rsidP="00FF3482">
            <w:pPr>
              <w:pStyle w:val="Heading2"/>
              <w:spacing w:line="240" w:lineRule="auto"/>
              <w:jc w:val="center"/>
              <w:rPr>
                <w:sz w:val="17"/>
                <w:szCs w:val="17"/>
              </w:rPr>
            </w:pPr>
          </w:p>
        </w:tc>
        <w:tc>
          <w:tcPr>
            <w:tcW w:w="404" w:type="dxa"/>
            <w:tcBorders>
              <w:top w:val="single" w:sz="2" w:space="0" w:color="auto"/>
              <w:left w:val="single" w:sz="2" w:space="0" w:color="auto"/>
              <w:bottom w:val="single" w:sz="2" w:space="0" w:color="auto"/>
              <w:right w:val="single" w:sz="2" w:space="0" w:color="auto"/>
            </w:tcBorders>
          </w:tcPr>
          <w:p w14:paraId="4B74D092" w14:textId="60BA705F" w:rsidR="00FF3482" w:rsidRPr="00677CE8" w:rsidRDefault="00FF3482" w:rsidP="00FF3482">
            <w:pPr>
              <w:pStyle w:val="Heading2"/>
              <w:spacing w:line="240" w:lineRule="auto"/>
              <w:jc w:val="center"/>
              <w:rPr>
                <w:sz w:val="17"/>
                <w:szCs w:val="17"/>
              </w:rPr>
            </w:pPr>
            <w:r w:rsidRPr="00677CE8">
              <w:rPr>
                <w:sz w:val="17"/>
                <w:szCs w:val="17"/>
              </w:rPr>
              <w:t>×</w:t>
            </w:r>
          </w:p>
        </w:tc>
        <w:tc>
          <w:tcPr>
            <w:tcW w:w="406" w:type="dxa"/>
            <w:tcBorders>
              <w:top w:val="single" w:sz="2" w:space="0" w:color="auto"/>
              <w:left w:val="single" w:sz="2" w:space="0" w:color="auto"/>
              <w:bottom w:val="single" w:sz="2" w:space="0" w:color="auto"/>
              <w:right w:val="single" w:sz="2" w:space="0" w:color="auto"/>
            </w:tcBorders>
          </w:tcPr>
          <w:p w14:paraId="5B724DCD" w14:textId="0AD41314" w:rsidR="00FF3482" w:rsidRPr="00677CE8" w:rsidRDefault="00FF3482" w:rsidP="00FF3482">
            <w:pPr>
              <w:pStyle w:val="Heading2"/>
              <w:spacing w:line="240" w:lineRule="auto"/>
              <w:jc w:val="center"/>
              <w:rPr>
                <w:sz w:val="17"/>
                <w:szCs w:val="17"/>
              </w:rPr>
            </w:pPr>
            <w:r w:rsidRPr="00677CE8">
              <w:rPr>
                <w:sz w:val="17"/>
                <w:szCs w:val="17"/>
              </w:rPr>
              <w:t>×</w:t>
            </w:r>
          </w:p>
        </w:tc>
        <w:tc>
          <w:tcPr>
            <w:tcW w:w="3338" w:type="dxa"/>
            <w:tcBorders>
              <w:top w:val="single" w:sz="2" w:space="0" w:color="auto"/>
              <w:left w:val="single" w:sz="2" w:space="0" w:color="auto"/>
              <w:bottom w:val="single" w:sz="2" w:space="0" w:color="auto"/>
              <w:right w:val="single" w:sz="12" w:space="0" w:color="auto"/>
            </w:tcBorders>
            <w:vAlign w:val="center"/>
          </w:tcPr>
          <w:p w14:paraId="4B1F865E" w14:textId="64C6E22E" w:rsidR="00FF3482" w:rsidRPr="00677CE8" w:rsidRDefault="00FF3482" w:rsidP="00FF3482">
            <w:pPr>
              <w:pStyle w:val="Heading2"/>
              <w:spacing w:line="240" w:lineRule="auto"/>
              <w:rPr>
                <w:b w:val="0"/>
                <w:bCs w:val="0"/>
                <w:sz w:val="17"/>
                <w:szCs w:val="17"/>
              </w:rPr>
            </w:pPr>
            <w:r w:rsidRPr="00677CE8">
              <w:rPr>
                <w:b w:val="0"/>
                <w:bCs w:val="0"/>
                <w:sz w:val="17"/>
                <w:szCs w:val="17"/>
              </w:rPr>
              <w:t>Did not consider</w:t>
            </w:r>
          </w:p>
        </w:tc>
      </w:tr>
      <w:tr w:rsidR="00FF3482" w:rsidRPr="00677CE8" w14:paraId="483BF3F9" w14:textId="77777777" w:rsidTr="00007FF5">
        <w:trPr>
          <w:jc w:val="center"/>
        </w:trPr>
        <w:tc>
          <w:tcPr>
            <w:tcW w:w="1876" w:type="dxa"/>
            <w:tcBorders>
              <w:top w:val="single" w:sz="2" w:space="0" w:color="auto"/>
              <w:left w:val="single" w:sz="12" w:space="0" w:color="auto"/>
              <w:bottom w:val="single" w:sz="2" w:space="0" w:color="auto"/>
              <w:right w:val="single" w:sz="2" w:space="0" w:color="auto"/>
            </w:tcBorders>
            <w:vAlign w:val="center"/>
          </w:tcPr>
          <w:p w14:paraId="7475C8C4" w14:textId="04ECA642" w:rsidR="00FF3482" w:rsidRPr="00677CE8" w:rsidRDefault="00FF3482" w:rsidP="00FF3482">
            <w:pPr>
              <w:rPr>
                <w:sz w:val="17"/>
                <w:szCs w:val="17"/>
              </w:rPr>
            </w:pPr>
            <w:r w:rsidRPr="00677CE8">
              <w:rPr>
                <w:sz w:val="17"/>
                <w:szCs w:val="17"/>
              </w:rPr>
              <w:t>Riza et al., 2024</w:t>
            </w:r>
          </w:p>
        </w:tc>
        <w:tc>
          <w:tcPr>
            <w:tcW w:w="1444" w:type="dxa"/>
            <w:tcBorders>
              <w:top w:val="single" w:sz="2" w:space="0" w:color="auto"/>
              <w:left w:val="single" w:sz="2" w:space="0" w:color="auto"/>
              <w:bottom w:val="single" w:sz="2" w:space="0" w:color="auto"/>
              <w:right w:val="single" w:sz="2" w:space="0" w:color="auto"/>
            </w:tcBorders>
            <w:vAlign w:val="center"/>
          </w:tcPr>
          <w:p w14:paraId="65A4000F" w14:textId="05B2EA1A" w:rsidR="00FF3482" w:rsidRPr="00677CE8" w:rsidRDefault="00FF3482" w:rsidP="00FF3482">
            <w:pPr>
              <w:pStyle w:val="Heading2"/>
              <w:spacing w:line="240" w:lineRule="auto"/>
              <w:rPr>
                <w:b w:val="0"/>
                <w:bCs w:val="0"/>
                <w:sz w:val="17"/>
                <w:szCs w:val="17"/>
              </w:rPr>
            </w:pPr>
            <w:r w:rsidRPr="00677CE8">
              <w:rPr>
                <w:b w:val="0"/>
                <w:bCs w:val="0"/>
                <w:sz w:val="17"/>
                <w:szCs w:val="17"/>
              </w:rPr>
              <w:t>AT, AM, Air Limousine</w:t>
            </w:r>
          </w:p>
        </w:tc>
        <w:tc>
          <w:tcPr>
            <w:tcW w:w="1350" w:type="dxa"/>
            <w:tcBorders>
              <w:top w:val="single" w:sz="2" w:space="0" w:color="auto"/>
              <w:left w:val="single" w:sz="2" w:space="0" w:color="auto"/>
              <w:bottom w:val="single" w:sz="2" w:space="0" w:color="auto"/>
              <w:right w:val="single" w:sz="2" w:space="0" w:color="auto"/>
            </w:tcBorders>
            <w:vAlign w:val="center"/>
          </w:tcPr>
          <w:p w14:paraId="5FA33F33" w14:textId="77777777" w:rsidR="00FF3482" w:rsidRPr="00677CE8" w:rsidRDefault="00FF3482" w:rsidP="00FF3482">
            <w:pPr>
              <w:pStyle w:val="Heading2"/>
              <w:spacing w:line="240" w:lineRule="auto"/>
              <w:rPr>
                <w:b w:val="0"/>
                <w:bCs w:val="0"/>
                <w:sz w:val="17"/>
                <w:szCs w:val="17"/>
              </w:rPr>
            </w:pPr>
          </w:p>
        </w:tc>
        <w:tc>
          <w:tcPr>
            <w:tcW w:w="445" w:type="dxa"/>
            <w:tcBorders>
              <w:top w:val="single" w:sz="2" w:space="0" w:color="auto"/>
              <w:left w:val="single" w:sz="2" w:space="0" w:color="auto"/>
              <w:bottom w:val="single" w:sz="2" w:space="0" w:color="auto"/>
              <w:right w:val="single" w:sz="2" w:space="0" w:color="auto"/>
            </w:tcBorders>
            <w:vAlign w:val="center"/>
          </w:tcPr>
          <w:p w14:paraId="14BC7C1E" w14:textId="77777777" w:rsidR="00FF3482" w:rsidRPr="00677CE8" w:rsidRDefault="00FF3482" w:rsidP="00FF3482">
            <w:pPr>
              <w:pStyle w:val="Heading2"/>
              <w:spacing w:line="240" w:lineRule="auto"/>
              <w:jc w:val="center"/>
              <w:rPr>
                <w:sz w:val="17"/>
                <w:szCs w:val="17"/>
              </w:rPr>
            </w:pPr>
          </w:p>
        </w:tc>
        <w:tc>
          <w:tcPr>
            <w:tcW w:w="277" w:type="dxa"/>
            <w:tcBorders>
              <w:top w:val="single" w:sz="2" w:space="0" w:color="auto"/>
              <w:left w:val="single" w:sz="2" w:space="0" w:color="auto"/>
              <w:bottom w:val="single" w:sz="2" w:space="0" w:color="auto"/>
              <w:right w:val="single" w:sz="2" w:space="0" w:color="auto"/>
            </w:tcBorders>
            <w:vAlign w:val="center"/>
          </w:tcPr>
          <w:p w14:paraId="1DF256A7" w14:textId="77777777" w:rsidR="00FF3482" w:rsidRPr="00677CE8" w:rsidRDefault="00FF3482" w:rsidP="00FF3482">
            <w:pPr>
              <w:pStyle w:val="Heading2"/>
              <w:spacing w:line="240" w:lineRule="auto"/>
              <w:jc w:val="center"/>
              <w:rPr>
                <w:sz w:val="17"/>
                <w:szCs w:val="17"/>
              </w:rPr>
            </w:pPr>
          </w:p>
        </w:tc>
        <w:tc>
          <w:tcPr>
            <w:tcW w:w="720" w:type="dxa"/>
            <w:tcBorders>
              <w:top w:val="single" w:sz="2" w:space="0" w:color="auto"/>
              <w:left w:val="single" w:sz="2" w:space="0" w:color="auto"/>
              <w:bottom w:val="single" w:sz="2" w:space="0" w:color="auto"/>
              <w:right w:val="single" w:sz="2" w:space="0" w:color="auto"/>
            </w:tcBorders>
            <w:vAlign w:val="center"/>
          </w:tcPr>
          <w:p w14:paraId="2BD26AD3" w14:textId="77777777" w:rsidR="00FF3482" w:rsidRPr="00677CE8" w:rsidRDefault="00FF3482" w:rsidP="00FF3482">
            <w:pPr>
              <w:pStyle w:val="Heading2"/>
              <w:spacing w:line="240" w:lineRule="auto"/>
              <w:jc w:val="center"/>
              <w:rPr>
                <w:sz w:val="17"/>
                <w:szCs w:val="17"/>
              </w:rPr>
            </w:pPr>
          </w:p>
        </w:tc>
        <w:tc>
          <w:tcPr>
            <w:tcW w:w="263" w:type="dxa"/>
            <w:tcBorders>
              <w:top w:val="single" w:sz="2" w:space="0" w:color="auto"/>
              <w:left w:val="single" w:sz="2" w:space="0" w:color="auto"/>
              <w:bottom w:val="single" w:sz="2" w:space="0" w:color="auto"/>
              <w:right w:val="single" w:sz="2" w:space="0" w:color="auto"/>
            </w:tcBorders>
            <w:vAlign w:val="center"/>
          </w:tcPr>
          <w:p w14:paraId="18BF0DB1" w14:textId="761057DB" w:rsidR="00FF3482" w:rsidRPr="00677CE8" w:rsidRDefault="00FF3482" w:rsidP="00FF3482">
            <w:pPr>
              <w:pStyle w:val="Heading2"/>
              <w:spacing w:line="240" w:lineRule="auto"/>
              <w:jc w:val="center"/>
              <w:rPr>
                <w:sz w:val="17"/>
                <w:szCs w:val="17"/>
              </w:rPr>
            </w:pPr>
            <w:r w:rsidRPr="00677CE8">
              <w:rPr>
                <w:sz w:val="17"/>
                <w:szCs w:val="17"/>
              </w:rPr>
              <w:t>×</w:t>
            </w:r>
          </w:p>
        </w:tc>
        <w:tc>
          <w:tcPr>
            <w:tcW w:w="461" w:type="dxa"/>
            <w:tcBorders>
              <w:top w:val="single" w:sz="2" w:space="0" w:color="auto"/>
              <w:left w:val="single" w:sz="2" w:space="0" w:color="auto"/>
              <w:bottom w:val="single" w:sz="2" w:space="0" w:color="auto"/>
              <w:right w:val="single" w:sz="2" w:space="0" w:color="auto"/>
            </w:tcBorders>
            <w:vAlign w:val="center"/>
          </w:tcPr>
          <w:p w14:paraId="4258F53F" w14:textId="12BA864E"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2" w:space="0" w:color="auto"/>
              <w:right w:val="single" w:sz="2" w:space="0" w:color="auto"/>
            </w:tcBorders>
            <w:vAlign w:val="center"/>
          </w:tcPr>
          <w:p w14:paraId="69C54E7F" w14:textId="77777777"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2" w:space="0" w:color="auto"/>
              <w:right w:val="single" w:sz="2" w:space="0" w:color="auto"/>
            </w:tcBorders>
            <w:vAlign w:val="center"/>
          </w:tcPr>
          <w:p w14:paraId="51614B75" w14:textId="77777777" w:rsidR="00FF3482" w:rsidRPr="00677CE8" w:rsidRDefault="00FF3482" w:rsidP="00FF3482">
            <w:pPr>
              <w:pStyle w:val="Heading2"/>
              <w:spacing w:line="240" w:lineRule="auto"/>
              <w:jc w:val="center"/>
              <w:rPr>
                <w:sz w:val="17"/>
                <w:szCs w:val="17"/>
              </w:rPr>
            </w:pPr>
          </w:p>
        </w:tc>
        <w:tc>
          <w:tcPr>
            <w:tcW w:w="527" w:type="dxa"/>
            <w:tcBorders>
              <w:top w:val="single" w:sz="2" w:space="0" w:color="auto"/>
              <w:left w:val="single" w:sz="2" w:space="0" w:color="auto"/>
              <w:bottom w:val="single" w:sz="2" w:space="0" w:color="auto"/>
              <w:right w:val="single" w:sz="2" w:space="0" w:color="auto"/>
            </w:tcBorders>
            <w:vAlign w:val="center"/>
          </w:tcPr>
          <w:p w14:paraId="26869DBD" w14:textId="743B1CB9" w:rsidR="00FF3482" w:rsidRPr="00677CE8" w:rsidRDefault="00FF3482" w:rsidP="00FF3482">
            <w:pPr>
              <w:pStyle w:val="Heading2"/>
              <w:spacing w:line="240" w:lineRule="auto"/>
              <w:jc w:val="center"/>
              <w:rPr>
                <w:sz w:val="17"/>
                <w:szCs w:val="17"/>
              </w:rPr>
            </w:pPr>
            <w:r w:rsidRPr="00677CE8">
              <w:rPr>
                <w:sz w:val="17"/>
                <w:szCs w:val="17"/>
              </w:rPr>
              <w:t>×</w:t>
            </w:r>
          </w:p>
        </w:tc>
        <w:tc>
          <w:tcPr>
            <w:tcW w:w="559" w:type="dxa"/>
            <w:tcBorders>
              <w:top w:val="single" w:sz="2" w:space="0" w:color="auto"/>
              <w:left w:val="single" w:sz="2" w:space="0" w:color="auto"/>
              <w:bottom w:val="single" w:sz="2" w:space="0" w:color="auto"/>
              <w:right w:val="single" w:sz="2" w:space="0" w:color="auto"/>
            </w:tcBorders>
            <w:vAlign w:val="center"/>
          </w:tcPr>
          <w:p w14:paraId="155E1835" w14:textId="77777777" w:rsidR="00FF3482" w:rsidRPr="00677CE8" w:rsidRDefault="00FF3482" w:rsidP="00FF3482">
            <w:pPr>
              <w:pStyle w:val="Heading2"/>
              <w:spacing w:line="240" w:lineRule="auto"/>
              <w:jc w:val="center"/>
              <w:rPr>
                <w:sz w:val="17"/>
                <w:szCs w:val="17"/>
              </w:rPr>
            </w:pPr>
          </w:p>
        </w:tc>
        <w:tc>
          <w:tcPr>
            <w:tcW w:w="433" w:type="dxa"/>
            <w:tcBorders>
              <w:top w:val="single" w:sz="2" w:space="0" w:color="auto"/>
              <w:left w:val="single" w:sz="2" w:space="0" w:color="auto"/>
              <w:bottom w:val="single" w:sz="2" w:space="0" w:color="auto"/>
              <w:right w:val="single" w:sz="2" w:space="0" w:color="auto"/>
            </w:tcBorders>
            <w:vAlign w:val="center"/>
          </w:tcPr>
          <w:p w14:paraId="55D353BD" w14:textId="77777777" w:rsidR="00FF3482" w:rsidRPr="00677CE8" w:rsidRDefault="00FF3482" w:rsidP="00FF3482">
            <w:pPr>
              <w:pStyle w:val="Heading2"/>
              <w:spacing w:line="240" w:lineRule="auto"/>
              <w:jc w:val="center"/>
              <w:rPr>
                <w:sz w:val="17"/>
                <w:szCs w:val="17"/>
              </w:rPr>
            </w:pPr>
          </w:p>
        </w:tc>
        <w:tc>
          <w:tcPr>
            <w:tcW w:w="525" w:type="dxa"/>
            <w:tcBorders>
              <w:top w:val="single" w:sz="2" w:space="0" w:color="auto"/>
              <w:left w:val="single" w:sz="2" w:space="0" w:color="auto"/>
              <w:bottom w:val="single" w:sz="2" w:space="0" w:color="auto"/>
              <w:right w:val="single" w:sz="2" w:space="0" w:color="auto"/>
            </w:tcBorders>
          </w:tcPr>
          <w:p w14:paraId="5A8900E3" w14:textId="77777777" w:rsidR="00FF3482" w:rsidRPr="00677CE8" w:rsidRDefault="00FF3482" w:rsidP="00FF3482">
            <w:pPr>
              <w:pStyle w:val="Heading2"/>
              <w:spacing w:line="240" w:lineRule="auto"/>
              <w:jc w:val="center"/>
              <w:rPr>
                <w:sz w:val="17"/>
                <w:szCs w:val="17"/>
              </w:rPr>
            </w:pPr>
          </w:p>
        </w:tc>
        <w:tc>
          <w:tcPr>
            <w:tcW w:w="465" w:type="dxa"/>
            <w:tcBorders>
              <w:top w:val="single" w:sz="2" w:space="0" w:color="auto"/>
              <w:left w:val="single" w:sz="2" w:space="0" w:color="auto"/>
              <w:bottom w:val="single" w:sz="2" w:space="0" w:color="auto"/>
              <w:right w:val="single" w:sz="2" w:space="0" w:color="auto"/>
            </w:tcBorders>
          </w:tcPr>
          <w:p w14:paraId="34946AFF" w14:textId="77777777" w:rsidR="00FF3482" w:rsidRPr="00677CE8" w:rsidRDefault="00FF3482" w:rsidP="00FF3482">
            <w:pPr>
              <w:pStyle w:val="Heading2"/>
              <w:spacing w:line="240" w:lineRule="auto"/>
              <w:jc w:val="center"/>
              <w:rPr>
                <w:sz w:val="17"/>
                <w:szCs w:val="17"/>
              </w:rPr>
            </w:pPr>
          </w:p>
        </w:tc>
        <w:tc>
          <w:tcPr>
            <w:tcW w:w="270" w:type="dxa"/>
            <w:tcBorders>
              <w:top w:val="single" w:sz="2" w:space="0" w:color="auto"/>
              <w:left w:val="single" w:sz="2" w:space="0" w:color="auto"/>
              <w:bottom w:val="single" w:sz="2" w:space="0" w:color="auto"/>
              <w:right w:val="single" w:sz="2" w:space="0" w:color="auto"/>
            </w:tcBorders>
            <w:vAlign w:val="center"/>
          </w:tcPr>
          <w:p w14:paraId="27405320" w14:textId="49B80B40" w:rsidR="00FF3482" w:rsidRPr="00677CE8" w:rsidRDefault="00FF3482" w:rsidP="00FF3482">
            <w:pPr>
              <w:pStyle w:val="Heading2"/>
              <w:spacing w:line="240" w:lineRule="auto"/>
              <w:jc w:val="center"/>
              <w:rPr>
                <w:sz w:val="17"/>
                <w:szCs w:val="17"/>
              </w:rPr>
            </w:pPr>
          </w:p>
        </w:tc>
        <w:tc>
          <w:tcPr>
            <w:tcW w:w="404" w:type="dxa"/>
            <w:tcBorders>
              <w:top w:val="single" w:sz="2" w:space="0" w:color="auto"/>
              <w:left w:val="single" w:sz="2" w:space="0" w:color="auto"/>
              <w:bottom w:val="single" w:sz="2" w:space="0" w:color="auto"/>
              <w:right w:val="single" w:sz="2" w:space="0" w:color="auto"/>
            </w:tcBorders>
            <w:vAlign w:val="center"/>
          </w:tcPr>
          <w:p w14:paraId="4A1B8AEC" w14:textId="2201E874" w:rsidR="00FF3482" w:rsidRPr="00677CE8" w:rsidRDefault="00FF3482" w:rsidP="00FF3482">
            <w:pPr>
              <w:pStyle w:val="Heading2"/>
              <w:spacing w:line="240" w:lineRule="auto"/>
              <w:jc w:val="center"/>
              <w:rPr>
                <w:sz w:val="17"/>
                <w:szCs w:val="17"/>
              </w:rPr>
            </w:pPr>
            <w:r w:rsidRPr="00677CE8">
              <w:rPr>
                <w:sz w:val="17"/>
                <w:szCs w:val="17"/>
              </w:rPr>
              <w:t>×</w:t>
            </w:r>
          </w:p>
        </w:tc>
        <w:tc>
          <w:tcPr>
            <w:tcW w:w="406" w:type="dxa"/>
            <w:tcBorders>
              <w:top w:val="single" w:sz="2" w:space="0" w:color="auto"/>
              <w:left w:val="single" w:sz="2" w:space="0" w:color="auto"/>
              <w:bottom w:val="single" w:sz="2" w:space="0" w:color="auto"/>
              <w:right w:val="single" w:sz="2" w:space="0" w:color="auto"/>
            </w:tcBorders>
            <w:vAlign w:val="center"/>
          </w:tcPr>
          <w:p w14:paraId="1DAD4C17" w14:textId="75C49000" w:rsidR="00FF3482" w:rsidRPr="00677CE8" w:rsidRDefault="00FF3482" w:rsidP="00FF3482">
            <w:pPr>
              <w:pStyle w:val="Heading2"/>
              <w:spacing w:line="240" w:lineRule="auto"/>
              <w:jc w:val="center"/>
              <w:rPr>
                <w:sz w:val="17"/>
                <w:szCs w:val="17"/>
              </w:rPr>
            </w:pPr>
          </w:p>
        </w:tc>
        <w:tc>
          <w:tcPr>
            <w:tcW w:w="3338" w:type="dxa"/>
            <w:tcBorders>
              <w:top w:val="single" w:sz="2" w:space="0" w:color="auto"/>
              <w:left w:val="single" w:sz="2" w:space="0" w:color="auto"/>
              <w:bottom w:val="single" w:sz="2" w:space="0" w:color="auto"/>
              <w:right w:val="single" w:sz="12" w:space="0" w:color="auto"/>
            </w:tcBorders>
            <w:vAlign w:val="center"/>
          </w:tcPr>
          <w:p w14:paraId="1C4CC55B" w14:textId="0289CE3E" w:rsidR="00FF3482" w:rsidRPr="00677CE8" w:rsidRDefault="00FF3482" w:rsidP="00FF3482">
            <w:pPr>
              <w:pStyle w:val="Heading2"/>
              <w:spacing w:line="240" w:lineRule="auto"/>
              <w:rPr>
                <w:b w:val="0"/>
                <w:bCs w:val="0"/>
                <w:sz w:val="17"/>
                <w:szCs w:val="17"/>
              </w:rPr>
            </w:pPr>
            <w:r w:rsidRPr="00677CE8">
              <w:rPr>
                <w:b w:val="0"/>
                <w:bCs w:val="0"/>
                <w:sz w:val="17"/>
                <w:szCs w:val="17"/>
              </w:rPr>
              <w:t>Did not consider</w:t>
            </w:r>
          </w:p>
        </w:tc>
      </w:tr>
      <w:tr w:rsidR="00FF3482" w:rsidRPr="00677CE8" w14:paraId="178E9658" w14:textId="77777777" w:rsidTr="00007FF5">
        <w:trPr>
          <w:jc w:val="center"/>
        </w:trPr>
        <w:tc>
          <w:tcPr>
            <w:tcW w:w="1876" w:type="dxa"/>
            <w:tcBorders>
              <w:top w:val="single" w:sz="2" w:space="0" w:color="auto"/>
              <w:left w:val="single" w:sz="12" w:space="0" w:color="000000" w:themeColor="text1"/>
              <w:bottom w:val="single" w:sz="12" w:space="0" w:color="000000" w:themeColor="text1"/>
              <w:right w:val="single" w:sz="2" w:space="0" w:color="auto"/>
            </w:tcBorders>
            <w:vAlign w:val="center"/>
          </w:tcPr>
          <w:p w14:paraId="1F01F0CD" w14:textId="3F8D32F0" w:rsidR="00FF3482" w:rsidRPr="00677CE8" w:rsidRDefault="00FF3482" w:rsidP="00FF3482">
            <w:pPr>
              <w:rPr>
                <w:sz w:val="17"/>
                <w:szCs w:val="17"/>
              </w:rPr>
            </w:pPr>
            <w:r w:rsidRPr="00677CE8">
              <w:rPr>
                <w:sz w:val="17"/>
                <w:szCs w:val="17"/>
              </w:rPr>
              <w:fldChar w:fldCharType="begin"/>
            </w:r>
            <w:r w:rsidRPr="00677CE8">
              <w:rPr>
                <w:sz w:val="17"/>
                <w:szCs w:val="17"/>
              </w:rPr>
              <w:instrText xml:space="preserve"> ADDIN ZOTERO_ITEM CSL_CITATION {"citationID":"snES0kop","properties":{"unsorted":false,"formattedCitation":"(Yavuz, 2024)","plainCitation":"(Yavuz, 2024)","dontUpdate":true,"noteIndex":0},"citationItems":[{"id":496,"uris":["http://zotero.org/groups/6194892/items/6UYT4TZT"],"itemData":{"id":496,"type":"article-journal","abstract":"AVs and UAM will provide many benefits. However, lack of user acceptance is the predominant barrier to the adoption of automated transport technologies. Yet, little is known about AV and UAM acceptability in developing countries. To this end, this study investigates the factors affecting the acceptability of AVs and UAM in Türkiye. The sample was drawn from 369 university students. An extended UTAUT model was established with additional hedonic motivation, perceived safety, and personal innovativeness constructs. Findings revealed that perceived safety and performance expectancy were the strongest determinants of behavioral intention to use AVs. On the other hand, social influence and hedonic motivation were the main drivers of UAM acceptability. Furthermore, personal innovativeness was a strong factor when estimating the utilitarian value in both models. The findings could guide the politicians, scholars, and stakeholders of the AV and the UAM market.","container-title":"Journal of Air Transport Management","DOI":"10.1016/j.jairtraman.2024.102546","ISSN":"0969-6997","page":"102546","source":"ScienceDirect","title":"Exploring University Students’ Acceptability of Autonomous Vehicles and Urban Air Mobility","volume":"115","author":[{"family":"Yavuz","given":"Yigit Can"}],"issued":{"date-parts":[["2024",3,1]]}}}],"schema":"https://github.com/citation-style-language/schema/raw/master/csl-citation.json"} </w:instrText>
            </w:r>
            <w:r w:rsidRPr="00677CE8">
              <w:rPr>
                <w:sz w:val="17"/>
                <w:szCs w:val="17"/>
              </w:rPr>
              <w:fldChar w:fldCharType="separate"/>
            </w:r>
            <w:r w:rsidRPr="00677CE8">
              <w:rPr>
                <w:sz w:val="17"/>
                <w:szCs w:val="17"/>
              </w:rPr>
              <w:fldChar w:fldCharType="end"/>
            </w:r>
            <w:r w:rsidRPr="00677CE8">
              <w:rPr>
                <w:sz w:val="17"/>
                <w:szCs w:val="17"/>
              </w:rPr>
              <w:t>Yavuz, 2024</w:t>
            </w:r>
          </w:p>
        </w:tc>
        <w:tc>
          <w:tcPr>
            <w:tcW w:w="1444" w:type="dxa"/>
            <w:tcBorders>
              <w:top w:val="single" w:sz="2" w:space="0" w:color="auto"/>
              <w:left w:val="single" w:sz="2" w:space="0" w:color="auto"/>
              <w:bottom w:val="single" w:sz="12" w:space="0" w:color="000000" w:themeColor="text1"/>
              <w:right w:val="single" w:sz="2" w:space="0" w:color="auto"/>
            </w:tcBorders>
            <w:vAlign w:val="center"/>
          </w:tcPr>
          <w:p w14:paraId="287FAA30" w14:textId="1CE5A8B7" w:rsidR="00FF3482" w:rsidRPr="00677CE8" w:rsidRDefault="00FF3482" w:rsidP="00FF3482">
            <w:pPr>
              <w:pStyle w:val="Heading2"/>
              <w:spacing w:line="240" w:lineRule="auto"/>
              <w:rPr>
                <w:b w:val="0"/>
                <w:bCs w:val="0"/>
                <w:sz w:val="17"/>
                <w:szCs w:val="17"/>
              </w:rPr>
            </w:pPr>
            <w:r w:rsidRPr="00677CE8">
              <w:rPr>
                <w:b w:val="0"/>
                <w:bCs w:val="0"/>
                <w:sz w:val="17"/>
                <w:szCs w:val="17"/>
              </w:rPr>
              <w:t>AT</w:t>
            </w:r>
          </w:p>
        </w:tc>
        <w:tc>
          <w:tcPr>
            <w:tcW w:w="1350" w:type="dxa"/>
            <w:tcBorders>
              <w:top w:val="single" w:sz="2" w:space="0" w:color="auto"/>
              <w:left w:val="single" w:sz="2" w:space="0" w:color="auto"/>
              <w:bottom w:val="single" w:sz="12" w:space="0" w:color="000000" w:themeColor="text1"/>
              <w:right w:val="single" w:sz="2" w:space="0" w:color="auto"/>
            </w:tcBorders>
            <w:vAlign w:val="center"/>
          </w:tcPr>
          <w:p w14:paraId="44B0B261" w14:textId="77777777" w:rsidR="00FF3482" w:rsidRPr="00677CE8" w:rsidRDefault="00FF3482" w:rsidP="00FF3482">
            <w:pPr>
              <w:pStyle w:val="Heading2"/>
              <w:spacing w:line="240" w:lineRule="auto"/>
              <w:rPr>
                <w:b w:val="0"/>
                <w:bCs w:val="0"/>
                <w:sz w:val="17"/>
                <w:szCs w:val="17"/>
              </w:rPr>
            </w:pPr>
          </w:p>
        </w:tc>
        <w:tc>
          <w:tcPr>
            <w:tcW w:w="445" w:type="dxa"/>
            <w:tcBorders>
              <w:top w:val="single" w:sz="2" w:space="0" w:color="auto"/>
              <w:left w:val="single" w:sz="2" w:space="0" w:color="auto"/>
              <w:bottom w:val="single" w:sz="12" w:space="0" w:color="000000" w:themeColor="text1"/>
              <w:right w:val="single" w:sz="2" w:space="0" w:color="auto"/>
            </w:tcBorders>
            <w:vAlign w:val="center"/>
          </w:tcPr>
          <w:p w14:paraId="49B7FCE4" w14:textId="77777777" w:rsidR="00FF3482" w:rsidRPr="00677CE8" w:rsidRDefault="00FF3482" w:rsidP="00FF3482">
            <w:pPr>
              <w:pStyle w:val="Heading2"/>
              <w:spacing w:line="240" w:lineRule="auto"/>
              <w:jc w:val="center"/>
              <w:rPr>
                <w:sz w:val="17"/>
                <w:szCs w:val="17"/>
              </w:rPr>
            </w:pPr>
          </w:p>
        </w:tc>
        <w:tc>
          <w:tcPr>
            <w:tcW w:w="277" w:type="dxa"/>
            <w:tcBorders>
              <w:top w:val="single" w:sz="2" w:space="0" w:color="auto"/>
              <w:left w:val="single" w:sz="2" w:space="0" w:color="auto"/>
              <w:bottom w:val="single" w:sz="12" w:space="0" w:color="000000" w:themeColor="text1"/>
              <w:right w:val="single" w:sz="2" w:space="0" w:color="auto"/>
            </w:tcBorders>
            <w:vAlign w:val="center"/>
          </w:tcPr>
          <w:p w14:paraId="326DA5DF" w14:textId="77777777" w:rsidR="00FF3482" w:rsidRPr="00677CE8" w:rsidRDefault="00FF3482" w:rsidP="00FF3482">
            <w:pPr>
              <w:pStyle w:val="Heading2"/>
              <w:spacing w:line="240" w:lineRule="auto"/>
              <w:jc w:val="center"/>
              <w:rPr>
                <w:sz w:val="17"/>
                <w:szCs w:val="17"/>
              </w:rPr>
            </w:pPr>
          </w:p>
        </w:tc>
        <w:tc>
          <w:tcPr>
            <w:tcW w:w="720" w:type="dxa"/>
            <w:tcBorders>
              <w:top w:val="single" w:sz="2" w:space="0" w:color="auto"/>
              <w:left w:val="single" w:sz="2" w:space="0" w:color="auto"/>
              <w:bottom w:val="single" w:sz="12" w:space="0" w:color="000000" w:themeColor="text1"/>
              <w:right w:val="single" w:sz="2" w:space="0" w:color="auto"/>
            </w:tcBorders>
            <w:vAlign w:val="center"/>
          </w:tcPr>
          <w:p w14:paraId="00157133" w14:textId="77777777" w:rsidR="00FF3482" w:rsidRPr="00677CE8" w:rsidRDefault="00FF3482" w:rsidP="00FF3482">
            <w:pPr>
              <w:pStyle w:val="Heading2"/>
              <w:spacing w:line="240" w:lineRule="auto"/>
              <w:jc w:val="center"/>
              <w:rPr>
                <w:sz w:val="17"/>
                <w:szCs w:val="17"/>
              </w:rPr>
            </w:pPr>
          </w:p>
        </w:tc>
        <w:tc>
          <w:tcPr>
            <w:tcW w:w="263" w:type="dxa"/>
            <w:tcBorders>
              <w:top w:val="single" w:sz="2" w:space="0" w:color="auto"/>
              <w:left w:val="single" w:sz="2" w:space="0" w:color="auto"/>
              <w:bottom w:val="single" w:sz="12" w:space="0" w:color="000000" w:themeColor="text1"/>
              <w:right w:val="single" w:sz="2" w:space="0" w:color="auto"/>
            </w:tcBorders>
            <w:vAlign w:val="center"/>
          </w:tcPr>
          <w:p w14:paraId="7D0F5932" w14:textId="77777777" w:rsidR="00FF3482" w:rsidRPr="00677CE8" w:rsidRDefault="00FF3482" w:rsidP="00FF3482">
            <w:pPr>
              <w:pStyle w:val="Heading2"/>
              <w:spacing w:line="240" w:lineRule="auto"/>
              <w:jc w:val="center"/>
              <w:rPr>
                <w:sz w:val="17"/>
                <w:szCs w:val="17"/>
              </w:rPr>
            </w:pPr>
          </w:p>
        </w:tc>
        <w:tc>
          <w:tcPr>
            <w:tcW w:w="461" w:type="dxa"/>
            <w:tcBorders>
              <w:top w:val="single" w:sz="2" w:space="0" w:color="auto"/>
              <w:left w:val="single" w:sz="2" w:space="0" w:color="auto"/>
              <w:bottom w:val="single" w:sz="12" w:space="0" w:color="000000" w:themeColor="text1"/>
              <w:right w:val="single" w:sz="2" w:space="0" w:color="auto"/>
            </w:tcBorders>
            <w:vAlign w:val="center"/>
          </w:tcPr>
          <w:p w14:paraId="51A45052" w14:textId="747D1158"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12" w:space="0" w:color="000000" w:themeColor="text1"/>
              <w:right w:val="single" w:sz="2" w:space="0" w:color="auto"/>
            </w:tcBorders>
            <w:vAlign w:val="center"/>
          </w:tcPr>
          <w:p w14:paraId="27AA4CBB" w14:textId="77777777"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12" w:space="0" w:color="000000" w:themeColor="text1"/>
              <w:right w:val="single" w:sz="2" w:space="0" w:color="auto"/>
            </w:tcBorders>
            <w:vAlign w:val="center"/>
          </w:tcPr>
          <w:p w14:paraId="4B4E7B79" w14:textId="77777777" w:rsidR="00FF3482" w:rsidRPr="00677CE8" w:rsidRDefault="00FF3482" w:rsidP="00FF3482">
            <w:pPr>
              <w:pStyle w:val="Heading2"/>
              <w:spacing w:line="240" w:lineRule="auto"/>
              <w:jc w:val="center"/>
              <w:rPr>
                <w:sz w:val="17"/>
                <w:szCs w:val="17"/>
              </w:rPr>
            </w:pPr>
          </w:p>
        </w:tc>
        <w:tc>
          <w:tcPr>
            <w:tcW w:w="527" w:type="dxa"/>
            <w:tcBorders>
              <w:top w:val="single" w:sz="2" w:space="0" w:color="auto"/>
              <w:left w:val="single" w:sz="2" w:space="0" w:color="auto"/>
              <w:bottom w:val="single" w:sz="12" w:space="0" w:color="000000" w:themeColor="text1"/>
              <w:right w:val="single" w:sz="2" w:space="0" w:color="auto"/>
            </w:tcBorders>
            <w:vAlign w:val="center"/>
          </w:tcPr>
          <w:p w14:paraId="1CE3AD1F" w14:textId="77777777" w:rsidR="00FF3482" w:rsidRPr="00677CE8" w:rsidRDefault="00FF3482" w:rsidP="00FF3482">
            <w:pPr>
              <w:pStyle w:val="Heading2"/>
              <w:spacing w:line="240" w:lineRule="auto"/>
              <w:jc w:val="center"/>
              <w:rPr>
                <w:sz w:val="17"/>
                <w:szCs w:val="17"/>
              </w:rPr>
            </w:pPr>
          </w:p>
        </w:tc>
        <w:tc>
          <w:tcPr>
            <w:tcW w:w="559" w:type="dxa"/>
            <w:tcBorders>
              <w:top w:val="single" w:sz="2" w:space="0" w:color="auto"/>
              <w:left w:val="single" w:sz="2" w:space="0" w:color="auto"/>
              <w:bottom w:val="single" w:sz="12" w:space="0" w:color="000000" w:themeColor="text1"/>
              <w:right w:val="single" w:sz="2" w:space="0" w:color="auto"/>
            </w:tcBorders>
            <w:vAlign w:val="center"/>
          </w:tcPr>
          <w:p w14:paraId="657541C5" w14:textId="77777777" w:rsidR="00FF3482" w:rsidRPr="00677CE8" w:rsidRDefault="00FF3482" w:rsidP="00FF3482">
            <w:pPr>
              <w:pStyle w:val="Heading2"/>
              <w:spacing w:line="240" w:lineRule="auto"/>
              <w:jc w:val="center"/>
              <w:rPr>
                <w:sz w:val="17"/>
                <w:szCs w:val="17"/>
              </w:rPr>
            </w:pPr>
          </w:p>
        </w:tc>
        <w:tc>
          <w:tcPr>
            <w:tcW w:w="433" w:type="dxa"/>
            <w:tcBorders>
              <w:top w:val="single" w:sz="2" w:space="0" w:color="auto"/>
              <w:left w:val="single" w:sz="2" w:space="0" w:color="auto"/>
              <w:bottom w:val="single" w:sz="12" w:space="0" w:color="000000" w:themeColor="text1"/>
              <w:right w:val="single" w:sz="2" w:space="0" w:color="auto"/>
            </w:tcBorders>
            <w:vAlign w:val="center"/>
          </w:tcPr>
          <w:p w14:paraId="5E6915A8" w14:textId="77777777" w:rsidR="00FF3482" w:rsidRPr="00677CE8" w:rsidRDefault="00FF3482" w:rsidP="00FF3482">
            <w:pPr>
              <w:pStyle w:val="Heading2"/>
              <w:spacing w:line="240" w:lineRule="auto"/>
              <w:jc w:val="center"/>
              <w:rPr>
                <w:sz w:val="17"/>
                <w:szCs w:val="17"/>
              </w:rPr>
            </w:pPr>
          </w:p>
        </w:tc>
        <w:tc>
          <w:tcPr>
            <w:tcW w:w="525" w:type="dxa"/>
            <w:tcBorders>
              <w:top w:val="single" w:sz="2" w:space="0" w:color="auto"/>
              <w:left w:val="single" w:sz="2" w:space="0" w:color="auto"/>
              <w:bottom w:val="single" w:sz="12" w:space="0" w:color="000000" w:themeColor="text1"/>
              <w:right w:val="single" w:sz="2" w:space="0" w:color="auto"/>
            </w:tcBorders>
          </w:tcPr>
          <w:p w14:paraId="0070A7E0" w14:textId="77777777" w:rsidR="00FF3482" w:rsidRPr="00677CE8" w:rsidRDefault="00FF3482" w:rsidP="00FF3482">
            <w:pPr>
              <w:pStyle w:val="Heading2"/>
              <w:spacing w:line="240" w:lineRule="auto"/>
              <w:jc w:val="center"/>
              <w:rPr>
                <w:sz w:val="17"/>
                <w:szCs w:val="17"/>
              </w:rPr>
            </w:pPr>
          </w:p>
        </w:tc>
        <w:tc>
          <w:tcPr>
            <w:tcW w:w="465" w:type="dxa"/>
            <w:tcBorders>
              <w:top w:val="single" w:sz="2" w:space="0" w:color="auto"/>
              <w:left w:val="single" w:sz="2" w:space="0" w:color="auto"/>
              <w:bottom w:val="single" w:sz="12" w:space="0" w:color="000000" w:themeColor="text1"/>
              <w:right w:val="single" w:sz="2" w:space="0" w:color="auto"/>
            </w:tcBorders>
          </w:tcPr>
          <w:p w14:paraId="7E96695D" w14:textId="77777777" w:rsidR="00FF3482" w:rsidRPr="00677CE8" w:rsidRDefault="00FF3482" w:rsidP="00FF3482">
            <w:pPr>
              <w:pStyle w:val="Heading2"/>
              <w:spacing w:line="240" w:lineRule="auto"/>
              <w:jc w:val="center"/>
              <w:rPr>
                <w:sz w:val="17"/>
                <w:szCs w:val="17"/>
              </w:rPr>
            </w:pPr>
          </w:p>
        </w:tc>
        <w:tc>
          <w:tcPr>
            <w:tcW w:w="270" w:type="dxa"/>
            <w:tcBorders>
              <w:top w:val="single" w:sz="2" w:space="0" w:color="auto"/>
              <w:left w:val="single" w:sz="2" w:space="0" w:color="auto"/>
              <w:bottom w:val="single" w:sz="12" w:space="0" w:color="000000" w:themeColor="text1"/>
              <w:right w:val="single" w:sz="2" w:space="0" w:color="auto"/>
            </w:tcBorders>
            <w:vAlign w:val="center"/>
          </w:tcPr>
          <w:p w14:paraId="7498FDF6" w14:textId="3CD97CD2" w:rsidR="00FF3482" w:rsidRPr="00677CE8" w:rsidRDefault="00FF3482" w:rsidP="00FF3482">
            <w:pPr>
              <w:pStyle w:val="Heading2"/>
              <w:spacing w:line="240" w:lineRule="auto"/>
              <w:jc w:val="center"/>
              <w:rPr>
                <w:sz w:val="17"/>
                <w:szCs w:val="17"/>
              </w:rPr>
            </w:pPr>
            <w:r w:rsidRPr="00677CE8">
              <w:rPr>
                <w:sz w:val="17"/>
                <w:szCs w:val="17"/>
              </w:rPr>
              <w:t>×</w:t>
            </w:r>
          </w:p>
        </w:tc>
        <w:tc>
          <w:tcPr>
            <w:tcW w:w="404" w:type="dxa"/>
            <w:tcBorders>
              <w:top w:val="single" w:sz="2" w:space="0" w:color="auto"/>
              <w:left w:val="single" w:sz="2" w:space="0" w:color="auto"/>
              <w:bottom w:val="single" w:sz="12" w:space="0" w:color="000000" w:themeColor="text1"/>
              <w:right w:val="single" w:sz="2" w:space="0" w:color="auto"/>
            </w:tcBorders>
            <w:vAlign w:val="center"/>
          </w:tcPr>
          <w:p w14:paraId="2C53C692" w14:textId="2286AA96" w:rsidR="00FF3482" w:rsidRPr="00677CE8" w:rsidRDefault="00FF3482" w:rsidP="00FF3482">
            <w:pPr>
              <w:pStyle w:val="Heading2"/>
              <w:spacing w:line="240" w:lineRule="auto"/>
              <w:jc w:val="center"/>
              <w:rPr>
                <w:sz w:val="17"/>
                <w:szCs w:val="17"/>
              </w:rPr>
            </w:pPr>
          </w:p>
        </w:tc>
        <w:tc>
          <w:tcPr>
            <w:tcW w:w="406" w:type="dxa"/>
            <w:tcBorders>
              <w:top w:val="single" w:sz="2" w:space="0" w:color="auto"/>
              <w:left w:val="single" w:sz="2" w:space="0" w:color="auto"/>
              <w:bottom w:val="single" w:sz="12" w:space="0" w:color="000000" w:themeColor="text1"/>
              <w:right w:val="single" w:sz="2" w:space="0" w:color="auto"/>
            </w:tcBorders>
            <w:vAlign w:val="center"/>
          </w:tcPr>
          <w:p w14:paraId="24F5A0CA" w14:textId="77777777" w:rsidR="00FF3482" w:rsidRPr="00677CE8" w:rsidRDefault="00FF3482" w:rsidP="00FF3482">
            <w:pPr>
              <w:pStyle w:val="Heading2"/>
              <w:spacing w:line="240" w:lineRule="auto"/>
              <w:jc w:val="center"/>
              <w:rPr>
                <w:sz w:val="17"/>
                <w:szCs w:val="17"/>
              </w:rPr>
            </w:pPr>
          </w:p>
        </w:tc>
        <w:tc>
          <w:tcPr>
            <w:tcW w:w="3338" w:type="dxa"/>
            <w:tcBorders>
              <w:top w:val="single" w:sz="2" w:space="0" w:color="auto"/>
              <w:left w:val="single" w:sz="2" w:space="0" w:color="auto"/>
              <w:bottom w:val="single" w:sz="12" w:space="0" w:color="000000" w:themeColor="text1"/>
              <w:right w:val="single" w:sz="12" w:space="0" w:color="000000" w:themeColor="text1"/>
            </w:tcBorders>
            <w:vAlign w:val="center"/>
          </w:tcPr>
          <w:p w14:paraId="7E261F60" w14:textId="6A45B4F5" w:rsidR="00FF3482" w:rsidRPr="00677CE8" w:rsidRDefault="00FF3482" w:rsidP="00FF3482">
            <w:pPr>
              <w:pStyle w:val="Heading2"/>
              <w:spacing w:line="240" w:lineRule="auto"/>
              <w:rPr>
                <w:b w:val="0"/>
                <w:bCs w:val="0"/>
                <w:sz w:val="17"/>
                <w:szCs w:val="17"/>
              </w:rPr>
            </w:pPr>
            <w:r w:rsidRPr="00677CE8">
              <w:rPr>
                <w:b w:val="0"/>
                <w:bCs w:val="0"/>
                <w:sz w:val="17"/>
                <w:szCs w:val="17"/>
              </w:rPr>
              <w:t>Tech-savviness, Safety perceptions</w:t>
            </w:r>
          </w:p>
        </w:tc>
      </w:tr>
      <w:tr w:rsidR="00FF3482" w:rsidRPr="00677CE8" w14:paraId="16C3F0C7" w14:textId="77777777" w:rsidTr="00007FF5">
        <w:trPr>
          <w:jc w:val="center"/>
        </w:trPr>
        <w:tc>
          <w:tcPr>
            <w:tcW w:w="14485" w:type="dxa"/>
            <w:gridSpan w:val="19"/>
            <w:tcBorders>
              <w:top w:val="single" w:sz="12" w:space="0" w:color="auto"/>
              <w:left w:val="single" w:sz="12" w:space="0" w:color="auto"/>
              <w:bottom w:val="single" w:sz="12" w:space="0" w:color="auto"/>
              <w:right w:val="single" w:sz="12" w:space="0" w:color="auto"/>
            </w:tcBorders>
          </w:tcPr>
          <w:p w14:paraId="3A43DD62" w14:textId="2D07BCE0" w:rsidR="00FF3482" w:rsidRPr="00677CE8" w:rsidRDefault="00FF3482" w:rsidP="00FF3482">
            <w:pPr>
              <w:pStyle w:val="Heading2"/>
              <w:spacing w:line="240" w:lineRule="auto"/>
              <w:rPr>
                <w:sz w:val="17"/>
                <w:szCs w:val="17"/>
              </w:rPr>
            </w:pPr>
            <w:r w:rsidRPr="00677CE8">
              <w:rPr>
                <w:sz w:val="17"/>
                <w:szCs w:val="17"/>
              </w:rPr>
              <w:t>UAM SP Experiments</w:t>
            </w:r>
          </w:p>
        </w:tc>
      </w:tr>
      <w:tr w:rsidR="00FF3482" w:rsidRPr="00677CE8" w14:paraId="2669A27B" w14:textId="77777777" w:rsidTr="00007FF5">
        <w:trPr>
          <w:jc w:val="center"/>
        </w:trPr>
        <w:tc>
          <w:tcPr>
            <w:tcW w:w="1876" w:type="dxa"/>
            <w:tcBorders>
              <w:top w:val="single" w:sz="12" w:space="0" w:color="000000" w:themeColor="text1"/>
              <w:left w:val="single" w:sz="12" w:space="0" w:color="auto"/>
              <w:bottom w:val="single" w:sz="2" w:space="0" w:color="auto"/>
              <w:right w:val="single" w:sz="2" w:space="0" w:color="auto"/>
            </w:tcBorders>
            <w:vAlign w:val="center"/>
          </w:tcPr>
          <w:p w14:paraId="5696804A" w14:textId="41796A83" w:rsidR="00FF3482" w:rsidRPr="00677CE8" w:rsidRDefault="00FF3482" w:rsidP="00FF3482">
            <w:pPr>
              <w:rPr>
                <w:sz w:val="17"/>
                <w:szCs w:val="17"/>
              </w:rPr>
            </w:pPr>
            <w:r w:rsidRPr="00677CE8">
              <w:rPr>
                <w:sz w:val="17"/>
                <w:szCs w:val="17"/>
              </w:rPr>
              <w:t>Adamidis et al., 20205</w:t>
            </w:r>
          </w:p>
        </w:tc>
        <w:tc>
          <w:tcPr>
            <w:tcW w:w="1444" w:type="dxa"/>
            <w:tcBorders>
              <w:top w:val="single" w:sz="12" w:space="0" w:color="000000" w:themeColor="text1"/>
              <w:left w:val="single" w:sz="2" w:space="0" w:color="auto"/>
              <w:bottom w:val="single" w:sz="2" w:space="0" w:color="auto"/>
              <w:right w:val="single" w:sz="2" w:space="0" w:color="auto"/>
            </w:tcBorders>
            <w:vAlign w:val="center"/>
          </w:tcPr>
          <w:p w14:paraId="66C4713F" w14:textId="69F80AFD" w:rsidR="00FF3482" w:rsidRPr="00677CE8" w:rsidRDefault="00FF3482" w:rsidP="00FF3482">
            <w:pPr>
              <w:pStyle w:val="Heading2"/>
              <w:spacing w:line="240" w:lineRule="auto"/>
              <w:rPr>
                <w:b w:val="0"/>
                <w:bCs w:val="0"/>
                <w:sz w:val="17"/>
                <w:szCs w:val="17"/>
              </w:rPr>
            </w:pPr>
            <w:r w:rsidRPr="00677CE8">
              <w:rPr>
                <w:b w:val="0"/>
                <w:bCs w:val="0"/>
                <w:sz w:val="17"/>
                <w:szCs w:val="17"/>
              </w:rPr>
              <w:t>Airport Suttle</w:t>
            </w:r>
          </w:p>
        </w:tc>
        <w:tc>
          <w:tcPr>
            <w:tcW w:w="1350" w:type="dxa"/>
            <w:tcBorders>
              <w:top w:val="single" w:sz="12" w:space="0" w:color="000000" w:themeColor="text1"/>
              <w:left w:val="single" w:sz="2" w:space="0" w:color="auto"/>
              <w:bottom w:val="single" w:sz="2" w:space="0" w:color="auto"/>
              <w:right w:val="single" w:sz="2" w:space="0" w:color="auto"/>
            </w:tcBorders>
            <w:vAlign w:val="center"/>
          </w:tcPr>
          <w:p w14:paraId="193959FA" w14:textId="33D71037" w:rsidR="00FF3482" w:rsidRPr="00677CE8" w:rsidRDefault="00FF3482" w:rsidP="00FF3482">
            <w:pPr>
              <w:pStyle w:val="Heading2"/>
              <w:spacing w:line="240" w:lineRule="auto"/>
              <w:rPr>
                <w:b w:val="0"/>
                <w:bCs w:val="0"/>
                <w:sz w:val="17"/>
                <w:szCs w:val="17"/>
              </w:rPr>
            </w:pPr>
            <w:r w:rsidRPr="00677CE8">
              <w:rPr>
                <w:b w:val="0"/>
                <w:bCs w:val="0"/>
                <w:sz w:val="17"/>
                <w:szCs w:val="17"/>
              </w:rPr>
              <w:t>PT, RH, PV</w:t>
            </w:r>
          </w:p>
        </w:tc>
        <w:tc>
          <w:tcPr>
            <w:tcW w:w="445" w:type="dxa"/>
            <w:tcBorders>
              <w:top w:val="single" w:sz="12" w:space="0" w:color="000000" w:themeColor="text1"/>
              <w:left w:val="single" w:sz="2" w:space="0" w:color="auto"/>
              <w:bottom w:val="single" w:sz="2" w:space="0" w:color="auto"/>
              <w:right w:val="single" w:sz="2" w:space="0" w:color="auto"/>
            </w:tcBorders>
            <w:vAlign w:val="center"/>
          </w:tcPr>
          <w:p w14:paraId="483D885D" w14:textId="527F9C73" w:rsidR="00FF3482" w:rsidRPr="00677CE8" w:rsidRDefault="00FF3482" w:rsidP="00FF3482">
            <w:pPr>
              <w:pStyle w:val="Heading2"/>
              <w:spacing w:line="240" w:lineRule="auto"/>
              <w:jc w:val="center"/>
              <w:rPr>
                <w:sz w:val="17"/>
                <w:szCs w:val="17"/>
              </w:rPr>
            </w:pPr>
            <w:r w:rsidRPr="00677CE8">
              <w:rPr>
                <w:sz w:val="17"/>
                <w:szCs w:val="17"/>
              </w:rPr>
              <w:t>×</w:t>
            </w:r>
          </w:p>
        </w:tc>
        <w:tc>
          <w:tcPr>
            <w:tcW w:w="277" w:type="dxa"/>
            <w:tcBorders>
              <w:top w:val="single" w:sz="12" w:space="0" w:color="000000" w:themeColor="text1"/>
              <w:left w:val="single" w:sz="2" w:space="0" w:color="auto"/>
              <w:bottom w:val="single" w:sz="2" w:space="0" w:color="auto"/>
              <w:right w:val="single" w:sz="2" w:space="0" w:color="auto"/>
            </w:tcBorders>
            <w:vAlign w:val="center"/>
          </w:tcPr>
          <w:p w14:paraId="7BA528A1" w14:textId="04A1D39A" w:rsidR="00FF3482" w:rsidRPr="00677CE8" w:rsidRDefault="00FF3482" w:rsidP="00FF3482">
            <w:pPr>
              <w:pStyle w:val="Heading2"/>
              <w:spacing w:line="240" w:lineRule="auto"/>
              <w:jc w:val="center"/>
              <w:rPr>
                <w:sz w:val="17"/>
                <w:szCs w:val="17"/>
              </w:rPr>
            </w:pPr>
            <w:r w:rsidRPr="00677CE8">
              <w:rPr>
                <w:sz w:val="17"/>
                <w:szCs w:val="17"/>
              </w:rPr>
              <w:t>×</w:t>
            </w:r>
          </w:p>
        </w:tc>
        <w:tc>
          <w:tcPr>
            <w:tcW w:w="720" w:type="dxa"/>
            <w:tcBorders>
              <w:top w:val="single" w:sz="12" w:space="0" w:color="000000" w:themeColor="text1"/>
              <w:left w:val="single" w:sz="2" w:space="0" w:color="auto"/>
              <w:bottom w:val="single" w:sz="2" w:space="0" w:color="auto"/>
              <w:right w:val="single" w:sz="2" w:space="0" w:color="auto"/>
            </w:tcBorders>
            <w:vAlign w:val="center"/>
          </w:tcPr>
          <w:p w14:paraId="558A00C5" w14:textId="77777777" w:rsidR="00FF3482" w:rsidRPr="00677CE8" w:rsidRDefault="00FF3482" w:rsidP="00FF3482">
            <w:pPr>
              <w:pStyle w:val="Heading2"/>
              <w:spacing w:line="240" w:lineRule="auto"/>
              <w:jc w:val="center"/>
              <w:rPr>
                <w:sz w:val="17"/>
                <w:szCs w:val="17"/>
              </w:rPr>
            </w:pPr>
          </w:p>
        </w:tc>
        <w:tc>
          <w:tcPr>
            <w:tcW w:w="263" w:type="dxa"/>
            <w:tcBorders>
              <w:top w:val="single" w:sz="12" w:space="0" w:color="000000" w:themeColor="text1"/>
              <w:left w:val="single" w:sz="2" w:space="0" w:color="auto"/>
              <w:bottom w:val="single" w:sz="2" w:space="0" w:color="auto"/>
              <w:right w:val="single" w:sz="2" w:space="0" w:color="auto"/>
            </w:tcBorders>
            <w:vAlign w:val="center"/>
          </w:tcPr>
          <w:p w14:paraId="69F40408" w14:textId="6C076E55" w:rsidR="00FF3482" w:rsidRPr="00677CE8" w:rsidRDefault="00FF3482" w:rsidP="00FF3482">
            <w:pPr>
              <w:pStyle w:val="Heading2"/>
              <w:spacing w:line="240" w:lineRule="auto"/>
              <w:jc w:val="center"/>
              <w:rPr>
                <w:sz w:val="17"/>
                <w:szCs w:val="17"/>
              </w:rPr>
            </w:pPr>
            <w:r w:rsidRPr="00677CE8">
              <w:rPr>
                <w:sz w:val="17"/>
                <w:szCs w:val="17"/>
              </w:rPr>
              <w:t>×</w:t>
            </w:r>
          </w:p>
        </w:tc>
        <w:tc>
          <w:tcPr>
            <w:tcW w:w="461" w:type="dxa"/>
            <w:tcBorders>
              <w:top w:val="single" w:sz="12" w:space="0" w:color="000000" w:themeColor="text1"/>
              <w:left w:val="single" w:sz="2" w:space="0" w:color="auto"/>
              <w:bottom w:val="single" w:sz="2" w:space="0" w:color="auto"/>
              <w:right w:val="single" w:sz="2" w:space="0" w:color="auto"/>
            </w:tcBorders>
            <w:vAlign w:val="center"/>
          </w:tcPr>
          <w:p w14:paraId="2A4C5B23" w14:textId="50DDD9A9" w:rsidR="00FF3482" w:rsidRPr="00677CE8" w:rsidRDefault="00FF3482" w:rsidP="00FF3482">
            <w:pPr>
              <w:pStyle w:val="Heading2"/>
              <w:spacing w:line="240" w:lineRule="auto"/>
              <w:jc w:val="center"/>
              <w:rPr>
                <w:sz w:val="17"/>
                <w:szCs w:val="17"/>
              </w:rPr>
            </w:pPr>
          </w:p>
        </w:tc>
        <w:tc>
          <w:tcPr>
            <w:tcW w:w="360" w:type="dxa"/>
            <w:tcBorders>
              <w:top w:val="single" w:sz="12" w:space="0" w:color="000000" w:themeColor="text1"/>
              <w:left w:val="single" w:sz="2" w:space="0" w:color="auto"/>
              <w:bottom w:val="single" w:sz="2" w:space="0" w:color="auto"/>
              <w:right w:val="single" w:sz="2" w:space="0" w:color="auto"/>
            </w:tcBorders>
            <w:vAlign w:val="center"/>
          </w:tcPr>
          <w:p w14:paraId="4E5111D3" w14:textId="77777777" w:rsidR="00FF3482" w:rsidRPr="00677CE8" w:rsidRDefault="00FF3482" w:rsidP="00FF3482">
            <w:pPr>
              <w:pStyle w:val="Heading2"/>
              <w:spacing w:line="240" w:lineRule="auto"/>
              <w:jc w:val="center"/>
              <w:rPr>
                <w:sz w:val="17"/>
                <w:szCs w:val="17"/>
              </w:rPr>
            </w:pPr>
          </w:p>
        </w:tc>
        <w:tc>
          <w:tcPr>
            <w:tcW w:w="360" w:type="dxa"/>
            <w:tcBorders>
              <w:top w:val="single" w:sz="12" w:space="0" w:color="000000" w:themeColor="text1"/>
              <w:left w:val="single" w:sz="2" w:space="0" w:color="auto"/>
              <w:bottom w:val="single" w:sz="2" w:space="0" w:color="auto"/>
              <w:right w:val="single" w:sz="2" w:space="0" w:color="auto"/>
            </w:tcBorders>
            <w:vAlign w:val="center"/>
          </w:tcPr>
          <w:p w14:paraId="1725A9C4" w14:textId="77777777" w:rsidR="00FF3482" w:rsidRPr="00677CE8" w:rsidRDefault="00FF3482" w:rsidP="00FF3482">
            <w:pPr>
              <w:pStyle w:val="Heading2"/>
              <w:spacing w:line="240" w:lineRule="auto"/>
              <w:jc w:val="center"/>
              <w:rPr>
                <w:sz w:val="17"/>
                <w:szCs w:val="17"/>
              </w:rPr>
            </w:pPr>
          </w:p>
        </w:tc>
        <w:tc>
          <w:tcPr>
            <w:tcW w:w="527" w:type="dxa"/>
            <w:tcBorders>
              <w:top w:val="single" w:sz="12" w:space="0" w:color="000000" w:themeColor="text1"/>
              <w:left w:val="single" w:sz="2" w:space="0" w:color="auto"/>
              <w:bottom w:val="single" w:sz="2" w:space="0" w:color="auto"/>
              <w:right w:val="single" w:sz="2" w:space="0" w:color="auto"/>
            </w:tcBorders>
            <w:vAlign w:val="center"/>
          </w:tcPr>
          <w:p w14:paraId="4A411692" w14:textId="77777777" w:rsidR="00FF3482" w:rsidRPr="00677CE8" w:rsidRDefault="00FF3482" w:rsidP="00FF3482">
            <w:pPr>
              <w:pStyle w:val="Heading2"/>
              <w:spacing w:line="240" w:lineRule="auto"/>
              <w:jc w:val="center"/>
              <w:rPr>
                <w:sz w:val="17"/>
                <w:szCs w:val="17"/>
              </w:rPr>
            </w:pPr>
          </w:p>
        </w:tc>
        <w:tc>
          <w:tcPr>
            <w:tcW w:w="559" w:type="dxa"/>
            <w:tcBorders>
              <w:top w:val="single" w:sz="12" w:space="0" w:color="000000" w:themeColor="text1"/>
              <w:left w:val="single" w:sz="2" w:space="0" w:color="auto"/>
              <w:bottom w:val="single" w:sz="2" w:space="0" w:color="auto"/>
              <w:right w:val="single" w:sz="2" w:space="0" w:color="auto"/>
            </w:tcBorders>
            <w:vAlign w:val="center"/>
          </w:tcPr>
          <w:p w14:paraId="3E0BC29F" w14:textId="77777777" w:rsidR="00FF3482" w:rsidRPr="00677CE8" w:rsidRDefault="00FF3482" w:rsidP="00FF3482">
            <w:pPr>
              <w:pStyle w:val="Heading2"/>
              <w:spacing w:line="240" w:lineRule="auto"/>
              <w:jc w:val="center"/>
              <w:rPr>
                <w:sz w:val="17"/>
                <w:szCs w:val="17"/>
              </w:rPr>
            </w:pPr>
          </w:p>
        </w:tc>
        <w:tc>
          <w:tcPr>
            <w:tcW w:w="433" w:type="dxa"/>
            <w:tcBorders>
              <w:top w:val="single" w:sz="12" w:space="0" w:color="000000" w:themeColor="text1"/>
              <w:left w:val="single" w:sz="2" w:space="0" w:color="auto"/>
              <w:bottom w:val="single" w:sz="2" w:space="0" w:color="auto"/>
              <w:right w:val="single" w:sz="2" w:space="0" w:color="auto"/>
            </w:tcBorders>
            <w:vAlign w:val="center"/>
          </w:tcPr>
          <w:p w14:paraId="64361099" w14:textId="77777777" w:rsidR="00FF3482" w:rsidRPr="00677CE8" w:rsidRDefault="00FF3482" w:rsidP="00FF3482">
            <w:pPr>
              <w:pStyle w:val="Heading2"/>
              <w:spacing w:line="240" w:lineRule="auto"/>
              <w:jc w:val="center"/>
              <w:rPr>
                <w:sz w:val="17"/>
                <w:szCs w:val="17"/>
              </w:rPr>
            </w:pPr>
          </w:p>
        </w:tc>
        <w:tc>
          <w:tcPr>
            <w:tcW w:w="525" w:type="dxa"/>
            <w:tcBorders>
              <w:top w:val="single" w:sz="12" w:space="0" w:color="000000" w:themeColor="text1"/>
              <w:left w:val="single" w:sz="2" w:space="0" w:color="auto"/>
              <w:bottom w:val="single" w:sz="2" w:space="0" w:color="auto"/>
              <w:right w:val="single" w:sz="2" w:space="0" w:color="auto"/>
            </w:tcBorders>
          </w:tcPr>
          <w:p w14:paraId="47CD08D2" w14:textId="77777777" w:rsidR="00FF3482" w:rsidRPr="00677CE8" w:rsidRDefault="00FF3482" w:rsidP="00FF3482">
            <w:pPr>
              <w:pStyle w:val="Heading2"/>
              <w:spacing w:line="240" w:lineRule="auto"/>
              <w:jc w:val="center"/>
              <w:rPr>
                <w:sz w:val="17"/>
                <w:szCs w:val="17"/>
              </w:rPr>
            </w:pPr>
          </w:p>
        </w:tc>
        <w:tc>
          <w:tcPr>
            <w:tcW w:w="465" w:type="dxa"/>
            <w:tcBorders>
              <w:top w:val="single" w:sz="12" w:space="0" w:color="000000" w:themeColor="text1"/>
              <w:left w:val="single" w:sz="2" w:space="0" w:color="auto"/>
              <w:bottom w:val="single" w:sz="2" w:space="0" w:color="auto"/>
              <w:right w:val="single" w:sz="2" w:space="0" w:color="auto"/>
            </w:tcBorders>
          </w:tcPr>
          <w:p w14:paraId="47D77FDC" w14:textId="77777777" w:rsidR="00FF3482" w:rsidRPr="00677CE8" w:rsidRDefault="00FF3482" w:rsidP="00FF3482">
            <w:pPr>
              <w:pStyle w:val="Heading2"/>
              <w:spacing w:line="240" w:lineRule="auto"/>
              <w:jc w:val="center"/>
              <w:rPr>
                <w:sz w:val="17"/>
                <w:szCs w:val="17"/>
              </w:rPr>
            </w:pPr>
          </w:p>
        </w:tc>
        <w:tc>
          <w:tcPr>
            <w:tcW w:w="270" w:type="dxa"/>
            <w:tcBorders>
              <w:top w:val="single" w:sz="12" w:space="0" w:color="000000" w:themeColor="text1"/>
              <w:left w:val="single" w:sz="2" w:space="0" w:color="auto"/>
              <w:bottom w:val="single" w:sz="2" w:space="0" w:color="auto"/>
              <w:right w:val="single" w:sz="2" w:space="0" w:color="auto"/>
            </w:tcBorders>
            <w:vAlign w:val="center"/>
          </w:tcPr>
          <w:p w14:paraId="09279853" w14:textId="5890D8BC" w:rsidR="00FF3482" w:rsidRPr="00677CE8" w:rsidRDefault="00FF3482" w:rsidP="00FF3482">
            <w:pPr>
              <w:pStyle w:val="Heading2"/>
              <w:spacing w:line="240" w:lineRule="auto"/>
              <w:jc w:val="center"/>
              <w:rPr>
                <w:sz w:val="17"/>
                <w:szCs w:val="17"/>
              </w:rPr>
            </w:pPr>
          </w:p>
        </w:tc>
        <w:tc>
          <w:tcPr>
            <w:tcW w:w="404" w:type="dxa"/>
            <w:tcBorders>
              <w:top w:val="single" w:sz="12" w:space="0" w:color="000000" w:themeColor="text1"/>
              <w:left w:val="single" w:sz="2" w:space="0" w:color="auto"/>
              <w:bottom w:val="single" w:sz="2" w:space="0" w:color="auto"/>
              <w:right w:val="single" w:sz="2" w:space="0" w:color="auto"/>
            </w:tcBorders>
            <w:vAlign w:val="center"/>
          </w:tcPr>
          <w:p w14:paraId="0196235D" w14:textId="0EC32CC0" w:rsidR="00FF3482" w:rsidRPr="00677CE8" w:rsidRDefault="005E65C0" w:rsidP="00FF3482">
            <w:pPr>
              <w:pStyle w:val="Heading2"/>
              <w:spacing w:line="240" w:lineRule="auto"/>
              <w:jc w:val="center"/>
              <w:rPr>
                <w:sz w:val="17"/>
                <w:szCs w:val="17"/>
              </w:rPr>
            </w:pPr>
            <w:r w:rsidRPr="00677CE8">
              <w:rPr>
                <w:sz w:val="17"/>
                <w:szCs w:val="17"/>
              </w:rPr>
              <w:t>×</w:t>
            </w:r>
          </w:p>
        </w:tc>
        <w:tc>
          <w:tcPr>
            <w:tcW w:w="406" w:type="dxa"/>
            <w:tcBorders>
              <w:top w:val="single" w:sz="12" w:space="0" w:color="000000" w:themeColor="text1"/>
              <w:left w:val="single" w:sz="2" w:space="0" w:color="auto"/>
              <w:bottom w:val="single" w:sz="2" w:space="0" w:color="auto"/>
              <w:right w:val="single" w:sz="2" w:space="0" w:color="auto"/>
            </w:tcBorders>
          </w:tcPr>
          <w:p w14:paraId="77D75324" w14:textId="77777777" w:rsidR="00FF3482" w:rsidRPr="00677CE8" w:rsidRDefault="00FF3482" w:rsidP="00FF3482">
            <w:pPr>
              <w:pStyle w:val="Heading2"/>
              <w:spacing w:line="240" w:lineRule="auto"/>
              <w:jc w:val="center"/>
              <w:rPr>
                <w:sz w:val="17"/>
                <w:szCs w:val="17"/>
              </w:rPr>
            </w:pPr>
          </w:p>
        </w:tc>
        <w:tc>
          <w:tcPr>
            <w:tcW w:w="3338" w:type="dxa"/>
            <w:tcBorders>
              <w:top w:val="single" w:sz="12" w:space="0" w:color="000000" w:themeColor="text1"/>
              <w:left w:val="single" w:sz="2" w:space="0" w:color="auto"/>
              <w:bottom w:val="single" w:sz="2" w:space="0" w:color="auto"/>
              <w:right w:val="single" w:sz="12" w:space="0" w:color="auto"/>
            </w:tcBorders>
            <w:vAlign w:val="center"/>
          </w:tcPr>
          <w:p w14:paraId="1A9D7A4D" w14:textId="69E50915" w:rsidR="00FF3482" w:rsidRPr="00677CE8" w:rsidRDefault="00FF3482" w:rsidP="00FF3482">
            <w:pPr>
              <w:pStyle w:val="Heading2"/>
              <w:spacing w:line="240" w:lineRule="auto"/>
              <w:rPr>
                <w:b w:val="0"/>
                <w:bCs w:val="0"/>
                <w:sz w:val="17"/>
                <w:szCs w:val="17"/>
              </w:rPr>
            </w:pPr>
            <w:r w:rsidRPr="00677CE8">
              <w:rPr>
                <w:b w:val="0"/>
                <w:bCs w:val="0"/>
                <w:sz w:val="17"/>
                <w:szCs w:val="17"/>
              </w:rPr>
              <w:t>Travel satisfaction</w:t>
            </w:r>
          </w:p>
        </w:tc>
      </w:tr>
      <w:tr w:rsidR="00FF3482" w:rsidRPr="00677CE8" w14:paraId="089EC0E1" w14:textId="77777777" w:rsidTr="00007FF5">
        <w:trPr>
          <w:jc w:val="center"/>
        </w:trPr>
        <w:tc>
          <w:tcPr>
            <w:tcW w:w="1876" w:type="dxa"/>
            <w:tcBorders>
              <w:top w:val="single" w:sz="2" w:space="0" w:color="auto"/>
              <w:left w:val="single" w:sz="12" w:space="0" w:color="auto"/>
              <w:bottom w:val="single" w:sz="2" w:space="0" w:color="auto"/>
              <w:right w:val="single" w:sz="2" w:space="0" w:color="auto"/>
            </w:tcBorders>
            <w:vAlign w:val="center"/>
          </w:tcPr>
          <w:p w14:paraId="3BD96134" w14:textId="615EA459" w:rsidR="00FF3482" w:rsidRPr="00677CE8" w:rsidRDefault="00FF3482" w:rsidP="00FF3482">
            <w:pPr>
              <w:rPr>
                <w:sz w:val="17"/>
                <w:szCs w:val="17"/>
              </w:rPr>
            </w:pPr>
            <w:r w:rsidRPr="00677CE8">
              <w:rPr>
                <w:sz w:val="17"/>
                <w:szCs w:val="17"/>
              </w:rPr>
              <w:t>Al Haddad et al., 2020</w:t>
            </w:r>
          </w:p>
        </w:tc>
        <w:tc>
          <w:tcPr>
            <w:tcW w:w="1444" w:type="dxa"/>
            <w:tcBorders>
              <w:top w:val="single" w:sz="2" w:space="0" w:color="auto"/>
              <w:left w:val="single" w:sz="2" w:space="0" w:color="auto"/>
              <w:bottom w:val="single" w:sz="2" w:space="0" w:color="auto"/>
              <w:right w:val="single" w:sz="2" w:space="0" w:color="auto"/>
            </w:tcBorders>
            <w:vAlign w:val="center"/>
          </w:tcPr>
          <w:p w14:paraId="1D72DB4A" w14:textId="06D3DB41" w:rsidR="00FF3482" w:rsidRPr="00677CE8" w:rsidRDefault="00FF3482" w:rsidP="00FF3482">
            <w:pPr>
              <w:pStyle w:val="Heading2"/>
              <w:spacing w:line="240" w:lineRule="auto"/>
              <w:rPr>
                <w:b w:val="0"/>
                <w:bCs w:val="0"/>
                <w:sz w:val="17"/>
                <w:szCs w:val="17"/>
              </w:rPr>
            </w:pPr>
            <w:r w:rsidRPr="00677CE8">
              <w:rPr>
                <w:b w:val="0"/>
                <w:bCs w:val="0"/>
                <w:sz w:val="17"/>
                <w:szCs w:val="17"/>
              </w:rPr>
              <w:t>AT</w:t>
            </w:r>
          </w:p>
        </w:tc>
        <w:tc>
          <w:tcPr>
            <w:tcW w:w="1350" w:type="dxa"/>
            <w:tcBorders>
              <w:top w:val="single" w:sz="2" w:space="0" w:color="auto"/>
              <w:left w:val="single" w:sz="2" w:space="0" w:color="auto"/>
              <w:bottom w:val="single" w:sz="2" w:space="0" w:color="auto"/>
              <w:right w:val="single" w:sz="2" w:space="0" w:color="auto"/>
            </w:tcBorders>
            <w:vAlign w:val="center"/>
          </w:tcPr>
          <w:p w14:paraId="5A535FBA" w14:textId="088EF5D4" w:rsidR="00FF3482" w:rsidRPr="00677CE8" w:rsidRDefault="00FF3482" w:rsidP="00FF3482">
            <w:pPr>
              <w:pStyle w:val="Heading2"/>
              <w:spacing w:line="240" w:lineRule="auto"/>
              <w:rPr>
                <w:b w:val="0"/>
                <w:bCs w:val="0"/>
                <w:sz w:val="17"/>
                <w:szCs w:val="17"/>
              </w:rPr>
            </w:pPr>
            <w:r w:rsidRPr="00677CE8">
              <w:rPr>
                <w:b w:val="0"/>
                <w:bCs w:val="0"/>
                <w:sz w:val="17"/>
                <w:szCs w:val="17"/>
              </w:rPr>
              <w:t>RH</w:t>
            </w:r>
          </w:p>
        </w:tc>
        <w:tc>
          <w:tcPr>
            <w:tcW w:w="445" w:type="dxa"/>
            <w:tcBorders>
              <w:top w:val="single" w:sz="2" w:space="0" w:color="auto"/>
              <w:left w:val="single" w:sz="2" w:space="0" w:color="auto"/>
              <w:bottom w:val="single" w:sz="2" w:space="0" w:color="auto"/>
              <w:right w:val="single" w:sz="2" w:space="0" w:color="auto"/>
            </w:tcBorders>
            <w:vAlign w:val="center"/>
          </w:tcPr>
          <w:p w14:paraId="4B8C451A" w14:textId="6F7975BE" w:rsidR="00FF3482" w:rsidRPr="00677CE8" w:rsidRDefault="00FF3482" w:rsidP="00FF3482">
            <w:pPr>
              <w:pStyle w:val="Heading2"/>
              <w:spacing w:line="240" w:lineRule="auto"/>
              <w:jc w:val="center"/>
              <w:rPr>
                <w:sz w:val="17"/>
                <w:szCs w:val="17"/>
              </w:rPr>
            </w:pPr>
            <w:r w:rsidRPr="00677CE8">
              <w:rPr>
                <w:sz w:val="17"/>
                <w:szCs w:val="17"/>
              </w:rPr>
              <w:t>×</w:t>
            </w:r>
          </w:p>
        </w:tc>
        <w:tc>
          <w:tcPr>
            <w:tcW w:w="277" w:type="dxa"/>
            <w:tcBorders>
              <w:top w:val="single" w:sz="2" w:space="0" w:color="auto"/>
              <w:left w:val="single" w:sz="2" w:space="0" w:color="auto"/>
              <w:bottom w:val="single" w:sz="2" w:space="0" w:color="auto"/>
              <w:right w:val="single" w:sz="2" w:space="0" w:color="auto"/>
            </w:tcBorders>
            <w:vAlign w:val="center"/>
          </w:tcPr>
          <w:p w14:paraId="5F43CAD0" w14:textId="77777777" w:rsidR="00FF3482" w:rsidRPr="00677CE8" w:rsidRDefault="00FF3482" w:rsidP="00FF3482">
            <w:pPr>
              <w:pStyle w:val="Heading2"/>
              <w:spacing w:line="240" w:lineRule="auto"/>
              <w:jc w:val="center"/>
              <w:rPr>
                <w:sz w:val="17"/>
                <w:szCs w:val="17"/>
              </w:rPr>
            </w:pPr>
          </w:p>
        </w:tc>
        <w:tc>
          <w:tcPr>
            <w:tcW w:w="720" w:type="dxa"/>
            <w:tcBorders>
              <w:top w:val="single" w:sz="2" w:space="0" w:color="auto"/>
              <w:left w:val="single" w:sz="2" w:space="0" w:color="auto"/>
              <w:bottom w:val="single" w:sz="2" w:space="0" w:color="auto"/>
              <w:right w:val="single" w:sz="2" w:space="0" w:color="auto"/>
            </w:tcBorders>
            <w:vAlign w:val="center"/>
          </w:tcPr>
          <w:p w14:paraId="143BC92D" w14:textId="1C284846" w:rsidR="00FF3482" w:rsidRPr="00677CE8" w:rsidRDefault="00FF3482" w:rsidP="00FF3482">
            <w:pPr>
              <w:pStyle w:val="Heading2"/>
              <w:spacing w:line="240" w:lineRule="auto"/>
              <w:jc w:val="center"/>
              <w:rPr>
                <w:sz w:val="17"/>
                <w:szCs w:val="17"/>
              </w:rPr>
            </w:pPr>
            <w:r w:rsidRPr="00677CE8">
              <w:rPr>
                <w:sz w:val="17"/>
                <w:szCs w:val="17"/>
              </w:rPr>
              <w:t>×</w:t>
            </w:r>
          </w:p>
        </w:tc>
        <w:tc>
          <w:tcPr>
            <w:tcW w:w="263" w:type="dxa"/>
            <w:tcBorders>
              <w:top w:val="single" w:sz="2" w:space="0" w:color="auto"/>
              <w:left w:val="single" w:sz="2" w:space="0" w:color="auto"/>
              <w:bottom w:val="single" w:sz="2" w:space="0" w:color="auto"/>
              <w:right w:val="single" w:sz="2" w:space="0" w:color="auto"/>
            </w:tcBorders>
            <w:vAlign w:val="center"/>
          </w:tcPr>
          <w:p w14:paraId="596E875C" w14:textId="7420A3CB" w:rsidR="00FF3482" w:rsidRPr="00677CE8" w:rsidRDefault="00FF3482" w:rsidP="00FF3482">
            <w:pPr>
              <w:pStyle w:val="Heading2"/>
              <w:spacing w:line="240" w:lineRule="auto"/>
              <w:jc w:val="center"/>
              <w:rPr>
                <w:sz w:val="17"/>
                <w:szCs w:val="17"/>
              </w:rPr>
            </w:pPr>
            <w:r w:rsidRPr="00677CE8">
              <w:rPr>
                <w:sz w:val="17"/>
                <w:szCs w:val="17"/>
              </w:rPr>
              <w:t>×</w:t>
            </w:r>
          </w:p>
        </w:tc>
        <w:tc>
          <w:tcPr>
            <w:tcW w:w="461" w:type="dxa"/>
            <w:tcBorders>
              <w:top w:val="single" w:sz="2" w:space="0" w:color="auto"/>
              <w:left w:val="single" w:sz="2" w:space="0" w:color="auto"/>
              <w:bottom w:val="single" w:sz="2" w:space="0" w:color="auto"/>
              <w:right w:val="single" w:sz="2" w:space="0" w:color="auto"/>
            </w:tcBorders>
            <w:vAlign w:val="center"/>
          </w:tcPr>
          <w:p w14:paraId="54A17639" w14:textId="514B865D"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2" w:space="0" w:color="auto"/>
              <w:right w:val="single" w:sz="2" w:space="0" w:color="auto"/>
            </w:tcBorders>
            <w:vAlign w:val="center"/>
          </w:tcPr>
          <w:p w14:paraId="51414F5C" w14:textId="77777777"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2" w:space="0" w:color="auto"/>
              <w:right w:val="single" w:sz="2" w:space="0" w:color="auto"/>
            </w:tcBorders>
            <w:vAlign w:val="center"/>
          </w:tcPr>
          <w:p w14:paraId="518E506A" w14:textId="77777777" w:rsidR="00FF3482" w:rsidRPr="00677CE8" w:rsidRDefault="00FF3482" w:rsidP="00FF3482">
            <w:pPr>
              <w:pStyle w:val="Heading2"/>
              <w:spacing w:line="240" w:lineRule="auto"/>
              <w:jc w:val="center"/>
              <w:rPr>
                <w:sz w:val="17"/>
                <w:szCs w:val="17"/>
              </w:rPr>
            </w:pPr>
          </w:p>
        </w:tc>
        <w:tc>
          <w:tcPr>
            <w:tcW w:w="527" w:type="dxa"/>
            <w:tcBorders>
              <w:top w:val="single" w:sz="2" w:space="0" w:color="auto"/>
              <w:left w:val="single" w:sz="2" w:space="0" w:color="auto"/>
              <w:bottom w:val="single" w:sz="2" w:space="0" w:color="auto"/>
              <w:right w:val="single" w:sz="2" w:space="0" w:color="auto"/>
            </w:tcBorders>
            <w:vAlign w:val="center"/>
          </w:tcPr>
          <w:p w14:paraId="05CE7B03" w14:textId="77777777" w:rsidR="00FF3482" w:rsidRPr="00677CE8" w:rsidRDefault="00FF3482" w:rsidP="00FF3482">
            <w:pPr>
              <w:pStyle w:val="Heading2"/>
              <w:spacing w:line="240" w:lineRule="auto"/>
              <w:jc w:val="center"/>
              <w:rPr>
                <w:sz w:val="17"/>
                <w:szCs w:val="17"/>
              </w:rPr>
            </w:pPr>
          </w:p>
        </w:tc>
        <w:tc>
          <w:tcPr>
            <w:tcW w:w="559" w:type="dxa"/>
            <w:tcBorders>
              <w:top w:val="single" w:sz="2" w:space="0" w:color="auto"/>
              <w:left w:val="single" w:sz="2" w:space="0" w:color="auto"/>
              <w:bottom w:val="single" w:sz="2" w:space="0" w:color="auto"/>
              <w:right w:val="single" w:sz="2" w:space="0" w:color="auto"/>
            </w:tcBorders>
            <w:vAlign w:val="center"/>
          </w:tcPr>
          <w:p w14:paraId="5D51D317" w14:textId="77777777" w:rsidR="00FF3482" w:rsidRPr="00677CE8" w:rsidRDefault="00FF3482" w:rsidP="00FF3482">
            <w:pPr>
              <w:pStyle w:val="Heading2"/>
              <w:spacing w:line="240" w:lineRule="auto"/>
              <w:jc w:val="center"/>
              <w:rPr>
                <w:sz w:val="17"/>
                <w:szCs w:val="17"/>
              </w:rPr>
            </w:pPr>
          </w:p>
        </w:tc>
        <w:tc>
          <w:tcPr>
            <w:tcW w:w="433" w:type="dxa"/>
            <w:tcBorders>
              <w:top w:val="single" w:sz="2" w:space="0" w:color="auto"/>
              <w:left w:val="single" w:sz="2" w:space="0" w:color="auto"/>
              <w:bottom w:val="single" w:sz="2" w:space="0" w:color="auto"/>
              <w:right w:val="single" w:sz="2" w:space="0" w:color="auto"/>
            </w:tcBorders>
            <w:vAlign w:val="center"/>
          </w:tcPr>
          <w:p w14:paraId="271C119E" w14:textId="77777777" w:rsidR="00FF3482" w:rsidRPr="00677CE8" w:rsidRDefault="00FF3482" w:rsidP="00FF3482">
            <w:pPr>
              <w:pStyle w:val="Heading2"/>
              <w:spacing w:line="240" w:lineRule="auto"/>
              <w:jc w:val="center"/>
              <w:rPr>
                <w:sz w:val="17"/>
                <w:szCs w:val="17"/>
              </w:rPr>
            </w:pPr>
          </w:p>
        </w:tc>
        <w:tc>
          <w:tcPr>
            <w:tcW w:w="525" w:type="dxa"/>
            <w:tcBorders>
              <w:top w:val="single" w:sz="2" w:space="0" w:color="auto"/>
              <w:left w:val="single" w:sz="2" w:space="0" w:color="auto"/>
              <w:bottom w:val="single" w:sz="2" w:space="0" w:color="auto"/>
              <w:right w:val="single" w:sz="2" w:space="0" w:color="auto"/>
            </w:tcBorders>
            <w:vAlign w:val="center"/>
          </w:tcPr>
          <w:p w14:paraId="44240234" w14:textId="254BA9C6" w:rsidR="00FF3482" w:rsidRPr="00677CE8" w:rsidRDefault="00FF3482" w:rsidP="00FF3482">
            <w:pPr>
              <w:pStyle w:val="Heading2"/>
              <w:spacing w:line="240" w:lineRule="auto"/>
              <w:jc w:val="center"/>
              <w:rPr>
                <w:sz w:val="17"/>
                <w:szCs w:val="17"/>
              </w:rPr>
            </w:pPr>
            <w:r w:rsidRPr="00677CE8">
              <w:rPr>
                <w:sz w:val="17"/>
                <w:szCs w:val="17"/>
              </w:rPr>
              <w:t>×</w:t>
            </w:r>
          </w:p>
        </w:tc>
        <w:tc>
          <w:tcPr>
            <w:tcW w:w="465" w:type="dxa"/>
            <w:tcBorders>
              <w:top w:val="single" w:sz="2" w:space="0" w:color="auto"/>
              <w:left w:val="single" w:sz="2" w:space="0" w:color="auto"/>
              <w:bottom w:val="single" w:sz="2" w:space="0" w:color="auto"/>
              <w:right w:val="single" w:sz="2" w:space="0" w:color="auto"/>
            </w:tcBorders>
          </w:tcPr>
          <w:p w14:paraId="0996F0D8" w14:textId="77777777" w:rsidR="00FF3482" w:rsidRPr="00677CE8" w:rsidRDefault="00FF3482" w:rsidP="00FF3482">
            <w:pPr>
              <w:pStyle w:val="Heading2"/>
              <w:spacing w:line="240" w:lineRule="auto"/>
              <w:jc w:val="center"/>
              <w:rPr>
                <w:sz w:val="17"/>
                <w:szCs w:val="17"/>
              </w:rPr>
            </w:pPr>
          </w:p>
        </w:tc>
        <w:tc>
          <w:tcPr>
            <w:tcW w:w="270" w:type="dxa"/>
            <w:tcBorders>
              <w:top w:val="single" w:sz="2" w:space="0" w:color="auto"/>
              <w:left w:val="single" w:sz="2" w:space="0" w:color="auto"/>
              <w:bottom w:val="single" w:sz="2" w:space="0" w:color="auto"/>
              <w:right w:val="single" w:sz="2" w:space="0" w:color="auto"/>
            </w:tcBorders>
            <w:vAlign w:val="center"/>
          </w:tcPr>
          <w:p w14:paraId="7ADCA254" w14:textId="3150F36A" w:rsidR="00FF3482" w:rsidRPr="00677CE8" w:rsidRDefault="00FF3482" w:rsidP="00FF3482">
            <w:pPr>
              <w:pStyle w:val="Heading2"/>
              <w:spacing w:line="240" w:lineRule="auto"/>
              <w:jc w:val="center"/>
              <w:rPr>
                <w:sz w:val="17"/>
                <w:szCs w:val="17"/>
              </w:rPr>
            </w:pPr>
          </w:p>
        </w:tc>
        <w:tc>
          <w:tcPr>
            <w:tcW w:w="404" w:type="dxa"/>
            <w:tcBorders>
              <w:top w:val="single" w:sz="2" w:space="0" w:color="auto"/>
              <w:left w:val="single" w:sz="2" w:space="0" w:color="auto"/>
              <w:bottom w:val="single" w:sz="2" w:space="0" w:color="auto"/>
              <w:right w:val="single" w:sz="2" w:space="0" w:color="auto"/>
            </w:tcBorders>
          </w:tcPr>
          <w:p w14:paraId="74F53DF9" w14:textId="413D3EF2" w:rsidR="00FF3482" w:rsidRPr="00677CE8" w:rsidRDefault="00FF3482" w:rsidP="00FF3482">
            <w:pPr>
              <w:pStyle w:val="Heading2"/>
              <w:spacing w:line="240" w:lineRule="auto"/>
              <w:jc w:val="center"/>
              <w:rPr>
                <w:sz w:val="17"/>
                <w:szCs w:val="17"/>
              </w:rPr>
            </w:pPr>
          </w:p>
        </w:tc>
        <w:tc>
          <w:tcPr>
            <w:tcW w:w="406" w:type="dxa"/>
            <w:tcBorders>
              <w:top w:val="single" w:sz="2" w:space="0" w:color="auto"/>
              <w:left w:val="single" w:sz="2" w:space="0" w:color="auto"/>
              <w:bottom w:val="single" w:sz="2" w:space="0" w:color="auto"/>
              <w:right w:val="single" w:sz="2" w:space="0" w:color="auto"/>
            </w:tcBorders>
          </w:tcPr>
          <w:p w14:paraId="7F576846" w14:textId="77777777" w:rsidR="00FF3482" w:rsidRPr="00677CE8" w:rsidRDefault="00FF3482" w:rsidP="00FF3482">
            <w:pPr>
              <w:pStyle w:val="Heading2"/>
              <w:spacing w:line="240" w:lineRule="auto"/>
              <w:jc w:val="center"/>
              <w:rPr>
                <w:sz w:val="17"/>
                <w:szCs w:val="17"/>
              </w:rPr>
            </w:pPr>
          </w:p>
        </w:tc>
        <w:tc>
          <w:tcPr>
            <w:tcW w:w="3338" w:type="dxa"/>
            <w:tcBorders>
              <w:top w:val="single" w:sz="2" w:space="0" w:color="auto"/>
              <w:left w:val="single" w:sz="2" w:space="0" w:color="auto"/>
              <w:bottom w:val="single" w:sz="2" w:space="0" w:color="auto"/>
              <w:right w:val="single" w:sz="12" w:space="0" w:color="auto"/>
            </w:tcBorders>
            <w:vAlign w:val="center"/>
          </w:tcPr>
          <w:p w14:paraId="57483825" w14:textId="09E64108" w:rsidR="00FF3482" w:rsidRPr="00677CE8" w:rsidRDefault="00FF3482" w:rsidP="00FF3482">
            <w:pPr>
              <w:pStyle w:val="Heading2"/>
              <w:spacing w:line="240" w:lineRule="auto"/>
              <w:rPr>
                <w:b w:val="0"/>
                <w:bCs w:val="0"/>
                <w:sz w:val="17"/>
                <w:szCs w:val="17"/>
              </w:rPr>
            </w:pPr>
            <w:r w:rsidRPr="00677CE8">
              <w:rPr>
                <w:b w:val="0"/>
                <w:bCs w:val="0"/>
                <w:sz w:val="17"/>
                <w:szCs w:val="17"/>
              </w:rPr>
              <w:t>Value of travel time savings, Affinity to automation, Data concerns, Safety perceptions</w:t>
            </w:r>
          </w:p>
        </w:tc>
      </w:tr>
      <w:tr w:rsidR="00FF3482" w:rsidRPr="00677CE8" w14:paraId="15600224" w14:textId="77777777" w:rsidTr="00007FF5">
        <w:trPr>
          <w:jc w:val="center"/>
        </w:trPr>
        <w:tc>
          <w:tcPr>
            <w:tcW w:w="1876" w:type="dxa"/>
            <w:tcBorders>
              <w:top w:val="single" w:sz="2" w:space="0" w:color="auto"/>
              <w:left w:val="single" w:sz="12" w:space="0" w:color="auto"/>
              <w:bottom w:val="single" w:sz="2" w:space="0" w:color="auto"/>
              <w:right w:val="single" w:sz="2" w:space="0" w:color="auto"/>
            </w:tcBorders>
            <w:vAlign w:val="center"/>
          </w:tcPr>
          <w:p w14:paraId="4D5A3E9F" w14:textId="33B4E555" w:rsidR="00FF3482" w:rsidRPr="00677CE8" w:rsidRDefault="00FF3482" w:rsidP="00FF3482">
            <w:pPr>
              <w:rPr>
                <w:sz w:val="17"/>
                <w:szCs w:val="17"/>
              </w:rPr>
            </w:pPr>
            <w:proofErr w:type="spellStart"/>
            <w:r w:rsidRPr="00677CE8">
              <w:rPr>
                <w:sz w:val="17"/>
                <w:szCs w:val="17"/>
              </w:rPr>
              <w:t>Boddupalli</w:t>
            </w:r>
            <w:proofErr w:type="spellEnd"/>
            <w:r w:rsidRPr="00677CE8">
              <w:rPr>
                <w:sz w:val="17"/>
                <w:szCs w:val="17"/>
              </w:rPr>
              <w:t xml:space="preserve"> et al., 2024</w:t>
            </w:r>
          </w:p>
        </w:tc>
        <w:tc>
          <w:tcPr>
            <w:tcW w:w="1444" w:type="dxa"/>
            <w:tcBorders>
              <w:top w:val="single" w:sz="2" w:space="0" w:color="auto"/>
              <w:left w:val="single" w:sz="2" w:space="0" w:color="auto"/>
              <w:bottom w:val="single" w:sz="2" w:space="0" w:color="auto"/>
              <w:right w:val="single" w:sz="2" w:space="0" w:color="auto"/>
            </w:tcBorders>
            <w:vAlign w:val="center"/>
          </w:tcPr>
          <w:p w14:paraId="1A212D29" w14:textId="3DCEBDD4" w:rsidR="00FF3482" w:rsidRPr="00677CE8" w:rsidRDefault="00FF3482" w:rsidP="00FF3482">
            <w:pPr>
              <w:pStyle w:val="Heading2"/>
              <w:spacing w:line="240" w:lineRule="auto"/>
              <w:rPr>
                <w:b w:val="0"/>
                <w:bCs w:val="0"/>
                <w:sz w:val="17"/>
                <w:szCs w:val="17"/>
              </w:rPr>
            </w:pPr>
            <w:r w:rsidRPr="00677CE8">
              <w:rPr>
                <w:b w:val="0"/>
                <w:bCs w:val="0"/>
                <w:sz w:val="17"/>
                <w:szCs w:val="17"/>
              </w:rPr>
              <w:t>AT</w:t>
            </w:r>
          </w:p>
        </w:tc>
        <w:tc>
          <w:tcPr>
            <w:tcW w:w="1350" w:type="dxa"/>
            <w:tcBorders>
              <w:top w:val="single" w:sz="2" w:space="0" w:color="auto"/>
              <w:left w:val="single" w:sz="2" w:space="0" w:color="auto"/>
              <w:bottom w:val="single" w:sz="2" w:space="0" w:color="auto"/>
              <w:right w:val="single" w:sz="2" w:space="0" w:color="auto"/>
            </w:tcBorders>
            <w:vAlign w:val="center"/>
          </w:tcPr>
          <w:p w14:paraId="05CE37BE" w14:textId="4267C543" w:rsidR="00FF3482" w:rsidRPr="00677CE8" w:rsidRDefault="00FF3482" w:rsidP="00FF3482">
            <w:pPr>
              <w:pStyle w:val="Heading2"/>
              <w:spacing w:line="240" w:lineRule="auto"/>
              <w:rPr>
                <w:b w:val="0"/>
                <w:bCs w:val="0"/>
                <w:sz w:val="17"/>
                <w:szCs w:val="17"/>
              </w:rPr>
            </w:pPr>
            <w:r w:rsidRPr="00677CE8">
              <w:rPr>
                <w:b w:val="0"/>
                <w:bCs w:val="0"/>
                <w:sz w:val="17"/>
                <w:szCs w:val="17"/>
              </w:rPr>
              <w:t>PT, RH, PV</w:t>
            </w:r>
          </w:p>
        </w:tc>
        <w:tc>
          <w:tcPr>
            <w:tcW w:w="445" w:type="dxa"/>
            <w:tcBorders>
              <w:top w:val="single" w:sz="2" w:space="0" w:color="auto"/>
              <w:left w:val="single" w:sz="2" w:space="0" w:color="auto"/>
              <w:bottom w:val="single" w:sz="2" w:space="0" w:color="auto"/>
              <w:right w:val="single" w:sz="2" w:space="0" w:color="auto"/>
            </w:tcBorders>
            <w:vAlign w:val="center"/>
          </w:tcPr>
          <w:p w14:paraId="533D3031" w14:textId="449B9AC6" w:rsidR="00FF3482" w:rsidRPr="00677CE8" w:rsidRDefault="00FF3482" w:rsidP="00FF3482">
            <w:pPr>
              <w:pStyle w:val="Heading2"/>
              <w:spacing w:line="240" w:lineRule="auto"/>
              <w:jc w:val="center"/>
              <w:rPr>
                <w:sz w:val="17"/>
                <w:szCs w:val="17"/>
              </w:rPr>
            </w:pPr>
            <w:r w:rsidRPr="00677CE8">
              <w:rPr>
                <w:sz w:val="17"/>
                <w:szCs w:val="17"/>
              </w:rPr>
              <w:t>×</w:t>
            </w:r>
          </w:p>
        </w:tc>
        <w:tc>
          <w:tcPr>
            <w:tcW w:w="277" w:type="dxa"/>
            <w:tcBorders>
              <w:top w:val="single" w:sz="2" w:space="0" w:color="auto"/>
              <w:left w:val="single" w:sz="2" w:space="0" w:color="auto"/>
              <w:bottom w:val="single" w:sz="2" w:space="0" w:color="auto"/>
              <w:right w:val="single" w:sz="2" w:space="0" w:color="auto"/>
            </w:tcBorders>
            <w:vAlign w:val="center"/>
          </w:tcPr>
          <w:p w14:paraId="6D6E9C2B" w14:textId="77777777" w:rsidR="00FF3482" w:rsidRPr="00677CE8" w:rsidRDefault="00FF3482" w:rsidP="00FF3482">
            <w:pPr>
              <w:pStyle w:val="Heading2"/>
              <w:spacing w:line="240" w:lineRule="auto"/>
              <w:jc w:val="center"/>
              <w:rPr>
                <w:sz w:val="17"/>
                <w:szCs w:val="17"/>
              </w:rPr>
            </w:pPr>
          </w:p>
        </w:tc>
        <w:tc>
          <w:tcPr>
            <w:tcW w:w="720" w:type="dxa"/>
            <w:tcBorders>
              <w:top w:val="single" w:sz="2" w:space="0" w:color="auto"/>
              <w:left w:val="single" w:sz="2" w:space="0" w:color="auto"/>
              <w:bottom w:val="single" w:sz="2" w:space="0" w:color="auto"/>
              <w:right w:val="single" w:sz="2" w:space="0" w:color="auto"/>
            </w:tcBorders>
            <w:vAlign w:val="center"/>
          </w:tcPr>
          <w:p w14:paraId="4A4F58B2" w14:textId="70915735" w:rsidR="00FF3482" w:rsidRPr="00677CE8" w:rsidRDefault="00FF3482" w:rsidP="00FF3482">
            <w:pPr>
              <w:pStyle w:val="Heading2"/>
              <w:spacing w:line="240" w:lineRule="auto"/>
              <w:jc w:val="center"/>
              <w:rPr>
                <w:sz w:val="17"/>
                <w:szCs w:val="17"/>
              </w:rPr>
            </w:pPr>
            <w:r w:rsidRPr="00677CE8">
              <w:rPr>
                <w:sz w:val="17"/>
                <w:szCs w:val="17"/>
              </w:rPr>
              <w:t>×</w:t>
            </w:r>
          </w:p>
        </w:tc>
        <w:tc>
          <w:tcPr>
            <w:tcW w:w="263" w:type="dxa"/>
            <w:tcBorders>
              <w:top w:val="single" w:sz="2" w:space="0" w:color="auto"/>
              <w:left w:val="single" w:sz="2" w:space="0" w:color="auto"/>
              <w:bottom w:val="single" w:sz="2" w:space="0" w:color="auto"/>
              <w:right w:val="single" w:sz="2" w:space="0" w:color="auto"/>
            </w:tcBorders>
            <w:vAlign w:val="center"/>
          </w:tcPr>
          <w:p w14:paraId="72047689" w14:textId="233898C3" w:rsidR="00FF3482" w:rsidRPr="00677CE8" w:rsidRDefault="00FF3482" w:rsidP="00FF3482">
            <w:pPr>
              <w:pStyle w:val="Heading2"/>
              <w:spacing w:line="240" w:lineRule="auto"/>
              <w:jc w:val="center"/>
              <w:rPr>
                <w:sz w:val="17"/>
                <w:szCs w:val="17"/>
              </w:rPr>
            </w:pPr>
            <w:r w:rsidRPr="00677CE8">
              <w:rPr>
                <w:sz w:val="17"/>
                <w:szCs w:val="17"/>
              </w:rPr>
              <w:t>×</w:t>
            </w:r>
          </w:p>
        </w:tc>
        <w:tc>
          <w:tcPr>
            <w:tcW w:w="461" w:type="dxa"/>
            <w:tcBorders>
              <w:top w:val="single" w:sz="2" w:space="0" w:color="auto"/>
              <w:left w:val="single" w:sz="2" w:space="0" w:color="auto"/>
              <w:bottom w:val="single" w:sz="2" w:space="0" w:color="auto"/>
              <w:right w:val="single" w:sz="2" w:space="0" w:color="auto"/>
            </w:tcBorders>
            <w:vAlign w:val="center"/>
          </w:tcPr>
          <w:p w14:paraId="610A84DF" w14:textId="004BABA5"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2" w:space="0" w:color="auto"/>
              <w:right w:val="single" w:sz="2" w:space="0" w:color="auto"/>
            </w:tcBorders>
            <w:vAlign w:val="center"/>
          </w:tcPr>
          <w:p w14:paraId="6B98418A" w14:textId="12CB7AB4" w:rsidR="00FF3482" w:rsidRPr="00677CE8" w:rsidRDefault="00FF3482" w:rsidP="00FF3482">
            <w:pPr>
              <w:pStyle w:val="Heading2"/>
              <w:spacing w:line="240" w:lineRule="auto"/>
              <w:jc w:val="center"/>
              <w:rPr>
                <w:sz w:val="17"/>
                <w:szCs w:val="17"/>
              </w:rPr>
            </w:pPr>
            <w:r w:rsidRPr="00677CE8">
              <w:rPr>
                <w:sz w:val="17"/>
                <w:szCs w:val="17"/>
              </w:rPr>
              <w:t>×</w:t>
            </w:r>
          </w:p>
        </w:tc>
        <w:tc>
          <w:tcPr>
            <w:tcW w:w="360" w:type="dxa"/>
            <w:tcBorders>
              <w:top w:val="single" w:sz="2" w:space="0" w:color="auto"/>
              <w:left w:val="single" w:sz="2" w:space="0" w:color="auto"/>
              <w:bottom w:val="single" w:sz="2" w:space="0" w:color="auto"/>
              <w:right w:val="single" w:sz="2" w:space="0" w:color="auto"/>
            </w:tcBorders>
            <w:vAlign w:val="center"/>
          </w:tcPr>
          <w:p w14:paraId="4B1745DD" w14:textId="77777777" w:rsidR="00FF3482" w:rsidRPr="00677CE8" w:rsidRDefault="00FF3482" w:rsidP="00FF3482">
            <w:pPr>
              <w:pStyle w:val="Heading2"/>
              <w:spacing w:line="240" w:lineRule="auto"/>
              <w:jc w:val="center"/>
              <w:rPr>
                <w:sz w:val="17"/>
                <w:szCs w:val="17"/>
              </w:rPr>
            </w:pPr>
          </w:p>
        </w:tc>
        <w:tc>
          <w:tcPr>
            <w:tcW w:w="527" w:type="dxa"/>
            <w:tcBorders>
              <w:top w:val="single" w:sz="2" w:space="0" w:color="auto"/>
              <w:left w:val="single" w:sz="2" w:space="0" w:color="auto"/>
              <w:bottom w:val="single" w:sz="2" w:space="0" w:color="auto"/>
              <w:right w:val="single" w:sz="2" w:space="0" w:color="auto"/>
            </w:tcBorders>
            <w:vAlign w:val="center"/>
          </w:tcPr>
          <w:p w14:paraId="6ED8BF1E" w14:textId="77777777" w:rsidR="00FF3482" w:rsidRPr="00677CE8" w:rsidRDefault="00FF3482" w:rsidP="00FF3482">
            <w:pPr>
              <w:pStyle w:val="Heading2"/>
              <w:spacing w:line="240" w:lineRule="auto"/>
              <w:jc w:val="center"/>
              <w:rPr>
                <w:sz w:val="17"/>
                <w:szCs w:val="17"/>
              </w:rPr>
            </w:pPr>
          </w:p>
        </w:tc>
        <w:tc>
          <w:tcPr>
            <w:tcW w:w="559" w:type="dxa"/>
            <w:tcBorders>
              <w:top w:val="single" w:sz="2" w:space="0" w:color="auto"/>
              <w:left w:val="single" w:sz="2" w:space="0" w:color="auto"/>
              <w:bottom w:val="single" w:sz="2" w:space="0" w:color="auto"/>
              <w:right w:val="single" w:sz="2" w:space="0" w:color="auto"/>
            </w:tcBorders>
            <w:vAlign w:val="center"/>
          </w:tcPr>
          <w:p w14:paraId="0C28D943" w14:textId="77777777" w:rsidR="00FF3482" w:rsidRPr="00677CE8" w:rsidRDefault="00FF3482" w:rsidP="00FF3482">
            <w:pPr>
              <w:pStyle w:val="Heading2"/>
              <w:spacing w:line="240" w:lineRule="auto"/>
              <w:jc w:val="center"/>
              <w:rPr>
                <w:sz w:val="17"/>
                <w:szCs w:val="17"/>
              </w:rPr>
            </w:pPr>
          </w:p>
        </w:tc>
        <w:tc>
          <w:tcPr>
            <w:tcW w:w="433" w:type="dxa"/>
            <w:tcBorders>
              <w:top w:val="single" w:sz="2" w:space="0" w:color="auto"/>
              <w:left w:val="single" w:sz="2" w:space="0" w:color="auto"/>
              <w:bottom w:val="single" w:sz="2" w:space="0" w:color="auto"/>
              <w:right w:val="single" w:sz="2" w:space="0" w:color="auto"/>
            </w:tcBorders>
            <w:vAlign w:val="center"/>
          </w:tcPr>
          <w:p w14:paraId="1623A075" w14:textId="77777777" w:rsidR="00FF3482" w:rsidRPr="00677CE8" w:rsidRDefault="00FF3482" w:rsidP="00FF3482">
            <w:pPr>
              <w:pStyle w:val="Heading2"/>
              <w:spacing w:line="240" w:lineRule="auto"/>
              <w:jc w:val="center"/>
              <w:rPr>
                <w:sz w:val="17"/>
                <w:szCs w:val="17"/>
              </w:rPr>
            </w:pPr>
          </w:p>
        </w:tc>
        <w:tc>
          <w:tcPr>
            <w:tcW w:w="525" w:type="dxa"/>
            <w:tcBorders>
              <w:top w:val="single" w:sz="2" w:space="0" w:color="auto"/>
              <w:left w:val="single" w:sz="2" w:space="0" w:color="auto"/>
              <w:bottom w:val="single" w:sz="2" w:space="0" w:color="auto"/>
              <w:right w:val="single" w:sz="2" w:space="0" w:color="auto"/>
            </w:tcBorders>
            <w:vAlign w:val="center"/>
          </w:tcPr>
          <w:p w14:paraId="1818C294" w14:textId="77777777" w:rsidR="00FF3482" w:rsidRPr="00677CE8" w:rsidRDefault="00FF3482" w:rsidP="00FF3482">
            <w:pPr>
              <w:pStyle w:val="Heading2"/>
              <w:spacing w:line="240" w:lineRule="auto"/>
              <w:jc w:val="center"/>
              <w:rPr>
                <w:sz w:val="17"/>
                <w:szCs w:val="17"/>
              </w:rPr>
            </w:pPr>
          </w:p>
        </w:tc>
        <w:tc>
          <w:tcPr>
            <w:tcW w:w="465" w:type="dxa"/>
            <w:tcBorders>
              <w:top w:val="single" w:sz="2" w:space="0" w:color="auto"/>
              <w:left w:val="single" w:sz="2" w:space="0" w:color="auto"/>
              <w:bottom w:val="single" w:sz="2" w:space="0" w:color="auto"/>
              <w:right w:val="single" w:sz="2" w:space="0" w:color="auto"/>
            </w:tcBorders>
          </w:tcPr>
          <w:p w14:paraId="3155B7C3" w14:textId="77777777" w:rsidR="00FF3482" w:rsidRPr="00677CE8" w:rsidRDefault="00FF3482" w:rsidP="00FF3482">
            <w:pPr>
              <w:pStyle w:val="Heading2"/>
              <w:spacing w:line="240" w:lineRule="auto"/>
              <w:jc w:val="center"/>
              <w:rPr>
                <w:sz w:val="17"/>
                <w:szCs w:val="17"/>
              </w:rPr>
            </w:pPr>
          </w:p>
        </w:tc>
        <w:tc>
          <w:tcPr>
            <w:tcW w:w="270" w:type="dxa"/>
            <w:tcBorders>
              <w:top w:val="single" w:sz="2" w:space="0" w:color="auto"/>
              <w:left w:val="single" w:sz="2" w:space="0" w:color="auto"/>
              <w:bottom w:val="single" w:sz="2" w:space="0" w:color="auto"/>
              <w:right w:val="single" w:sz="2" w:space="0" w:color="auto"/>
            </w:tcBorders>
            <w:vAlign w:val="center"/>
          </w:tcPr>
          <w:p w14:paraId="6FCF560F" w14:textId="7EA23EF2" w:rsidR="00FF3482" w:rsidRPr="00677CE8" w:rsidRDefault="00FF3482" w:rsidP="00FF3482">
            <w:pPr>
              <w:pStyle w:val="Heading2"/>
              <w:spacing w:line="240" w:lineRule="auto"/>
              <w:jc w:val="center"/>
              <w:rPr>
                <w:sz w:val="17"/>
                <w:szCs w:val="17"/>
              </w:rPr>
            </w:pPr>
          </w:p>
        </w:tc>
        <w:tc>
          <w:tcPr>
            <w:tcW w:w="404" w:type="dxa"/>
            <w:tcBorders>
              <w:top w:val="single" w:sz="2" w:space="0" w:color="auto"/>
              <w:left w:val="single" w:sz="2" w:space="0" w:color="auto"/>
              <w:bottom w:val="single" w:sz="2" w:space="0" w:color="auto"/>
              <w:right w:val="single" w:sz="2" w:space="0" w:color="auto"/>
            </w:tcBorders>
          </w:tcPr>
          <w:p w14:paraId="361666A9" w14:textId="79FC9FD5" w:rsidR="00FF3482" w:rsidRPr="00677CE8" w:rsidRDefault="00FF3482" w:rsidP="00FF3482">
            <w:pPr>
              <w:pStyle w:val="Heading2"/>
              <w:spacing w:line="240" w:lineRule="auto"/>
              <w:jc w:val="center"/>
              <w:rPr>
                <w:sz w:val="17"/>
                <w:szCs w:val="17"/>
              </w:rPr>
            </w:pPr>
          </w:p>
        </w:tc>
        <w:tc>
          <w:tcPr>
            <w:tcW w:w="406" w:type="dxa"/>
            <w:tcBorders>
              <w:top w:val="single" w:sz="2" w:space="0" w:color="auto"/>
              <w:left w:val="single" w:sz="2" w:space="0" w:color="auto"/>
              <w:bottom w:val="single" w:sz="2" w:space="0" w:color="auto"/>
              <w:right w:val="single" w:sz="2" w:space="0" w:color="auto"/>
            </w:tcBorders>
          </w:tcPr>
          <w:p w14:paraId="146D3F5C" w14:textId="77777777" w:rsidR="00FF3482" w:rsidRPr="00677CE8" w:rsidRDefault="00FF3482" w:rsidP="00FF3482">
            <w:pPr>
              <w:pStyle w:val="Heading2"/>
              <w:spacing w:line="240" w:lineRule="auto"/>
              <w:jc w:val="center"/>
              <w:rPr>
                <w:sz w:val="17"/>
                <w:szCs w:val="17"/>
              </w:rPr>
            </w:pPr>
          </w:p>
        </w:tc>
        <w:tc>
          <w:tcPr>
            <w:tcW w:w="3338" w:type="dxa"/>
            <w:tcBorders>
              <w:top w:val="single" w:sz="2" w:space="0" w:color="auto"/>
              <w:left w:val="single" w:sz="2" w:space="0" w:color="auto"/>
              <w:bottom w:val="single" w:sz="2" w:space="0" w:color="auto"/>
              <w:right w:val="single" w:sz="12" w:space="0" w:color="auto"/>
            </w:tcBorders>
            <w:vAlign w:val="center"/>
          </w:tcPr>
          <w:p w14:paraId="3E2465BE" w14:textId="5302840D" w:rsidR="00FF3482" w:rsidRPr="00677CE8" w:rsidRDefault="00FF3482" w:rsidP="00FF3482">
            <w:pPr>
              <w:pStyle w:val="Heading2"/>
              <w:spacing w:line="240" w:lineRule="auto"/>
              <w:rPr>
                <w:b w:val="0"/>
                <w:bCs w:val="0"/>
                <w:sz w:val="17"/>
                <w:szCs w:val="17"/>
              </w:rPr>
            </w:pPr>
            <w:r w:rsidRPr="00677CE8">
              <w:rPr>
                <w:b w:val="0"/>
                <w:bCs w:val="0"/>
                <w:sz w:val="17"/>
                <w:szCs w:val="17"/>
              </w:rPr>
              <w:t>Did not consider</w:t>
            </w:r>
          </w:p>
        </w:tc>
      </w:tr>
      <w:tr w:rsidR="00FF3482" w:rsidRPr="00677CE8" w14:paraId="08F0B64E" w14:textId="77777777" w:rsidTr="00007FF5">
        <w:trPr>
          <w:jc w:val="center"/>
        </w:trPr>
        <w:tc>
          <w:tcPr>
            <w:tcW w:w="1876" w:type="dxa"/>
            <w:tcBorders>
              <w:top w:val="single" w:sz="2" w:space="0" w:color="auto"/>
              <w:left w:val="single" w:sz="12" w:space="0" w:color="auto"/>
              <w:bottom w:val="single" w:sz="2" w:space="0" w:color="auto"/>
              <w:right w:val="single" w:sz="2" w:space="0" w:color="auto"/>
            </w:tcBorders>
            <w:vAlign w:val="center"/>
          </w:tcPr>
          <w:p w14:paraId="1F3EE9EF" w14:textId="232EF4FA" w:rsidR="00FF3482" w:rsidRPr="00677CE8" w:rsidRDefault="00FF3482" w:rsidP="00FF3482">
            <w:pPr>
              <w:rPr>
                <w:sz w:val="17"/>
                <w:szCs w:val="17"/>
              </w:rPr>
            </w:pPr>
            <w:r w:rsidRPr="00677CE8">
              <w:rPr>
                <w:sz w:val="17"/>
                <w:szCs w:val="17"/>
              </w:rPr>
              <w:t>Brunelli et al., 2023</w:t>
            </w:r>
          </w:p>
        </w:tc>
        <w:tc>
          <w:tcPr>
            <w:tcW w:w="1444" w:type="dxa"/>
            <w:tcBorders>
              <w:top w:val="single" w:sz="2" w:space="0" w:color="auto"/>
              <w:left w:val="single" w:sz="2" w:space="0" w:color="auto"/>
              <w:bottom w:val="single" w:sz="2" w:space="0" w:color="auto"/>
              <w:right w:val="single" w:sz="2" w:space="0" w:color="auto"/>
            </w:tcBorders>
            <w:vAlign w:val="center"/>
          </w:tcPr>
          <w:p w14:paraId="4BA13AE8" w14:textId="5B78ED64" w:rsidR="00FF3482" w:rsidRPr="00677CE8" w:rsidRDefault="00FF3482" w:rsidP="00FF3482">
            <w:pPr>
              <w:pStyle w:val="Heading2"/>
              <w:spacing w:line="240" w:lineRule="auto"/>
              <w:rPr>
                <w:b w:val="0"/>
                <w:bCs w:val="0"/>
                <w:sz w:val="17"/>
                <w:szCs w:val="17"/>
              </w:rPr>
            </w:pPr>
            <w:r w:rsidRPr="00677CE8">
              <w:rPr>
                <w:b w:val="0"/>
                <w:bCs w:val="0"/>
                <w:sz w:val="17"/>
                <w:szCs w:val="17"/>
              </w:rPr>
              <w:t>Airport Shuttle</w:t>
            </w:r>
          </w:p>
        </w:tc>
        <w:tc>
          <w:tcPr>
            <w:tcW w:w="1350" w:type="dxa"/>
            <w:tcBorders>
              <w:top w:val="single" w:sz="2" w:space="0" w:color="auto"/>
              <w:left w:val="single" w:sz="2" w:space="0" w:color="auto"/>
              <w:bottom w:val="single" w:sz="2" w:space="0" w:color="auto"/>
              <w:right w:val="single" w:sz="2" w:space="0" w:color="auto"/>
            </w:tcBorders>
            <w:vAlign w:val="center"/>
          </w:tcPr>
          <w:p w14:paraId="035DC242" w14:textId="339B587E" w:rsidR="00FF3482" w:rsidRPr="00677CE8" w:rsidRDefault="00FF3482" w:rsidP="00FF3482">
            <w:pPr>
              <w:pStyle w:val="Heading2"/>
              <w:spacing w:line="240" w:lineRule="auto"/>
              <w:rPr>
                <w:b w:val="0"/>
                <w:bCs w:val="0"/>
                <w:sz w:val="17"/>
                <w:szCs w:val="17"/>
              </w:rPr>
            </w:pPr>
            <w:r w:rsidRPr="00677CE8">
              <w:rPr>
                <w:b w:val="0"/>
                <w:bCs w:val="0"/>
                <w:sz w:val="17"/>
                <w:szCs w:val="17"/>
              </w:rPr>
              <w:t>PT, RH, PV</w:t>
            </w:r>
          </w:p>
        </w:tc>
        <w:tc>
          <w:tcPr>
            <w:tcW w:w="445" w:type="dxa"/>
            <w:tcBorders>
              <w:top w:val="single" w:sz="2" w:space="0" w:color="auto"/>
              <w:left w:val="single" w:sz="2" w:space="0" w:color="auto"/>
              <w:bottom w:val="single" w:sz="2" w:space="0" w:color="auto"/>
              <w:right w:val="single" w:sz="2" w:space="0" w:color="auto"/>
            </w:tcBorders>
            <w:vAlign w:val="center"/>
          </w:tcPr>
          <w:p w14:paraId="3EF207A3" w14:textId="02D64B2D" w:rsidR="00FF3482" w:rsidRPr="00677CE8" w:rsidRDefault="00FF3482" w:rsidP="00FF3482">
            <w:pPr>
              <w:pStyle w:val="Heading2"/>
              <w:spacing w:line="240" w:lineRule="auto"/>
              <w:jc w:val="center"/>
              <w:rPr>
                <w:sz w:val="17"/>
                <w:szCs w:val="17"/>
              </w:rPr>
            </w:pPr>
            <w:r w:rsidRPr="00677CE8">
              <w:rPr>
                <w:sz w:val="17"/>
                <w:szCs w:val="17"/>
              </w:rPr>
              <w:t>×</w:t>
            </w:r>
          </w:p>
        </w:tc>
        <w:tc>
          <w:tcPr>
            <w:tcW w:w="277" w:type="dxa"/>
            <w:tcBorders>
              <w:top w:val="single" w:sz="2" w:space="0" w:color="auto"/>
              <w:left w:val="single" w:sz="2" w:space="0" w:color="auto"/>
              <w:bottom w:val="single" w:sz="2" w:space="0" w:color="auto"/>
              <w:right w:val="single" w:sz="2" w:space="0" w:color="auto"/>
            </w:tcBorders>
            <w:vAlign w:val="center"/>
          </w:tcPr>
          <w:p w14:paraId="661BD1C1" w14:textId="77777777" w:rsidR="00FF3482" w:rsidRPr="00677CE8" w:rsidRDefault="00FF3482" w:rsidP="00FF3482">
            <w:pPr>
              <w:pStyle w:val="Heading2"/>
              <w:spacing w:line="240" w:lineRule="auto"/>
              <w:jc w:val="center"/>
              <w:rPr>
                <w:sz w:val="17"/>
                <w:szCs w:val="17"/>
              </w:rPr>
            </w:pPr>
          </w:p>
        </w:tc>
        <w:tc>
          <w:tcPr>
            <w:tcW w:w="720" w:type="dxa"/>
            <w:tcBorders>
              <w:top w:val="single" w:sz="2" w:space="0" w:color="auto"/>
              <w:left w:val="single" w:sz="2" w:space="0" w:color="auto"/>
              <w:bottom w:val="single" w:sz="2" w:space="0" w:color="auto"/>
              <w:right w:val="single" w:sz="2" w:space="0" w:color="auto"/>
            </w:tcBorders>
            <w:vAlign w:val="center"/>
          </w:tcPr>
          <w:p w14:paraId="5119284D" w14:textId="77777777" w:rsidR="00FF3482" w:rsidRPr="00677CE8" w:rsidRDefault="00FF3482" w:rsidP="00FF3482">
            <w:pPr>
              <w:pStyle w:val="Heading2"/>
              <w:spacing w:line="240" w:lineRule="auto"/>
              <w:jc w:val="center"/>
              <w:rPr>
                <w:sz w:val="17"/>
                <w:szCs w:val="17"/>
              </w:rPr>
            </w:pPr>
          </w:p>
        </w:tc>
        <w:tc>
          <w:tcPr>
            <w:tcW w:w="263" w:type="dxa"/>
            <w:tcBorders>
              <w:top w:val="single" w:sz="2" w:space="0" w:color="auto"/>
              <w:left w:val="single" w:sz="2" w:space="0" w:color="auto"/>
              <w:bottom w:val="single" w:sz="2" w:space="0" w:color="auto"/>
              <w:right w:val="single" w:sz="2" w:space="0" w:color="auto"/>
            </w:tcBorders>
            <w:vAlign w:val="center"/>
          </w:tcPr>
          <w:p w14:paraId="49961233" w14:textId="4D49279D" w:rsidR="00FF3482" w:rsidRPr="00677CE8" w:rsidRDefault="00FF3482" w:rsidP="00FF3482">
            <w:pPr>
              <w:pStyle w:val="Heading2"/>
              <w:spacing w:line="240" w:lineRule="auto"/>
              <w:jc w:val="center"/>
              <w:rPr>
                <w:sz w:val="17"/>
                <w:szCs w:val="17"/>
              </w:rPr>
            </w:pPr>
            <w:r w:rsidRPr="00677CE8">
              <w:rPr>
                <w:sz w:val="17"/>
                <w:szCs w:val="17"/>
              </w:rPr>
              <w:t>×</w:t>
            </w:r>
          </w:p>
        </w:tc>
        <w:tc>
          <w:tcPr>
            <w:tcW w:w="461" w:type="dxa"/>
            <w:tcBorders>
              <w:top w:val="single" w:sz="2" w:space="0" w:color="auto"/>
              <w:left w:val="single" w:sz="2" w:space="0" w:color="auto"/>
              <w:bottom w:val="single" w:sz="2" w:space="0" w:color="auto"/>
              <w:right w:val="single" w:sz="2" w:space="0" w:color="auto"/>
            </w:tcBorders>
            <w:vAlign w:val="center"/>
          </w:tcPr>
          <w:p w14:paraId="4D2C0510" w14:textId="30445C4F"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2" w:space="0" w:color="auto"/>
              <w:right w:val="single" w:sz="2" w:space="0" w:color="auto"/>
            </w:tcBorders>
            <w:vAlign w:val="center"/>
          </w:tcPr>
          <w:p w14:paraId="2CCB10A7" w14:textId="77777777"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2" w:space="0" w:color="auto"/>
              <w:right w:val="single" w:sz="2" w:space="0" w:color="auto"/>
            </w:tcBorders>
            <w:vAlign w:val="center"/>
          </w:tcPr>
          <w:p w14:paraId="054AA858" w14:textId="77777777" w:rsidR="00FF3482" w:rsidRPr="00677CE8" w:rsidRDefault="00FF3482" w:rsidP="00FF3482">
            <w:pPr>
              <w:pStyle w:val="Heading2"/>
              <w:spacing w:line="240" w:lineRule="auto"/>
              <w:jc w:val="center"/>
              <w:rPr>
                <w:sz w:val="17"/>
                <w:szCs w:val="17"/>
              </w:rPr>
            </w:pPr>
          </w:p>
        </w:tc>
        <w:tc>
          <w:tcPr>
            <w:tcW w:w="527" w:type="dxa"/>
            <w:tcBorders>
              <w:top w:val="single" w:sz="2" w:space="0" w:color="auto"/>
              <w:left w:val="single" w:sz="2" w:space="0" w:color="auto"/>
              <w:bottom w:val="single" w:sz="2" w:space="0" w:color="auto"/>
              <w:right w:val="single" w:sz="2" w:space="0" w:color="auto"/>
            </w:tcBorders>
            <w:vAlign w:val="center"/>
          </w:tcPr>
          <w:p w14:paraId="68CC06DC" w14:textId="7916A168" w:rsidR="00FF3482" w:rsidRPr="00677CE8" w:rsidRDefault="00FF3482" w:rsidP="00FF3482">
            <w:pPr>
              <w:pStyle w:val="Heading2"/>
              <w:spacing w:line="240" w:lineRule="auto"/>
              <w:jc w:val="center"/>
              <w:rPr>
                <w:sz w:val="17"/>
                <w:szCs w:val="17"/>
              </w:rPr>
            </w:pPr>
            <w:r w:rsidRPr="00677CE8">
              <w:rPr>
                <w:sz w:val="17"/>
                <w:szCs w:val="17"/>
              </w:rPr>
              <w:t>×</w:t>
            </w:r>
          </w:p>
        </w:tc>
        <w:tc>
          <w:tcPr>
            <w:tcW w:w="559" w:type="dxa"/>
            <w:tcBorders>
              <w:top w:val="single" w:sz="2" w:space="0" w:color="auto"/>
              <w:left w:val="single" w:sz="2" w:space="0" w:color="auto"/>
              <w:bottom w:val="single" w:sz="2" w:space="0" w:color="auto"/>
              <w:right w:val="single" w:sz="2" w:space="0" w:color="auto"/>
            </w:tcBorders>
            <w:vAlign w:val="center"/>
          </w:tcPr>
          <w:p w14:paraId="76301809" w14:textId="77777777" w:rsidR="00FF3482" w:rsidRPr="00677CE8" w:rsidRDefault="00FF3482" w:rsidP="00FF3482">
            <w:pPr>
              <w:pStyle w:val="Heading2"/>
              <w:spacing w:line="240" w:lineRule="auto"/>
              <w:jc w:val="center"/>
              <w:rPr>
                <w:sz w:val="17"/>
                <w:szCs w:val="17"/>
              </w:rPr>
            </w:pPr>
          </w:p>
        </w:tc>
        <w:tc>
          <w:tcPr>
            <w:tcW w:w="433" w:type="dxa"/>
            <w:tcBorders>
              <w:top w:val="single" w:sz="2" w:space="0" w:color="auto"/>
              <w:left w:val="single" w:sz="2" w:space="0" w:color="auto"/>
              <w:bottom w:val="single" w:sz="2" w:space="0" w:color="auto"/>
              <w:right w:val="single" w:sz="2" w:space="0" w:color="auto"/>
            </w:tcBorders>
            <w:vAlign w:val="center"/>
          </w:tcPr>
          <w:p w14:paraId="2E17039D" w14:textId="77777777" w:rsidR="00FF3482" w:rsidRPr="00677CE8" w:rsidRDefault="00FF3482" w:rsidP="00FF3482">
            <w:pPr>
              <w:pStyle w:val="Heading2"/>
              <w:spacing w:line="240" w:lineRule="auto"/>
              <w:jc w:val="center"/>
              <w:rPr>
                <w:sz w:val="17"/>
                <w:szCs w:val="17"/>
              </w:rPr>
            </w:pPr>
          </w:p>
        </w:tc>
        <w:tc>
          <w:tcPr>
            <w:tcW w:w="525" w:type="dxa"/>
            <w:tcBorders>
              <w:top w:val="single" w:sz="2" w:space="0" w:color="auto"/>
              <w:left w:val="single" w:sz="2" w:space="0" w:color="auto"/>
              <w:bottom w:val="single" w:sz="2" w:space="0" w:color="auto"/>
              <w:right w:val="single" w:sz="2" w:space="0" w:color="auto"/>
            </w:tcBorders>
            <w:vAlign w:val="center"/>
          </w:tcPr>
          <w:p w14:paraId="17E8A7A2" w14:textId="77777777" w:rsidR="00FF3482" w:rsidRPr="00677CE8" w:rsidRDefault="00FF3482" w:rsidP="00FF3482">
            <w:pPr>
              <w:pStyle w:val="Heading2"/>
              <w:spacing w:line="240" w:lineRule="auto"/>
              <w:jc w:val="center"/>
              <w:rPr>
                <w:sz w:val="17"/>
                <w:szCs w:val="17"/>
              </w:rPr>
            </w:pPr>
          </w:p>
        </w:tc>
        <w:tc>
          <w:tcPr>
            <w:tcW w:w="465" w:type="dxa"/>
            <w:tcBorders>
              <w:top w:val="single" w:sz="2" w:space="0" w:color="auto"/>
              <w:left w:val="single" w:sz="2" w:space="0" w:color="auto"/>
              <w:bottom w:val="single" w:sz="2" w:space="0" w:color="auto"/>
              <w:right w:val="single" w:sz="2" w:space="0" w:color="auto"/>
            </w:tcBorders>
          </w:tcPr>
          <w:p w14:paraId="416CCCF5" w14:textId="77777777" w:rsidR="00FF3482" w:rsidRPr="00677CE8" w:rsidRDefault="00FF3482" w:rsidP="00FF3482">
            <w:pPr>
              <w:pStyle w:val="Heading2"/>
              <w:spacing w:line="240" w:lineRule="auto"/>
              <w:jc w:val="center"/>
              <w:rPr>
                <w:sz w:val="17"/>
                <w:szCs w:val="17"/>
              </w:rPr>
            </w:pPr>
          </w:p>
        </w:tc>
        <w:tc>
          <w:tcPr>
            <w:tcW w:w="270" w:type="dxa"/>
            <w:tcBorders>
              <w:top w:val="single" w:sz="2" w:space="0" w:color="auto"/>
              <w:left w:val="single" w:sz="2" w:space="0" w:color="auto"/>
              <w:bottom w:val="single" w:sz="2" w:space="0" w:color="auto"/>
              <w:right w:val="single" w:sz="2" w:space="0" w:color="auto"/>
            </w:tcBorders>
            <w:vAlign w:val="center"/>
          </w:tcPr>
          <w:p w14:paraId="43F258B4" w14:textId="40777268" w:rsidR="00FF3482" w:rsidRPr="00677CE8" w:rsidRDefault="00FF3482" w:rsidP="00FF3482">
            <w:pPr>
              <w:pStyle w:val="Heading2"/>
              <w:spacing w:line="240" w:lineRule="auto"/>
              <w:jc w:val="center"/>
              <w:rPr>
                <w:sz w:val="17"/>
                <w:szCs w:val="17"/>
              </w:rPr>
            </w:pPr>
          </w:p>
        </w:tc>
        <w:tc>
          <w:tcPr>
            <w:tcW w:w="404" w:type="dxa"/>
            <w:tcBorders>
              <w:top w:val="single" w:sz="2" w:space="0" w:color="auto"/>
              <w:left w:val="single" w:sz="2" w:space="0" w:color="auto"/>
              <w:bottom w:val="single" w:sz="2" w:space="0" w:color="auto"/>
              <w:right w:val="single" w:sz="2" w:space="0" w:color="auto"/>
            </w:tcBorders>
            <w:vAlign w:val="center"/>
          </w:tcPr>
          <w:p w14:paraId="4F68F93B" w14:textId="0CB0F74C" w:rsidR="00FF3482" w:rsidRPr="00677CE8" w:rsidRDefault="00FF3482" w:rsidP="00FF3482">
            <w:pPr>
              <w:pStyle w:val="Heading2"/>
              <w:spacing w:line="240" w:lineRule="auto"/>
              <w:jc w:val="center"/>
              <w:rPr>
                <w:sz w:val="17"/>
                <w:szCs w:val="17"/>
              </w:rPr>
            </w:pPr>
            <w:r w:rsidRPr="00677CE8">
              <w:rPr>
                <w:sz w:val="17"/>
                <w:szCs w:val="17"/>
              </w:rPr>
              <w:t>×</w:t>
            </w:r>
          </w:p>
        </w:tc>
        <w:tc>
          <w:tcPr>
            <w:tcW w:w="406" w:type="dxa"/>
            <w:tcBorders>
              <w:top w:val="single" w:sz="2" w:space="0" w:color="auto"/>
              <w:left w:val="single" w:sz="2" w:space="0" w:color="auto"/>
              <w:bottom w:val="single" w:sz="2" w:space="0" w:color="auto"/>
              <w:right w:val="single" w:sz="2" w:space="0" w:color="auto"/>
            </w:tcBorders>
            <w:vAlign w:val="center"/>
          </w:tcPr>
          <w:p w14:paraId="092E3EA1" w14:textId="25214E9E" w:rsidR="00FF3482" w:rsidRPr="00677CE8" w:rsidRDefault="00FF3482" w:rsidP="00FF3482">
            <w:pPr>
              <w:pStyle w:val="Heading2"/>
              <w:spacing w:line="240" w:lineRule="auto"/>
              <w:jc w:val="center"/>
              <w:rPr>
                <w:sz w:val="17"/>
                <w:szCs w:val="17"/>
              </w:rPr>
            </w:pPr>
            <w:r w:rsidRPr="00677CE8">
              <w:rPr>
                <w:sz w:val="17"/>
                <w:szCs w:val="17"/>
              </w:rPr>
              <w:t>×</w:t>
            </w:r>
          </w:p>
        </w:tc>
        <w:tc>
          <w:tcPr>
            <w:tcW w:w="3338" w:type="dxa"/>
            <w:tcBorders>
              <w:top w:val="single" w:sz="2" w:space="0" w:color="auto"/>
              <w:left w:val="single" w:sz="2" w:space="0" w:color="auto"/>
              <w:bottom w:val="single" w:sz="2" w:space="0" w:color="auto"/>
              <w:right w:val="single" w:sz="12" w:space="0" w:color="auto"/>
            </w:tcBorders>
            <w:vAlign w:val="center"/>
          </w:tcPr>
          <w:p w14:paraId="4E255312" w14:textId="44D0AE0D" w:rsidR="00FF3482" w:rsidRPr="00677CE8" w:rsidRDefault="00FF3482" w:rsidP="00FF3482">
            <w:pPr>
              <w:pStyle w:val="Heading2"/>
              <w:spacing w:line="240" w:lineRule="auto"/>
              <w:rPr>
                <w:b w:val="0"/>
                <w:bCs w:val="0"/>
                <w:sz w:val="17"/>
                <w:szCs w:val="17"/>
              </w:rPr>
            </w:pPr>
            <w:r w:rsidRPr="00677CE8">
              <w:rPr>
                <w:b w:val="0"/>
                <w:bCs w:val="0"/>
                <w:sz w:val="17"/>
                <w:szCs w:val="17"/>
              </w:rPr>
              <w:t xml:space="preserve">Affinity </w:t>
            </w:r>
            <w:proofErr w:type="gramStart"/>
            <w:r w:rsidRPr="00677CE8">
              <w:rPr>
                <w:b w:val="0"/>
                <w:bCs w:val="0"/>
                <w:sz w:val="17"/>
                <w:szCs w:val="17"/>
              </w:rPr>
              <w:t>to</w:t>
            </w:r>
            <w:proofErr w:type="gramEnd"/>
            <w:r w:rsidRPr="00677CE8">
              <w:rPr>
                <w:b w:val="0"/>
                <w:bCs w:val="0"/>
                <w:sz w:val="17"/>
                <w:szCs w:val="17"/>
              </w:rPr>
              <w:t xml:space="preserve"> automation, Travel satisfaction</w:t>
            </w:r>
          </w:p>
        </w:tc>
      </w:tr>
      <w:tr w:rsidR="00FF3482" w:rsidRPr="00677CE8" w14:paraId="4DD83334" w14:textId="77777777" w:rsidTr="00007FF5">
        <w:trPr>
          <w:jc w:val="center"/>
        </w:trPr>
        <w:tc>
          <w:tcPr>
            <w:tcW w:w="1876" w:type="dxa"/>
            <w:tcBorders>
              <w:top w:val="single" w:sz="2" w:space="0" w:color="auto"/>
              <w:left w:val="single" w:sz="12" w:space="0" w:color="auto"/>
              <w:bottom w:val="single" w:sz="2" w:space="0" w:color="auto"/>
              <w:right w:val="single" w:sz="2" w:space="0" w:color="auto"/>
            </w:tcBorders>
            <w:vAlign w:val="center"/>
          </w:tcPr>
          <w:p w14:paraId="00BAC8BB" w14:textId="5963E075" w:rsidR="00FF3482" w:rsidRPr="00677CE8" w:rsidRDefault="00FF3482" w:rsidP="00FF3482">
            <w:pPr>
              <w:rPr>
                <w:sz w:val="17"/>
                <w:szCs w:val="17"/>
              </w:rPr>
            </w:pPr>
            <w:r w:rsidRPr="00677CE8">
              <w:rPr>
                <w:sz w:val="17"/>
                <w:szCs w:val="17"/>
              </w:rPr>
              <w:t>Cho and Kim, 2022</w:t>
            </w:r>
          </w:p>
        </w:tc>
        <w:tc>
          <w:tcPr>
            <w:tcW w:w="1444" w:type="dxa"/>
            <w:tcBorders>
              <w:top w:val="single" w:sz="2" w:space="0" w:color="auto"/>
              <w:left w:val="single" w:sz="2" w:space="0" w:color="auto"/>
              <w:bottom w:val="single" w:sz="2" w:space="0" w:color="auto"/>
              <w:right w:val="single" w:sz="2" w:space="0" w:color="auto"/>
            </w:tcBorders>
            <w:vAlign w:val="center"/>
          </w:tcPr>
          <w:p w14:paraId="18B36588" w14:textId="2FAFC6BC" w:rsidR="00FF3482" w:rsidRPr="00677CE8" w:rsidRDefault="00FF3482" w:rsidP="00FF3482">
            <w:pPr>
              <w:pStyle w:val="Heading2"/>
              <w:spacing w:line="240" w:lineRule="auto"/>
              <w:rPr>
                <w:b w:val="0"/>
                <w:bCs w:val="0"/>
                <w:sz w:val="17"/>
                <w:szCs w:val="17"/>
              </w:rPr>
            </w:pPr>
            <w:r w:rsidRPr="00677CE8">
              <w:rPr>
                <w:b w:val="0"/>
                <w:bCs w:val="0"/>
                <w:sz w:val="17"/>
                <w:szCs w:val="17"/>
              </w:rPr>
              <w:t>AT</w:t>
            </w:r>
          </w:p>
        </w:tc>
        <w:tc>
          <w:tcPr>
            <w:tcW w:w="1350" w:type="dxa"/>
            <w:tcBorders>
              <w:top w:val="single" w:sz="2" w:space="0" w:color="auto"/>
              <w:left w:val="single" w:sz="2" w:space="0" w:color="auto"/>
              <w:bottom w:val="single" w:sz="2" w:space="0" w:color="auto"/>
              <w:right w:val="single" w:sz="2" w:space="0" w:color="auto"/>
            </w:tcBorders>
            <w:vAlign w:val="center"/>
          </w:tcPr>
          <w:p w14:paraId="354AE3B5" w14:textId="0567D4BF" w:rsidR="00FF3482" w:rsidRPr="00677CE8" w:rsidRDefault="00FF3482" w:rsidP="00FF3482">
            <w:pPr>
              <w:pStyle w:val="Heading2"/>
              <w:spacing w:line="240" w:lineRule="auto"/>
              <w:rPr>
                <w:b w:val="0"/>
                <w:bCs w:val="0"/>
                <w:sz w:val="17"/>
                <w:szCs w:val="17"/>
              </w:rPr>
            </w:pPr>
            <w:r w:rsidRPr="00677CE8">
              <w:rPr>
                <w:b w:val="0"/>
                <w:bCs w:val="0"/>
                <w:sz w:val="17"/>
                <w:szCs w:val="17"/>
              </w:rPr>
              <w:t>PT, PV</w:t>
            </w:r>
          </w:p>
        </w:tc>
        <w:tc>
          <w:tcPr>
            <w:tcW w:w="445" w:type="dxa"/>
            <w:tcBorders>
              <w:top w:val="single" w:sz="2" w:space="0" w:color="auto"/>
              <w:left w:val="single" w:sz="2" w:space="0" w:color="auto"/>
              <w:bottom w:val="single" w:sz="2" w:space="0" w:color="auto"/>
              <w:right w:val="single" w:sz="2" w:space="0" w:color="auto"/>
            </w:tcBorders>
            <w:vAlign w:val="center"/>
          </w:tcPr>
          <w:p w14:paraId="150E58CE" w14:textId="7B594A92" w:rsidR="00FF3482" w:rsidRPr="00677CE8" w:rsidRDefault="00FF3482" w:rsidP="00FF3482">
            <w:pPr>
              <w:pStyle w:val="Heading2"/>
              <w:spacing w:line="240" w:lineRule="auto"/>
              <w:jc w:val="center"/>
              <w:rPr>
                <w:sz w:val="17"/>
                <w:szCs w:val="17"/>
              </w:rPr>
            </w:pPr>
            <w:r w:rsidRPr="00677CE8">
              <w:rPr>
                <w:sz w:val="17"/>
                <w:szCs w:val="17"/>
              </w:rPr>
              <w:t>×</w:t>
            </w:r>
          </w:p>
        </w:tc>
        <w:tc>
          <w:tcPr>
            <w:tcW w:w="277" w:type="dxa"/>
            <w:tcBorders>
              <w:top w:val="single" w:sz="2" w:space="0" w:color="auto"/>
              <w:left w:val="single" w:sz="2" w:space="0" w:color="auto"/>
              <w:bottom w:val="single" w:sz="2" w:space="0" w:color="auto"/>
              <w:right w:val="single" w:sz="2" w:space="0" w:color="auto"/>
            </w:tcBorders>
            <w:vAlign w:val="center"/>
          </w:tcPr>
          <w:p w14:paraId="6271A1F3" w14:textId="77777777" w:rsidR="00FF3482" w:rsidRPr="00677CE8" w:rsidRDefault="00FF3482" w:rsidP="00FF3482">
            <w:pPr>
              <w:pStyle w:val="Heading2"/>
              <w:spacing w:line="240" w:lineRule="auto"/>
              <w:jc w:val="center"/>
              <w:rPr>
                <w:sz w:val="17"/>
                <w:szCs w:val="17"/>
              </w:rPr>
            </w:pPr>
          </w:p>
        </w:tc>
        <w:tc>
          <w:tcPr>
            <w:tcW w:w="720" w:type="dxa"/>
            <w:tcBorders>
              <w:top w:val="single" w:sz="2" w:space="0" w:color="auto"/>
              <w:left w:val="single" w:sz="2" w:space="0" w:color="auto"/>
              <w:bottom w:val="single" w:sz="2" w:space="0" w:color="auto"/>
              <w:right w:val="single" w:sz="2" w:space="0" w:color="auto"/>
            </w:tcBorders>
            <w:vAlign w:val="center"/>
          </w:tcPr>
          <w:p w14:paraId="1D8EB628" w14:textId="77777777" w:rsidR="00FF3482" w:rsidRPr="00677CE8" w:rsidRDefault="00FF3482" w:rsidP="00FF3482">
            <w:pPr>
              <w:pStyle w:val="Heading2"/>
              <w:spacing w:line="240" w:lineRule="auto"/>
              <w:jc w:val="center"/>
              <w:rPr>
                <w:sz w:val="17"/>
                <w:szCs w:val="17"/>
              </w:rPr>
            </w:pPr>
          </w:p>
        </w:tc>
        <w:tc>
          <w:tcPr>
            <w:tcW w:w="263" w:type="dxa"/>
            <w:tcBorders>
              <w:top w:val="single" w:sz="2" w:space="0" w:color="auto"/>
              <w:left w:val="single" w:sz="2" w:space="0" w:color="auto"/>
              <w:bottom w:val="single" w:sz="2" w:space="0" w:color="auto"/>
              <w:right w:val="single" w:sz="2" w:space="0" w:color="auto"/>
            </w:tcBorders>
            <w:vAlign w:val="center"/>
          </w:tcPr>
          <w:p w14:paraId="7AC3C250" w14:textId="0A818369" w:rsidR="00FF3482" w:rsidRPr="00677CE8" w:rsidRDefault="00FF3482" w:rsidP="00FF3482">
            <w:pPr>
              <w:pStyle w:val="Heading2"/>
              <w:spacing w:line="240" w:lineRule="auto"/>
              <w:jc w:val="center"/>
              <w:rPr>
                <w:sz w:val="17"/>
                <w:szCs w:val="17"/>
              </w:rPr>
            </w:pPr>
            <w:r w:rsidRPr="00677CE8">
              <w:rPr>
                <w:sz w:val="17"/>
                <w:szCs w:val="17"/>
              </w:rPr>
              <w:t>×</w:t>
            </w:r>
          </w:p>
        </w:tc>
        <w:tc>
          <w:tcPr>
            <w:tcW w:w="461" w:type="dxa"/>
            <w:tcBorders>
              <w:top w:val="single" w:sz="2" w:space="0" w:color="auto"/>
              <w:left w:val="single" w:sz="2" w:space="0" w:color="auto"/>
              <w:bottom w:val="single" w:sz="2" w:space="0" w:color="auto"/>
              <w:right w:val="single" w:sz="2" w:space="0" w:color="auto"/>
            </w:tcBorders>
            <w:vAlign w:val="center"/>
          </w:tcPr>
          <w:p w14:paraId="06EED734" w14:textId="1D44FDA7"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2" w:space="0" w:color="auto"/>
              <w:right w:val="single" w:sz="2" w:space="0" w:color="auto"/>
            </w:tcBorders>
            <w:vAlign w:val="center"/>
          </w:tcPr>
          <w:p w14:paraId="13C2A1FC" w14:textId="77777777"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2" w:space="0" w:color="auto"/>
              <w:right w:val="single" w:sz="2" w:space="0" w:color="auto"/>
            </w:tcBorders>
            <w:vAlign w:val="center"/>
          </w:tcPr>
          <w:p w14:paraId="2CCD0DF3" w14:textId="77777777" w:rsidR="00FF3482" w:rsidRPr="00677CE8" w:rsidRDefault="00FF3482" w:rsidP="00FF3482">
            <w:pPr>
              <w:pStyle w:val="Heading2"/>
              <w:spacing w:line="240" w:lineRule="auto"/>
              <w:jc w:val="center"/>
              <w:rPr>
                <w:sz w:val="17"/>
                <w:szCs w:val="17"/>
              </w:rPr>
            </w:pPr>
          </w:p>
        </w:tc>
        <w:tc>
          <w:tcPr>
            <w:tcW w:w="527" w:type="dxa"/>
            <w:tcBorders>
              <w:top w:val="single" w:sz="2" w:space="0" w:color="auto"/>
              <w:left w:val="single" w:sz="2" w:space="0" w:color="auto"/>
              <w:bottom w:val="single" w:sz="2" w:space="0" w:color="auto"/>
              <w:right w:val="single" w:sz="2" w:space="0" w:color="auto"/>
            </w:tcBorders>
            <w:vAlign w:val="center"/>
          </w:tcPr>
          <w:p w14:paraId="0C8DB1C2" w14:textId="77777777" w:rsidR="00FF3482" w:rsidRPr="00677CE8" w:rsidRDefault="00FF3482" w:rsidP="00FF3482">
            <w:pPr>
              <w:pStyle w:val="Heading2"/>
              <w:spacing w:line="240" w:lineRule="auto"/>
              <w:jc w:val="center"/>
              <w:rPr>
                <w:sz w:val="17"/>
                <w:szCs w:val="17"/>
              </w:rPr>
            </w:pPr>
          </w:p>
        </w:tc>
        <w:tc>
          <w:tcPr>
            <w:tcW w:w="559" w:type="dxa"/>
            <w:tcBorders>
              <w:top w:val="single" w:sz="2" w:space="0" w:color="auto"/>
              <w:left w:val="single" w:sz="2" w:space="0" w:color="auto"/>
              <w:bottom w:val="single" w:sz="2" w:space="0" w:color="auto"/>
              <w:right w:val="single" w:sz="2" w:space="0" w:color="auto"/>
            </w:tcBorders>
            <w:vAlign w:val="center"/>
          </w:tcPr>
          <w:p w14:paraId="32E915E0" w14:textId="77777777" w:rsidR="00FF3482" w:rsidRPr="00677CE8" w:rsidRDefault="00FF3482" w:rsidP="00FF3482">
            <w:pPr>
              <w:pStyle w:val="Heading2"/>
              <w:spacing w:line="240" w:lineRule="auto"/>
              <w:jc w:val="center"/>
              <w:rPr>
                <w:sz w:val="17"/>
                <w:szCs w:val="17"/>
              </w:rPr>
            </w:pPr>
          </w:p>
        </w:tc>
        <w:tc>
          <w:tcPr>
            <w:tcW w:w="433" w:type="dxa"/>
            <w:tcBorders>
              <w:top w:val="single" w:sz="2" w:space="0" w:color="auto"/>
              <w:left w:val="single" w:sz="2" w:space="0" w:color="auto"/>
              <w:bottom w:val="single" w:sz="2" w:space="0" w:color="auto"/>
              <w:right w:val="single" w:sz="2" w:space="0" w:color="auto"/>
            </w:tcBorders>
            <w:vAlign w:val="center"/>
          </w:tcPr>
          <w:p w14:paraId="32F90745" w14:textId="77777777" w:rsidR="00FF3482" w:rsidRPr="00677CE8" w:rsidRDefault="00FF3482" w:rsidP="00FF3482">
            <w:pPr>
              <w:pStyle w:val="Heading2"/>
              <w:spacing w:line="240" w:lineRule="auto"/>
              <w:jc w:val="center"/>
              <w:rPr>
                <w:sz w:val="17"/>
                <w:szCs w:val="17"/>
              </w:rPr>
            </w:pPr>
          </w:p>
        </w:tc>
        <w:tc>
          <w:tcPr>
            <w:tcW w:w="525" w:type="dxa"/>
            <w:tcBorders>
              <w:top w:val="single" w:sz="2" w:space="0" w:color="auto"/>
              <w:left w:val="single" w:sz="2" w:space="0" w:color="auto"/>
              <w:bottom w:val="single" w:sz="2" w:space="0" w:color="auto"/>
              <w:right w:val="single" w:sz="2" w:space="0" w:color="auto"/>
            </w:tcBorders>
            <w:vAlign w:val="center"/>
          </w:tcPr>
          <w:p w14:paraId="192C9B93" w14:textId="77777777" w:rsidR="00FF3482" w:rsidRPr="00677CE8" w:rsidRDefault="00FF3482" w:rsidP="00FF3482">
            <w:pPr>
              <w:pStyle w:val="Heading2"/>
              <w:spacing w:line="240" w:lineRule="auto"/>
              <w:jc w:val="center"/>
              <w:rPr>
                <w:sz w:val="17"/>
                <w:szCs w:val="17"/>
              </w:rPr>
            </w:pPr>
          </w:p>
        </w:tc>
        <w:tc>
          <w:tcPr>
            <w:tcW w:w="465" w:type="dxa"/>
            <w:tcBorders>
              <w:top w:val="single" w:sz="2" w:space="0" w:color="auto"/>
              <w:left w:val="single" w:sz="2" w:space="0" w:color="auto"/>
              <w:bottom w:val="single" w:sz="2" w:space="0" w:color="auto"/>
              <w:right w:val="single" w:sz="2" w:space="0" w:color="auto"/>
            </w:tcBorders>
          </w:tcPr>
          <w:p w14:paraId="3D1AE631" w14:textId="77777777" w:rsidR="00FF3482" w:rsidRPr="00677CE8" w:rsidRDefault="00FF3482" w:rsidP="00FF3482">
            <w:pPr>
              <w:pStyle w:val="Heading2"/>
              <w:spacing w:line="240" w:lineRule="auto"/>
              <w:jc w:val="center"/>
              <w:rPr>
                <w:sz w:val="17"/>
                <w:szCs w:val="17"/>
              </w:rPr>
            </w:pPr>
          </w:p>
        </w:tc>
        <w:tc>
          <w:tcPr>
            <w:tcW w:w="270" w:type="dxa"/>
            <w:tcBorders>
              <w:top w:val="single" w:sz="2" w:space="0" w:color="auto"/>
              <w:left w:val="single" w:sz="2" w:space="0" w:color="auto"/>
              <w:bottom w:val="single" w:sz="2" w:space="0" w:color="auto"/>
              <w:right w:val="single" w:sz="2" w:space="0" w:color="auto"/>
            </w:tcBorders>
            <w:vAlign w:val="center"/>
          </w:tcPr>
          <w:p w14:paraId="1698B431" w14:textId="05FFB04B" w:rsidR="00FF3482" w:rsidRPr="00677CE8" w:rsidRDefault="00FF3482" w:rsidP="00FF3482">
            <w:pPr>
              <w:pStyle w:val="Heading2"/>
              <w:spacing w:line="240" w:lineRule="auto"/>
              <w:jc w:val="center"/>
              <w:rPr>
                <w:sz w:val="17"/>
                <w:szCs w:val="17"/>
              </w:rPr>
            </w:pPr>
          </w:p>
        </w:tc>
        <w:tc>
          <w:tcPr>
            <w:tcW w:w="404" w:type="dxa"/>
            <w:tcBorders>
              <w:top w:val="single" w:sz="2" w:space="0" w:color="auto"/>
              <w:left w:val="single" w:sz="2" w:space="0" w:color="auto"/>
              <w:bottom w:val="single" w:sz="2" w:space="0" w:color="auto"/>
              <w:right w:val="single" w:sz="2" w:space="0" w:color="auto"/>
            </w:tcBorders>
          </w:tcPr>
          <w:p w14:paraId="323DC34B" w14:textId="6C36EB48" w:rsidR="00FF3482" w:rsidRPr="00677CE8" w:rsidRDefault="00FF3482" w:rsidP="00FF3482">
            <w:pPr>
              <w:pStyle w:val="Heading2"/>
              <w:spacing w:line="240" w:lineRule="auto"/>
              <w:jc w:val="center"/>
              <w:rPr>
                <w:sz w:val="17"/>
                <w:szCs w:val="17"/>
              </w:rPr>
            </w:pPr>
            <w:r w:rsidRPr="00677CE8">
              <w:rPr>
                <w:sz w:val="17"/>
                <w:szCs w:val="17"/>
              </w:rPr>
              <w:t>×</w:t>
            </w:r>
          </w:p>
        </w:tc>
        <w:tc>
          <w:tcPr>
            <w:tcW w:w="406" w:type="dxa"/>
            <w:tcBorders>
              <w:top w:val="single" w:sz="2" w:space="0" w:color="auto"/>
              <w:left w:val="single" w:sz="2" w:space="0" w:color="auto"/>
              <w:bottom w:val="single" w:sz="2" w:space="0" w:color="auto"/>
              <w:right w:val="single" w:sz="2" w:space="0" w:color="auto"/>
            </w:tcBorders>
          </w:tcPr>
          <w:p w14:paraId="0679E266" w14:textId="77777777" w:rsidR="00FF3482" w:rsidRPr="00677CE8" w:rsidRDefault="00FF3482" w:rsidP="00FF3482">
            <w:pPr>
              <w:pStyle w:val="Heading2"/>
              <w:spacing w:line="240" w:lineRule="auto"/>
              <w:jc w:val="center"/>
              <w:rPr>
                <w:sz w:val="17"/>
                <w:szCs w:val="17"/>
              </w:rPr>
            </w:pPr>
          </w:p>
        </w:tc>
        <w:tc>
          <w:tcPr>
            <w:tcW w:w="3338" w:type="dxa"/>
            <w:tcBorders>
              <w:top w:val="single" w:sz="2" w:space="0" w:color="auto"/>
              <w:left w:val="single" w:sz="2" w:space="0" w:color="auto"/>
              <w:bottom w:val="single" w:sz="2" w:space="0" w:color="auto"/>
              <w:right w:val="single" w:sz="12" w:space="0" w:color="auto"/>
            </w:tcBorders>
            <w:vAlign w:val="center"/>
          </w:tcPr>
          <w:p w14:paraId="0CEF27D8" w14:textId="42DE2F17" w:rsidR="00FF3482" w:rsidRPr="00677CE8" w:rsidRDefault="00FF3482" w:rsidP="00FF3482">
            <w:pPr>
              <w:pStyle w:val="Heading2"/>
              <w:spacing w:line="240" w:lineRule="auto"/>
              <w:rPr>
                <w:b w:val="0"/>
                <w:bCs w:val="0"/>
                <w:sz w:val="17"/>
                <w:szCs w:val="17"/>
              </w:rPr>
            </w:pPr>
            <w:r w:rsidRPr="00677CE8">
              <w:rPr>
                <w:b w:val="0"/>
                <w:bCs w:val="0"/>
                <w:sz w:val="17"/>
                <w:szCs w:val="17"/>
              </w:rPr>
              <w:t>Safety perceptions</w:t>
            </w:r>
          </w:p>
        </w:tc>
      </w:tr>
      <w:tr w:rsidR="00FF3482" w:rsidRPr="00677CE8" w14:paraId="1D113DA3" w14:textId="77777777" w:rsidTr="00007FF5">
        <w:trPr>
          <w:jc w:val="center"/>
        </w:trPr>
        <w:tc>
          <w:tcPr>
            <w:tcW w:w="1876" w:type="dxa"/>
            <w:tcBorders>
              <w:top w:val="single" w:sz="2" w:space="0" w:color="auto"/>
              <w:left w:val="single" w:sz="12" w:space="0" w:color="auto"/>
              <w:bottom w:val="single" w:sz="2" w:space="0" w:color="auto"/>
              <w:right w:val="single" w:sz="2" w:space="0" w:color="auto"/>
            </w:tcBorders>
            <w:vAlign w:val="center"/>
          </w:tcPr>
          <w:p w14:paraId="7A313265" w14:textId="77276F59" w:rsidR="00FF3482" w:rsidRPr="00677CE8" w:rsidRDefault="00FF3482" w:rsidP="00FF3482">
            <w:pPr>
              <w:rPr>
                <w:sz w:val="17"/>
                <w:szCs w:val="17"/>
              </w:rPr>
            </w:pPr>
            <w:r w:rsidRPr="00677CE8">
              <w:rPr>
                <w:sz w:val="17"/>
                <w:szCs w:val="17"/>
              </w:rPr>
              <w:t>Coppola et al., 2024</w:t>
            </w:r>
          </w:p>
        </w:tc>
        <w:tc>
          <w:tcPr>
            <w:tcW w:w="1444" w:type="dxa"/>
            <w:tcBorders>
              <w:top w:val="single" w:sz="2" w:space="0" w:color="auto"/>
              <w:left w:val="single" w:sz="2" w:space="0" w:color="auto"/>
              <w:bottom w:val="single" w:sz="2" w:space="0" w:color="auto"/>
              <w:right w:val="single" w:sz="2" w:space="0" w:color="auto"/>
            </w:tcBorders>
            <w:vAlign w:val="center"/>
          </w:tcPr>
          <w:p w14:paraId="4C674B18" w14:textId="64C3C878" w:rsidR="00FF3482" w:rsidRPr="00677CE8" w:rsidRDefault="00FF3482" w:rsidP="00FF3482">
            <w:pPr>
              <w:pStyle w:val="Heading2"/>
              <w:spacing w:line="240" w:lineRule="auto"/>
              <w:rPr>
                <w:b w:val="0"/>
                <w:bCs w:val="0"/>
                <w:sz w:val="17"/>
                <w:szCs w:val="17"/>
              </w:rPr>
            </w:pPr>
            <w:r w:rsidRPr="00677CE8">
              <w:rPr>
                <w:b w:val="0"/>
                <w:bCs w:val="0"/>
                <w:sz w:val="17"/>
                <w:szCs w:val="17"/>
              </w:rPr>
              <w:t>AT, Airport Shuttle</w:t>
            </w:r>
          </w:p>
        </w:tc>
        <w:tc>
          <w:tcPr>
            <w:tcW w:w="1350" w:type="dxa"/>
            <w:tcBorders>
              <w:top w:val="single" w:sz="2" w:space="0" w:color="auto"/>
              <w:left w:val="single" w:sz="2" w:space="0" w:color="auto"/>
              <w:bottom w:val="single" w:sz="2" w:space="0" w:color="auto"/>
              <w:right w:val="single" w:sz="2" w:space="0" w:color="auto"/>
            </w:tcBorders>
            <w:vAlign w:val="center"/>
          </w:tcPr>
          <w:p w14:paraId="31B8C20B" w14:textId="58543F08" w:rsidR="00FF3482" w:rsidRPr="00677CE8" w:rsidRDefault="00FF3482" w:rsidP="00FF3482">
            <w:pPr>
              <w:pStyle w:val="Heading2"/>
              <w:spacing w:line="240" w:lineRule="auto"/>
              <w:rPr>
                <w:b w:val="0"/>
                <w:bCs w:val="0"/>
                <w:sz w:val="17"/>
                <w:szCs w:val="17"/>
              </w:rPr>
            </w:pPr>
            <w:r w:rsidRPr="00677CE8">
              <w:rPr>
                <w:b w:val="0"/>
                <w:bCs w:val="0"/>
                <w:sz w:val="17"/>
                <w:szCs w:val="17"/>
              </w:rPr>
              <w:t>RH, PT, PV</w:t>
            </w:r>
          </w:p>
        </w:tc>
        <w:tc>
          <w:tcPr>
            <w:tcW w:w="445" w:type="dxa"/>
            <w:tcBorders>
              <w:top w:val="single" w:sz="2" w:space="0" w:color="auto"/>
              <w:left w:val="single" w:sz="2" w:space="0" w:color="auto"/>
              <w:bottom w:val="single" w:sz="2" w:space="0" w:color="auto"/>
              <w:right w:val="single" w:sz="2" w:space="0" w:color="auto"/>
            </w:tcBorders>
            <w:vAlign w:val="center"/>
          </w:tcPr>
          <w:p w14:paraId="17F8F02C" w14:textId="330306C0" w:rsidR="00FF3482" w:rsidRPr="00677CE8" w:rsidRDefault="00FF3482" w:rsidP="00FF3482">
            <w:pPr>
              <w:pStyle w:val="Heading2"/>
              <w:spacing w:line="240" w:lineRule="auto"/>
              <w:jc w:val="center"/>
              <w:rPr>
                <w:sz w:val="17"/>
                <w:szCs w:val="17"/>
              </w:rPr>
            </w:pPr>
            <w:r w:rsidRPr="00677CE8">
              <w:rPr>
                <w:sz w:val="17"/>
                <w:szCs w:val="17"/>
              </w:rPr>
              <w:t>×</w:t>
            </w:r>
          </w:p>
        </w:tc>
        <w:tc>
          <w:tcPr>
            <w:tcW w:w="277" w:type="dxa"/>
            <w:tcBorders>
              <w:top w:val="single" w:sz="2" w:space="0" w:color="auto"/>
              <w:left w:val="single" w:sz="2" w:space="0" w:color="auto"/>
              <w:bottom w:val="single" w:sz="2" w:space="0" w:color="auto"/>
              <w:right w:val="single" w:sz="2" w:space="0" w:color="auto"/>
            </w:tcBorders>
            <w:vAlign w:val="center"/>
          </w:tcPr>
          <w:p w14:paraId="44228919" w14:textId="1626BC5C" w:rsidR="00FF3482" w:rsidRPr="00677CE8" w:rsidRDefault="00FF3482" w:rsidP="00FF3482">
            <w:pPr>
              <w:pStyle w:val="Heading2"/>
              <w:spacing w:line="240" w:lineRule="auto"/>
              <w:jc w:val="center"/>
              <w:rPr>
                <w:sz w:val="17"/>
                <w:szCs w:val="17"/>
              </w:rPr>
            </w:pPr>
            <w:r w:rsidRPr="00677CE8">
              <w:rPr>
                <w:sz w:val="17"/>
                <w:szCs w:val="17"/>
              </w:rPr>
              <w:t>×</w:t>
            </w:r>
          </w:p>
        </w:tc>
        <w:tc>
          <w:tcPr>
            <w:tcW w:w="720" w:type="dxa"/>
            <w:tcBorders>
              <w:top w:val="single" w:sz="2" w:space="0" w:color="auto"/>
              <w:left w:val="single" w:sz="2" w:space="0" w:color="auto"/>
              <w:bottom w:val="single" w:sz="2" w:space="0" w:color="auto"/>
              <w:right w:val="single" w:sz="2" w:space="0" w:color="auto"/>
            </w:tcBorders>
            <w:vAlign w:val="center"/>
          </w:tcPr>
          <w:p w14:paraId="1B26E2A0" w14:textId="77777777" w:rsidR="00FF3482" w:rsidRPr="00677CE8" w:rsidRDefault="00FF3482" w:rsidP="00FF3482">
            <w:pPr>
              <w:pStyle w:val="Heading2"/>
              <w:spacing w:line="240" w:lineRule="auto"/>
              <w:jc w:val="center"/>
              <w:rPr>
                <w:sz w:val="17"/>
                <w:szCs w:val="17"/>
              </w:rPr>
            </w:pPr>
          </w:p>
        </w:tc>
        <w:tc>
          <w:tcPr>
            <w:tcW w:w="263" w:type="dxa"/>
            <w:tcBorders>
              <w:top w:val="single" w:sz="2" w:space="0" w:color="auto"/>
              <w:left w:val="single" w:sz="2" w:space="0" w:color="auto"/>
              <w:bottom w:val="single" w:sz="2" w:space="0" w:color="auto"/>
              <w:right w:val="single" w:sz="2" w:space="0" w:color="auto"/>
            </w:tcBorders>
            <w:vAlign w:val="center"/>
          </w:tcPr>
          <w:p w14:paraId="4CE90897" w14:textId="259B10AA" w:rsidR="00FF3482" w:rsidRPr="00677CE8" w:rsidRDefault="00FF3482" w:rsidP="00FF3482">
            <w:pPr>
              <w:pStyle w:val="Heading2"/>
              <w:spacing w:line="240" w:lineRule="auto"/>
              <w:jc w:val="center"/>
              <w:rPr>
                <w:sz w:val="17"/>
                <w:szCs w:val="17"/>
              </w:rPr>
            </w:pPr>
            <w:r w:rsidRPr="00677CE8">
              <w:rPr>
                <w:sz w:val="17"/>
                <w:szCs w:val="17"/>
              </w:rPr>
              <w:t>×</w:t>
            </w:r>
          </w:p>
        </w:tc>
        <w:tc>
          <w:tcPr>
            <w:tcW w:w="461" w:type="dxa"/>
            <w:tcBorders>
              <w:top w:val="single" w:sz="2" w:space="0" w:color="auto"/>
              <w:left w:val="single" w:sz="2" w:space="0" w:color="auto"/>
              <w:bottom w:val="single" w:sz="2" w:space="0" w:color="auto"/>
              <w:right w:val="single" w:sz="2" w:space="0" w:color="auto"/>
            </w:tcBorders>
            <w:vAlign w:val="center"/>
          </w:tcPr>
          <w:p w14:paraId="3DD0D9E2" w14:textId="43025E50"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2" w:space="0" w:color="auto"/>
              <w:right w:val="single" w:sz="2" w:space="0" w:color="auto"/>
            </w:tcBorders>
            <w:vAlign w:val="center"/>
          </w:tcPr>
          <w:p w14:paraId="10439111" w14:textId="77777777"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2" w:space="0" w:color="auto"/>
              <w:right w:val="single" w:sz="2" w:space="0" w:color="auto"/>
            </w:tcBorders>
            <w:vAlign w:val="center"/>
          </w:tcPr>
          <w:p w14:paraId="0B20E41D" w14:textId="77777777" w:rsidR="00FF3482" w:rsidRPr="00677CE8" w:rsidRDefault="00FF3482" w:rsidP="00FF3482">
            <w:pPr>
              <w:pStyle w:val="Heading2"/>
              <w:spacing w:line="240" w:lineRule="auto"/>
              <w:jc w:val="center"/>
              <w:rPr>
                <w:sz w:val="17"/>
                <w:szCs w:val="17"/>
              </w:rPr>
            </w:pPr>
          </w:p>
        </w:tc>
        <w:tc>
          <w:tcPr>
            <w:tcW w:w="527" w:type="dxa"/>
            <w:tcBorders>
              <w:top w:val="single" w:sz="2" w:space="0" w:color="auto"/>
              <w:left w:val="single" w:sz="2" w:space="0" w:color="auto"/>
              <w:bottom w:val="single" w:sz="2" w:space="0" w:color="auto"/>
              <w:right w:val="single" w:sz="2" w:space="0" w:color="auto"/>
            </w:tcBorders>
            <w:vAlign w:val="center"/>
          </w:tcPr>
          <w:p w14:paraId="19A37F76" w14:textId="77777777" w:rsidR="00FF3482" w:rsidRPr="00677CE8" w:rsidRDefault="00FF3482" w:rsidP="00FF3482">
            <w:pPr>
              <w:pStyle w:val="Heading2"/>
              <w:spacing w:line="240" w:lineRule="auto"/>
              <w:jc w:val="center"/>
              <w:rPr>
                <w:sz w:val="17"/>
                <w:szCs w:val="17"/>
              </w:rPr>
            </w:pPr>
          </w:p>
        </w:tc>
        <w:tc>
          <w:tcPr>
            <w:tcW w:w="559" w:type="dxa"/>
            <w:tcBorders>
              <w:top w:val="single" w:sz="2" w:space="0" w:color="auto"/>
              <w:left w:val="single" w:sz="2" w:space="0" w:color="auto"/>
              <w:bottom w:val="single" w:sz="2" w:space="0" w:color="auto"/>
              <w:right w:val="single" w:sz="2" w:space="0" w:color="auto"/>
            </w:tcBorders>
            <w:vAlign w:val="center"/>
          </w:tcPr>
          <w:p w14:paraId="305D9BBF" w14:textId="77777777" w:rsidR="00FF3482" w:rsidRPr="00677CE8" w:rsidRDefault="00FF3482" w:rsidP="00FF3482">
            <w:pPr>
              <w:pStyle w:val="Heading2"/>
              <w:spacing w:line="240" w:lineRule="auto"/>
              <w:jc w:val="center"/>
              <w:rPr>
                <w:sz w:val="17"/>
                <w:szCs w:val="17"/>
              </w:rPr>
            </w:pPr>
          </w:p>
        </w:tc>
        <w:tc>
          <w:tcPr>
            <w:tcW w:w="433" w:type="dxa"/>
            <w:tcBorders>
              <w:top w:val="single" w:sz="2" w:space="0" w:color="auto"/>
              <w:left w:val="single" w:sz="2" w:space="0" w:color="auto"/>
              <w:bottom w:val="single" w:sz="2" w:space="0" w:color="auto"/>
              <w:right w:val="single" w:sz="2" w:space="0" w:color="auto"/>
            </w:tcBorders>
            <w:vAlign w:val="center"/>
          </w:tcPr>
          <w:p w14:paraId="122CCBFA" w14:textId="77777777" w:rsidR="00FF3482" w:rsidRPr="00677CE8" w:rsidRDefault="00FF3482" w:rsidP="00FF3482">
            <w:pPr>
              <w:pStyle w:val="Heading2"/>
              <w:spacing w:line="240" w:lineRule="auto"/>
              <w:jc w:val="center"/>
              <w:rPr>
                <w:sz w:val="17"/>
                <w:szCs w:val="17"/>
              </w:rPr>
            </w:pPr>
          </w:p>
        </w:tc>
        <w:tc>
          <w:tcPr>
            <w:tcW w:w="525" w:type="dxa"/>
            <w:tcBorders>
              <w:top w:val="single" w:sz="2" w:space="0" w:color="auto"/>
              <w:left w:val="single" w:sz="2" w:space="0" w:color="auto"/>
              <w:bottom w:val="single" w:sz="2" w:space="0" w:color="auto"/>
              <w:right w:val="single" w:sz="2" w:space="0" w:color="auto"/>
            </w:tcBorders>
            <w:vAlign w:val="center"/>
          </w:tcPr>
          <w:p w14:paraId="7818D4AC" w14:textId="77777777" w:rsidR="00FF3482" w:rsidRPr="00677CE8" w:rsidRDefault="00FF3482" w:rsidP="00FF3482">
            <w:pPr>
              <w:pStyle w:val="Heading2"/>
              <w:spacing w:line="240" w:lineRule="auto"/>
              <w:jc w:val="center"/>
              <w:rPr>
                <w:sz w:val="17"/>
                <w:szCs w:val="17"/>
              </w:rPr>
            </w:pPr>
          </w:p>
        </w:tc>
        <w:tc>
          <w:tcPr>
            <w:tcW w:w="465" w:type="dxa"/>
            <w:tcBorders>
              <w:top w:val="single" w:sz="2" w:space="0" w:color="auto"/>
              <w:left w:val="single" w:sz="2" w:space="0" w:color="auto"/>
              <w:bottom w:val="single" w:sz="2" w:space="0" w:color="auto"/>
              <w:right w:val="single" w:sz="2" w:space="0" w:color="auto"/>
            </w:tcBorders>
          </w:tcPr>
          <w:p w14:paraId="60F2C525" w14:textId="77777777" w:rsidR="00FF3482" w:rsidRPr="00677CE8" w:rsidRDefault="00FF3482" w:rsidP="00FF3482">
            <w:pPr>
              <w:pStyle w:val="Heading2"/>
              <w:spacing w:line="240" w:lineRule="auto"/>
              <w:jc w:val="center"/>
              <w:rPr>
                <w:sz w:val="17"/>
                <w:szCs w:val="17"/>
              </w:rPr>
            </w:pPr>
          </w:p>
        </w:tc>
        <w:tc>
          <w:tcPr>
            <w:tcW w:w="270" w:type="dxa"/>
            <w:tcBorders>
              <w:top w:val="single" w:sz="2" w:space="0" w:color="auto"/>
              <w:left w:val="single" w:sz="2" w:space="0" w:color="auto"/>
              <w:bottom w:val="single" w:sz="2" w:space="0" w:color="auto"/>
              <w:right w:val="single" w:sz="2" w:space="0" w:color="auto"/>
            </w:tcBorders>
            <w:vAlign w:val="center"/>
          </w:tcPr>
          <w:p w14:paraId="5B99E446" w14:textId="4BFDC170" w:rsidR="00FF3482" w:rsidRPr="00677CE8" w:rsidRDefault="00FF3482" w:rsidP="00FF3482">
            <w:pPr>
              <w:pStyle w:val="Heading2"/>
              <w:spacing w:line="240" w:lineRule="auto"/>
              <w:jc w:val="center"/>
              <w:rPr>
                <w:sz w:val="17"/>
                <w:szCs w:val="17"/>
              </w:rPr>
            </w:pPr>
          </w:p>
        </w:tc>
        <w:tc>
          <w:tcPr>
            <w:tcW w:w="404" w:type="dxa"/>
            <w:tcBorders>
              <w:top w:val="single" w:sz="2" w:space="0" w:color="auto"/>
              <w:left w:val="single" w:sz="2" w:space="0" w:color="auto"/>
              <w:bottom w:val="single" w:sz="2" w:space="0" w:color="auto"/>
              <w:right w:val="single" w:sz="2" w:space="0" w:color="auto"/>
            </w:tcBorders>
          </w:tcPr>
          <w:p w14:paraId="12301EE0" w14:textId="5258802B" w:rsidR="00FF3482" w:rsidRPr="00677CE8" w:rsidRDefault="00FF3482" w:rsidP="00FF3482">
            <w:pPr>
              <w:pStyle w:val="Heading2"/>
              <w:spacing w:line="240" w:lineRule="auto"/>
              <w:jc w:val="center"/>
              <w:rPr>
                <w:sz w:val="17"/>
                <w:szCs w:val="17"/>
              </w:rPr>
            </w:pPr>
            <w:r w:rsidRPr="00677CE8">
              <w:rPr>
                <w:sz w:val="17"/>
                <w:szCs w:val="17"/>
              </w:rPr>
              <w:t>×</w:t>
            </w:r>
          </w:p>
        </w:tc>
        <w:tc>
          <w:tcPr>
            <w:tcW w:w="406" w:type="dxa"/>
            <w:tcBorders>
              <w:top w:val="single" w:sz="2" w:space="0" w:color="auto"/>
              <w:left w:val="single" w:sz="2" w:space="0" w:color="auto"/>
              <w:bottom w:val="single" w:sz="2" w:space="0" w:color="auto"/>
              <w:right w:val="single" w:sz="2" w:space="0" w:color="auto"/>
            </w:tcBorders>
          </w:tcPr>
          <w:p w14:paraId="5B1D2C7F" w14:textId="77777777" w:rsidR="00FF3482" w:rsidRPr="00677CE8" w:rsidRDefault="00FF3482" w:rsidP="00FF3482">
            <w:pPr>
              <w:pStyle w:val="Heading2"/>
              <w:spacing w:line="240" w:lineRule="auto"/>
              <w:jc w:val="center"/>
              <w:rPr>
                <w:sz w:val="17"/>
                <w:szCs w:val="17"/>
              </w:rPr>
            </w:pPr>
          </w:p>
        </w:tc>
        <w:tc>
          <w:tcPr>
            <w:tcW w:w="3338" w:type="dxa"/>
            <w:tcBorders>
              <w:top w:val="single" w:sz="2" w:space="0" w:color="auto"/>
              <w:left w:val="single" w:sz="2" w:space="0" w:color="auto"/>
              <w:bottom w:val="single" w:sz="2" w:space="0" w:color="auto"/>
              <w:right w:val="single" w:sz="12" w:space="0" w:color="auto"/>
            </w:tcBorders>
            <w:vAlign w:val="center"/>
          </w:tcPr>
          <w:p w14:paraId="0940FC07" w14:textId="5A008CA9" w:rsidR="00FF3482" w:rsidRPr="00677CE8" w:rsidRDefault="00FF3482" w:rsidP="00FF3482">
            <w:pPr>
              <w:pStyle w:val="Heading2"/>
              <w:spacing w:line="240" w:lineRule="auto"/>
              <w:rPr>
                <w:b w:val="0"/>
                <w:bCs w:val="0"/>
                <w:sz w:val="17"/>
                <w:szCs w:val="17"/>
              </w:rPr>
            </w:pPr>
            <w:r w:rsidRPr="00677CE8">
              <w:rPr>
                <w:b w:val="0"/>
                <w:bCs w:val="0"/>
                <w:sz w:val="17"/>
                <w:szCs w:val="17"/>
              </w:rPr>
              <w:t>Did not consider</w:t>
            </w:r>
          </w:p>
        </w:tc>
      </w:tr>
      <w:tr w:rsidR="00FF3482" w:rsidRPr="00677CE8" w14:paraId="0B2078EF" w14:textId="77777777" w:rsidTr="00007FF5">
        <w:trPr>
          <w:jc w:val="center"/>
        </w:trPr>
        <w:tc>
          <w:tcPr>
            <w:tcW w:w="1876" w:type="dxa"/>
            <w:tcBorders>
              <w:top w:val="single" w:sz="2" w:space="0" w:color="auto"/>
              <w:left w:val="single" w:sz="12" w:space="0" w:color="auto"/>
              <w:bottom w:val="single" w:sz="2" w:space="0" w:color="auto"/>
              <w:right w:val="single" w:sz="2" w:space="0" w:color="auto"/>
            </w:tcBorders>
            <w:vAlign w:val="center"/>
          </w:tcPr>
          <w:p w14:paraId="39764652" w14:textId="5F315B11" w:rsidR="00FF3482" w:rsidRPr="00677CE8" w:rsidRDefault="00FF3482" w:rsidP="00FF3482">
            <w:pPr>
              <w:rPr>
                <w:sz w:val="17"/>
                <w:szCs w:val="17"/>
              </w:rPr>
            </w:pPr>
            <w:r w:rsidRPr="00677CE8">
              <w:rPr>
                <w:sz w:val="17"/>
                <w:szCs w:val="17"/>
              </w:rPr>
              <w:t>Fu et al., 2019</w:t>
            </w:r>
          </w:p>
        </w:tc>
        <w:tc>
          <w:tcPr>
            <w:tcW w:w="1444" w:type="dxa"/>
            <w:tcBorders>
              <w:top w:val="single" w:sz="2" w:space="0" w:color="auto"/>
              <w:left w:val="single" w:sz="2" w:space="0" w:color="auto"/>
              <w:bottom w:val="single" w:sz="2" w:space="0" w:color="auto"/>
              <w:right w:val="single" w:sz="2" w:space="0" w:color="auto"/>
            </w:tcBorders>
            <w:vAlign w:val="center"/>
          </w:tcPr>
          <w:p w14:paraId="097482CC" w14:textId="0498691C" w:rsidR="00FF3482" w:rsidRPr="00677CE8" w:rsidRDefault="00FF3482" w:rsidP="00FF3482">
            <w:pPr>
              <w:pStyle w:val="Heading2"/>
              <w:spacing w:line="240" w:lineRule="auto"/>
              <w:rPr>
                <w:b w:val="0"/>
                <w:bCs w:val="0"/>
                <w:sz w:val="17"/>
                <w:szCs w:val="17"/>
              </w:rPr>
            </w:pPr>
            <w:r w:rsidRPr="00677CE8">
              <w:rPr>
                <w:b w:val="0"/>
                <w:bCs w:val="0"/>
                <w:sz w:val="17"/>
                <w:szCs w:val="17"/>
              </w:rPr>
              <w:t>AT</w:t>
            </w:r>
          </w:p>
        </w:tc>
        <w:tc>
          <w:tcPr>
            <w:tcW w:w="1350" w:type="dxa"/>
            <w:tcBorders>
              <w:top w:val="single" w:sz="2" w:space="0" w:color="auto"/>
              <w:left w:val="single" w:sz="2" w:space="0" w:color="auto"/>
              <w:bottom w:val="single" w:sz="2" w:space="0" w:color="auto"/>
              <w:right w:val="single" w:sz="2" w:space="0" w:color="auto"/>
            </w:tcBorders>
            <w:vAlign w:val="center"/>
          </w:tcPr>
          <w:p w14:paraId="55CA78C4" w14:textId="66051150" w:rsidR="00FF3482" w:rsidRPr="00677CE8" w:rsidRDefault="00FF3482" w:rsidP="00FF3482">
            <w:pPr>
              <w:pStyle w:val="Heading2"/>
              <w:spacing w:line="240" w:lineRule="auto"/>
              <w:rPr>
                <w:b w:val="0"/>
                <w:bCs w:val="0"/>
                <w:sz w:val="17"/>
                <w:szCs w:val="17"/>
              </w:rPr>
            </w:pPr>
            <w:r w:rsidRPr="00677CE8">
              <w:rPr>
                <w:b w:val="0"/>
                <w:bCs w:val="0"/>
                <w:sz w:val="17"/>
                <w:szCs w:val="17"/>
              </w:rPr>
              <w:t xml:space="preserve"> PT, PV, Autonomous Taxi</w:t>
            </w:r>
          </w:p>
        </w:tc>
        <w:tc>
          <w:tcPr>
            <w:tcW w:w="445" w:type="dxa"/>
            <w:tcBorders>
              <w:top w:val="single" w:sz="2" w:space="0" w:color="auto"/>
              <w:left w:val="single" w:sz="2" w:space="0" w:color="auto"/>
              <w:bottom w:val="single" w:sz="2" w:space="0" w:color="auto"/>
              <w:right w:val="single" w:sz="2" w:space="0" w:color="auto"/>
            </w:tcBorders>
            <w:vAlign w:val="center"/>
          </w:tcPr>
          <w:p w14:paraId="5387DAEF" w14:textId="6B762877" w:rsidR="00FF3482" w:rsidRPr="00677CE8" w:rsidRDefault="00FF3482" w:rsidP="00FF3482">
            <w:pPr>
              <w:pStyle w:val="Heading2"/>
              <w:spacing w:line="240" w:lineRule="auto"/>
              <w:jc w:val="center"/>
              <w:rPr>
                <w:sz w:val="17"/>
                <w:szCs w:val="17"/>
              </w:rPr>
            </w:pPr>
            <w:r w:rsidRPr="00677CE8">
              <w:rPr>
                <w:sz w:val="17"/>
                <w:szCs w:val="17"/>
              </w:rPr>
              <w:t>×</w:t>
            </w:r>
          </w:p>
        </w:tc>
        <w:tc>
          <w:tcPr>
            <w:tcW w:w="277" w:type="dxa"/>
            <w:tcBorders>
              <w:top w:val="single" w:sz="2" w:space="0" w:color="auto"/>
              <w:left w:val="single" w:sz="2" w:space="0" w:color="auto"/>
              <w:bottom w:val="single" w:sz="2" w:space="0" w:color="auto"/>
              <w:right w:val="single" w:sz="2" w:space="0" w:color="auto"/>
            </w:tcBorders>
            <w:vAlign w:val="center"/>
          </w:tcPr>
          <w:p w14:paraId="1DE6D399" w14:textId="2EFB477B" w:rsidR="00FF3482" w:rsidRPr="00677CE8" w:rsidRDefault="00FF3482" w:rsidP="00FF3482">
            <w:pPr>
              <w:pStyle w:val="Heading2"/>
              <w:spacing w:line="240" w:lineRule="auto"/>
              <w:jc w:val="center"/>
              <w:rPr>
                <w:sz w:val="17"/>
                <w:szCs w:val="17"/>
              </w:rPr>
            </w:pPr>
            <w:r w:rsidRPr="00677CE8">
              <w:rPr>
                <w:sz w:val="17"/>
                <w:szCs w:val="17"/>
              </w:rPr>
              <w:t>×</w:t>
            </w:r>
          </w:p>
        </w:tc>
        <w:tc>
          <w:tcPr>
            <w:tcW w:w="720" w:type="dxa"/>
            <w:tcBorders>
              <w:top w:val="single" w:sz="2" w:space="0" w:color="auto"/>
              <w:left w:val="single" w:sz="2" w:space="0" w:color="auto"/>
              <w:bottom w:val="single" w:sz="2" w:space="0" w:color="auto"/>
              <w:right w:val="single" w:sz="2" w:space="0" w:color="auto"/>
            </w:tcBorders>
            <w:vAlign w:val="center"/>
          </w:tcPr>
          <w:p w14:paraId="168F4395" w14:textId="77777777" w:rsidR="00FF3482" w:rsidRPr="00677CE8" w:rsidRDefault="00FF3482" w:rsidP="00FF3482">
            <w:pPr>
              <w:pStyle w:val="Heading2"/>
              <w:spacing w:line="240" w:lineRule="auto"/>
              <w:jc w:val="center"/>
              <w:rPr>
                <w:sz w:val="17"/>
                <w:szCs w:val="17"/>
              </w:rPr>
            </w:pPr>
          </w:p>
        </w:tc>
        <w:tc>
          <w:tcPr>
            <w:tcW w:w="263" w:type="dxa"/>
            <w:tcBorders>
              <w:top w:val="single" w:sz="2" w:space="0" w:color="auto"/>
              <w:left w:val="single" w:sz="2" w:space="0" w:color="auto"/>
              <w:bottom w:val="single" w:sz="2" w:space="0" w:color="auto"/>
              <w:right w:val="single" w:sz="2" w:space="0" w:color="auto"/>
            </w:tcBorders>
            <w:vAlign w:val="center"/>
          </w:tcPr>
          <w:p w14:paraId="21BB3031" w14:textId="48DB021B" w:rsidR="00FF3482" w:rsidRPr="00677CE8" w:rsidRDefault="00FF3482" w:rsidP="00FF3482">
            <w:pPr>
              <w:pStyle w:val="Heading2"/>
              <w:spacing w:line="240" w:lineRule="auto"/>
              <w:jc w:val="center"/>
              <w:rPr>
                <w:sz w:val="17"/>
                <w:szCs w:val="17"/>
              </w:rPr>
            </w:pPr>
            <w:r w:rsidRPr="00677CE8">
              <w:rPr>
                <w:sz w:val="17"/>
                <w:szCs w:val="17"/>
              </w:rPr>
              <w:t>×</w:t>
            </w:r>
          </w:p>
        </w:tc>
        <w:tc>
          <w:tcPr>
            <w:tcW w:w="461" w:type="dxa"/>
            <w:tcBorders>
              <w:top w:val="single" w:sz="2" w:space="0" w:color="auto"/>
              <w:left w:val="single" w:sz="2" w:space="0" w:color="auto"/>
              <w:bottom w:val="single" w:sz="2" w:space="0" w:color="auto"/>
              <w:right w:val="single" w:sz="2" w:space="0" w:color="auto"/>
            </w:tcBorders>
            <w:vAlign w:val="center"/>
          </w:tcPr>
          <w:p w14:paraId="11207264" w14:textId="22FB676B"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2" w:space="0" w:color="auto"/>
              <w:right w:val="single" w:sz="2" w:space="0" w:color="auto"/>
            </w:tcBorders>
            <w:vAlign w:val="center"/>
          </w:tcPr>
          <w:p w14:paraId="24D10FD7" w14:textId="77777777"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2" w:space="0" w:color="auto"/>
              <w:right w:val="single" w:sz="2" w:space="0" w:color="auto"/>
            </w:tcBorders>
            <w:vAlign w:val="center"/>
          </w:tcPr>
          <w:p w14:paraId="035976B6" w14:textId="77777777" w:rsidR="00FF3482" w:rsidRPr="00677CE8" w:rsidRDefault="00FF3482" w:rsidP="00FF3482">
            <w:pPr>
              <w:pStyle w:val="Heading2"/>
              <w:spacing w:line="240" w:lineRule="auto"/>
              <w:jc w:val="center"/>
              <w:rPr>
                <w:sz w:val="17"/>
                <w:szCs w:val="17"/>
              </w:rPr>
            </w:pPr>
          </w:p>
        </w:tc>
        <w:tc>
          <w:tcPr>
            <w:tcW w:w="527" w:type="dxa"/>
            <w:tcBorders>
              <w:top w:val="single" w:sz="2" w:space="0" w:color="auto"/>
              <w:left w:val="single" w:sz="2" w:space="0" w:color="auto"/>
              <w:bottom w:val="single" w:sz="2" w:space="0" w:color="auto"/>
              <w:right w:val="single" w:sz="2" w:space="0" w:color="auto"/>
            </w:tcBorders>
            <w:vAlign w:val="center"/>
          </w:tcPr>
          <w:p w14:paraId="209001A8" w14:textId="77777777" w:rsidR="00FF3482" w:rsidRPr="00677CE8" w:rsidRDefault="00FF3482" w:rsidP="00FF3482">
            <w:pPr>
              <w:pStyle w:val="Heading2"/>
              <w:spacing w:line="240" w:lineRule="auto"/>
              <w:jc w:val="center"/>
              <w:rPr>
                <w:sz w:val="17"/>
                <w:szCs w:val="17"/>
              </w:rPr>
            </w:pPr>
          </w:p>
        </w:tc>
        <w:tc>
          <w:tcPr>
            <w:tcW w:w="559" w:type="dxa"/>
            <w:tcBorders>
              <w:top w:val="single" w:sz="2" w:space="0" w:color="auto"/>
              <w:left w:val="single" w:sz="2" w:space="0" w:color="auto"/>
              <w:bottom w:val="single" w:sz="2" w:space="0" w:color="auto"/>
              <w:right w:val="single" w:sz="2" w:space="0" w:color="auto"/>
            </w:tcBorders>
            <w:vAlign w:val="center"/>
          </w:tcPr>
          <w:p w14:paraId="4F9C5DCD" w14:textId="77777777" w:rsidR="00FF3482" w:rsidRPr="00677CE8" w:rsidRDefault="00FF3482" w:rsidP="00FF3482">
            <w:pPr>
              <w:pStyle w:val="Heading2"/>
              <w:spacing w:line="240" w:lineRule="auto"/>
              <w:jc w:val="center"/>
              <w:rPr>
                <w:sz w:val="17"/>
                <w:szCs w:val="17"/>
              </w:rPr>
            </w:pPr>
          </w:p>
        </w:tc>
        <w:tc>
          <w:tcPr>
            <w:tcW w:w="433" w:type="dxa"/>
            <w:tcBorders>
              <w:top w:val="single" w:sz="2" w:space="0" w:color="auto"/>
              <w:left w:val="single" w:sz="2" w:space="0" w:color="auto"/>
              <w:bottom w:val="single" w:sz="2" w:space="0" w:color="auto"/>
              <w:right w:val="single" w:sz="2" w:space="0" w:color="auto"/>
            </w:tcBorders>
            <w:vAlign w:val="center"/>
          </w:tcPr>
          <w:p w14:paraId="3CC75E29" w14:textId="776B69CD" w:rsidR="00FF3482" w:rsidRPr="00677CE8" w:rsidRDefault="00FF3482" w:rsidP="00FF3482">
            <w:pPr>
              <w:pStyle w:val="Heading2"/>
              <w:spacing w:line="240" w:lineRule="auto"/>
              <w:jc w:val="center"/>
              <w:rPr>
                <w:sz w:val="17"/>
                <w:szCs w:val="17"/>
              </w:rPr>
            </w:pPr>
            <w:r w:rsidRPr="00677CE8">
              <w:rPr>
                <w:sz w:val="17"/>
                <w:szCs w:val="17"/>
              </w:rPr>
              <w:t>×</w:t>
            </w:r>
          </w:p>
        </w:tc>
        <w:tc>
          <w:tcPr>
            <w:tcW w:w="525" w:type="dxa"/>
            <w:tcBorders>
              <w:top w:val="single" w:sz="2" w:space="0" w:color="auto"/>
              <w:left w:val="single" w:sz="2" w:space="0" w:color="auto"/>
              <w:bottom w:val="single" w:sz="2" w:space="0" w:color="auto"/>
              <w:right w:val="single" w:sz="2" w:space="0" w:color="auto"/>
            </w:tcBorders>
            <w:vAlign w:val="center"/>
          </w:tcPr>
          <w:p w14:paraId="03678D59" w14:textId="77777777" w:rsidR="00FF3482" w:rsidRPr="00677CE8" w:rsidRDefault="00FF3482" w:rsidP="00FF3482">
            <w:pPr>
              <w:pStyle w:val="Heading2"/>
              <w:spacing w:line="240" w:lineRule="auto"/>
              <w:jc w:val="center"/>
              <w:rPr>
                <w:sz w:val="17"/>
                <w:szCs w:val="17"/>
              </w:rPr>
            </w:pPr>
          </w:p>
        </w:tc>
        <w:tc>
          <w:tcPr>
            <w:tcW w:w="465" w:type="dxa"/>
            <w:tcBorders>
              <w:top w:val="single" w:sz="2" w:space="0" w:color="auto"/>
              <w:left w:val="single" w:sz="2" w:space="0" w:color="auto"/>
              <w:bottom w:val="single" w:sz="2" w:space="0" w:color="auto"/>
              <w:right w:val="single" w:sz="2" w:space="0" w:color="auto"/>
            </w:tcBorders>
          </w:tcPr>
          <w:p w14:paraId="032D9EAC" w14:textId="77777777" w:rsidR="00FF3482" w:rsidRPr="00677CE8" w:rsidRDefault="00FF3482" w:rsidP="00FF3482">
            <w:pPr>
              <w:pStyle w:val="Heading2"/>
              <w:spacing w:line="240" w:lineRule="auto"/>
              <w:jc w:val="center"/>
              <w:rPr>
                <w:sz w:val="17"/>
                <w:szCs w:val="17"/>
              </w:rPr>
            </w:pPr>
          </w:p>
        </w:tc>
        <w:tc>
          <w:tcPr>
            <w:tcW w:w="270" w:type="dxa"/>
            <w:tcBorders>
              <w:top w:val="single" w:sz="2" w:space="0" w:color="auto"/>
              <w:left w:val="single" w:sz="2" w:space="0" w:color="auto"/>
              <w:bottom w:val="single" w:sz="2" w:space="0" w:color="auto"/>
              <w:right w:val="single" w:sz="2" w:space="0" w:color="auto"/>
            </w:tcBorders>
            <w:vAlign w:val="center"/>
          </w:tcPr>
          <w:p w14:paraId="477418D2" w14:textId="5C820604" w:rsidR="00FF3482" w:rsidRPr="00677CE8" w:rsidRDefault="00FF3482" w:rsidP="00FF3482">
            <w:pPr>
              <w:pStyle w:val="Heading2"/>
              <w:spacing w:line="240" w:lineRule="auto"/>
              <w:jc w:val="center"/>
              <w:rPr>
                <w:sz w:val="17"/>
                <w:szCs w:val="17"/>
              </w:rPr>
            </w:pPr>
            <w:r w:rsidRPr="00677CE8">
              <w:rPr>
                <w:sz w:val="17"/>
                <w:szCs w:val="17"/>
              </w:rPr>
              <w:t>×</w:t>
            </w:r>
          </w:p>
        </w:tc>
        <w:tc>
          <w:tcPr>
            <w:tcW w:w="404" w:type="dxa"/>
            <w:tcBorders>
              <w:top w:val="single" w:sz="2" w:space="0" w:color="auto"/>
              <w:left w:val="single" w:sz="2" w:space="0" w:color="auto"/>
              <w:bottom w:val="single" w:sz="2" w:space="0" w:color="auto"/>
              <w:right w:val="single" w:sz="2" w:space="0" w:color="auto"/>
            </w:tcBorders>
            <w:vAlign w:val="center"/>
          </w:tcPr>
          <w:p w14:paraId="45AC6BDE" w14:textId="4D39544A" w:rsidR="00FF3482" w:rsidRPr="00677CE8" w:rsidRDefault="00FF3482" w:rsidP="00FF3482">
            <w:pPr>
              <w:pStyle w:val="Heading2"/>
              <w:spacing w:line="240" w:lineRule="auto"/>
              <w:jc w:val="center"/>
              <w:rPr>
                <w:sz w:val="17"/>
                <w:szCs w:val="17"/>
              </w:rPr>
            </w:pPr>
            <w:r w:rsidRPr="00677CE8">
              <w:rPr>
                <w:sz w:val="17"/>
                <w:szCs w:val="17"/>
              </w:rPr>
              <w:t>×</w:t>
            </w:r>
          </w:p>
        </w:tc>
        <w:tc>
          <w:tcPr>
            <w:tcW w:w="406" w:type="dxa"/>
            <w:tcBorders>
              <w:top w:val="single" w:sz="2" w:space="0" w:color="auto"/>
              <w:left w:val="single" w:sz="2" w:space="0" w:color="auto"/>
              <w:bottom w:val="single" w:sz="2" w:space="0" w:color="auto"/>
              <w:right w:val="single" w:sz="2" w:space="0" w:color="auto"/>
            </w:tcBorders>
          </w:tcPr>
          <w:p w14:paraId="02B30309" w14:textId="77777777" w:rsidR="00FF3482" w:rsidRPr="00677CE8" w:rsidRDefault="00FF3482" w:rsidP="00FF3482">
            <w:pPr>
              <w:pStyle w:val="Heading2"/>
              <w:spacing w:line="240" w:lineRule="auto"/>
              <w:jc w:val="center"/>
              <w:rPr>
                <w:sz w:val="17"/>
                <w:szCs w:val="17"/>
              </w:rPr>
            </w:pPr>
          </w:p>
        </w:tc>
        <w:tc>
          <w:tcPr>
            <w:tcW w:w="3338" w:type="dxa"/>
            <w:tcBorders>
              <w:top w:val="single" w:sz="2" w:space="0" w:color="auto"/>
              <w:left w:val="single" w:sz="2" w:space="0" w:color="auto"/>
              <w:bottom w:val="single" w:sz="2" w:space="0" w:color="auto"/>
              <w:right w:val="single" w:sz="12" w:space="0" w:color="auto"/>
            </w:tcBorders>
            <w:vAlign w:val="center"/>
          </w:tcPr>
          <w:p w14:paraId="28882C83" w14:textId="542B9C2B" w:rsidR="00FF3482" w:rsidRPr="00677CE8" w:rsidRDefault="00FF3482" w:rsidP="00FF3482">
            <w:pPr>
              <w:pStyle w:val="Heading2"/>
              <w:spacing w:line="240" w:lineRule="auto"/>
              <w:rPr>
                <w:b w:val="0"/>
                <w:bCs w:val="0"/>
                <w:sz w:val="17"/>
                <w:szCs w:val="17"/>
              </w:rPr>
            </w:pPr>
            <w:r w:rsidRPr="00677CE8">
              <w:rPr>
                <w:b w:val="0"/>
                <w:bCs w:val="0"/>
                <w:sz w:val="17"/>
                <w:szCs w:val="17"/>
              </w:rPr>
              <w:t>Did not consider</w:t>
            </w:r>
          </w:p>
        </w:tc>
      </w:tr>
      <w:tr w:rsidR="00FF3482" w:rsidRPr="00677CE8" w14:paraId="77384CC0" w14:textId="77777777" w:rsidTr="00007FF5">
        <w:trPr>
          <w:jc w:val="center"/>
        </w:trPr>
        <w:tc>
          <w:tcPr>
            <w:tcW w:w="1876" w:type="dxa"/>
            <w:tcBorders>
              <w:top w:val="single" w:sz="2" w:space="0" w:color="auto"/>
              <w:left w:val="single" w:sz="12" w:space="0" w:color="auto"/>
              <w:bottom w:val="single" w:sz="2" w:space="0" w:color="auto"/>
              <w:right w:val="single" w:sz="2" w:space="0" w:color="auto"/>
            </w:tcBorders>
            <w:vAlign w:val="center"/>
          </w:tcPr>
          <w:p w14:paraId="58B10E16" w14:textId="60E28DD3" w:rsidR="00FF3482" w:rsidRPr="00677CE8" w:rsidRDefault="00FF3482" w:rsidP="00FF3482">
            <w:pPr>
              <w:rPr>
                <w:sz w:val="17"/>
                <w:szCs w:val="17"/>
              </w:rPr>
            </w:pPr>
            <w:r w:rsidRPr="00677CE8">
              <w:rPr>
                <w:sz w:val="17"/>
                <w:szCs w:val="17"/>
              </w:rPr>
              <w:t>Hwang and Hong, 2023</w:t>
            </w:r>
          </w:p>
        </w:tc>
        <w:tc>
          <w:tcPr>
            <w:tcW w:w="1444" w:type="dxa"/>
            <w:tcBorders>
              <w:top w:val="single" w:sz="2" w:space="0" w:color="auto"/>
              <w:left w:val="single" w:sz="2" w:space="0" w:color="auto"/>
              <w:bottom w:val="single" w:sz="2" w:space="0" w:color="auto"/>
              <w:right w:val="single" w:sz="2" w:space="0" w:color="auto"/>
            </w:tcBorders>
            <w:vAlign w:val="center"/>
          </w:tcPr>
          <w:p w14:paraId="1B765070" w14:textId="31E7C7A5" w:rsidR="00FF3482" w:rsidRPr="00677CE8" w:rsidRDefault="00FF3482" w:rsidP="00FF3482">
            <w:pPr>
              <w:pStyle w:val="Heading2"/>
              <w:spacing w:line="240" w:lineRule="auto"/>
              <w:rPr>
                <w:b w:val="0"/>
                <w:bCs w:val="0"/>
                <w:sz w:val="17"/>
                <w:szCs w:val="17"/>
              </w:rPr>
            </w:pPr>
            <w:r w:rsidRPr="00677CE8">
              <w:rPr>
                <w:b w:val="0"/>
                <w:bCs w:val="0"/>
                <w:sz w:val="17"/>
                <w:szCs w:val="17"/>
              </w:rPr>
              <w:t>AT, AM (combined for modeling)</w:t>
            </w:r>
          </w:p>
        </w:tc>
        <w:tc>
          <w:tcPr>
            <w:tcW w:w="1350" w:type="dxa"/>
            <w:tcBorders>
              <w:top w:val="single" w:sz="2" w:space="0" w:color="auto"/>
              <w:left w:val="single" w:sz="2" w:space="0" w:color="auto"/>
              <w:bottom w:val="single" w:sz="2" w:space="0" w:color="auto"/>
              <w:right w:val="single" w:sz="2" w:space="0" w:color="auto"/>
            </w:tcBorders>
            <w:vAlign w:val="center"/>
          </w:tcPr>
          <w:p w14:paraId="24F8A87D" w14:textId="4752D467" w:rsidR="00FF3482" w:rsidRPr="00677CE8" w:rsidRDefault="00FF3482" w:rsidP="00FF3482">
            <w:pPr>
              <w:pStyle w:val="Heading2"/>
              <w:spacing w:line="240" w:lineRule="auto"/>
              <w:rPr>
                <w:b w:val="0"/>
                <w:bCs w:val="0"/>
                <w:sz w:val="17"/>
                <w:szCs w:val="17"/>
              </w:rPr>
            </w:pPr>
            <w:r w:rsidRPr="00677CE8">
              <w:rPr>
                <w:b w:val="0"/>
                <w:bCs w:val="0"/>
                <w:sz w:val="17"/>
                <w:szCs w:val="17"/>
              </w:rPr>
              <w:t>RH</w:t>
            </w:r>
            <w:r w:rsidRPr="00677CE8">
              <w:rPr>
                <w:sz w:val="17"/>
                <w:szCs w:val="17"/>
              </w:rPr>
              <w:t xml:space="preserve">, </w:t>
            </w:r>
            <w:r w:rsidRPr="00677CE8">
              <w:rPr>
                <w:b w:val="0"/>
                <w:bCs w:val="0"/>
                <w:sz w:val="17"/>
                <w:szCs w:val="17"/>
              </w:rPr>
              <w:t>PT, PV</w:t>
            </w:r>
          </w:p>
        </w:tc>
        <w:tc>
          <w:tcPr>
            <w:tcW w:w="445" w:type="dxa"/>
            <w:tcBorders>
              <w:top w:val="single" w:sz="2" w:space="0" w:color="auto"/>
              <w:left w:val="single" w:sz="2" w:space="0" w:color="auto"/>
              <w:bottom w:val="single" w:sz="2" w:space="0" w:color="auto"/>
              <w:right w:val="single" w:sz="2" w:space="0" w:color="auto"/>
            </w:tcBorders>
            <w:vAlign w:val="center"/>
          </w:tcPr>
          <w:p w14:paraId="7264880B" w14:textId="50F1172F" w:rsidR="00FF3482" w:rsidRPr="00677CE8" w:rsidRDefault="00FF3482" w:rsidP="00FF3482">
            <w:pPr>
              <w:pStyle w:val="Heading2"/>
              <w:spacing w:line="240" w:lineRule="auto"/>
              <w:jc w:val="center"/>
              <w:rPr>
                <w:sz w:val="17"/>
                <w:szCs w:val="17"/>
              </w:rPr>
            </w:pPr>
            <w:r w:rsidRPr="00677CE8">
              <w:rPr>
                <w:sz w:val="17"/>
                <w:szCs w:val="17"/>
              </w:rPr>
              <w:t>×</w:t>
            </w:r>
          </w:p>
        </w:tc>
        <w:tc>
          <w:tcPr>
            <w:tcW w:w="277" w:type="dxa"/>
            <w:tcBorders>
              <w:top w:val="single" w:sz="2" w:space="0" w:color="auto"/>
              <w:left w:val="single" w:sz="2" w:space="0" w:color="auto"/>
              <w:bottom w:val="single" w:sz="2" w:space="0" w:color="auto"/>
              <w:right w:val="single" w:sz="2" w:space="0" w:color="auto"/>
            </w:tcBorders>
            <w:vAlign w:val="center"/>
          </w:tcPr>
          <w:p w14:paraId="15C3F686" w14:textId="4C1333B3" w:rsidR="00FF3482" w:rsidRPr="00677CE8" w:rsidRDefault="00FF3482" w:rsidP="00FF3482">
            <w:pPr>
              <w:pStyle w:val="Heading2"/>
              <w:spacing w:line="240" w:lineRule="auto"/>
              <w:jc w:val="center"/>
              <w:rPr>
                <w:sz w:val="17"/>
                <w:szCs w:val="17"/>
              </w:rPr>
            </w:pPr>
            <w:r w:rsidRPr="00677CE8">
              <w:rPr>
                <w:sz w:val="17"/>
                <w:szCs w:val="17"/>
              </w:rPr>
              <w:t>×</w:t>
            </w:r>
          </w:p>
        </w:tc>
        <w:tc>
          <w:tcPr>
            <w:tcW w:w="720" w:type="dxa"/>
            <w:tcBorders>
              <w:top w:val="single" w:sz="2" w:space="0" w:color="auto"/>
              <w:left w:val="single" w:sz="2" w:space="0" w:color="auto"/>
              <w:bottom w:val="single" w:sz="2" w:space="0" w:color="auto"/>
              <w:right w:val="single" w:sz="2" w:space="0" w:color="auto"/>
            </w:tcBorders>
            <w:vAlign w:val="center"/>
          </w:tcPr>
          <w:p w14:paraId="23648457" w14:textId="51E2116C" w:rsidR="00FF3482" w:rsidRPr="00677CE8" w:rsidRDefault="00FF3482" w:rsidP="00FF3482">
            <w:pPr>
              <w:pStyle w:val="Heading2"/>
              <w:spacing w:line="240" w:lineRule="auto"/>
              <w:jc w:val="center"/>
              <w:rPr>
                <w:sz w:val="17"/>
                <w:szCs w:val="17"/>
              </w:rPr>
            </w:pPr>
            <w:r w:rsidRPr="00677CE8">
              <w:rPr>
                <w:sz w:val="17"/>
                <w:szCs w:val="17"/>
              </w:rPr>
              <w:t>×</w:t>
            </w:r>
          </w:p>
        </w:tc>
        <w:tc>
          <w:tcPr>
            <w:tcW w:w="263" w:type="dxa"/>
            <w:tcBorders>
              <w:top w:val="single" w:sz="2" w:space="0" w:color="auto"/>
              <w:left w:val="single" w:sz="2" w:space="0" w:color="auto"/>
              <w:bottom w:val="single" w:sz="2" w:space="0" w:color="auto"/>
              <w:right w:val="single" w:sz="2" w:space="0" w:color="auto"/>
            </w:tcBorders>
            <w:vAlign w:val="center"/>
          </w:tcPr>
          <w:p w14:paraId="6AAEF5D9" w14:textId="14EC9011" w:rsidR="00FF3482" w:rsidRPr="00677CE8" w:rsidRDefault="00FF3482" w:rsidP="00FF3482">
            <w:pPr>
              <w:pStyle w:val="Heading2"/>
              <w:spacing w:line="240" w:lineRule="auto"/>
              <w:jc w:val="center"/>
              <w:rPr>
                <w:sz w:val="17"/>
                <w:szCs w:val="17"/>
              </w:rPr>
            </w:pPr>
            <w:r w:rsidRPr="00677CE8">
              <w:rPr>
                <w:sz w:val="17"/>
                <w:szCs w:val="17"/>
              </w:rPr>
              <w:t>×</w:t>
            </w:r>
          </w:p>
        </w:tc>
        <w:tc>
          <w:tcPr>
            <w:tcW w:w="461" w:type="dxa"/>
            <w:tcBorders>
              <w:top w:val="single" w:sz="2" w:space="0" w:color="auto"/>
              <w:left w:val="single" w:sz="2" w:space="0" w:color="auto"/>
              <w:bottom w:val="single" w:sz="2" w:space="0" w:color="auto"/>
              <w:right w:val="single" w:sz="2" w:space="0" w:color="auto"/>
            </w:tcBorders>
            <w:vAlign w:val="center"/>
          </w:tcPr>
          <w:p w14:paraId="6235C469" w14:textId="253483BF"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2" w:space="0" w:color="auto"/>
              <w:right w:val="single" w:sz="2" w:space="0" w:color="auto"/>
            </w:tcBorders>
            <w:vAlign w:val="center"/>
          </w:tcPr>
          <w:p w14:paraId="43BCE2EF" w14:textId="77777777"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2" w:space="0" w:color="auto"/>
              <w:right w:val="single" w:sz="2" w:space="0" w:color="auto"/>
            </w:tcBorders>
            <w:vAlign w:val="center"/>
          </w:tcPr>
          <w:p w14:paraId="405ACF27" w14:textId="77777777" w:rsidR="00FF3482" w:rsidRPr="00677CE8" w:rsidRDefault="00FF3482" w:rsidP="00FF3482">
            <w:pPr>
              <w:pStyle w:val="Heading2"/>
              <w:spacing w:line="240" w:lineRule="auto"/>
              <w:jc w:val="center"/>
              <w:rPr>
                <w:sz w:val="17"/>
                <w:szCs w:val="17"/>
              </w:rPr>
            </w:pPr>
          </w:p>
        </w:tc>
        <w:tc>
          <w:tcPr>
            <w:tcW w:w="527" w:type="dxa"/>
            <w:tcBorders>
              <w:top w:val="single" w:sz="2" w:space="0" w:color="auto"/>
              <w:left w:val="single" w:sz="2" w:space="0" w:color="auto"/>
              <w:bottom w:val="single" w:sz="2" w:space="0" w:color="auto"/>
              <w:right w:val="single" w:sz="2" w:space="0" w:color="auto"/>
            </w:tcBorders>
            <w:vAlign w:val="center"/>
          </w:tcPr>
          <w:p w14:paraId="3BA2610B" w14:textId="4822DA86" w:rsidR="00FF3482" w:rsidRPr="00677CE8" w:rsidRDefault="00FF3482" w:rsidP="00FF3482">
            <w:pPr>
              <w:pStyle w:val="Heading2"/>
              <w:spacing w:line="240" w:lineRule="auto"/>
              <w:jc w:val="center"/>
              <w:rPr>
                <w:sz w:val="17"/>
                <w:szCs w:val="17"/>
              </w:rPr>
            </w:pPr>
            <w:r w:rsidRPr="00677CE8">
              <w:rPr>
                <w:sz w:val="17"/>
                <w:szCs w:val="17"/>
              </w:rPr>
              <w:t>×</w:t>
            </w:r>
          </w:p>
        </w:tc>
        <w:tc>
          <w:tcPr>
            <w:tcW w:w="559" w:type="dxa"/>
            <w:tcBorders>
              <w:top w:val="single" w:sz="2" w:space="0" w:color="auto"/>
              <w:left w:val="single" w:sz="2" w:space="0" w:color="auto"/>
              <w:bottom w:val="single" w:sz="2" w:space="0" w:color="auto"/>
              <w:right w:val="single" w:sz="2" w:space="0" w:color="auto"/>
            </w:tcBorders>
            <w:vAlign w:val="center"/>
          </w:tcPr>
          <w:p w14:paraId="5F71BF62" w14:textId="77777777" w:rsidR="00FF3482" w:rsidRPr="00677CE8" w:rsidRDefault="00FF3482" w:rsidP="00FF3482">
            <w:pPr>
              <w:pStyle w:val="Heading2"/>
              <w:spacing w:line="240" w:lineRule="auto"/>
              <w:jc w:val="center"/>
              <w:rPr>
                <w:sz w:val="17"/>
                <w:szCs w:val="17"/>
              </w:rPr>
            </w:pPr>
          </w:p>
        </w:tc>
        <w:tc>
          <w:tcPr>
            <w:tcW w:w="433" w:type="dxa"/>
            <w:tcBorders>
              <w:top w:val="single" w:sz="2" w:space="0" w:color="auto"/>
              <w:left w:val="single" w:sz="2" w:space="0" w:color="auto"/>
              <w:bottom w:val="single" w:sz="2" w:space="0" w:color="auto"/>
              <w:right w:val="single" w:sz="2" w:space="0" w:color="auto"/>
            </w:tcBorders>
            <w:vAlign w:val="center"/>
          </w:tcPr>
          <w:p w14:paraId="29C7EB05" w14:textId="77777777" w:rsidR="00FF3482" w:rsidRPr="00677CE8" w:rsidRDefault="00FF3482" w:rsidP="00FF3482">
            <w:pPr>
              <w:pStyle w:val="Heading2"/>
              <w:spacing w:line="240" w:lineRule="auto"/>
              <w:jc w:val="center"/>
              <w:rPr>
                <w:sz w:val="17"/>
                <w:szCs w:val="17"/>
              </w:rPr>
            </w:pPr>
          </w:p>
        </w:tc>
        <w:tc>
          <w:tcPr>
            <w:tcW w:w="525" w:type="dxa"/>
            <w:tcBorders>
              <w:top w:val="single" w:sz="2" w:space="0" w:color="auto"/>
              <w:left w:val="single" w:sz="2" w:space="0" w:color="auto"/>
              <w:bottom w:val="single" w:sz="2" w:space="0" w:color="auto"/>
              <w:right w:val="single" w:sz="2" w:space="0" w:color="auto"/>
            </w:tcBorders>
            <w:vAlign w:val="center"/>
          </w:tcPr>
          <w:p w14:paraId="257A388F" w14:textId="77777777" w:rsidR="00FF3482" w:rsidRPr="00677CE8" w:rsidRDefault="00FF3482" w:rsidP="00FF3482">
            <w:pPr>
              <w:pStyle w:val="Heading2"/>
              <w:spacing w:line="240" w:lineRule="auto"/>
              <w:jc w:val="center"/>
              <w:rPr>
                <w:sz w:val="17"/>
                <w:szCs w:val="17"/>
              </w:rPr>
            </w:pPr>
          </w:p>
        </w:tc>
        <w:tc>
          <w:tcPr>
            <w:tcW w:w="465" w:type="dxa"/>
            <w:tcBorders>
              <w:top w:val="single" w:sz="2" w:space="0" w:color="auto"/>
              <w:left w:val="single" w:sz="2" w:space="0" w:color="auto"/>
              <w:bottom w:val="single" w:sz="2" w:space="0" w:color="auto"/>
              <w:right w:val="single" w:sz="2" w:space="0" w:color="auto"/>
            </w:tcBorders>
          </w:tcPr>
          <w:p w14:paraId="3F111597" w14:textId="77777777" w:rsidR="00FF3482" w:rsidRPr="00677CE8" w:rsidRDefault="00FF3482" w:rsidP="00FF3482">
            <w:pPr>
              <w:pStyle w:val="Heading2"/>
              <w:spacing w:line="240" w:lineRule="auto"/>
              <w:jc w:val="center"/>
              <w:rPr>
                <w:sz w:val="17"/>
                <w:szCs w:val="17"/>
              </w:rPr>
            </w:pPr>
          </w:p>
        </w:tc>
        <w:tc>
          <w:tcPr>
            <w:tcW w:w="270" w:type="dxa"/>
            <w:tcBorders>
              <w:top w:val="single" w:sz="2" w:space="0" w:color="auto"/>
              <w:left w:val="single" w:sz="2" w:space="0" w:color="auto"/>
              <w:bottom w:val="single" w:sz="2" w:space="0" w:color="auto"/>
              <w:right w:val="single" w:sz="2" w:space="0" w:color="auto"/>
            </w:tcBorders>
            <w:vAlign w:val="center"/>
          </w:tcPr>
          <w:p w14:paraId="758FDF2D" w14:textId="082CF073" w:rsidR="00FF3482" w:rsidRPr="00677CE8" w:rsidRDefault="00FF3482" w:rsidP="00FF3482">
            <w:pPr>
              <w:pStyle w:val="Heading2"/>
              <w:spacing w:line="240" w:lineRule="auto"/>
              <w:jc w:val="center"/>
              <w:rPr>
                <w:sz w:val="17"/>
                <w:szCs w:val="17"/>
              </w:rPr>
            </w:pPr>
            <w:r w:rsidRPr="00677CE8">
              <w:rPr>
                <w:sz w:val="17"/>
                <w:szCs w:val="17"/>
              </w:rPr>
              <w:t>×</w:t>
            </w:r>
          </w:p>
        </w:tc>
        <w:tc>
          <w:tcPr>
            <w:tcW w:w="404" w:type="dxa"/>
            <w:tcBorders>
              <w:top w:val="single" w:sz="2" w:space="0" w:color="auto"/>
              <w:left w:val="single" w:sz="2" w:space="0" w:color="auto"/>
              <w:bottom w:val="single" w:sz="2" w:space="0" w:color="auto"/>
              <w:right w:val="single" w:sz="2" w:space="0" w:color="auto"/>
            </w:tcBorders>
            <w:vAlign w:val="center"/>
          </w:tcPr>
          <w:p w14:paraId="46462E1B" w14:textId="1F73A68C" w:rsidR="00FF3482" w:rsidRPr="00677CE8" w:rsidRDefault="00FF3482" w:rsidP="00FF3482">
            <w:pPr>
              <w:pStyle w:val="Heading2"/>
              <w:spacing w:line="240" w:lineRule="auto"/>
              <w:jc w:val="center"/>
              <w:rPr>
                <w:sz w:val="17"/>
                <w:szCs w:val="17"/>
              </w:rPr>
            </w:pPr>
            <w:r w:rsidRPr="00677CE8">
              <w:rPr>
                <w:sz w:val="17"/>
                <w:szCs w:val="17"/>
              </w:rPr>
              <w:t>×</w:t>
            </w:r>
          </w:p>
        </w:tc>
        <w:tc>
          <w:tcPr>
            <w:tcW w:w="406" w:type="dxa"/>
            <w:tcBorders>
              <w:top w:val="single" w:sz="2" w:space="0" w:color="auto"/>
              <w:left w:val="single" w:sz="2" w:space="0" w:color="auto"/>
              <w:bottom w:val="single" w:sz="2" w:space="0" w:color="auto"/>
              <w:right w:val="single" w:sz="2" w:space="0" w:color="auto"/>
            </w:tcBorders>
            <w:vAlign w:val="center"/>
          </w:tcPr>
          <w:p w14:paraId="0D6391B0" w14:textId="300D5EE4" w:rsidR="00FF3482" w:rsidRPr="00677CE8" w:rsidRDefault="00FF3482" w:rsidP="00FF3482">
            <w:pPr>
              <w:pStyle w:val="Heading2"/>
              <w:spacing w:line="240" w:lineRule="auto"/>
              <w:jc w:val="center"/>
              <w:rPr>
                <w:sz w:val="17"/>
                <w:szCs w:val="17"/>
              </w:rPr>
            </w:pPr>
            <w:r w:rsidRPr="00677CE8">
              <w:rPr>
                <w:sz w:val="17"/>
                <w:szCs w:val="17"/>
              </w:rPr>
              <w:t>×</w:t>
            </w:r>
          </w:p>
        </w:tc>
        <w:tc>
          <w:tcPr>
            <w:tcW w:w="3338" w:type="dxa"/>
            <w:tcBorders>
              <w:top w:val="single" w:sz="2" w:space="0" w:color="auto"/>
              <w:left w:val="single" w:sz="2" w:space="0" w:color="auto"/>
              <w:bottom w:val="single" w:sz="2" w:space="0" w:color="auto"/>
              <w:right w:val="single" w:sz="12" w:space="0" w:color="auto"/>
            </w:tcBorders>
            <w:vAlign w:val="center"/>
          </w:tcPr>
          <w:p w14:paraId="3FD8B22D" w14:textId="6E21898E" w:rsidR="00FF3482" w:rsidRPr="00677CE8" w:rsidRDefault="00FF3482" w:rsidP="00FF3482">
            <w:pPr>
              <w:pStyle w:val="Heading2"/>
              <w:spacing w:line="240" w:lineRule="auto"/>
              <w:rPr>
                <w:b w:val="0"/>
                <w:bCs w:val="0"/>
                <w:sz w:val="17"/>
                <w:szCs w:val="17"/>
              </w:rPr>
            </w:pPr>
            <w:r w:rsidRPr="00677CE8">
              <w:rPr>
                <w:b w:val="0"/>
                <w:bCs w:val="0"/>
                <w:sz w:val="17"/>
                <w:szCs w:val="17"/>
              </w:rPr>
              <w:t>Did not consider</w:t>
            </w:r>
          </w:p>
        </w:tc>
      </w:tr>
      <w:tr w:rsidR="00FF3482" w:rsidRPr="00677CE8" w14:paraId="20EA5575" w14:textId="77777777" w:rsidTr="00007FF5">
        <w:trPr>
          <w:jc w:val="center"/>
        </w:trPr>
        <w:tc>
          <w:tcPr>
            <w:tcW w:w="1876" w:type="dxa"/>
            <w:tcBorders>
              <w:top w:val="single" w:sz="2" w:space="0" w:color="auto"/>
              <w:left w:val="single" w:sz="12" w:space="0" w:color="auto"/>
              <w:bottom w:val="single" w:sz="2" w:space="0" w:color="auto"/>
              <w:right w:val="single" w:sz="2" w:space="0" w:color="auto"/>
            </w:tcBorders>
            <w:vAlign w:val="center"/>
          </w:tcPr>
          <w:p w14:paraId="6210261D" w14:textId="0BFE0CED" w:rsidR="00FF3482" w:rsidRPr="00677CE8" w:rsidRDefault="00FF3482" w:rsidP="00FF3482">
            <w:pPr>
              <w:rPr>
                <w:sz w:val="17"/>
                <w:szCs w:val="17"/>
              </w:rPr>
            </w:pPr>
            <w:r w:rsidRPr="00677CE8">
              <w:rPr>
                <w:sz w:val="17"/>
                <w:szCs w:val="17"/>
              </w:rPr>
              <w:t>Jang et al., 2025</w:t>
            </w:r>
          </w:p>
        </w:tc>
        <w:tc>
          <w:tcPr>
            <w:tcW w:w="1444" w:type="dxa"/>
            <w:tcBorders>
              <w:top w:val="single" w:sz="2" w:space="0" w:color="auto"/>
              <w:left w:val="single" w:sz="2" w:space="0" w:color="auto"/>
              <w:bottom w:val="single" w:sz="2" w:space="0" w:color="auto"/>
              <w:right w:val="single" w:sz="2" w:space="0" w:color="auto"/>
            </w:tcBorders>
            <w:vAlign w:val="center"/>
          </w:tcPr>
          <w:p w14:paraId="20930BFE" w14:textId="2C428723" w:rsidR="00FF3482" w:rsidRPr="00677CE8" w:rsidRDefault="00FF3482" w:rsidP="00FF3482">
            <w:pPr>
              <w:pStyle w:val="Heading2"/>
              <w:spacing w:line="240" w:lineRule="auto"/>
              <w:rPr>
                <w:b w:val="0"/>
                <w:bCs w:val="0"/>
                <w:sz w:val="17"/>
                <w:szCs w:val="17"/>
              </w:rPr>
            </w:pPr>
            <w:r w:rsidRPr="00677CE8">
              <w:rPr>
                <w:b w:val="0"/>
                <w:bCs w:val="0"/>
                <w:sz w:val="17"/>
                <w:szCs w:val="17"/>
              </w:rPr>
              <w:t>Airport Shuttle</w:t>
            </w:r>
          </w:p>
        </w:tc>
        <w:tc>
          <w:tcPr>
            <w:tcW w:w="1350" w:type="dxa"/>
            <w:tcBorders>
              <w:top w:val="single" w:sz="2" w:space="0" w:color="auto"/>
              <w:left w:val="single" w:sz="2" w:space="0" w:color="auto"/>
              <w:bottom w:val="single" w:sz="2" w:space="0" w:color="auto"/>
              <w:right w:val="single" w:sz="2" w:space="0" w:color="auto"/>
            </w:tcBorders>
            <w:vAlign w:val="center"/>
          </w:tcPr>
          <w:p w14:paraId="443FC080" w14:textId="288C1BF8" w:rsidR="00FF3482" w:rsidRPr="00677CE8" w:rsidRDefault="00FF3482" w:rsidP="00FF3482">
            <w:pPr>
              <w:pStyle w:val="Heading2"/>
              <w:spacing w:line="240" w:lineRule="auto"/>
              <w:rPr>
                <w:b w:val="0"/>
                <w:bCs w:val="0"/>
                <w:sz w:val="17"/>
                <w:szCs w:val="17"/>
              </w:rPr>
            </w:pPr>
            <w:r w:rsidRPr="00677CE8">
              <w:rPr>
                <w:b w:val="0"/>
                <w:bCs w:val="0"/>
                <w:sz w:val="17"/>
                <w:szCs w:val="17"/>
              </w:rPr>
              <w:t>RH, PT, PV</w:t>
            </w:r>
          </w:p>
        </w:tc>
        <w:tc>
          <w:tcPr>
            <w:tcW w:w="445" w:type="dxa"/>
            <w:tcBorders>
              <w:top w:val="single" w:sz="2" w:space="0" w:color="auto"/>
              <w:left w:val="single" w:sz="2" w:space="0" w:color="auto"/>
              <w:bottom w:val="single" w:sz="2" w:space="0" w:color="auto"/>
              <w:right w:val="single" w:sz="2" w:space="0" w:color="auto"/>
            </w:tcBorders>
            <w:vAlign w:val="center"/>
          </w:tcPr>
          <w:p w14:paraId="5CC8D54D" w14:textId="35124871" w:rsidR="00FF3482" w:rsidRPr="00677CE8" w:rsidRDefault="00FF3482" w:rsidP="00FF3482">
            <w:pPr>
              <w:pStyle w:val="Heading2"/>
              <w:spacing w:line="240" w:lineRule="auto"/>
              <w:jc w:val="center"/>
              <w:rPr>
                <w:sz w:val="17"/>
                <w:szCs w:val="17"/>
              </w:rPr>
            </w:pPr>
            <w:r w:rsidRPr="00677CE8">
              <w:rPr>
                <w:sz w:val="17"/>
                <w:szCs w:val="17"/>
              </w:rPr>
              <w:t>×</w:t>
            </w:r>
          </w:p>
        </w:tc>
        <w:tc>
          <w:tcPr>
            <w:tcW w:w="277" w:type="dxa"/>
            <w:tcBorders>
              <w:top w:val="single" w:sz="2" w:space="0" w:color="auto"/>
              <w:left w:val="single" w:sz="2" w:space="0" w:color="auto"/>
              <w:bottom w:val="single" w:sz="2" w:space="0" w:color="auto"/>
              <w:right w:val="single" w:sz="2" w:space="0" w:color="auto"/>
            </w:tcBorders>
            <w:vAlign w:val="center"/>
          </w:tcPr>
          <w:p w14:paraId="1FABCCE8" w14:textId="77777777" w:rsidR="00FF3482" w:rsidRPr="00677CE8" w:rsidRDefault="00FF3482" w:rsidP="00FF3482">
            <w:pPr>
              <w:pStyle w:val="Heading2"/>
              <w:spacing w:line="240" w:lineRule="auto"/>
              <w:jc w:val="center"/>
              <w:rPr>
                <w:sz w:val="17"/>
                <w:szCs w:val="17"/>
              </w:rPr>
            </w:pPr>
          </w:p>
        </w:tc>
        <w:tc>
          <w:tcPr>
            <w:tcW w:w="720" w:type="dxa"/>
            <w:tcBorders>
              <w:top w:val="single" w:sz="2" w:space="0" w:color="auto"/>
              <w:left w:val="single" w:sz="2" w:space="0" w:color="auto"/>
              <w:bottom w:val="single" w:sz="2" w:space="0" w:color="auto"/>
              <w:right w:val="single" w:sz="2" w:space="0" w:color="auto"/>
            </w:tcBorders>
            <w:vAlign w:val="center"/>
          </w:tcPr>
          <w:p w14:paraId="70E45060" w14:textId="43A34775" w:rsidR="00FF3482" w:rsidRPr="00677CE8" w:rsidRDefault="00FF3482" w:rsidP="00FF3482">
            <w:pPr>
              <w:pStyle w:val="Heading2"/>
              <w:spacing w:line="240" w:lineRule="auto"/>
              <w:jc w:val="center"/>
              <w:rPr>
                <w:sz w:val="17"/>
                <w:szCs w:val="17"/>
              </w:rPr>
            </w:pPr>
            <w:r w:rsidRPr="00677CE8">
              <w:rPr>
                <w:sz w:val="17"/>
                <w:szCs w:val="17"/>
              </w:rPr>
              <w:t>×</w:t>
            </w:r>
          </w:p>
        </w:tc>
        <w:tc>
          <w:tcPr>
            <w:tcW w:w="263" w:type="dxa"/>
            <w:tcBorders>
              <w:top w:val="single" w:sz="2" w:space="0" w:color="auto"/>
              <w:left w:val="single" w:sz="2" w:space="0" w:color="auto"/>
              <w:bottom w:val="single" w:sz="2" w:space="0" w:color="auto"/>
              <w:right w:val="single" w:sz="2" w:space="0" w:color="auto"/>
            </w:tcBorders>
            <w:vAlign w:val="center"/>
          </w:tcPr>
          <w:p w14:paraId="74B782E6" w14:textId="525F8FE0" w:rsidR="00FF3482" w:rsidRPr="00677CE8" w:rsidRDefault="00FF3482" w:rsidP="00FF3482">
            <w:pPr>
              <w:pStyle w:val="Heading2"/>
              <w:spacing w:line="240" w:lineRule="auto"/>
              <w:jc w:val="center"/>
              <w:rPr>
                <w:sz w:val="17"/>
                <w:szCs w:val="17"/>
              </w:rPr>
            </w:pPr>
            <w:r w:rsidRPr="00677CE8">
              <w:rPr>
                <w:sz w:val="17"/>
                <w:szCs w:val="17"/>
              </w:rPr>
              <w:t>×</w:t>
            </w:r>
          </w:p>
        </w:tc>
        <w:tc>
          <w:tcPr>
            <w:tcW w:w="461" w:type="dxa"/>
            <w:tcBorders>
              <w:top w:val="single" w:sz="2" w:space="0" w:color="auto"/>
              <w:left w:val="single" w:sz="2" w:space="0" w:color="auto"/>
              <w:bottom w:val="single" w:sz="2" w:space="0" w:color="auto"/>
              <w:right w:val="single" w:sz="2" w:space="0" w:color="auto"/>
            </w:tcBorders>
            <w:vAlign w:val="center"/>
          </w:tcPr>
          <w:p w14:paraId="01EC6991" w14:textId="551A8044"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2" w:space="0" w:color="auto"/>
              <w:right w:val="single" w:sz="2" w:space="0" w:color="auto"/>
            </w:tcBorders>
            <w:vAlign w:val="center"/>
          </w:tcPr>
          <w:p w14:paraId="659A885C" w14:textId="77777777"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2" w:space="0" w:color="auto"/>
              <w:right w:val="single" w:sz="2" w:space="0" w:color="auto"/>
            </w:tcBorders>
            <w:vAlign w:val="center"/>
          </w:tcPr>
          <w:p w14:paraId="746E2376" w14:textId="77777777" w:rsidR="00FF3482" w:rsidRPr="00677CE8" w:rsidRDefault="00FF3482" w:rsidP="00FF3482">
            <w:pPr>
              <w:pStyle w:val="Heading2"/>
              <w:spacing w:line="240" w:lineRule="auto"/>
              <w:jc w:val="center"/>
              <w:rPr>
                <w:sz w:val="17"/>
                <w:szCs w:val="17"/>
              </w:rPr>
            </w:pPr>
          </w:p>
        </w:tc>
        <w:tc>
          <w:tcPr>
            <w:tcW w:w="527" w:type="dxa"/>
            <w:tcBorders>
              <w:top w:val="single" w:sz="2" w:space="0" w:color="auto"/>
              <w:left w:val="single" w:sz="2" w:space="0" w:color="auto"/>
              <w:bottom w:val="single" w:sz="2" w:space="0" w:color="auto"/>
              <w:right w:val="single" w:sz="2" w:space="0" w:color="auto"/>
            </w:tcBorders>
            <w:vAlign w:val="center"/>
          </w:tcPr>
          <w:p w14:paraId="5AD2EE76" w14:textId="77777777" w:rsidR="00FF3482" w:rsidRPr="00677CE8" w:rsidRDefault="00FF3482" w:rsidP="00FF3482">
            <w:pPr>
              <w:pStyle w:val="Heading2"/>
              <w:spacing w:line="240" w:lineRule="auto"/>
              <w:jc w:val="center"/>
              <w:rPr>
                <w:sz w:val="17"/>
                <w:szCs w:val="17"/>
              </w:rPr>
            </w:pPr>
          </w:p>
        </w:tc>
        <w:tc>
          <w:tcPr>
            <w:tcW w:w="559" w:type="dxa"/>
            <w:tcBorders>
              <w:top w:val="single" w:sz="2" w:space="0" w:color="auto"/>
              <w:left w:val="single" w:sz="2" w:space="0" w:color="auto"/>
              <w:bottom w:val="single" w:sz="2" w:space="0" w:color="auto"/>
              <w:right w:val="single" w:sz="2" w:space="0" w:color="auto"/>
            </w:tcBorders>
            <w:vAlign w:val="center"/>
          </w:tcPr>
          <w:p w14:paraId="6912F9D5" w14:textId="77777777" w:rsidR="00FF3482" w:rsidRPr="00677CE8" w:rsidRDefault="00FF3482" w:rsidP="00FF3482">
            <w:pPr>
              <w:pStyle w:val="Heading2"/>
              <w:spacing w:line="240" w:lineRule="auto"/>
              <w:jc w:val="center"/>
              <w:rPr>
                <w:sz w:val="17"/>
                <w:szCs w:val="17"/>
              </w:rPr>
            </w:pPr>
          </w:p>
        </w:tc>
        <w:tc>
          <w:tcPr>
            <w:tcW w:w="433" w:type="dxa"/>
            <w:tcBorders>
              <w:top w:val="single" w:sz="2" w:space="0" w:color="auto"/>
              <w:left w:val="single" w:sz="2" w:space="0" w:color="auto"/>
              <w:bottom w:val="single" w:sz="2" w:space="0" w:color="auto"/>
              <w:right w:val="single" w:sz="2" w:space="0" w:color="auto"/>
            </w:tcBorders>
            <w:vAlign w:val="center"/>
          </w:tcPr>
          <w:p w14:paraId="18075FD6" w14:textId="77777777" w:rsidR="00FF3482" w:rsidRPr="00677CE8" w:rsidRDefault="00FF3482" w:rsidP="00FF3482">
            <w:pPr>
              <w:pStyle w:val="Heading2"/>
              <w:spacing w:line="240" w:lineRule="auto"/>
              <w:jc w:val="center"/>
              <w:rPr>
                <w:sz w:val="17"/>
                <w:szCs w:val="17"/>
              </w:rPr>
            </w:pPr>
          </w:p>
        </w:tc>
        <w:tc>
          <w:tcPr>
            <w:tcW w:w="525" w:type="dxa"/>
            <w:tcBorders>
              <w:top w:val="single" w:sz="2" w:space="0" w:color="auto"/>
              <w:left w:val="single" w:sz="2" w:space="0" w:color="auto"/>
              <w:bottom w:val="single" w:sz="2" w:space="0" w:color="auto"/>
              <w:right w:val="single" w:sz="2" w:space="0" w:color="auto"/>
            </w:tcBorders>
            <w:vAlign w:val="center"/>
          </w:tcPr>
          <w:p w14:paraId="7C4627C3" w14:textId="77777777" w:rsidR="00FF3482" w:rsidRPr="00677CE8" w:rsidRDefault="00FF3482" w:rsidP="00FF3482">
            <w:pPr>
              <w:pStyle w:val="Heading2"/>
              <w:spacing w:line="240" w:lineRule="auto"/>
              <w:jc w:val="center"/>
              <w:rPr>
                <w:sz w:val="17"/>
                <w:szCs w:val="17"/>
              </w:rPr>
            </w:pPr>
          </w:p>
        </w:tc>
        <w:tc>
          <w:tcPr>
            <w:tcW w:w="465" w:type="dxa"/>
            <w:tcBorders>
              <w:top w:val="single" w:sz="2" w:space="0" w:color="auto"/>
              <w:left w:val="single" w:sz="2" w:space="0" w:color="auto"/>
              <w:bottom w:val="single" w:sz="2" w:space="0" w:color="auto"/>
              <w:right w:val="single" w:sz="2" w:space="0" w:color="auto"/>
            </w:tcBorders>
          </w:tcPr>
          <w:p w14:paraId="06CED44D" w14:textId="77777777" w:rsidR="00FF3482" w:rsidRPr="00677CE8" w:rsidRDefault="00FF3482" w:rsidP="00FF3482">
            <w:pPr>
              <w:pStyle w:val="Heading2"/>
              <w:spacing w:line="240" w:lineRule="auto"/>
              <w:jc w:val="center"/>
              <w:rPr>
                <w:sz w:val="17"/>
                <w:szCs w:val="17"/>
              </w:rPr>
            </w:pPr>
          </w:p>
        </w:tc>
        <w:tc>
          <w:tcPr>
            <w:tcW w:w="270" w:type="dxa"/>
            <w:tcBorders>
              <w:top w:val="single" w:sz="2" w:space="0" w:color="auto"/>
              <w:left w:val="single" w:sz="2" w:space="0" w:color="auto"/>
              <w:bottom w:val="single" w:sz="2" w:space="0" w:color="auto"/>
              <w:right w:val="single" w:sz="2" w:space="0" w:color="auto"/>
            </w:tcBorders>
            <w:vAlign w:val="center"/>
          </w:tcPr>
          <w:p w14:paraId="6DF44717" w14:textId="0D7619F7" w:rsidR="00FF3482" w:rsidRPr="00677CE8" w:rsidRDefault="00FF3482" w:rsidP="00FF3482">
            <w:pPr>
              <w:pStyle w:val="Heading2"/>
              <w:spacing w:line="240" w:lineRule="auto"/>
              <w:jc w:val="center"/>
              <w:rPr>
                <w:sz w:val="17"/>
                <w:szCs w:val="17"/>
              </w:rPr>
            </w:pPr>
          </w:p>
        </w:tc>
        <w:tc>
          <w:tcPr>
            <w:tcW w:w="404" w:type="dxa"/>
            <w:tcBorders>
              <w:top w:val="single" w:sz="2" w:space="0" w:color="auto"/>
              <w:left w:val="single" w:sz="2" w:space="0" w:color="auto"/>
              <w:bottom w:val="single" w:sz="2" w:space="0" w:color="auto"/>
              <w:right w:val="single" w:sz="2" w:space="0" w:color="auto"/>
            </w:tcBorders>
            <w:vAlign w:val="center"/>
          </w:tcPr>
          <w:p w14:paraId="079A6490" w14:textId="673CB61B" w:rsidR="00FF3482" w:rsidRPr="00677CE8" w:rsidRDefault="00FF3482" w:rsidP="00FF3482">
            <w:pPr>
              <w:pStyle w:val="Heading2"/>
              <w:spacing w:line="240" w:lineRule="auto"/>
              <w:jc w:val="center"/>
              <w:rPr>
                <w:sz w:val="17"/>
                <w:szCs w:val="17"/>
              </w:rPr>
            </w:pPr>
            <w:r w:rsidRPr="00677CE8">
              <w:rPr>
                <w:sz w:val="17"/>
                <w:szCs w:val="17"/>
              </w:rPr>
              <w:t>×</w:t>
            </w:r>
          </w:p>
        </w:tc>
        <w:tc>
          <w:tcPr>
            <w:tcW w:w="406" w:type="dxa"/>
            <w:tcBorders>
              <w:top w:val="single" w:sz="2" w:space="0" w:color="auto"/>
              <w:left w:val="single" w:sz="2" w:space="0" w:color="auto"/>
              <w:bottom w:val="single" w:sz="2" w:space="0" w:color="auto"/>
              <w:right w:val="single" w:sz="2" w:space="0" w:color="auto"/>
            </w:tcBorders>
          </w:tcPr>
          <w:p w14:paraId="49109186" w14:textId="77777777" w:rsidR="00FF3482" w:rsidRPr="00677CE8" w:rsidRDefault="00FF3482" w:rsidP="00FF3482">
            <w:pPr>
              <w:pStyle w:val="Heading2"/>
              <w:spacing w:line="240" w:lineRule="auto"/>
              <w:jc w:val="center"/>
              <w:rPr>
                <w:sz w:val="17"/>
                <w:szCs w:val="17"/>
              </w:rPr>
            </w:pPr>
          </w:p>
        </w:tc>
        <w:tc>
          <w:tcPr>
            <w:tcW w:w="3338" w:type="dxa"/>
            <w:tcBorders>
              <w:top w:val="single" w:sz="2" w:space="0" w:color="auto"/>
              <w:left w:val="single" w:sz="2" w:space="0" w:color="auto"/>
              <w:bottom w:val="single" w:sz="2" w:space="0" w:color="auto"/>
              <w:right w:val="single" w:sz="12" w:space="0" w:color="auto"/>
            </w:tcBorders>
            <w:vAlign w:val="center"/>
          </w:tcPr>
          <w:p w14:paraId="1BAB97C6" w14:textId="47A8B54E" w:rsidR="00FF3482" w:rsidRPr="00677CE8" w:rsidRDefault="00FF3482" w:rsidP="00FF3482">
            <w:pPr>
              <w:pStyle w:val="Heading2"/>
              <w:spacing w:line="240" w:lineRule="auto"/>
              <w:rPr>
                <w:b w:val="0"/>
                <w:bCs w:val="0"/>
                <w:sz w:val="17"/>
                <w:szCs w:val="17"/>
              </w:rPr>
            </w:pPr>
            <w:r w:rsidRPr="00677CE8">
              <w:rPr>
                <w:b w:val="0"/>
                <w:bCs w:val="0"/>
                <w:sz w:val="17"/>
                <w:szCs w:val="17"/>
              </w:rPr>
              <w:t>Did not consider</w:t>
            </w:r>
          </w:p>
        </w:tc>
      </w:tr>
      <w:tr w:rsidR="00FF3482" w:rsidRPr="00677CE8" w14:paraId="5AB54ED7" w14:textId="1ED61308" w:rsidTr="00007FF5">
        <w:trPr>
          <w:jc w:val="center"/>
        </w:trPr>
        <w:tc>
          <w:tcPr>
            <w:tcW w:w="1876" w:type="dxa"/>
            <w:tcBorders>
              <w:top w:val="single" w:sz="2" w:space="0" w:color="auto"/>
              <w:left w:val="single" w:sz="12" w:space="0" w:color="auto"/>
              <w:bottom w:val="single" w:sz="2" w:space="0" w:color="auto"/>
              <w:right w:val="single" w:sz="2" w:space="0" w:color="auto"/>
            </w:tcBorders>
            <w:vAlign w:val="center"/>
          </w:tcPr>
          <w:p w14:paraId="33A81321" w14:textId="2685B275" w:rsidR="00FF3482" w:rsidRPr="00677CE8" w:rsidRDefault="00FF3482" w:rsidP="00FF3482">
            <w:pPr>
              <w:rPr>
                <w:sz w:val="17"/>
                <w:szCs w:val="17"/>
              </w:rPr>
            </w:pPr>
            <w:r w:rsidRPr="00677CE8">
              <w:rPr>
                <w:sz w:val="17"/>
                <w:szCs w:val="17"/>
              </w:rPr>
              <w:t>Karimi et al., 2024</w:t>
            </w:r>
          </w:p>
        </w:tc>
        <w:tc>
          <w:tcPr>
            <w:tcW w:w="1444" w:type="dxa"/>
            <w:tcBorders>
              <w:top w:val="single" w:sz="2" w:space="0" w:color="auto"/>
              <w:left w:val="single" w:sz="2" w:space="0" w:color="auto"/>
              <w:bottom w:val="single" w:sz="2" w:space="0" w:color="auto"/>
              <w:right w:val="single" w:sz="2" w:space="0" w:color="auto"/>
            </w:tcBorders>
            <w:vAlign w:val="center"/>
          </w:tcPr>
          <w:p w14:paraId="2310BCF2" w14:textId="6215C2A9" w:rsidR="00FF3482" w:rsidRPr="00677CE8" w:rsidRDefault="00FF3482" w:rsidP="00FF3482">
            <w:pPr>
              <w:pStyle w:val="Heading2"/>
              <w:spacing w:line="240" w:lineRule="auto"/>
              <w:rPr>
                <w:b w:val="0"/>
                <w:bCs w:val="0"/>
                <w:sz w:val="17"/>
                <w:szCs w:val="17"/>
              </w:rPr>
            </w:pPr>
            <w:r w:rsidRPr="00677CE8">
              <w:rPr>
                <w:b w:val="0"/>
                <w:bCs w:val="0"/>
                <w:sz w:val="17"/>
                <w:szCs w:val="17"/>
              </w:rPr>
              <w:t>AT</w:t>
            </w:r>
          </w:p>
        </w:tc>
        <w:tc>
          <w:tcPr>
            <w:tcW w:w="1350" w:type="dxa"/>
            <w:tcBorders>
              <w:top w:val="single" w:sz="2" w:space="0" w:color="auto"/>
              <w:left w:val="single" w:sz="2" w:space="0" w:color="auto"/>
              <w:bottom w:val="single" w:sz="2" w:space="0" w:color="auto"/>
              <w:right w:val="single" w:sz="2" w:space="0" w:color="auto"/>
            </w:tcBorders>
            <w:vAlign w:val="center"/>
          </w:tcPr>
          <w:p w14:paraId="59320FF2" w14:textId="14117073" w:rsidR="00FF3482" w:rsidRPr="00677CE8" w:rsidRDefault="00FF3482" w:rsidP="00FF3482">
            <w:pPr>
              <w:pStyle w:val="Heading2"/>
              <w:spacing w:line="240" w:lineRule="auto"/>
              <w:rPr>
                <w:b w:val="0"/>
                <w:bCs w:val="0"/>
                <w:sz w:val="17"/>
                <w:szCs w:val="17"/>
              </w:rPr>
            </w:pPr>
            <w:r w:rsidRPr="00677CE8">
              <w:rPr>
                <w:b w:val="0"/>
                <w:bCs w:val="0"/>
                <w:sz w:val="17"/>
                <w:szCs w:val="17"/>
              </w:rPr>
              <w:t>PV, RH</w:t>
            </w:r>
          </w:p>
        </w:tc>
        <w:tc>
          <w:tcPr>
            <w:tcW w:w="445" w:type="dxa"/>
            <w:tcBorders>
              <w:top w:val="single" w:sz="2" w:space="0" w:color="auto"/>
              <w:left w:val="single" w:sz="2" w:space="0" w:color="auto"/>
              <w:bottom w:val="single" w:sz="2" w:space="0" w:color="auto"/>
              <w:right w:val="single" w:sz="2" w:space="0" w:color="auto"/>
            </w:tcBorders>
            <w:vAlign w:val="center"/>
          </w:tcPr>
          <w:p w14:paraId="51F29C6C" w14:textId="6214F619" w:rsidR="00FF3482" w:rsidRPr="00677CE8" w:rsidRDefault="00FF3482" w:rsidP="00FF3482">
            <w:pPr>
              <w:pStyle w:val="Heading2"/>
              <w:spacing w:line="240" w:lineRule="auto"/>
              <w:jc w:val="center"/>
              <w:rPr>
                <w:sz w:val="17"/>
                <w:szCs w:val="17"/>
              </w:rPr>
            </w:pPr>
            <w:r w:rsidRPr="00677CE8">
              <w:rPr>
                <w:sz w:val="17"/>
                <w:szCs w:val="17"/>
              </w:rPr>
              <w:t>×</w:t>
            </w:r>
          </w:p>
        </w:tc>
        <w:tc>
          <w:tcPr>
            <w:tcW w:w="277" w:type="dxa"/>
            <w:tcBorders>
              <w:top w:val="single" w:sz="2" w:space="0" w:color="auto"/>
              <w:left w:val="single" w:sz="2" w:space="0" w:color="auto"/>
              <w:bottom w:val="single" w:sz="2" w:space="0" w:color="auto"/>
              <w:right w:val="single" w:sz="2" w:space="0" w:color="auto"/>
            </w:tcBorders>
            <w:vAlign w:val="center"/>
          </w:tcPr>
          <w:p w14:paraId="6367C75B" w14:textId="685FEB30" w:rsidR="00FF3482" w:rsidRPr="00677CE8" w:rsidRDefault="00FF3482" w:rsidP="00FF3482">
            <w:pPr>
              <w:pStyle w:val="Heading2"/>
              <w:spacing w:line="240" w:lineRule="auto"/>
              <w:jc w:val="center"/>
              <w:rPr>
                <w:sz w:val="17"/>
                <w:szCs w:val="17"/>
              </w:rPr>
            </w:pPr>
          </w:p>
        </w:tc>
        <w:tc>
          <w:tcPr>
            <w:tcW w:w="720" w:type="dxa"/>
            <w:tcBorders>
              <w:top w:val="single" w:sz="2" w:space="0" w:color="auto"/>
              <w:left w:val="single" w:sz="2" w:space="0" w:color="auto"/>
              <w:bottom w:val="single" w:sz="2" w:space="0" w:color="auto"/>
              <w:right w:val="single" w:sz="2" w:space="0" w:color="auto"/>
            </w:tcBorders>
            <w:vAlign w:val="center"/>
          </w:tcPr>
          <w:p w14:paraId="063AAD1E" w14:textId="76C74888" w:rsidR="00FF3482" w:rsidRPr="00677CE8" w:rsidRDefault="00FF3482" w:rsidP="00FF3482">
            <w:pPr>
              <w:pStyle w:val="Heading2"/>
              <w:spacing w:line="240" w:lineRule="auto"/>
              <w:jc w:val="center"/>
              <w:rPr>
                <w:sz w:val="17"/>
                <w:szCs w:val="17"/>
              </w:rPr>
            </w:pPr>
            <w:r w:rsidRPr="00677CE8">
              <w:rPr>
                <w:sz w:val="17"/>
                <w:szCs w:val="17"/>
              </w:rPr>
              <w:t>×</w:t>
            </w:r>
          </w:p>
        </w:tc>
        <w:tc>
          <w:tcPr>
            <w:tcW w:w="263" w:type="dxa"/>
            <w:tcBorders>
              <w:top w:val="single" w:sz="2" w:space="0" w:color="auto"/>
              <w:left w:val="single" w:sz="2" w:space="0" w:color="auto"/>
              <w:bottom w:val="single" w:sz="2" w:space="0" w:color="auto"/>
              <w:right w:val="single" w:sz="2" w:space="0" w:color="auto"/>
            </w:tcBorders>
            <w:vAlign w:val="center"/>
          </w:tcPr>
          <w:p w14:paraId="1FDFC22A" w14:textId="371F6AF4" w:rsidR="00FF3482" w:rsidRPr="00677CE8" w:rsidRDefault="00FF3482" w:rsidP="00FF3482">
            <w:pPr>
              <w:pStyle w:val="Heading2"/>
              <w:spacing w:line="240" w:lineRule="auto"/>
              <w:jc w:val="center"/>
              <w:rPr>
                <w:sz w:val="17"/>
                <w:szCs w:val="17"/>
              </w:rPr>
            </w:pPr>
            <w:r w:rsidRPr="00677CE8">
              <w:rPr>
                <w:sz w:val="17"/>
                <w:szCs w:val="17"/>
              </w:rPr>
              <w:t>×</w:t>
            </w:r>
          </w:p>
        </w:tc>
        <w:tc>
          <w:tcPr>
            <w:tcW w:w="461" w:type="dxa"/>
            <w:tcBorders>
              <w:top w:val="single" w:sz="2" w:space="0" w:color="auto"/>
              <w:left w:val="single" w:sz="2" w:space="0" w:color="auto"/>
              <w:bottom w:val="single" w:sz="2" w:space="0" w:color="auto"/>
              <w:right w:val="single" w:sz="2" w:space="0" w:color="auto"/>
            </w:tcBorders>
            <w:vAlign w:val="center"/>
          </w:tcPr>
          <w:p w14:paraId="14100E73" w14:textId="3F25955C"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2" w:space="0" w:color="auto"/>
              <w:right w:val="single" w:sz="2" w:space="0" w:color="auto"/>
            </w:tcBorders>
            <w:vAlign w:val="center"/>
          </w:tcPr>
          <w:p w14:paraId="47070E3F" w14:textId="77777777"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2" w:space="0" w:color="auto"/>
              <w:right w:val="single" w:sz="2" w:space="0" w:color="auto"/>
            </w:tcBorders>
            <w:vAlign w:val="center"/>
          </w:tcPr>
          <w:p w14:paraId="74BA50C3" w14:textId="77777777" w:rsidR="00FF3482" w:rsidRPr="00677CE8" w:rsidRDefault="00FF3482" w:rsidP="00FF3482">
            <w:pPr>
              <w:pStyle w:val="Heading2"/>
              <w:spacing w:line="240" w:lineRule="auto"/>
              <w:jc w:val="center"/>
              <w:rPr>
                <w:sz w:val="17"/>
                <w:szCs w:val="17"/>
              </w:rPr>
            </w:pPr>
          </w:p>
        </w:tc>
        <w:tc>
          <w:tcPr>
            <w:tcW w:w="527" w:type="dxa"/>
            <w:tcBorders>
              <w:top w:val="single" w:sz="2" w:space="0" w:color="auto"/>
              <w:left w:val="single" w:sz="2" w:space="0" w:color="auto"/>
              <w:bottom w:val="single" w:sz="2" w:space="0" w:color="auto"/>
              <w:right w:val="single" w:sz="2" w:space="0" w:color="auto"/>
            </w:tcBorders>
            <w:vAlign w:val="center"/>
          </w:tcPr>
          <w:p w14:paraId="21C3B647" w14:textId="77777777" w:rsidR="00FF3482" w:rsidRPr="00677CE8" w:rsidRDefault="00FF3482" w:rsidP="00FF3482">
            <w:pPr>
              <w:pStyle w:val="Heading2"/>
              <w:spacing w:line="240" w:lineRule="auto"/>
              <w:jc w:val="center"/>
              <w:rPr>
                <w:sz w:val="17"/>
                <w:szCs w:val="17"/>
              </w:rPr>
            </w:pPr>
          </w:p>
        </w:tc>
        <w:tc>
          <w:tcPr>
            <w:tcW w:w="559" w:type="dxa"/>
            <w:tcBorders>
              <w:top w:val="single" w:sz="2" w:space="0" w:color="auto"/>
              <w:left w:val="single" w:sz="2" w:space="0" w:color="auto"/>
              <w:bottom w:val="single" w:sz="2" w:space="0" w:color="auto"/>
              <w:right w:val="single" w:sz="2" w:space="0" w:color="auto"/>
            </w:tcBorders>
            <w:vAlign w:val="center"/>
          </w:tcPr>
          <w:p w14:paraId="6C3493E9" w14:textId="77777777" w:rsidR="00FF3482" w:rsidRPr="00677CE8" w:rsidRDefault="00FF3482" w:rsidP="00FF3482">
            <w:pPr>
              <w:pStyle w:val="Heading2"/>
              <w:spacing w:line="240" w:lineRule="auto"/>
              <w:jc w:val="center"/>
              <w:rPr>
                <w:sz w:val="17"/>
                <w:szCs w:val="17"/>
              </w:rPr>
            </w:pPr>
          </w:p>
        </w:tc>
        <w:tc>
          <w:tcPr>
            <w:tcW w:w="433" w:type="dxa"/>
            <w:tcBorders>
              <w:top w:val="single" w:sz="2" w:space="0" w:color="auto"/>
              <w:left w:val="single" w:sz="2" w:space="0" w:color="auto"/>
              <w:bottom w:val="single" w:sz="2" w:space="0" w:color="auto"/>
              <w:right w:val="single" w:sz="2" w:space="0" w:color="auto"/>
            </w:tcBorders>
            <w:vAlign w:val="center"/>
          </w:tcPr>
          <w:p w14:paraId="381B54D8" w14:textId="77777777" w:rsidR="00FF3482" w:rsidRPr="00677CE8" w:rsidRDefault="00FF3482" w:rsidP="00FF3482">
            <w:pPr>
              <w:pStyle w:val="Heading2"/>
              <w:spacing w:line="240" w:lineRule="auto"/>
              <w:jc w:val="center"/>
              <w:rPr>
                <w:sz w:val="17"/>
                <w:szCs w:val="17"/>
              </w:rPr>
            </w:pPr>
          </w:p>
        </w:tc>
        <w:tc>
          <w:tcPr>
            <w:tcW w:w="525" w:type="dxa"/>
            <w:tcBorders>
              <w:top w:val="single" w:sz="2" w:space="0" w:color="auto"/>
              <w:left w:val="single" w:sz="2" w:space="0" w:color="auto"/>
              <w:bottom w:val="single" w:sz="2" w:space="0" w:color="auto"/>
              <w:right w:val="single" w:sz="2" w:space="0" w:color="auto"/>
            </w:tcBorders>
            <w:vAlign w:val="center"/>
          </w:tcPr>
          <w:p w14:paraId="3122F521" w14:textId="77777777" w:rsidR="00FF3482" w:rsidRPr="00677CE8" w:rsidRDefault="00FF3482" w:rsidP="00FF3482">
            <w:pPr>
              <w:pStyle w:val="Heading2"/>
              <w:spacing w:line="240" w:lineRule="auto"/>
              <w:jc w:val="center"/>
              <w:rPr>
                <w:sz w:val="17"/>
                <w:szCs w:val="17"/>
              </w:rPr>
            </w:pPr>
          </w:p>
        </w:tc>
        <w:tc>
          <w:tcPr>
            <w:tcW w:w="465" w:type="dxa"/>
            <w:tcBorders>
              <w:top w:val="single" w:sz="2" w:space="0" w:color="auto"/>
              <w:left w:val="single" w:sz="2" w:space="0" w:color="auto"/>
              <w:bottom w:val="single" w:sz="2" w:space="0" w:color="auto"/>
              <w:right w:val="single" w:sz="2" w:space="0" w:color="auto"/>
            </w:tcBorders>
          </w:tcPr>
          <w:p w14:paraId="4535AFAE" w14:textId="77777777" w:rsidR="00FF3482" w:rsidRPr="00677CE8" w:rsidRDefault="00FF3482" w:rsidP="00FF3482">
            <w:pPr>
              <w:pStyle w:val="Heading2"/>
              <w:spacing w:line="240" w:lineRule="auto"/>
              <w:jc w:val="center"/>
              <w:rPr>
                <w:sz w:val="17"/>
                <w:szCs w:val="17"/>
              </w:rPr>
            </w:pPr>
          </w:p>
        </w:tc>
        <w:tc>
          <w:tcPr>
            <w:tcW w:w="270" w:type="dxa"/>
            <w:tcBorders>
              <w:top w:val="single" w:sz="2" w:space="0" w:color="auto"/>
              <w:left w:val="single" w:sz="2" w:space="0" w:color="auto"/>
              <w:bottom w:val="single" w:sz="2" w:space="0" w:color="auto"/>
              <w:right w:val="single" w:sz="2" w:space="0" w:color="auto"/>
            </w:tcBorders>
            <w:vAlign w:val="center"/>
          </w:tcPr>
          <w:p w14:paraId="0B92BE69" w14:textId="47B350F5" w:rsidR="00FF3482" w:rsidRPr="00677CE8" w:rsidRDefault="00FF3482" w:rsidP="00FF3482">
            <w:pPr>
              <w:pStyle w:val="Heading2"/>
              <w:spacing w:line="240" w:lineRule="auto"/>
              <w:jc w:val="center"/>
              <w:rPr>
                <w:sz w:val="17"/>
                <w:szCs w:val="17"/>
              </w:rPr>
            </w:pPr>
          </w:p>
        </w:tc>
        <w:tc>
          <w:tcPr>
            <w:tcW w:w="404" w:type="dxa"/>
            <w:tcBorders>
              <w:top w:val="single" w:sz="2" w:space="0" w:color="auto"/>
              <w:left w:val="single" w:sz="2" w:space="0" w:color="auto"/>
              <w:bottom w:val="single" w:sz="2" w:space="0" w:color="auto"/>
              <w:right w:val="single" w:sz="2" w:space="0" w:color="auto"/>
            </w:tcBorders>
          </w:tcPr>
          <w:p w14:paraId="408FC50C" w14:textId="1FCB0C66" w:rsidR="00FF3482" w:rsidRPr="00677CE8" w:rsidRDefault="00FF3482" w:rsidP="00FF3482">
            <w:pPr>
              <w:pStyle w:val="Heading2"/>
              <w:spacing w:line="240" w:lineRule="auto"/>
              <w:jc w:val="center"/>
              <w:rPr>
                <w:sz w:val="17"/>
                <w:szCs w:val="17"/>
              </w:rPr>
            </w:pPr>
          </w:p>
        </w:tc>
        <w:tc>
          <w:tcPr>
            <w:tcW w:w="406" w:type="dxa"/>
            <w:tcBorders>
              <w:top w:val="single" w:sz="2" w:space="0" w:color="auto"/>
              <w:left w:val="single" w:sz="2" w:space="0" w:color="auto"/>
              <w:bottom w:val="single" w:sz="2" w:space="0" w:color="auto"/>
              <w:right w:val="single" w:sz="2" w:space="0" w:color="auto"/>
            </w:tcBorders>
          </w:tcPr>
          <w:p w14:paraId="66873DF1" w14:textId="77777777" w:rsidR="00FF3482" w:rsidRPr="00677CE8" w:rsidRDefault="00FF3482" w:rsidP="00FF3482">
            <w:pPr>
              <w:pStyle w:val="Heading2"/>
              <w:spacing w:line="240" w:lineRule="auto"/>
              <w:jc w:val="center"/>
              <w:rPr>
                <w:sz w:val="17"/>
                <w:szCs w:val="17"/>
              </w:rPr>
            </w:pPr>
          </w:p>
        </w:tc>
        <w:tc>
          <w:tcPr>
            <w:tcW w:w="3338" w:type="dxa"/>
            <w:tcBorders>
              <w:top w:val="single" w:sz="2" w:space="0" w:color="auto"/>
              <w:left w:val="single" w:sz="2" w:space="0" w:color="auto"/>
              <w:bottom w:val="single" w:sz="2" w:space="0" w:color="auto"/>
              <w:right w:val="single" w:sz="12" w:space="0" w:color="auto"/>
            </w:tcBorders>
            <w:vAlign w:val="center"/>
          </w:tcPr>
          <w:p w14:paraId="71591863" w14:textId="1DE57FF4" w:rsidR="00FF3482" w:rsidRPr="00677CE8" w:rsidRDefault="00FF3482" w:rsidP="00FF3482">
            <w:pPr>
              <w:rPr>
                <w:sz w:val="17"/>
                <w:szCs w:val="17"/>
              </w:rPr>
            </w:pPr>
            <w:r w:rsidRPr="00677CE8">
              <w:rPr>
                <w:sz w:val="17"/>
                <w:szCs w:val="17"/>
              </w:rPr>
              <w:t>Green lifestyle propensity, Safety perceptions, Travel satisfaction</w:t>
            </w:r>
          </w:p>
        </w:tc>
      </w:tr>
      <w:tr w:rsidR="00FF3482" w:rsidRPr="00677CE8" w14:paraId="18A698CB" w14:textId="1D63D1CF" w:rsidTr="00007FF5">
        <w:trPr>
          <w:jc w:val="center"/>
        </w:trPr>
        <w:tc>
          <w:tcPr>
            <w:tcW w:w="1876" w:type="dxa"/>
            <w:tcBorders>
              <w:top w:val="single" w:sz="2" w:space="0" w:color="auto"/>
              <w:left w:val="single" w:sz="12" w:space="0" w:color="auto"/>
              <w:bottom w:val="single" w:sz="12" w:space="0" w:color="000000" w:themeColor="text1"/>
              <w:right w:val="single" w:sz="2" w:space="0" w:color="auto"/>
            </w:tcBorders>
            <w:vAlign w:val="center"/>
          </w:tcPr>
          <w:p w14:paraId="2493D329" w14:textId="2C843732" w:rsidR="00FF3482" w:rsidRPr="00677CE8" w:rsidRDefault="00FF3482" w:rsidP="00FF3482">
            <w:pPr>
              <w:rPr>
                <w:sz w:val="17"/>
                <w:szCs w:val="17"/>
              </w:rPr>
            </w:pPr>
            <w:r w:rsidRPr="00677CE8">
              <w:rPr>
                <w:sz w:val="17"/>
                <w:szCs w:val="17"/>
              </w:rPr>
              <w:t>Zaps and Chankov, 2022</w:t>
            </w:r>
          </w:p>
        </w:tc>
        <w:tc>
          <w:tcPr>
            <w:tcW w:w="1444" w:type="dxa"/>
            <w:tcBorders>
              <w:top w:val="single" w:sz="2" w:space="0" w:color="auto"/>
              <w:left w:val="single" w:sz="2" w:space="0" w:color="auto"/>
              <w:bottom w:val="single" w:sz="12" w:space="0" w:color="000000" w:themeColor="text1"/>
              <w:right w:val="single" w:sz="2" w:space="0" w:color="auto"/>
            </w:tcBorders>
            <w:vAlign w:val="center"/>
          </w:tcPr>
          <w:p w14:paraId="65C52D77" w14:textId="39FF72A8" w:rsidR="00FF3482" w:rsidRPr="00677CE8" w:rsidRDefault="00FF3482" w:rsidP="00FF3482">
            <w:pPr>
              <w:pStyle w:val="Heading2"/>
              <w:spacing w:line="240" w:lineRule="auto"/>
              <w:rPr>
                <w:b w:val="0"/>
                <w:bCs w:val="0"/>
                <w:sz w:val="17"/>
                <w:szCs w:val="17"/>
              </w:rPr>
            </w:pPr>
            <w:r w:rsidRPr="00677CE8">
              <w:rPr>
                <w:b w:val="0"/>
                <w:bCs w:val="0"/>
                <w:sz w:val="17"/>
                <w:szCs w:val="17"/>
              </w:rPr>
              <w:t>AT</w:t>
            </w:r>
          </w:p>
        </w:tc>
        <w:tc>
          <w:tcPr>
            <w:tcW w:w="1350" w:type="dxa"/>
            <w:tcBorders>
              <w:top w:val="single" w:sz="2" w:space="0" w:color="auto"/>
              <w:left w:val="single" w:sz="2" w:space="0" w:color="auto"/>
              <w:bottom w:val="single" w:sz="12" w:space="0" w:color="000000" w:themeColor="text1"/>
              <w:right w:val="single" w:sz="2" w:space="0" w:color="auto"/>
            </w:tcBorders>
            <w:vAlign w:val="center"/>
          </w:tcPr>
          <w:p w14:paraId="08777075" w14:textId="77FFFA7D" w:rsidR="00FF3482" w:rsidRPr="00677CE8" w:rsidRDefault="00FF3482" w:rsidP="00FF3482">
            <w:pPr>
              <w:pStyle w:val="Heading2"/>
              <w:spacing w:line="240" w:lineRule="auto"/>
              <w:rPr>
                <w:b w:val="0"/>
                <w:bCs w:val="0"/>
                <w:sz w:val="17"/>
                <w:szCs w:val="17"/>
              </w:rPr>
            </w:pPr>
            <w:r w:rsidRPr="00677CE8">
              <w:rPr>
                <w:b w:val="0"/>
                <w:bCs w:val="0"/>
                <w:sz w:val="17"/>
                <w:szCs w:val="17"/>
              </w:rPr>
              <w:t>RH, PT</w:t>
            </w:r>
          </w:p>
        </w:tc>
        <w:tc>
          <w:tcPr>
            <w:tcW w:w="445" w:type="dxa"/>
            <w:tcBorders>
              <w:top w:val="single" w:sz="2" w:space="0" w:color="auto"/>
              <w:left w:val="single" w:sz="2" w:space="0" w:color="auto"/>
              <w:bottom w:val="single" w:sz="12" w:space="0" w:color="000000" w:themeColor="text1"/>
              <w:right w:val="single" w:sz="2" w:space="0" w:color="auto"/>
            </w:tcBorders>
            <w:vAlign w:val="center"/>
          </w:tcPr>
          <w:p w14:paraId="5618983F" w14:textId="4AC87D30" w:rsidR="00FF3482" w:rsidRPr="00677CE8" w:rsidRDefault="00FF3482" w:rsidP="00FF3482">
            <w:pPr>
              <w:pStyle w:val="Heading2"/>
              <w:spacing w:line="240" w:lineRule="auto"/>
              <w:jc w:val="center"/>
              <w:rPr>
                <w:sz w:val="17"/>
                <w:szCs w:val="17"/>
              </w:rPr>
            </w:pPr>
            <w:r w:rsidRPr="00677CE8">
              <w:rPr>
                <w:sz w:val="17"/>
                <w:szCs w:val="17"/>
              </w:rPr>
              <w:t>×</w:t>
            </w:r>
          </w:p>
        </w:tc>
        <w:tc>
          <w:tcPr>
            <w:tcW w:w="277" w:type="dxa"/>
            <w:tcBorders>
              <w:top w:val="single" w:sz="2" w:space="0" w:color="auto"/>
              <w:left w:val="single" w:sz="2" w:space="0" w:color="auto"/>
              <w:bottom w:val="single" w:sz="12" w:space="0" w:color="000000" w:themeColor="text1"/>
              <w:right w:val="single" w:sz="2" w:space="0" w:color="auto"/>
            </w:tcBorders>
            <w:vAlign w:val="center"/>
          </w:tcPr>
          <w:p w14:paraId="08958640" w14:textId="77777777" w:rsidR="00FF3482" w:rsidRPr="00677CE8" w:rsidRDefault="00FF3482" w:rsidP="00FF3482">
            <w:pPr>
              <w:pStyle w:val="Heading2"/>
              <w:spacing w:line="240" w:lineRule="auto"/>
              <w:jc w:val="center"/>
              <w:rPr>
                <w:sz w:val="17"/>
                <w:szCs w:val="17"/>
              </w:rPr>
            </w:pPr>
          </w:p>
        </w:tc>
        <w:tc>
          <w:tcPr>
            <w:tcW w:w="720" w:type="dxa"/>
            <w:tcBorders>
              <w:top w:val="single" w:sz="2" w:space="0" w:color="auto"/>
              <w:left w:val="single" w:sz="2" w:space="0" w:color="auto"/>
              <w:bottom w:val="single" w:sz="12" w:space="0" w:color="000000" w:themeColor="text1"/>
              <w:right w:val="single" w:sz="2" w:space="0" w:color="auto"/>
            </w:tcBorders>
            <w:vAlign w:val="center"/>
          </w:tcPr>
          <w:p w14:paraId="5E6EF3C6" w14:textId="77777777" w:rsidR="00FF3482" w:rsidRPr="00677CE8" w:rsidRDefault="00FF3482" w:rsidP="00FF3482">
            <w:pPr>
              <w:pStyle w:val="Heading2"/>
              <w:spacing w:line="240" w:lineRule="auto"/>
              <w:jc w:val="center"/>
              <w:rPr>
                <w:sz w:val="17"/>
                <w:szCs w:val="17"/>
              </w:rPr>
            </w:pPr>
          </w:p>
        </w:tc>
        <w:tc>
          <w:tcPr>
            <w:tcW w:w="263" w:type="dxa"/>
            <w:tcBorders>
              <w:top w:val="single" w:sz="2" w:space="0" w:color="auto"/>
              <w:left w:val="single" w:sz="2" w:space="0" w:color="auto"/>
              <w:bottom w:val="single" w:sz="12" w:space="0" w:color="000000" w:themeColor="text1"/>
              <w:right w:val="single" w:sz="2" w:space="0" w:color="auto"/>
            </w:tcBorders>
            <w:vAlign w:val="center"/>
          </w:tcPr>
          <w:p w14:paraId="3DB4878B" w14:textId="4B56DFAB" w:rsidR="00FF3482" w:rsidRPr="00677CE8" w:rsidRDefault="00FF3482" w:rsidP="00FF3482">
            <w:pPr>
              <w:pStyle w:val="Heading2"/>
              <w:spacing w:line="240" w:lineRule="auto"/>
              <w:jc w:val="center"/>
              <w:rPr>
                <w:sz w:val="17"/>
                <w:szCs w:val="17"/>
              </w:rPr>
            </w:pPr>
            <w:r w:rsidRPr="00677CE8">
              <w:rPr>
                <w:sz w:val="17"/>
                <w:szCs w:val="17"/>
              </w:rPr>
              <w:t>×</w:t>
            </w:r>
          </w:p>
        </w:tc>
        <w:tc>
          <w:tcPr>
            <w:tcW w:w="461" w:type="dxa"/>
            <w:tcBorders>
              <w:top w:val="single" w:sz="2" w:space="0" w:color="auto"/>
              <w:left w:val="single" w:sz="2" w:space="0" w:color="auto"/>
              <w:bottom w:val="single" w:sz="12" w:space="0" w:color="000000" w:themeColor="text1"/>
              <w:right w:val="single" w:sz="2" w:space="0" w:color="auto"/>
            </w:tcBorders>
            <w:vAlign w:val="center"/>
          </w:tcPr>
          <w:p w14:paraId="618AD2C3" w14:textId="662893A1"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12" w:space="0" w:color="000000" w:themeColor="text1"/>
              <w:right w:val="single" w:sz="2" w:space="0" w:color="auto"/>
            </w:tcBorders>
            <w:vAlign w:val="center"/>
          </w:tcPr>
          <w:p w14:paraId="25C468E5" w14:textId="77777777" w:rsidR="00FF3482" w:rsidRPr="00677CE8" w:rsidRDefault="00FF3482" w:rsidP="00FF3482">
            <w:pPr>
              <w:pStyle w:val="Heading2"/>
              <w:spacing w:line="240" w:lineRule="auto"/>
              <w:jc w:val="center"/>
              <w:rPr>
                <w:sz w:val="17"/>
                <w:szCs w:val="17"/>
              </w:rPr>
            </w:pPr>
          </w:p>
        </w:tc>
        <w:tc>
          <w:tcPr>
            <w:tcW w:w="360" w:type="dxa"/>
            <w:tcBorders>
              <w:top w:val="single" w:sz="2" w:space="0" w:color="auto"/>
              <w:left w:val="single" w:sz="2" w:space="0" w:color="auto"/>
              <w:bottom w:val="single" w:sz="12" w:space="0" w:color="000000" w:themeColor="text1"/>
              <w:right w:val="single" w:sz="2" w:space="0" w:color="auto"/>
            </w:tcBorders>
            <w:vAlign w:val="center"/>
          </w:tcPr>
          <w:p w14:paraId="7AF8DBCD" w14:textId="77777777" w:rsidR="00FF3482" w:rsidRPr="00677CE8" w:rsidRDefault="00FF3482" w:rsidP="00FF3482">
            <w:pPr>
              <w:pStyle w:val="Heading2"/>
              <w:spacing w:line="240" w:lineRule="auto"/>
              <w:jc w:val="center"/>
              <w:rPr>
                <w:sz w:val="17"/>
                <w:szCs w:val="17"/>
              </w:rPr>
            </w:pPr>
          </w:p>
        </w:tc>
        <w:tc>
          <w:tcPr>
            <w:tcW w:w="527" w:type="dxa"/>
            <w:tcBorders>
              <w:top w:val="single" w:sz="2" w:space="0" w:color="auto"/>
              <w:left w:val="single" w:sz="2" w:space="0" w:color="auto"/>
              <w:bottom w:val="single" w:sz="12" w:space="0" w:color="000000" w:themeColor="text1"/>
              <w:right w:val="single" w:sz="2" w:space="0" w:color="auto"/>
            </w:tcBorders>
            <w:vAlign w:val="center"/>
          </w:tcPr>
          <w:p w14:paraId="206C0C0D" w14:textId="77777777" w:rsidR="00FF3482" w:rsidRPr="00677CE8" w:rsidRDefault="00FF3482" w:rsidP="00FF3482">
            <w:pPr>
              <w:pStyle w:val="Heading2"/>
              <w:spacing w:line="240" w:lineRule="auto"/>
              <w:jc w:val="center"/>
              <w:rPr>
                <w:sz w:val="17"/>
                <w:szCs w:val="17"/>
              </w:rPr>
            </w:pPr>
          </w:p>
        </w:tc>
        <w:tc>
          <w:tcPr>
            <w:tcW w:w="559" w:type="dxa"/>
            <w:tcBorders>
              <w:top w:val="single" w:sz="2" w:space="0" w:color="auto"/>
              <w:left w:val="single" w:sz="2" w:space="0" w:color="auto"/>
              <w:bottom w:val="single" w:sz="12" w:space="0" w:color="000000" w:themeColor="text1"/>
              <w:right w:val="single" w:sz="2" w:space="0" w:color="auto"/>
            </w:tcBorders>
            <w:vAlign w:val="center"/>
          </w:tcPr>
          <w:p w14:paraId="6C171BE5" w14:textId="7811D67E" w:rsidR="00FF3482" w:rsidRPr="00677CE8" w:rsidRDefault="00FF3482" w:rsidP="00FF3482">
            <w:pPr>
              <w:pStyle w:val="Heading2"/>
              <w:spacing w:line="240" w:lineRule="auto"/>
              <w:jc w:val="center"/>
              <w:rPr>
                <w:sz w:val="17"/>
                <w:szCs w:val="17"/>
              </w:rPr>
            </w:pPr>
            <w:r w:rsidRPr="00677CE8">
              <w:rPr>
                <w:sz w:val="17"/>
                <w:szCs w:val="17"/>
              </w:rPr>
              <w:t>×</w:t>
            </w:r>
          </w:p>
        </w:tc>
        <w:tc>
          <w:tcPr>
            <w:tcW w:w="433" w:type="dxa"/>
            <w:tcBorders>
              <w:top w:val="single" w:sz="2" w:space="0" w:color="auto"/>
              <w:left w:val="single" w:sz="2" w:space="0" w:color="auto"/>
              <w:bottom w:val="single" w:sz="12" w:space="0" w:color="000000" w:themeColor="text1"/>
              <w:right w:val="single" w:sz="2" w:space="0" w:color="auto"/>
            </w:tcBorders>
            <w:vAlign w:val="center"/>
          </w:tcPr>
          <w:p w14:paraId="4D9623D7" w14:textId="77777777" w:rsidR="00FF3482" w:rsidRPr="00677CE8" w:rsidRDefault="00FF3482" w:rsidP="00FF3482">
            <w:pPr>
              <w:pStyle w:val="Heading2"/>
              <w:spacing w:line="240" w:lineRule="auto"/>
              <w:jc w:val="center"/>
              <w:rPr>
                <w:sz w:val="17"/>
                <w:szCs w:val="17"/>
              </w:rPr>
            </w:pPr>
          </w:p>
        </w:tc>
        <w:tc>
          <w:tcPr>
            <w:tcW w:w="525" w:type="dxa"/>
            <w:tcBorders>
              <w:top w:val="single" w:sz="2" w:space="0" w:color="auto"/>
              <w:left w:val="single" w:sz="2" w:space="0" w:color="auto"/>
              <w:bottom w:val="single" w:sz="12" w:space="0" w:color="000000" w:themeColor="text1"/>
              <w:right w:val="single" w:sz="2" w:space="0" w:color="auto"/>
            </w:tcBorders>
            <w:vAlign w:val="center"/>
          </w:tcPr>
          <w:p w14:paraId="407AF0D2" w14:textId="77777777" w:rsidR="00FF3482" w:rsidRPr="00677CE8" w:rsidRDefault="00FF3482" w:rsidP="00FF3482">
            <w:pPr>
              <w:pStyle w:val="Heading2"/>
              <w:spacing w:line="240" w:lineRule="auto"/>
              <w:jc w:val="center"/>
              <w:rPr>
                <w:sz w:val="17"/>
                <w:szCs w:val="17"/>
              </w:rPr>
            </w:pPr>
          </w:p>
        </w:tc>
        <w:tc>
          <w:tcPr>
            <w:tcW w:w="465" w:type="dxa"/>
            <w:tcBorders>
              <w:top w:val="single" w:sz="2" w:space="0" w:color="auto"/>
              <w:left w:val="single" w:sz="2" w:space="0" w:color="auto"/>
              <w:bottom w:val="single" w:sz="12" w:space="0" w:color="000000" w:themeColor="text1"/>
              <w:right w:val="single" w:sz="2" w:space="0" w:color="auto"/>
            </w:tcBorders>
          </w:tcPr>
          <w:p w14:paraId="484D34D2" w14:textId="77777777" w:rsidR="00FF3482" w:rsidRPr="00677CE8" w:rsidRDefault="00FF3482" w:rsidP="00FF3482">
            <w:pPr>
              <w:pStyle w:val="Heading2"/>
              <w:spacing w:line="240" w:lineRule="auto"/>
              <w:jc w:val="center"/>
              <w:rPr>
                <w:sz w:val="17"/>
                <w:szCs w:val="17"/>
              </w:rPr>
            </w:pPr>
          </w:p>
        </w:tc>
        <w:tc>
          <w:tcPr>
            <w:tcW w:w="270" w:type="dxa"/>
            <w:tcBorders>
              <w:top w:val="single" w:sz="2" w:space="0" w:color="auto"/>
              <w:left w:val="single" w:sz="2" w:space="0" w:color="auto"/>
              <w:bottom w:val="single" w:sz="12" w:space="0" w:color="000000" w:themeColor="text1"/>
              <w:right w:val="single" w:sz="2" w:space="0" w:color="auto"/>
            </w:tcBorders>
            <w:vAlign w:val="center"/>
          </w:tcPr>
          <w:p w14:paraId="13E9CE7E" w14:textId="37A17689" w:rsidR="00FF3482" w:rsidRPr="00677CE8" w:rsidRDefault="00FF3482" w:rsidP="00FF3482">
            <w:pPr>
              <w:pStyle w:val="Heading2"/>
              <w:spacing w:line="240" w:lineRule="auto"/>
              <w:jc w:val="center"/>
              <w:rPr>
                <w:sz w:val="17"/>
                <w:szCs w:val="17"/>
              </w:rPr>
            </w:pPr>
          </w:p>
        </w:tc>
        <w:tc>
          <w:tcPr>
            <w:tcW w:w="404" w:type="dxa"/>
            <w:tcBorders>
              <w:top w:val="single" w:sz="2" w:space="0" w:color="auto"/>
              <w:left w:val="single" w:sz="2" w:space="0" w:color="auto"/>
              <w:bottom w:val="single" w:sz="12" w:space="0" w:color="000000" w:themeColor="text1"/>
              <w:right w:val="single" w:sz="2" w:space="0" w:color="auto"/>
            </w:tcBorders>
            <w:vAlign w:val="center"/>
          </w:tcPr>
          <w:p w14:paraId="23ED6562" w14:textId="6F693AA7" w:rsidR="00FF3482" w:rsidRPr="00677CE8" w:rsidRDefault="00FF3482" w:rsidP="00FF3482">
            <w:pPr>
              <w:pStyle w:val="Heading2"/>
              <w:spacing w:line="240" w:lineRule="auto"/>
              <w:jc w:val="center"/>
              <w:rPr>
                <w:sz w:val="17"/>
                <w:szCs w:val="17"/>
              </w:rPr>
            </w:pPr>
            <w:r w:rsidRPr="00677CE8">
              <w:rPr>
                <w:sz w:val="17"/>
                <w:szCs w:val="17"/>
              </w:rPr>
              <w:t>×</w:t>
            </w:r>
          </w:p>
        </w:tc>
        <w:tc>
          <w:tcPr>
            <w:tcW w:w="406" w:type="dxa"/>
            <w:tcBorders>
              <w:top w:val="single" w:sz="2" w:space="0" w:color="auto"/>
              <w:left w:val="single" w:sz="2" w:space="0" w:color="auto"/>
              <w:bottom w:val="single" w:sz="12" w:space="0" w:color="000000" w:themeColor="text1"/>
              <w:right w:val="single" w:sz="2" w:space="0" w:color="auto"/>
            </w:tcBorders>
            <w:vAlign w:val="center"/>
          </w:tcPr>
          <w:p w14:paraId="655733B2" w14:textId="718B2719" w:rsidR="00FF3482" w:rsidRPr="00677CE8" w:rsidRDefault="00FF3482" w:rsidP="00FF3482">
            <w:pPr>
              <w:pStyle w:val="Heading2"/>
              <w:spacing w:line="240" w:lineRule="auto"/>
              <w:jc w:val="center"/>
              <w:rPr>
                <w:sz w:val="17"/>
                <w:szCs w:val="17"/>
              </w:rPr>
            </w:pPr>
          </w:p>
        </w:tc>
        <w:tc>
          <w:tcPr>
            <w:tcW w:w="3338" w:type="dxa"/>
            <w:tcBorders>
              <w:top w:val="single" w:sz="2" w:space="0" w:color="auto"/>
              <w:left w:val="single" w:sz="2" w:space="0" w:color="auto"/>
              <w:bottom w:val="single" w:sz="12" w:space="0" w:color="000000" w:themeColor="text1"/>
              <w:right w:val="single" w:sz="12" w:space="0" w:color="auto"/>
            </w:tcBorders>
            <w:vAlign w:val="center"/>
          </w:tcPr>
          <w:p w14:paraId="2C57E043" w14:textId="649E3250" w:rsidR="00FF3482" w:rsidRPr="00677CE8" w:rsidRDefault="00FF3482" w:rsidP="00FF3482">
            <w:pPr>
              <w:pStyle w:val="Heading2"/>
              <w:spacing w:line="240" w:lineRule="auto"/>
              <w:rPr>
                <w:b w:val="0"/>
                <w:bCs w:val="0"/>
                <w:sz w:val="17"/>
                <w:szCs w:val="17"/>
              </w:rPr>
            </w:pPr>
            <w:r w:rsidRPr="00677CE8">
              <w:rPr>
                <w:b w:val="0"/>
                <w:bCs w:val="0"/>
                <w:sz w:val="17"/>
                <w:szCs w:val="17"/>
              </w:rPr>
              <w:t>Did not consider</w:t>
            </w:r>
          </w:p>
        </w:tc>
      </w:tr>
      <w:tr w:rsidR="00FF3482" w:rsidRPr="00677CE8" w14:paraId="24A6366B" w14:textId="77777777" w:rsidTr="00007FF5">
        <w:trPr>
          <w:jc w:val="center"/>
        </w:trPr>
        <w:tc>
          <w:tcPr>
            <w:tcW w:w="1876" w:type="dxa"/>
            <w:tcBorders>
              <w:top w:val="single" w:sz="12" w:space="0" w:color="000000" w:themeColor="text1"/>
              <w:left w:val="single" w:sz="12" w:space="0" w:color="000000" w:themeColor="text1"/>
              <w:bottom w:val="single" w:sz="12" w:space="0" w:color="000000" w:themeColor="text1"/>
              <w:right w:val="single" w:sz="2" w:space="0" w:color="auto"/>
            </w:tcBorders>
            <w:shd w:val="clear" w:color="auto" w:fill="CAEDFB" w:themeFill="accent4" w:themeFillTint="33"/>
            <w:vAlign w:val="center"/>
          </w:tcPr>
          <w:p w14:paraId="7D4FC10E" w14:textId="6BEC1BE0" w:rsidR="00FF3482" w:rsidRPr="00677CE8" w:rsidRDefault="00FF3482" w:rsidP="00FF3482">
            <w:pPr>
              <w:pStyle w:val="Heading2"/>
              <w:spacing w:line="240" w:lineRule="auto"/>
              <w:rPr>
                <w:b w:val="0"/>
                <w:bCs w:val="0"/>
                <w:sz w:val="17"/>
                <w:szCs w:val="17"/>
              </w:rPr>
            </w:pPr>
            <w:r w:rsidRPr="00677CE8">
              <w:rPr>
                <w:b w:val="0"/>
                <w:bCs w:val="0"/>
                <w:sz w:val="17"/>
                <w:szCs w:val="17"/>
              </w:rPr>
              <w:t>This Study</w:t>
            </w:r>
          </w:p>
        </w:tc>
        <w:tc>
          <w:tcPr>
            <w:tcW w:w="1444" w:type="dxa"/>
            <w:tcBorders>
              <w:top w:val="single" w:sz="12" w:space="0" w:color="000000" w:themeColor="text1"/>
              <w:left w:val="single" w:sz="2" w:space="0" w:color="auto"/>
              <w:bottom w:val="single" w:sz="12" w:space="0" w:color="000000" w:themeColor="text1"/>
              <w:right w:val="single" w:sz="2" w:space="0" w:color="auto"/>
            </w:tcBorders>
            <w:shd w:val="clear" w:color="auto" w:fill="CAEDFB" w:themeFill="accent4" w:themeFillTint="33"/>
            <w:vAlign w:val="center"/>
          </w:tcPr>
          <w:p w14:paraId="6FE457F5" w14:textId="2935B00B" w:rsidR="00FF3482" w:rsidRPr="00677CE8" w:rsidRDefault="00FF3482" w:rsidP="00FF3482">
            <w:pPr>
              <w:pStyle w:val="Heading2"/>
              <w:spacing w:line="240" w:lineRule="auto"/>
              <w:rPr>
                <w:b w:val="0"/>
                <w:bCs w:val="0"/>
                <w:sz w:val="17"/>
                <w:szCs w:val="17"/>
              </w:rPr>
            </w:pPr>
            <w:r w:rsidRPr="00677CE8">
              <w:rPr>
                <w:b w:val="0"/>
                <w:bCs w:val="0"/>
                <w:sz w:val="17"/>
                <w:szCs w:val="17"/>
              </w:rPr>
              <w:t>AT, AM</w:t>
            </w:r>
          </w:p>
        </w:tc>
        <w:tc>
          <w:tcPr>
            <w:tcW w:w="1350" w:type="dxa"/>
            <w:tcBorders>
              <w:top w:val="single" w:sz="12" w:space="0" w:color="000000" w:themeColor="text1"/>
              <w:left w:val="single" w:sz="2" w:space="0" w:color="auto"/>
              <w:bottom w:val="single" w:sz="12" w:space="0" w:color="000000" w:themeColor="text1"/>
              <w:right w:val="single" w:sz="2" w:space="0" w:color="auto"/>
            </w:tcBorders>
            <w:shd w:val="clear" w:color="auto" w:fill="CAEDFB" w:themeFill="accent4" w:themeFillTint="33"/>
            <w:vAlign w:val="center"/>
          </w:tcPr>
          <w:p w14:paraId="260F4193" w14:textId="2984E410" w:rsidR="00FF3482" w:rsidRPr="00677CE8" w:rsidRDefault="00FF3482" w:rsidP="00FF3482">
            <w:pPr>
              <w:pStyle w:val="Heading2"/>
              <w:spacing w:line="240" w:lineRule="auto"/>
              <w:rPr>
                <w:b w:val="0"/>
                <w:bCs w:val="0"/>
                <w:sz w:val="17"/>
                <w:szCs w:val="17"/>
              </w:rPr>
            </w:pPr>
            <w:r w:rsidRPr="00677CE8">
              <w:rPr>
                <w:b w:val="0"/>
                <w:bCs w:val="0"/>
                <w:sz w:val="17"/>
                <w:szCs w:val="17"/>
              </w:rPr>
              <w:t>RH, PT, PV</w:t>
            </w:r>
          </w:p>
        </w:tc>
        <w:tc>
          <w:tcPr>
            <w:tcW w:w="445" w:type="dxa"/>
            <w:tcBorders>
              <w:top w:val="single" w:sz="12" w:space="0" w:color="000000" w:themeColor="text1"/>
              <w:left w:val="single" w:sz="2" w:space="0" w:color="auto"/>
              <w:bottom w:val="single" w:sz="12" w:space="0" w:color="000000" w:themeColor="text1"/>
              <w:right w:val="single" w:sz="2" w:space="0" w:color="auto"/>
            </w:tcBorders>
            <w:shd w:val="clear" w:color="auto" w:fill="CAEDFB" w:themeFill="accent4" w:themeFillTint="33"/>
            <w:vAlign w:val="center"/>
          </w:tcPr>
          <w:p w14:paraId="325369B6" w14:textId="0EF60A99" w:rsidR="00FF3482" w:rsidRPr="00677CE8" w:rsidRDefault="00FF3482" w:rsidP="00FF3482">
            <w:pPr>
              <w:pStyle w:val="Heading2"/>
              <w:spacing w:line="240" w:lineRule="auto"/>
              <w:jc w:val="center"/>
              <w:rPr>
                <w:sz w:val="17"/>
                <w:szCs w:val="17"/>
              </w:rPr>
            </w:pPr>
            <w:r w:rsidRPr="00677CE8">
              <w:rPr>
                <w:sz w:val="17"/>
                <w:szCs w:val="17"/>
              </w:rPr>
              <w:t>×</w:t>
            </w:r>
          </w:p>
        </w:tc>
        <w:tc>
          <w:tcPr>
            <w:tcW w:w="277" w:type="dxa"/>
            <w:tcBorders>
              <w:top w:val="single" w:sz="12" w:space="0" w:color="000000" w:themeColor="text1"/>
              <w:left w:val="single" w:sz="2" w:space="0" w:color="auto"/>
              <w:bottom w:val="single" w:sz="12" w:space="0" w:color="000000" w:themeColor="text1"/>
              <w:right w:val="single" w:sz="2" w:space="0" w:color="auto"/>
            </w:tcBorders>
            <w:shd w:val="clear" w:color="auto" w:fill="CAEDFB" w:themeFill="accent4" w:themeFillTint="33"/>
            <w:vAlign w:val="center"/>
          </w:tcPr>
          <w:p w14:paraId="450B45A1" w14:textId="100142C3" w:rsidR="00FF3482" w:rsidRPr="00677CE8" w:rsidRDefault="00FF3482" w:rsidP="00FF3482">
            <w:pPr>
              <w:pStyle w:val="Heading2"/>
              <w:spacing w:line="240" w:lineRule="auto"/>
              <w:jc w:val="center"/>
              <w:rPr>
                <w:sz w:val="17"/>
                <w:szCs w:val="17"/>
              </w:rPr>
            </w:pPr>
            <w:r w:rsidRPr="00677CE8">
              <w:rPr>
                <w:sz w:val="17"/>
                <w:szCs w:val="17"/>
              </w:rPr>
              <w:t>×</w:t>
            </w:r>
          </w:p>
        </w:tc>
        <w:tc>
          <w:tcPr>
            <w:tcW w:w="720" w:type="dxa"/>
            <w:tcBorders>
              <w:top w:val="single" w:sz="12" w:space="0" w:color="000000" w:themeColor="text1"/>
              <w:left w:val="single" w:sz="2" w:space="0" w:color="auto"/>
              <w:bottom w:val="single" w:sz="12" w:space="0" w:color="000000" w:themeColor="text1"/>
              <w:right w:val="single" w:sz="2" w:space="0" w:color="auto"/>
            </w:tcBorders>
            <w:shd w:val="clear" w:color="auto" w:fill="CAEDFB" w:themeFill="accent4" w:themeFillTint="33"/>
            <w:vAlign w:val="center"/>
          </w:tcPr>
          <w:p w14:paraId="79DB4B40" w14:textId="6F6B9F16" w:rsidR="00FF3482" w:rsidRPr="00677CE8" w:rsidRDefault="00FF3482" w:rsidP="00FF3482">
            <w:pPr>
              <w:pStyle w:val="Heading2"/>
              <w:spacing w:line="240" w:lineRule="auto"/>
              <w:jc w:val="center"/>
              <w:rPr>
                <w:sz w:val="17"/>
                <w:szCs w:val="17"/>
              </w:rPr>
            </w:pPr>
            <w:r w:rsidRPr="00677CE8">
              <w:rPr>
                <w:sz w:val="17"/>
                <w:szCs w:val="17"/>
              </w:rPr>
              <w:t>×</w:t>
            </w:r>
          </w:p>
        </w:tc>
        <w:tc>
          <w:tcPr>
            <w:tcW w:w="263" w:type="dxa"/>
            <w:tcBorders>
              <w:top w:val="single" w:sz="12" w:space="0" w:color="000000" w:themeColor="text1"/>
              <w:left w:val="single" w:sz="2" w:space="0" w:color="auto"/>
              <w:bottom w:val="single" w:sz="12" w:space="0" w:color="000000" w:themeColor="text1"/>
              <w:right w:val="single" w:sz="2" w:space="0" w:color="auto"/>
            </w:tcBorders>
            <w:shd w:val="clear" w:color="auto" w:fill="CAEDFB" w:themeFill="accent4" w:themeFillTint="33"/>
            <w:vAlign w:val="center"/>
          </w:tcPr>
          <w:p w14:paraId="6642F010" w14:textId="5ECF7278" w:rsidR="00FF3482" w:rsidRPr="00677CE8" w:rsidRDefault="00FF3482" w:rsidP="00FF3482">
            <w:pPr>
              <w:pStyle w:val="Heading2"/>
              <w:spacing w:line="240" w:lineRule="auto"/>
              <w:jc w:val="center"/>
              <w:rPr>
                <w:sz w:val="17"/>
                <w:szCs w:val="17"/>
              </w:rPr>
            </w:pPr>
            <w:r w:rsidRPr="00677CE8">
              <w:rPr>
                <w:sz w:val="17"/>
                <w:szCs w:val="17"/>
              </w:rPr>
              <w:t>×</w:t>
            </w:r>
          </w:p>
        </w:tc>
        <w:tc>
          <w:tcPr>
            <w:tcW w:w="461" w:type="dxa"/>
            <w:tcBorders>
              <w:top w:val="single" w:sz="12" w:space="0" w:color="000000" w:themeColor="text1"/>
              <w:left w:val="single" w:sz="2" w:space="0" w:color="auto"/>
              <w:bottom w:val="single" w:sz="12" w:space="0" w:color="000000" w:themeColor="text1"/>
              <w:right w:val="single" w:sz="2" w:space="0" w:color="auto"/>
            </w:tcBorders>
            <w:shd w:val="clear" w:color="auto" w:fill="CAEDFB" w:themeFill="accent4" w:themeFillTint="33"/>
            <w:vAlign w:val="center"/>
          </w:tcPr>
          <w:p w14:paraId="6CE2CE35" w14:textId="51C0A33B" w:rsidR="00FF3482" w:rsidRPr="00677CE8" w:rsidRDefault="00FF3482" w:rsidP="00FF3482">
            <w:pPr>
              <w:pStyle w:val="Heading2"/>
              <w:spacing w:line="240" w:lineRule="auto"/>
              <w:jc w:val="center"/>
              <w:rPr>
                <w:sz w:val="17"/>
                <w:szCs w:val="17"/>
              </w:rPr>
            </w:pPr>
            <w:r w:rsidRPr="00677CE8">
              <w:rPr>
                <w:sz w:val="17"/>
                <w:szCs w:val="17"/>
              </w:rPr>
              <w:t>×</w:t>
            </w:r>
          </w:p>
        </w:tc>
        <w:tc>
          <w:tcPr>
            <w:tcW w:w="360" w:type="dxa"/>
            <w:tcBorders>
              <w:top w:val="single" w:sz="12" w:space="0" w:color="000000" w:themeColor="text1"/>
              <w:left w:val="single" w:sz="2" w:space="0" w:color="auto"/>
              <w:bottom w:val="single" w:sz="12" w:space="0" w:color="000000" w:themeColor="text1"/>
              <w:right w:val="single" w:sz="2" w:space="0" w:color="auto"/>
            </w:tcBorders>
            <w:shd w:val="clear" w:color="auto" w:fill="CAEDFB" w:themeFill="accent4" w:themeFillTint="33"/>
            <w:vAlign w:val="center"/>
          </w:tcPr>
          <w:p w14:paraId="540DC01D" w14:textId="6A33B977" w:rsidR="00FF3482" w:rsidRPr="00677CE8" w:rsidRDefault="00FF3482" w:rsidP="00FF3482">
            <w:pPr>
              <w:pStyle w:val="Heading2"/>
              <w:spacing w:line="240" w:lineRule="auto"/>
              <w:jc w:val="center"/>
              <w:rPr>
                <w:sz w:val="17"/>
                <w:szCs w:val="17"/>
              </w:rPr>
            </w:pPr>
            <w:r w:rsidRPr="00677CE8">
              <w:rPr>
                <w:sz w:val="17"/>
                <w:szCs w:val="17"/>
              </w:rPr>
              <w:t>×</w:t>
            </w:r>
          </w:p>
        </w:tc>
        <w:tc>
          <w:tcPr>
            <w:tcW w:w="360" w:type="dxa"/>
            <w:tcBorders>
              <w:top w:val="single" w:sz="12" w:space="0" w:color="000000" w:themeColor="text1"/>
              <w:left w:val="single" w:sz="2" w:space="0" w:color="auto"/>
              <w:bottom w:val="single" w:sz="12" w:space="0" w:color="000000" w:themeColor="text1"/>
              <w:right w:val="single" w:sz="2" w:space="0" w:color="auto"/>
            </w:tcBorders>
            <w:shd w:val="clear" w:color="auto" w:fill="CAEDFB" w:themeFill="accent4" w:themeFillTint="33"/>
            <w:vAlign w:val="center"/>
          </w:tcPr>
          <w:p w14:paraId="2E8FF1ED" w14:textId="5D5F0244" w:rsidR="00FF3482" w:rsidRPr="00677CE8" w:rsidRDefault="00FF3482" w:rsidP="00FF3482">
            <w:pPr>
              <w:pStyle w:val="Heading2"/>
              <w:spacing w:line="240" w:lineRule="auto"/>
              <w:jc w:val="center"/>
              <w:rPr>
                <w:sz w:val="17"/>
                <w:szCs w:val="17"/>
              </w:rPr>
            </w:pPr>
            <w:r w:rsidRPr="00677CE8">
              <w:rPr>
                <w:sz w:val="17"/>
                <w:szCs w:val="17"/>
              </w:rPr>
              <w:t>×</w:t>
            </w:r>
          </w:p>
        </w:tc>
        <w:tc>
          <w:tcPr>
            <w:tcW w:w="527" w:type="dxa"/>
            <w:tcBorders>
              <w:top w:val="single" w:sz="12" w:space="0" w:color="000000" w:themeColor="text1"/>
              <w:left w:val="single" w:sz="2" w:space="0" w:color="auto"/>
              <w:bottom w:val="single" w:sz="12" w:space="0" w:color="000000" w:themeColor="text1"/>
              <w:right w:val="single" w:sz="2" w:space="0" w:color="auto"/>
            </w:tcBorders>
            <w:shd w:val="clear" w:color="auto" w:fill="CAEDFB" w:themeFill="accent4" w:themeFillTint="33"/>
            <w:vAlign w:val="center"/>
          </w:tcPr>
          <w:p w14:paraId="4AC43EE8" w14:textId="4FFD9AF1" w:rsidR="00FF3482" w:rsidRPr="00677CE8" w:rsidRDefault="00FF3482" w:rsidP="00FF3482">
            <w:pPr>
              <w:pStyle w:val="Heading2"/>
              <w:spacing w:line="240" w:lineRule="auto"/>
              <w:jc w:val="center"/>
              <w:rPr>
                <w:sz w:val="17"/>
                <w:szCs w:val="17"/>
              </w:rPr>
            </w:pPr>
            <w:r w:rsidRPr="00677CE8">
              <w:rPr>
                <w:sz w:val="17"/>
                <w:szCs w:val="17"/>
              </w:rPr>
              <w:t>×</w:t>
            </w:r>
          </w:p>
        </w:tc>
        <w:tc>
          <w:tcPr>
            <w:tcW w:w="559" w:type="dxa"/>
            <w:tcBorders>
              <w:top w:val="single" w:sz="12" w:space="0" w:color="000000" w:themeColor="text1"/>
              <w:left w:val="single" w:sz="2" w:space="0" w:color="auto"/>
              <w:bottom w:val="single" w:sz="12" w:space="0" w:color="000000" w:themeColor="text1"/>
              <w:right w:val="single" w:sz="2" w:space="0" w:color="auto"/>
            </w:tcBorders>
            <w:shd w:val="clear" w:color="auto" w:fill="CAEDFB" w:themeFill="accent4" w:themeFillTint="33"/>
            <w:vAlign w:val="center"/>
          </w:tcPr>
          <w:p w14:paraId="65AE1642" w14:textId="4F2E01AA" w:rsidR="00FF3482" w:rsidRPr="00677CE8" w:rsidRDefault="00FF3482" w:rsidP="00FF3482">
            <w:pPr>
              <w:pStyle w:val="Heading2"/>
              <w:spacing w:line="240" w:lineRule="auto"/>
              <w:jc w:val="center"/>
              <w:rPr>
                <w:sz w:val="17"/>
                <w:szCs w:val="17"/>
              </w:rPr>
            </w:pPr>
            <w:r w:rsidRPr="00677CE8">
              <w:rPr>
                <w:sz w:val="17"/>
                <w:szCs w:val="17"/>
              </w:rPr>
              <w:t>×</w:t>
            </w:r>
          </w:p>
        </w:tc>
        <w:tc>
          <w:tcPr>
            <w:tcW w:w="433" w:type="dxa"/>
            <w:tcBorders>
              <w:top w:val="single" w:sz="12" w:space="0" w:color="000000" w:themeColor="text1"/>
              <w:left w:val="single" w:sz="2" w:space="0" w:color="auto"/>
              <w:bottom w:val="single" w:sz="12" w:space="0" w:color="000000" w:themeColor="text1"/>
              <w:right w:val="single" w:sz="2" w:space="0" w:color="auto"/>
            </w:tcBorders>
            <w:shd w:val="clear" w:color="auto" w:fill="CAEDFB" w:themeFill="accent4" w:themeFillTint="33"/>
            <w:vAlign w:val="center"/>
          </w:tcPr>
          <w:p w14:paraId="6298C2DB" w14:textId="3302C919" w:rsidR="00FF3482" w:rsidRPr="00677CE8" w:rsidRDefault="00FF3482" w:rsidP="00FF3482">
            <w:pPr>
              <w:pStyle w:val="Heading2"/>
              <w:spacing w:line="240" w:lineRule="auto"/>
              <w:jc w:val="center"/>
              <w:rPr>
                <w:sz w:val="17"/>
                <w:szCs w:val="17"/>
              </w:rPr>
            </w:pPr>
            <w:r w:rsidRPr="00677CE8">
              <w:rPr>
                <w:sz w:val="17"/>
                <w:szCs w:val="17"/>
              </w:rPr>
              <w:t>×</w:t>
            </w:r>
          </w:p>
        </w:tc>
        <w:tc>
          <w:tcPr>
            <w:tcW w:w="525" w:type="dxa"/>
            <w:tcBorders>
              <w:top w:val="single" w:sz="12" w:space="0" w:color="000000" w:themeColor="text1"/>
              <w:left w:val="single" w:sz="2" w:space="0" w:color="auto"/>
              <w:bottom w:val="single" w:sz="12" w:space="0" w:color="000000" w:themeColor="text1"/>
              <w:right w:val="single" w:sz="2" w:space="0" w:color="auto"/>
            </w:tcBorders>
            <w:shd w:val="clear" w:color="auto" w:fill="CAEDFB" w:themeFill="accent4" w:themeFillTint="33"/>
            <w:vAlign w:val="center"/>
          </w:tcPr>
          <w:p w14:paraId="0227DC80" w14:textId="263C50BE" w:rsidR="00FF3482" w:rsidRPr="00677CE8" w:rsidRDefault="00FF3482" w:rsidP="00FF3482">
            <w:pPr>
              <w:pStyle w:val="Heading2"/>
              <w:spacing w:line="240" w:lineRule="auto"/>
              <w:jc w:val="center"/>
              <w:rPr>
                <w:sz w:val="17"/>
                <w:szCs w:val="17"/>
              </w:rPr>
            </w:pPr>
            <w:r w:rsidRPr="00677CE8">
              <w:rPr>
                <w:sz w:val="17"/>
                <w:szCs w:val="17"/>
              </w:rPr>
              <w:t>×</w:t>
            </w:r>
          </w:p>
        </w:tc>
        <w:tc>
          <w:tcPr>
            <w:tcW w:w="465" w:type="dxa"/>
            <w:tcBorders>
              <w:top w:val="single" w:sz="12" w:space="0" w:color="000000" w:themeColor="text1"/>
              <w:left w:val="single" w:sz="2" w:space="0" w:color="auto"/>
              <w:bottom w:val="single" w:sz="12" w:space="0" w:color="000000" w:themeColor="text1"/>
              <w:right w:val="single" w:sz="2" w:space="0" w:color="auto"/>
            </w:tcBorders>
            <w:shd w:val="clear" w:color="auto" w:fill="CAEDFB" w:themeFill="accent4" w:themeFillTint="33"/>
            <w:vAlign w:val="center"/>
          </w:tcPr>
          <w:p w14:paraId="1C3A1A1B" w14:textId="778B157A" w:rsidR="00FF3482" w:rsidRPr="00677CE8" w:rsidRDefault="00FF3482" w:rsidP="00FF3482">
            <w:pPr>
              <w:pStyle w:val="Heading2"/>
              <w:spacing w:line="240" w:lineRule="auto"/>
              <w:jc w:val="center"/>
              <w:rPr>
                <w:sz w:val="17"/>
                <w:szCs w:val="17"/>
              </w:rPr>
            </w:pPr>
            <w:r w:rsidRPr="00677CE8">
              <w:rPr>
                <w:sz w:val="17"/>
                <w:szCs w:val="17"/>
              </w:rPr>
              <w:t>×</w:t>
            </w:r>
          </w:p>
        </w:tc>
        <w:tc>
          <w:tcPr>
            <w:tcW w:w="270" w:type="dxa"/>
            <w:tcBorders>
              <w:top w:val="single" w:sz="12" w:space="0" w:color="000000" w:themeColor="text1"/>
              <w:left w:val="single" w:sz="2" w:space="0" w:color="auto"/>
              <w:bottom w:val="single" w:sz="12" w:space="0" w:color="000000" w:themeColor="text1"/>
              <w:right w:val="single" w:sz="2" w:space="0" w:color="auto"/>
            </w:tcBorders>
            <w:shd w:val="clear" w:color="auto" w:fill="CAEDFB" w:themeFill="accent4" w:themeFillTint="33"/>
            <w:vAlign w:val="center"/>
          </w:tcPr>
          <w:p w14:paraId="19784672" w14:textId="54F027F7" w:rsidR="00FF3482" w:rsidRPr="00677CE8" w:rsidRDefault="00FF3482" w:rsidP="00FF3482">
            <w:pPr>
              <w:pStyle w:val="Heading2"/>
              <w:spacing w:line="240" w:lineRule="auto"/>
              <w:jc w:val="center"/>
              <w:rPr>
                <w:sz w:val="17"/>
                <w:szCs w:val="17"/>
              </w:rPr>
            </w:pPr>
            <w:r w:rsidRPr="00677CE8">
              <w:rPr>
                <w:sz w:val="17"/>
                <w:szCs w:val="17"/>
              </w:rPr>
              <w:t>×</w:t>
            </w:r>
          </w:p>
        </w:tc>
        <w:tc>
          <w:tcPr>
            <w:tcW w:w="404" w:type="dxa"/>
            <w:tcBorders>
              <w:top w:val="single" w:sz="12" w:space="0" w:color="000000" w:themeColor="text1"/>
              <w:left w:val="single" w:sz="2" w:space="0" w:color="auto"/>
              <w:bottom w:val="single" w:sz="12" w:space="0" w:color="000000" w:themeColor="text1"/>
              <w:right w:val="single" w:sz="2" w:space="0" w:color="auto"/>
            </w:tcBorders>
            <w:shd w:val="clear" w:color="auto" w:fill="CAEDFB" w:themeFill="accent4" w:themeFillTint="33"/>
            <w:vAlign w:val="center"/>
          </w:tcPr>
          <w:p w14:paraId="5804A270" w14:textId="08900003" w:rsidR="00FF3482" w:rsidRPr="00677CE8" w:rsidRDefault="00FF3482" w:rsidP="00FF3482">
            <w:pPr>
              <w:pStyle w:val="Heading2"/>
              <w:spacing w:line="240" w:lineRule="auto"/>
              <w:jc w:val="center"/>
              <w:rPr>
                <w:sz w:val="17"/>
                <w:szCs w:val="17"/>
              </w:rPr>
            </w:pPr>
            <w:r w:rsidRPr="00677CE8">
              <w:rPr>
                <w:sz w:val="17"/>
                <w:szCs w:val="17"/>
              </w:rPr>
              <w:t>×</w:t>
            </w:r>
          </w:p>
        </w:tc>
        <w:tc>
          <w:tcPr>
            <w:tcW w:w="406" w:type="dxa"/>
            <w:tcBorders>
              <w:top w:val="single" w:sz="12" w:space="0" w:color="000000" w:themeColor="text1"/>
              <w:left w:val="single" w:sz="2" w:space="0" w:color="auto"/>
              <w:bottom w:val="single" w:sz="12" w:space="0" w:color="000000" w:themeColor="text1"/>
              <w:right w:val="single" w:sz="2" w:space="0" w:color="auto"/>
            </w:tcBorders>
            <w:shd w:val="clear" w:color="auto" w:fill="CAEDFB" w:themeFill="accent4" w:themeFillTint="33"/>
            <w:vAlign w:val="center"/>
          </w:tcPr>
          <w:p w14:paraId="44D8758F" w14:textId="09A72459" w:rsidR="00FF3482" w:rsidRPr="00677CE8" w:rsidRDefault="00FF3482" w:rsidP="00FF3482">
            <w:pPr>
              <w:pStyle w:val="Heading2"/>
              <w:spacing w:line="240" w:lineRule="auto"/>
              <w:jc w:val="center"/>
              <w:rPr>
                <w:sz w:val="17"/>
                <w:szCs w:val="17"/>
              </w:rPr>
            </w:pPr>
            <w:r w:rsidRPr="00677CE8">
              <w:rPr>
                <w:sz w:val="17"/>
                <w:szCs w:val="17"/>
              </w:rPr>
              <w:t>×</w:t>
            </w:r>
          </w:p>
        </w:tc>
        <w:tc>
          <w:tcPr>
            <w:tcW w:w="3338" w:type="dxa"/>
            <w:tcBorders>
              <w:top w:val="single" w:sz="12" w:space="0" w:color="000000" w:themeColor="text1"/>
              <w:left w:val="single" w:sz="2" w:space="0" w:color="auto"/>
              <w:bottom w:val="single" w:sz="12" w:space="0" w:color="000000" w:themeColor="text1"/>
              <w:right w:val="single" w:sz="12" w:space="0" w:color="000000" w:themeColor="text1"/>
            </w:tcBorders>
            <w:shd w:val="clear" w:color="auto" w:fill="CAEDFB" w:themeFill="accent4" w:themeFillTint="33"/>
            <w:vAlign w:val="center"/>
          </w:tcPr>
          <w:p w14:paraId="5B569BDC" w14:textId="5AA7956F" w:rsidR="00FF3482" w:rsidRPr="00677CE8" w:rsidRDefault="00FF3482" w:rsidP="00FF3482">
            <w:pPr>
              <w:pStyle w:val="Heading2"/>
              <w:spacing w:line="240" w:lineRule="auto"/>
              <w:rPr>
                <w:b w:val="0"/>
                <w:bCs w:val="0"/>
                <w:sz w:val="17"/>
                <w:szCs w:val="17"/>
              </w:rPr>
            </w:pPr>
            <w:r w:rsidRPr="00677CE8">
              <w:rPr>
                <w:b w:val="0"/>
                <w:bCs w:val="0"/>
                <w:sz w:val="17"/>
                <w:szCs w:val="17"/>
              </w:rPr>
              <w:t>Tech-savviness, UAM noise sensitivity, Positive travel perceptions</w:t>
            </w:r>
          </w:p>
        </w:tc>
      </w:tr>
      <w:tr w:rsidR="00FF3482" w:rsidRPr="00677CE8" w14:paraId="6C1DABCC" w14:textId="77777777" w:rsidTr="00007FF5">
        <w:trPr>
          <w:jc w:val="center"/>
        </w:trPr>
        <w:tc>
          <w:tcPr>
            <w:tcW w:w="14485" w:type="dxa"/>
            <w:gridSpan w:val="19"/>
            <w:tcBorders>
              <w:top w:val="single" w:sz="12" w:space="0" w:color="000000" w:themeColor="text1"/>
              <w:left w:val="single" w:sz="12" w:space="0" w:color="auto"/>
              <w:bottom w:val="single" w:sz="12" w:space="0" w:color="auto"/>
              <w:right w:val="single" w:sz="12" w:space="0" w:color="auto"/>
            </w:tcBorders>
          </w:tcPr>
          <w:p w14:paraId="54F1BC36" w14:textId="7C083C72" w:rsidR="00FF3482" w:rsidRPr="00677CE8" w:rsidRDefault="00FF3482" w:rsidP="00FF3482">
            <w:pPr>
              <w:pStyle w:val="Heading2"/>
              <w:spacing w:line="240" w:lineRule="auto"/>
              <w:rPr>
                <w:b w:val="0"/>
                <w:bCs w:val="0"/>
                <w:sz w:val="17"/>
                <w:szCs w:val="17"/>
              </w:rPr>
            </w:pPr>
            <w:r w:rsidRPr="00677CE8">
              <w:rPr>
                <w:b w:val="0"/>
                <w:bCs w:val="0"/>
                <w:sz w:val="17"/>
                <w:szCs w:val="17"/>
              </w:rPr>
              <w:t xml:space="preserve">*Air Taxi (AT), Air Metro (AM), </w:t>
            </w:r>
            <w:proofErr w:type="spellStart"/>
            <w:r w:rsidRPr="00677CE8">
              <w:rPr>
                <w:b w:val="0"/>
                <w:bCs w:val="0"/>
                <w:sz w:val="17"/>
                <w:szCs w:val="17"/>
              </w:rPr>
              <w:t>Ridehailing</w:t>
            </w:r>
            <w:proofErr w:type="spellEnd"/>
            <w:r w:rsidRPr="00677CE8">
              <w:rPr>
                <w:b w:val="0"/>
                <w:bCs w:val="0"/>
                <w:sz w:val="17"/>
                <w:szCs w:val="17"/>
              </w:rPr>
              <w:t>/Taxi (RH), Public Transportation (PT)</w:t>
            </w:r>
          </w:p>
        </w:tc>
      </w:tr>
    </w:tbl>
    <w:p w14:paraId="43F2E54E" w14:textId="77777777" w:rsidR="00EE7307" w:rsidRPr="00677CE8" w:rsidRDefault="00EE7307" w:rsidP="007B293E">
      <w:pPr>
        <w:spacing w:line="240" w:lineRule="auto"/>
        <w:sectPr w:rsidR="00EE7307" w:rsidRPr="00677CE8" w:rsidSect="00891C71">
          <w:pgSz w:w="15840" w:h="12240" w:orient="landscape"/>
          <w:pgMar w:top="1440" w:right="1440" w:bottom="1440" w:left="1440" w:header="720" w:footer="720" w:gutter="0"/>
          <w:cols w:space="720"/>
          <w:docGrid w:linePitch="360"/>
        </w:sectPr>
      </w:pPr>
    </w:p>
    <w:p w14:paraId="47DD5098" w14:textId="7F69FA33" w:rsidR="00891C71" w:rsidRPr="00677CE8" w:rsidRDefault="00E65D7A" w:rsidP="00E83B07">
      <w:pPr>
        <w:pStyle w:val="Heading2"/>
        <w:spacing w:after="0" w:line="240" w:lineRule="auto"/>
      </w:pPr>
      <w:r w:rsidRPr="00677CE8">
        <w:lastRenderedPageBreak/>
        <w:t>Table 2: Human Urban Air Mobility Experiment Design</w:t>
      </w:r>
    </w:p>
    <w:tbl>
      <w:tblPr>
        <w:tblpPr w:leftFromText="187" w:rightFromText="187" w:vertAnchor="text" w:horzAnchor="margin" w:tblpXSpec="center" w:tblpY="63"/>
        <w:tblW w:w="11405" w:type="dxa"/>
        <w:tblCellMar>
          <w:left w:w="58" w:type="dxa"/>
          <w:right w:w="58" w:type="dxa"/>
        </w:tblCellMar>
        <w:tblLook w:val="04A0" w:firstRow="1" w:lastRow="0" w:firstColumn="1" w:lastColumn="0" w:noHBand="0" w:noVBand="1"/>
      </w:tblPr>
      <w:tblGrid>
        <w:gridCol w:w="1402"/>
        <w:gridCol w:w="1946"/>
        <w:gridCol w:w="870"/>
        <w:gridCol w:w="1076"/>
        <w:gridCol w:w="1946"/>
        <w:gridCol w:w="1525"/>
        <w:gridCol w:w="1526"/>
        <w:gridCol w:w="1439"/>
      </w:tblGrid>
      <w:tr w:rsidR="00E65D7A" w:rsidRPr="00677CE8" w14:paraId="0AAE87B8" w14:textId="77777777" w:rsidTr="00E83B07">
        <w:trPr>
          <w:trHeight w:val="19"/>
        </w:trPr>
        <w:tc>
          <w:tcPr>
            <w:tcW w:w="11405" w:type="dxa"/>
            <w:gridSpan w:val="8"/>
            <w:tcBorders>
              <w:top w:val="single" w:sz="12" w:space="0" w:color="auto"/>
              <w:left w:val="single" w:sz="12" w:space="0" w:color="auto"/>
              <w:bottom w:val="single" w:sz="12" w:space="0" w:color="auto"/>
              <w:right w:val="single" w:sz="12" w:space="0" w:color="auto"/>
            </w:tcBorders>
            <w:shd w:val="clear" w:color="000000" w:fill="FFFFFF"/>
            <w:noWrap/>
            <w:vAlign w:val="bottom"/>
            <w:hideMark/>
          </w:tcPr>
          <w:p w14:paraId="09152163" w14:textId="77777777" w:rsidR="00E65D7A" w:rsidRPr="00677CE8" w:rsidRDefault="00E65D7A" w:rsidP="00E65D7A">
            <w:pPr>
              <w:spacing w:after="0" w:line="240" w:lineRule="auto"/>
              <w:jc w:val="both"/>
              <w:rPr>
                <w:b/>
                <w:bCs/>
                <w:i/>
                <w:iCs/>
                <w:sz w:val="20"/>
                <w:szCs w:val="20"/>
              </w:rPr>
            </w:pPr>
            <w:r w:rsidRPr="00677CE8">
              <w:rPr>
                <w:b/>
                <w:bCs/>
                <w:i/>
                <w:iCs/>
                <w:sz w:val="20"/>
                <w:szCs w:val="20"/>
              </w:rPr>
              <w:t>Service Attributes</w:t>
            </w:r>
          </w:p>
        </w:tc>
      </w:tr>
      <w:tr w:rsidR="00E65D7A" w:rsidRPr="00677CE8" w14:paraId="63488F5E" w14:textId="77777777" w:rsidTr="00E83B07">
        <w:trPr>
          <w:trHeight w:val="19"/>
        </w:trPr>
        <w:tc>
          <w:tcPr>
            <w:tcW w:w="1402" w:type="dxa"/>
            <w:tcBorders>
              <w:top w:val="single" w:sz="12" w:space="0" w:color="auto"/>
              <w:left w:val="single" w:sz="12" w:space="0" w:color="auto"/>
              <w:bottom w:val="single" w:sz="12" w:space="0" w:color="auto"/>
              <w:right w:val="single" w:sz="12" w:space="0" w:color="auto"/>
            </w:tcBorders>
            <w:shd w:val="clear" w:color="000000" w:fill="FFFFFF"/>
            <w:noWrap/>
            <w:vAlign w:val="center"/>
            <w:hideMark/>
          </w:tcPr>
          <w:p w14:paraId="64994C86" w14:textId="77777777" w:rsidR="00E65D7A" w:rsidRPr="00677CE8" w:rsidRDefault="00E65D7A" w:rsidP="00007FF5">
            <w:pPr>
              <w:spacing w:after="0" w:line="240" w:lineRule="auto"/>
              <w:rPr>
                <w:b/>
                <w:bCs/>
                <w:sz w:val="20"/>
                <w:szCs w:val="20"/>
              </w:rPr>
            </w:pPr>
            <w:r w:rsidRPr="00677CE8">
              <w:rPr>
                <w:b/>
                <w:bCs/>
                <w:sz w:val="20"/>
                <w:szCs w:val="20"/>
              </w:rPr>
              <w:t>Attributes</w:t>
            </w:r>
          </w:p>
        </w:tc>
        <w:tc>
          <w:tcPr>
            <w:tcW w:w="2816" w:type="dxa"/>
            <w:gridSpan w:val="2"/>
            <w:tcBorders>
              <w:top w:val="single" w:sz="12" w:space="0" w:color="auto"/>
              <w:left w:val="single" w:sz="12" w:space="0" w:color="auto"/>
              <w:bottom w:val="single" w:sz="12" w:space="0" w:color="auto"/>
            </w:tcBorders>
            <w:shd w:val="clear" w:color="000000" w:fill="FFFFFF"/>
            <w:vAlign w:val="center"/>
            <w:hideMark/>
          </w:tcPr>
          <w:p w14:paraId="681990BC" w14:textId="77777777" w:rsidR="00E65D7A" w:rsidRPr="00677CE8" w:rsidRDefault="00E65D7A" w:rsidP="00E65D7A">
            <w:pPr>
              <w:spacing w:after="0" w:line="240" w:lineRule="auto"/>
              <w:jc w:val="center"/>
              <w:rPr>
                <w:b/>
                <w:bCs/>
                <w:sz w:val="20"/>
                <w:szCs w:val="20"/>
              </w:rPr>
            </w:pPr>
            <w:r w:rsidRPr="00677CE8">
              <w:rPr>
                <w:b/>
                <w:bCs/>
                <w:sz w:val="20"/>
                <w:szCs w:val="20"/>
              </w:rPr>
              <w:t xml:space="preserve">Air Taxi </w:t>
            </w:r>
            <w:r w:rsidRPr="00677CE8">
              <w:rPr>
                <w:b/>
                <w:bCs/>
                <w:sz w:val="20"/>
                <w:szCs w:val="20"/>
              </w:rPr>
              <w:br/>
            </w:r>
            <w:r w:rsidRPr="00677CE8">
              <w:rPr>
                <w:sz w:val="20"/>
                <w:szCs w:val="20"/>
              </w:rPr>
              <w:t>(On-demand vehicles)</w:t>
            </w:r>
          </w:p>
        </w:tc>
        <w:tc>
          <w:tcPr>
            <w:tcW w:w="2697" w:type="dxa"/>
            <w:gridSpan w:val="2"/>
            <w:tcBorders>
              <w:top w:val="single" w:sz="12" w:space="0" w:color="auto"/>
              <w:bottom w:val="single" w:sz="12" w:space="0" w:color="auto"/>
            </w:tcBorders>
            <w:shd w:val="clear" w:color="000000" w:fill="FFFFFF"/>
            <w:vAlign w:val="center"/>
            <w:hideMark/>
          </w:tcPr>
          <w:p w14:paraId="37D27741" w14:textId="77777777" w:rsidR="00E65D7A" w:rsidRPr="00677CE8" w:rsidRDefault="00E65D7A" w:rsidP="00E65D7A">
            <w:pPr>
              <w:spacing w:after="0" w:line="240" w:lineRule="auto"/>
              <w:jc w:val="center"/>
              <w:rPr>
                <w:b/>
                <w:bCs/>
                <w:sz w:val="20"/>
                <w:szCs w:val="20"/>
              </w:rPr>
            </w:pPr>
            <w:r w:rsidRPr="00677CE8">
              <w:rPr>
                <w:b/>
                <w:bCs/>
                <w:sz w:val="20"/>
                <w:szCs w:val="20"/>
              </w:rPr>
              <w:t xml:space="preserve">Air Metro </w:t>
            </w:r>
            <w:r w:rsidRPr="00677CE8">
              <w:rPr>
                <w:b/>
                <w:bCs/>
                <w:sz w:val="20"/>
                <w:szCs w:val="20"/>
              </w:rPr>
              <w:br/>
            </w:r>
            <w:r w:rsidRPr="00677CE8">
              <w:rPr>
                <w:sz w:val="20"/>
                <w:szCs w:val="20"/>
              </w:rPr>
              <w:t>(Shared vehicles, with fixed routes and departure times)</w:t>
            </w:r>
          </w:p>
        </w:tc>
        <w:tc>
          <w:tcPr>
            <w:tcW w:w="1525" w:type="dxa"/>
            <w:tcBorders>
              <w:top w:val="single" w:sz="12" w:space="0" w:color="auto"/>
              <w:bottom w:val="single" w:sz="12" w:space="0" w:color="auto"/>
            </w:tcBorders>
            <w:shd w:val="clear" w:color="000000" w:fill="FFFFFF"/>
            <w:vAlign w:val="center"/>
            <w:hideMark/>
          </w:tcPr>
          <w:p w14:paraId="2035D53A" w14:textId="77777777" w:rsidR="00E65D7A" w:rsidRPr="00677CE8" w:rsidRDefault="00E65D7A" w:rsidP="00E65D7A">
            <w:pPr>
              <w:spacing w:after="0" w:line="240" w:lineRule="auto"/>
              <w:jc w:val="center"/>
              <w:rPr>
                <w:sz w:val="20"/>
                <w:szCs w:val="20"/>
              </w:rPr>
            </w:pPr>
            <w:proofErr w:type="spellStart"/>
            <w:r w:rsidRPr="00677CE8">
              <w:rPr>
                <w:b/>
                <w:bCs/>
                <w:sz w:val="20"/>
                <w:szCs w:val="20"/>
              </w:rPr>
              <w:t>Ridehailing</w:t>
            </w:r>
            <w:proofErr w:type="spellEnd"/>
            <w:r w:rsidRPr="00677CE8">
              <w:rPr>
                <w:sz w:val="20"/>
                <w:szCs w:val="20"/>
              </w:rPr>
              <w:t xml:space="preserve"> </w:t>
            </w:r>
            <w:r w:rsidRPr="00677CE8">
              <w:rPr>
                <w:sz w:val="20"/>
                <w:szCs w:val="20"/>
              </w:rPr>
              <w:br/>
              <w:t>(Ground-based)</w:t>
            </w:r>
          </w:p>
        </w:tc>
        <w:tc>
          <w:tcPr>
            <w:tcW w:w="1526" w:type="dxa"/>
            <w:tcBorders>
              <w:top w:val="single" w:sz="12" w:space="0" w:color="auto"/>
              <w:bottom w:val="single" w:sz="12" w:space="0" w:color="auto"/>
            </w:tcBorders>
            <w:shd w:val="clear" w:color="000000" w:fill="FFFFFF"/>
            <w:vAlign w:val="center"/>
            <w:hideMark/>
          </w:tcPr>
          <w:p w14:paraId="4C41D907" w14:textId="77777777" w:rsidR="00E65D7A" w:rsidRPr="00677CE8" w:rsidRDefault="00E65D7A" w:rsidP="00E65D7A">
            <w:pPr>
              <w:spacing w:after="0" w:line="240" w:lineRule="auto"/>
              <w:jc w:val="center"/>
              <w:rPr>
                <w:b/>
                <w:bCs/>
                <w:sz w:val="20"/>
                <w:szCs w:val="20"/>
              </w:rPr>
            </w:pPr>
            <w:r w:rsidRPr="00677CE8">
              <w:rPr>
                <w:b/>
                <w:bCs/>
                <w:sz w:val="20"/>
                <w:szCs w:val="20"/>
              </w:rPr>
              <w:t>Public Transportation</w:t>
            </w:r>
            <w:r w:rsidRPr="00677CE8">
              <w:rPr>
                <w:b/>
                <w:bCs/>
                <w:sz w:val="20"/>
                <w:szCs w:val="20"/>
              </w:rPr>
              <w:br/>
            </w:r>
            <w:r w:rsidRPr="00677CE8">
              <w:rPr>
                <w:sz w:val="20"/>
                <w:szCs w:val="20"/>
              </w:rPr>
              <w:t>(Ground-based)</w:t>
            </w:r>
          </w:p>
        </w:tc>
        <w:tc>
          <w:tcPr>
            <w:tcW w:w="1435" w:type="dxa"/>
            <w:tcBorders>
              <w:top w:val="single" w:sz="12" w:space="0" w:color="auto"/>
              <w:bottom w:val="single" w:sz="12" w:space="0" w:color="auto"/>
              <w:right w:val="single" w:sz="12" w:space="0" w:color="auto"/>
            </w:tcBorders>
            <w:shd w:val="clear" w:color="000000" w:fill="FFFFFF"/>
            <w:vAlign w:val="center"/>
            <w:hideMark/>
          </w:tcPr>
          <w:p w14:paraId="152FBBE9" w14:textId="77777777" w:rsidR="00E65D7A" w:rsidRPr="00677CE8" w:rsidRDefault="00E65D7A" w:rsidP="00E65D7A">
            <w:pPr>
              <w:spacing w:after="0" w:line="240" w:lineRule="auto"/>
              <w:jc w:val="center"/>
              <w:rPr>
                <w:b/>
                <w:bCs/>
                <w:sz w:val="20"/>
                <w:szCs w:val="20"/>
              </w:rPr>
            </w:pPr>
            <w:r w:rsidRPr="00677CE8">
              <w:rPr>
                <w:b/>
                <w:bCs/>
                <w:sz w:val="20"/>
                <w:szCs w:val="20"/>
              </w:rPr>
              <w:t xml:space="preserve">Private Vehicle </w:t>
            </w:r>
            <w:r w:rsidRPr="00677CE8">
              <w:rPr>
                <w:b/>
                <w:bCs/>
                <w:sz w:val="20"/>
                <w:szCs w:val="20"/>
              </w:rPr>
              <w:br/>
            </w:r>
            <w:r w:rsidRPr="00677CE8">
              <w:rPr>
                <w:sz w:val="20"/>
                <w:szCs w:val="20"/>
              </w:rPr>
              <w:t>(Ground-based)</w:t>
            </w:r>
          </w:p>
        </w:tc>
      </w:tr>
      <w:tr w:rsidR="00E65D7A" w:rsidRPr="00677CE8" w14:paraId="3B676D03" w14:textId="77777777" w:rsidTr="00E83B07">
        <w:trPr>
          <w:trHeight w:val="19"/>
        </w:trPr>
        <w:tc>
          <w:tcPr>
            <w:tcW w:w="1402" w:type="dxa"/>
            <w:vMerge w:val="restart"/>
            <w:tcBorders>
              <w:top w:val="single" w:sz="12" w:space="0" w:color="auto"/>
              <w:left w:val="single" w:sz="12" w:space="0" w:color="auto"/>
              <w:bottom w:val="single" w:sz="12" w:space="0" w:color="auto"/>
              <w:right w:val="single" w:sz="12" w:space="0" w:color="auto"/>
            </w:tcBorders>
            <w:shd w:val="clear" w:color="000000" w:fill="FFFFFF"/>
            <w:vAlign w:val="center"/>
            <w:hideMark/>
          </w:tcPr>
          <w:p w14:paraId="71B0EC0D" w14:textId="77777777" w:rsidR="00E65D7A" w:rsidRPr="00677CE8" w:rsidRDefault="00E65D7A" w:rsidP="00007FF5">
            <w:pPr>
              <w:spacing w:after="0" w:line="240" w:lineRule="auto"/>
              <w:rPr>
                <w:b/>
                <w:bCs/>
                <w:sz w:val="20"/>
                <w:szCs w:val="20"/>
              </w:rPr>
            </w:pPr>
            <w:r w:rsidRPr="00677CE8">
              <w:rPr>
                <w:b/>
                <w:bCs/>
                <w:sz w:val="20"/>
                <w:szCs w:val="20"/>
              </w:rPr>
              <w:t>Speed*</w:t>
            </w:r>
          </w:p>
        </w:tc>
        <w:tc>
          <w:tcPr>
            <w:tcW w:w="2816" w:type="dxa"/>
            <w:gridSpan w:val="2"/>
            <w:tcBorders>
              <w:top w:val="single" w:sz="12" w:space="0" w:color="auto"/>
              <w:left w:val="single" w:sz="12" w:space="0" w:color="auto"/>
              <w:bottom w:val="nil"/>
            </w:tcBorders>
            <w:shd w:val="clear" w:color="000000" w:fill="FFFFFF"/>
            <w:noWrap/>
            <w:vAlign w:val="center"/>
            <w:hideMark/>
          </w:tcPr>
          <w:p w14:paraId="2B5CA5EF" w14:textId="77777777" w:rsidR="00E65D7A" w:rsidRPr="00677CE8" w:rsidRDefault="00E65D7A" w:rsidP="00E65D7A">
            <w:pPr>
              <w:spacing w:after="0" w:line="240" w:lineRule="auto"/>
              <w:jc w:val="center"/>
              <w:rPr>
                <w:sz w:val="20"/>
                <w:szCs w:val="20"/>
              </w:rPr>
            </w:pPr>
            <w:r w:rsidRPr="00677CE8">
              <w:rPr>
                <w:sz w:val="20"/>
                <w:szCs w:val="20"/>
              </w:rPr>
              <w:t>80 mph</w:t>
            </w:r>
          </w:p>
        </w:tc>
        <w:tc>
          <w:tcPr>
            <w:tcW w:w="2697" w:type="dxa"/>
            <w:gridSpan w:val="2"/>
            <w:tcBorders>
              <w:top w:val="single" w:sz="12" w:space="0" w:color="auto"/>
              <w:bottom w:val="nil"/>
            </w:tcBorders>
            <w:shd w:val="clear" w:color="000000" w:fill="FFFFFF"/>
            <w:noWrap/>
            <w:vAlign w:val="center"/>
            <w:hideMark/>
          </w:tcPr>
          <w:p w14:paraId="1C569B5E" w14:textId="77777777" w:rsidR="00E65D7A" w:rsidRPr="00677CE8" w:rsidRDefault="00E65D7A" w:rsidP="00E65D7A">
            <w:pPr>
              <w:spacing w:after="0" w:line="240" w:lineRule="auto"/>
              <w:jc w:val="center"/>
              <w:rPr>
                <w:sz w:val="20"/>
                <w:szCs w:val="20"/>
              </w:rPr>
            </w:pPr>
            <w:r w:rsidRPr="00677CE8">
              <w:rPr>
                <w:sz w:val="20"/>
                <w:szCs w:val="20"/>
              </w:rPr>
              <w:t>50 mph</w:t>
            </w:r>
          </w:p>
        </w:tc>
        <w:tc>
          <w:tcPr>
            <w:tcW w:w="1525" w:type="dxa"/>
            <w:tcBorders>
              <w:top w:val="single" w:sz="12" w:space="0" w:color="auto"/>
              <w:bottom w:val="nil"/>
            </w:tcBorders>
            <w:shd w:val="clear" w:color="000000" w:fill="FFFFFF"/>
            <w:noWrap/>
            <w:vAlign w:val="center"/>
            <w:hideMark/>
          </w:tcPr>
          <w:p w14:paraId="41931AF2" w14:textId="77777777" w:rsidR="00E65D7A" w:rsidRPr="00677CE8" w:rsidRDefault="00E65D7A" w:rsidP="00E65D7A">
            <w:pPr>
              <w:spacing w:after="0" w:line="240" w:lineRule="auto"/>
              <w:jc w:val="center"/>
              <w:rPr>
                <w:sz w:val="20"/>
                <w:szCs w:val="20"/>
              </w:rPr>
            </w:pPr>
            <w:r w:rsidRPr="00677CE8">
              <w:rPr>
                <w:sz w:val="20"/>
                <w:szCs w:val="20"/>
              </w:rPr>
              <w:t>20 mph</w:t>
            </w:r>
          </w:p>
        </w:tc>
        <w:tc>
          <w:tcPr>
            <w:tcW w:w="1526" w:type="dxa"/>
            <w:tcBorders>
              <w:top w:val="single" w:sz="12" w:space="0" w:color="auto"/>
              <w:bottom w:val="nil"/>
            </w:tcBorders>
            <w:shd w:val="clear" w:color="000000" w:fill="FFFFFF"/>
            <w:noWrap/>
            <w:vAlign w:val="center"/>
            <w:hideMark/>
          </w:tcPr>
          <w:p w14:paraId="437D9FCA" w14:textId="77777777" w:rsidR="00E65D7A" w:rsidRPr="00677CE8" w:rsidRDefault="00E65D7A" w:rsidP="00E65D7A">
            <w:pPr>
              <w:spacing w:after="0" w:line="240" w:lineRule="auto"/>
              <w:jc w:val="center"/>
              <w:rPr>
                <w:sz w:val="20"/>
                <w:szCs w:val="20"/>
              </w:rPr>
            </w:pPr>
            <w:r w:rsidRPr="00677CE8">
              <w:rPr>
                <w:sz w:val="20"/>
                <w:szCs w:val="20"/>
              </w:rPr>
              <w:t>15 mph</w:t>
            </w:r>
          </w:p>
        </w:tc>
        <w:tc>
          <w:tcPr>
            <w:tcW w:w="1435" w:type="dxa"/>
            <w:tcBorders>
              <w:top w:val="single" w:sz="12" w:space="0" w:color="auto"/>
              <w:bottom w:val="nil"/>
              <w:right w:val="single" w:sz="12" w:space="0" w:color="auto"/>
            </w:tcBorders>
            <w:shd w:val="clear" w:color="000000" w:fill="FFFFFF"/>
            <w:noWrap/>
            <w:vAlign w:val="center"/>
            <w:hideMark/>
          </w:tcPr>
          <w:p w14:paraId="4567D51C" w14:textId="77777777" w:rsidR="00E65D7A" w:rsidRPr="00677CE8" w:rsidRDefault="00E65D7A" w:rsidP="00E65D7A">
            <w:pPr>
              <w:spacing w:after="0" w:line="240" w:lineRule="auto"/>
              <w:jc w:val="center"/>
              <w:rPr>
                <w:sz w:val="20"/>
                <w:szCs w:val="20"/>
              </w:rPr>
            </w:pPr>
            <w:r w:rsidRPr="00677CE8">
              <w:rPr>
                <w:sz w:val="20"/>
                <w:szCs w:val="20"/>
              </w:rPr>
              <w:t>20 mph</w:t>
            </w:r>
          </w:p>
        </w:tc>
      </w:tr>
      <w:tr w:rsidR="00E65D7A" w:rsidRPr="00677CE8" w14:paraId="20900BA7" w14:textId="77777777" w:rsidTr="00E83B07">
        <w:trPr>
          <w:trHeight w:val="19"/>
        </w:trPr>
        <w:tc>
          <w:tcPr>
            <w:tcW w:w="1402" w:type="dxa"/>
            <w:vMerge/>
            <w:tcBorders>
              <w:top w:val="nil"/>
              <w:left w:val="single" w:sz="12" w:space="0" w:color="auto"/>
              <w:bottom w:val="single" w:sz="12" w:space="0" w:color="auto"/>
              <w:right w:val="single" w:sz="12" w:space="0" w:color="auto"/>
            </w:tcBorders>
            <w:vAlign w:val="center"/>
            <w:hideMark/>
          </w:tcPr>
          <w:p w14:paraId="09CDDDC4" w14:textId="77777777" w:rsidR="00E65D7A" w:rsidRPr="00677CE8" w:rsidRDefault="00E65D7A" w:rsidP="00007FF5">
            <w:pPr>
              <w:spacing w:after="0" w:line="240" w:lineRule="auto"/>
              <w:rPr>
                <w:b/>
                <w:bCs/>
                <w:sz w:val="20"/>
                <w:szCs w:val="20"/>
              </w:rPr>
            </w:pPr>
          </w:p>
        </w:tc>
        <w:tc>
          <w:tcPr>
            <w:tcW w:w="2816" w:type="dxa"/>
            <w:gridSpan w:val="2"/>
            <w:tcBorders>
              <w:top w:val="nil"/>
              <w:left w:val="single" w:sz="12" w:space="0" w:color="auto"/>
              <w:bottom w:val="nil"/>
            </w:tcBorders>
            <w:shd w:val="clear" w:color="000000" w:fill="FFFFFF"/>
            <w:noWrap/>
            <w:vAlign w:val="center"/>
            <w:hideMark/>
          </w:tcPr>
          <w:p w14:paraId="39C15B3B" w14:textId="77777777" w:rsidR="00E65D7A" w:rsidRPr="00677CE8" w:rsidRDefault="00E65D7A" w:rsidP="00E65D7A">
            <w:pPr>
              <w:spacing w:after="0" w:line="240" w:lineRule="auto"/>
              <w:jc w:val="center"/>
              <w:rPr>
                <w:sz w:val="20"/>
                <w:szCs w:val="20"/>
              </w:rPr>
            </w:pPr>
            <w:r w:rsidRPr="00677CE8">
              <w:rPr>
                <w:sz w:val="20"/>
                <w:szCs w:val="20"/>
              </w:rPr>
              <w:t>120 mph</w:t>
            </w:r>
          </w:p>
        </w:tc>
        <w:tc>
          <w:tcPr>
            <w:tcW w:w="2697" w:type="dxa"/>
            <w:gridSpan w:val="2"/>
            <w:tcBorders>
              <w:top w:val="nil"/>
              <w:bottom w:val="nil"/>
            </w:tcBorders>
            <w:shd w:val="clear" w:color="000000" w:fill="FFFFFF"/>
            <w:noWrap/>
            <w:vAlign w:val="center"/>
            <w:hideMark/>
          </w:tcPr>
          <w:p w14:paraId="49D5B4A9" w14:textId="77777777" w:rsidR="00E65D7A" w:rsidRPr="00677CE8" w:rsidRDefault="00E65D7A" w:rsidP="00E65D7A">
            <w:pPr>
              <w:spacing w:after="0" w:line="240" w:lineRule="auto"/>
              <w:jc w:val="center"/>
              <w:rPr>
                <w:sz w:val="20"/>
                <w:szCs w:val="20"/>
              </w:rPr>
            </w:pPr>
            <w:r w:rsidRPr="00677CE8">
              <w:rPr>
                <w:sz w:val="20"/>
                <w:szCs w:val="20"/>
              </w:rPr>
              <w:t>100 mph</w:t>
            </w:r>
          </w:p>
        </w:tc>
        <w:tc>
          <w:tcPr>
            <w:tcW w:w="1525" w:type="dxa"/>
            <w:tcBorders>
              <w:top w:val="nil"/>
              <w:bottom w:val="nil"/>
            </w:tcBorders>
            <w:shd w:val="clear" w:color="000000" w:fill="FFFFFF"/>
            <w:noWrap/>
            <w:vAlign w:val="center"/>
            <w:hideMark/>
          </w:tcPr>
          <w:p w14:paraId="26808326" w14:textId="77777777" w:rsidR="00E65D7A" w:rsidRPr="00677CE8" w:rsidRDefault="00E65D7A" w:rsidP="00E65D7A">
            <w:pPr>
              <w:spacing w:after="0" w:line="240" w:lineRule="auto"/>
              <w:jc w:val="center"/>
              <w:rPr>
                <w:sz w:val="20"/>
                <w:szCs w:val="20"/>
              </w:rPr>
            </w:pPr>
            <w:r w:rsidRPr="00677CE8">
              <w:rPr>
                <w:sz w:val="20"/>
                <w:szCs w:val="20"/>
              </w:rPr>
              <w:t>30 mph</w:t>
            </w:r>
          </w:p>
        </w:tc>
        <w:tc>
          <w:tcPr>
            <w:tcW w:w="1526" w:type="dxa"/>
            <w:tcBorders>
              <w:top w:val="nil"/>
              <w:bottom w:val="nil"/>
            </w:tcBorders>
            <w:shd w:val="clear" w:color="000000" w:fill="FFFFFF"/>
            <w:noWrap/>
            <w:vAlign w:val="center"/>
            <w:hideMark/>
          </w:tcPr>
          <w:p w14:paraId="2B3414C9" w14:textId="77777777" w:rsidR="00E65D7A" w:rsidRPr="00677CE8" w:rsidRDefault="00E65D7A" w:rsidP="00E65D7A">
            <w:pPr>
              <w:spacing w:after="0" w:line="240" w:lineRule="auto"/>
              <w:jc w:val="center"/>
              <w:rPr>
                <w:sz w:val="20"/>
                <w:szCs w:val="20"/>
              </w:rPr>
            </w:pPr>
            <w:r w:rsidRPr="00677CE8">
              <w:rPr>
                <w:sz w:val="20"/>
                <w:szCs w:val="20"/>
              </w:rPr>
              <w:t>20 mph</w:t>
            </w:r>
          </w:p>
        </w:tc>
        <w:tc>
          <w:tcPr>
            <w:tcW w:w="1435" w:type="dxa"/>
            <w:tcBorders>
              <w:top w:val="nil"/>
              <w:bottom w:val="nil"/>
              <w:right w:val="single" w:sz="12" w:space="0" w:color="auto"/>
            </w:tcBorders>
            <w:shd w:val="clear" w:color="000000" w:fill="FFFFFF"/>
            <w:noWrap/>
            <w:vAlign w:val="center"/>
            <w:hideMark/>
          </w:tcPr>
          <w:p w14:paraId="080E1D8B" w14:textId="77777777" w:rsidR="00E65D7A" w:rsidRPr="00677CE8" w:rsidRDefault="00E65D7A" w:rsidP="00E65D7A">
            <w:pPr>
              <w:spacing w:after="0" w:line="240" w:lineRule="auto"/>
              <w:jc w:val="center"/>
              <w:rPr>
                <w:sz w:val="20"/>
                <w:szCs w:val="20"/>
              </w:rPr>
            </w:pPr>
            <w:r w:rsidRPr="00677CE8">
              <w:rPr>
                <w:sz w:val="20"/>
                <w:szCs w:val="20"/>
              </w:rPr>
              <w:t>30 mph</w:t>
            </w:r>
          </w:p>
        </w:tc>
      </w:tr>
      <w:tr w:rsidR="00E65D7A" w:rsidRPr="00677CE8" w14:paraId="07257372" w14:textId="77777777" w:rsidTr="00E83B07">
        <w:trPr>
          <w:trHeight w:val="19"/>
        </w:trPr>
        <w:tc>
          <w:tcPr>
            <w:tcW w:w="1402" w:type="dxa"/>
            <w:vMerge/>
            <w:tcBorders>
              <w:top w:val="nil"/>
              <w:left w:val="single" w:sz="12" w:space="0" w:color="auto"/>
              <w:bottom w:val="single" w:sz="12" w:space="0" w:color="auto"/>
              <w:right w:val="single" w:sz="12" w:space="0" w:color="auto"/>
            </w:tcBorders>
            <w:vAlign w:val="center"/>
            <w:hideMark/>
          </w:tcPr>
          <w:p w14:paraId="511BDB4F" w14:textId="77777777" w:rsidR="00E65D7A" w:rsidRPr="00677CE8" w:rsidRDefault="00E65D7A" w:rsidP="00007FF5">
            <w:pPr>
              <w:spacing w:after="0" w:line="240" w:lineRule="auto"/>
              <w:rPr>
                <w:b/>
                <w:bCs/>
                <w:sz w:val="20"/>
                <w:szCs w:val="20"/>
              </w:rPr>
            </w:pPr>
          </w:p>
        </w:tc>
        <w:tc>
          <w:tcPr>
            <w:tcW w:w="2816" w:type="dxa"/>
            <w:gridSpan w:val="2"/>
            <w:tcBorders>
              <w:top w:val="nil"/>
              <w:left w:val="single" w:sz="12" w:space="0" w:color="auto"/>
              <w:bottom w:val="single" w:sz="12" w:space="0" w:color="auto"/>
            </w:tcBorders>
            <w:shd w:val="clear" w:color="000000" w:fill="FFFFFF"/>
            <w:noWrap/>
            <w:vAlign w:val="center"/>
            <w:hideMark/>
          </w:tcPr>
          <w:p w14:paraId="34B95724" w14:textId="77777777" w:rsidR="00E65D7A" w:rsidRPr="00677CE8" w:rsidRDefault="00E65D7A" w:rsidP="00E65D7A">
            <w:pPr>
              <w:spacing w:after="0" w:line="240" w:lineRule="auto"/>
              <w:jc w:val="center"/>
              <w:rPr>
                <w:sz w:val="20"/>
                <w:szCs w:val="20"/>
              </w:rPr>
            </w:pPr>
            <w:r w:rsidRPr="00677CE8">
              <w:rPr>
                <w:sz w:val="20"/>
                <w:szCs w:val="20"/>
              </w:rPr>
              <w:t>180 mph</w:t>
            </w:r>
          </w:p>
        </w:tc>
        <w:tc>
          <w:tcPr>
            <w:tcW w:w="2697" w:type="dxa"/>
            <w:gridSpan w:val="2"/>
            <w:tcBorders>
              <w:top w:val="nil"/>
              <w:bottom w:val="single" w:sz="12" w:space="0" w:color="auto"/>
            </w:tcBorders>
            <w:shd w:val="clear" w:color="000000" w:fill="FFFFFF"/>
            <w:noWrap/>
            <w:vAlign w:val="center"/>
            <w:hideMark/>
          </w:tcPr>
          <w:p w14:paraId="4550DA11" w14:textId="77777777" w:rsidR="00E65D7A" w:rsidRPr="00677CE8" w:rsidRDefault="00E65D7A" w:rsidP="00E65D7A">
            <w:pPr>
              <w:spacing w:after="0" w:line="240" w:lineRule="auto"/>
              <w:jc w:val="center"/>
              <w:rPr>
                <w:sz w:val="20"/>
                <w:szCs w:val="20"/>
              </w:rPr>
            </w:pPr>
            <w:r w:rsidRPr="00677CE8">
              <w:rPr>
                <w:sz w:val="20"/>
                <w:szCs w:val="20"/>
              </w:rPr>
              <w:t>120 mph</w:t>
            </w:r>
          </w:p>
        </w:tc>
        <w:tc>
          <w:tcPr>
            <w:tcW w:w="1525" w:type="dxa"/>
            <w:tcBorders>
              <w:top w:val="nil"/>
              <w:bottom w:val="single" w:sz="12" w:space="0" w:color="auto"/>
            </w:tcBorders>
            <w:shd w:val="clear" w:color="000000" w:fill="FFFFFF"/>
            <w:noWrap/>
            <w:vAlign w:val="center"/>
            <w:hideMark/>
          </w:tcPr>
          <w:p w14:paraId="49CA9DC9" w14:textId="77777777" w:rsidR="00E65D7A" w:rsidRPr="00677CE8" w:rsidRDefault="00E65D7A" w:rsidP="00E65D7A">
            <w:pPr>
              <w:spacing w:after="0" w:line="240" w:lineRule="auto"/>
              <w:jc w:val="center"/>
              <w:rPr>
                <w:sz w:val="20"/>
                <w:szCs w:val="20"/>
              </w:rPr>
            </w:pPr>
            <w:r w:rsidRPr="00677CE8">
              <w:rPr>
                <w:sz w:val="20"/>
                <w:szCs w:val="20"/>
              </w:rPr>
              <w:t>40 mph</w:t>
            </w:r>
          </w:p>
        </w:tc>
        <w:tc>
          <w:tcPr>
            <w:tcW w:w="1526" w:type="dxa"/>
            <w:tcBorders>
              <w:top w:val="nil"/>
              <w:bottom w:val="single" w:sz="12" w:space="0" w:color="auto"/>
            </w:tcBorders>
            <w:shd w:val="clear" w:color="000000" w:fill="FFFFFF"/>
            <w:noWrap/>
            <w:vAlign w:val="center"/>
            <w:hideMark/>
          </w:tcPr>
          <w:p w14:paraId="7D13F92A" w14:textId="77777777" w:rsidR="00E65D7A" w:rsidRPr="00677CE8" w:rsidRDefault="00E65D7A" w:rsidP="00E65D7A">
            <w:pPr>
              <w:spacing w:after="0" w:line="240" w:lineRule="auto"/>
              <w:jc w:val="center"/>
              <w:rPr>
                <w:sz w:val="20"/>
                <w:szCs w:val="20"/>
              </w:rPr>
            </w:pPr>
            <w:r w:rsidRPr="00677CE8">
              <w:rPr>
                <w:sz w:val="20"/>
                <w:szCs w:val="20"/>
              </w:rPr>
              <w:t>30 mph</w:t>
            </w:r>
          </w:p>
        </w:tc>
        <w:tc>
          <w:tcPr>
            <w:tcW w:w="1435" w:type="dxa"/>
            <w:tcBorders>
              <w:top w:val="nil"/>
              <w:bottom w:val="single" w:sz="12" w:space="0" w:color="auto"/>
              <w:right w:val="single" w:sz="12" w:space="0" w:color="auto"/>
            </w:tcBorders>
            <w:shd w:val="clear" w:color="000000" w:fill="FFFFFF"/>
            <w:noWrap/>
            <w:vAlign w:val="center"/>
            <w:hideMark/>
          </w:tcPr>
          <w:p w14:paraId="024AB59A" w14:textId="77777777" w:rsidR="00E65D7A" w:rsidRPr="00677CE8" w:rsidRDefault="00E65D7A" w:rsidP="00E65D7A">
            <w:pPr>
              <w:spacing w:after="0" w:line="240" w:lineRule="auto"/>
              <w:jc w:val="center"/>
              <w:rPr>
                <w:sz w:val="20"/>
                <w:szCs w:val="20"/>
              </w:rPr>
            </w:pPr>
            <w:r w:rsidRPr="00677CE8">
              <w:rPr>
                <w:sz w:val="20"/>
                <w:szCs w:val="20"/>
              </w:rPr>
              <w:t>40 mph</w:t>
            </w:r>
          </w:p>
        </w:tc>
      </w:tr>
      <w:tr w:rsidR="00E65D7A" w:rsidRPr="00677CE8" w14:paraId="785E0339" w14:textId="77777777" w:rsidTr="00E83B07">
        <w:trPr>
          <w:trHeight w:val="19"/>
        </w:trPr>
        <w:tc>
          <w:tcPr>
            <w:tcW w:w="1402" w:type="dxa"/>
            <w:vMerge w:val="restart"/>
            <w:tcBorders>
              <w:top w:val="single" w:sz="12" w:space="0" w:color="auto"/>
              <w:left w:val="single" w:sz="12" w:space="0" w:color="auto"/>
              <w:bottom w:val="single" w:sz="12" w:space="0" w:color="auto"/>
              <w:right w:val="single" w:sz="12" w:space="0" w:color="auto"/>
            </w:tcBorders>
            <w:shd w:val="clear" w:color="000000" w:fill="FFFFFF"/>
            <w:noWrap/>
            <w:vAlign w:val="center"/>
            <w:hideMark/>
          </w:tcPr>
          <w:p w14:paraId="42CA8D1F" w14:textId="77777777" w:rsidR="00E65D7A" w:rsidRPr="00677CE8" w:rsidRDefault="00E65D7A" w:rsidP="00007FF5">
            <w:pPr>
              <w:spacing w:after="0" w:line="240" w:lineRule="auto"/>
              <w:rPr>
                <w:b/>
                <w:bCs/>
                <w:sz w:val="20"/>
                <w:szCs w:val="20"/>
              </w:rPr>
            </w:pPr>
            <w:r w:rsidRPr="00677CE8">
              <w:rPr>
                <w:b/>
                <w:bCs/>
                <w:sz w:val="20"/>
                <w:szCs w:val="20"/>
              </w:rPr>
              <w:t>Waiting Time</w:t>
            </w:r>
          </w:p>
        </w:tc>
        <w:tc>
          <w:tcPr>
            <w:tcW w:w="2816" w:type="dxa"/>
            <w:gridSpan w:val="2"/>
            <w:tcBorders>
              <w:top w:val="single" w:sz="12" w:space="0" w:color="auto"/>
              <w:left w:val="single" w:sz="12" w:space="0" w:color="auto"/>
            </w:tcBorders>
            <w:shd w:val="clear" w:color="000000" w:fill="FFFFFF"/>
            <w:noWrap/>
            <w:vAlign w:val="center"/>
            <w:hideMark/>
          </w:tcPr>
          <w:p w14:paraId="6F94AB47" w14:textId="77777777" w:rsidR="00E65D7A" w:rsidRPr="00677CE8" w:rsidRDefault="00E65D7A" w:rsidP="00E65D7A">
            <w:pPr>
              <w:spacing w:after="0" w:line="240" w:lineRule="auto"/>
              <w:jc w:val="center"/>
              <w:rPr>
                <w:sz w:val="20"/>
                <w:szCs w:val="20"/>
              </w:rPr>
            </w:pPr>
            <w:r w:rsidRPr="00677CE8">
              <w:rPr>
                <w:sz w:val="20"/>
                <w:szCs w:val="20"/>
              </w:rPr>
              <w:t>5 min</w:t>
            </w:r>
          </w:p>
        </w:tc>
        <w:tc>
          <w:tcPr>
            <w:tcW w:w="2697" w:type="dxa"/>
            <w:gridSpan w:val="2"/>
            <w:tcBorders>
              <w:top w:val="single" w:sz="12" w:space="0" w:color="auto"/>
            </w:tcBorders>
            <w:shd w:val="clear" w:color="000000" w:fill="FFFFFF"/>
            <w:noWrap/>
            <w:vAlign w:val="center"/>
            <w:hideMark/>
          </w:tcPr>
          <w:p w14:paraId="357BA939" w14:textId="77777777" w:rsidR="00E65D7A" w:rsidRPr="00677CE8" w:rsidRDefault="00E65D7A" w:rsidP="00E65D7A">
            <w:pPr>
              <w:spacing w:after="0" w:line="240" w:lineRule="auto"/>
              <w:jc w:val="center"/>
              <w:rPr>
                <w:sz w:val="20"/>
                <w:szCs w:val="20"/>
              </w:rPr>
            </w:pPr>
            <w:r w:rsidRPr="00677CE8">
              <w:rPr>
                <w:sz w:val="20"/>
                <w:szCs w:val="20"/>
              </w:rPr>
              <w:t>10 min</w:t>
            </w:r>
          </w:p>
        </w:tc>
        <w:tc>
          <w:tcPr>
            <w:tcW w:w="1525" w:type="dxa"/>
            <w:tcBorders>
              <w:top w:val="single" w:sz="12" w:space="0" w:color="auto"/>
            </w:tcBorders>
            <w:shd w:val="clear" w:color="000000" w:fill="FFFFFF"/>
            <w:noWrap/>
            <w:vAlign w:val="center"/>
            <w:hideMark/>
          </w:tcPr>
          <w:p w14:paraId="6417AEDF" w14:textId="77777777" w:rsidR="00E65D7A" w:rsidRPr="00677CE8" w:rsidRDefault="00E65D7A" w:rsidP="00E65D7A">
            <w:pPr>
              <w:spacing w:after="0" w:line="240" w:lineRule="auto"/>
              <w:jc w:val="center"/>
              <w:rPr>
                <w:sz w:val="20"/>
                <w:szCs w:val="20"/>
              </w:rPr>
            </w:pPr>
            <w:r w:rsidRPr="00677CE8">
              <w:rPr>
                <w:sz w:val="20"/>
                <w:szCs w:val="20"/>
              </w:rPr>
              <w:t>5 min</w:t>
            </w:r>
          </w:p>
        </w:tc>
        <w:tc>
          <w:tcPr>
            <w:tcW w:w="1526" w:type="dxa"/>
            <w:tcBorders>
              <w:top w:val="single" w:sz="12" w:space="0" w:color="auto"/>
            </w:tcBorders>
            <w:shd w:val="clear" w:color="000000" w:fill="FFFFFF"/>
            <w:noWrap/>
            <w:vAlign w:val="center"/>
            <w:hideMark/>
          </w:tcPr>
          <w:p w14:paraId="7B9C7F91" w14:textId="77777777" w:rsidR="00E65D7A" w:rsidRPr="00677CE8" w:rsidRDefault="00E65D7A" w:rsidP="00E65D7A">
            <w:pPr>
              <w:spacing w:after="0" w:line="240" w:lineRule="auto"/>
              <w:jc w:val="center"/>
              <w:rPr>
                <w:sz w:val="20"/>
                <w:szCs w:val="20"/>
              </w:rPr>
            </w:pPr>
            <w:r w:rsidRPr="00677CE8">
              <w:rPr>
                <w:sz w:val="20"/>
                <w:szCs w:val="20"/>
              </w:rPr>
              <w:t>10 min</w:t>
            </w:r>
          </w:p>
        </w:tc>
        <w:tc>
          <w:tcPr>
            <w:tcW w:w="1435" w:type="dxa"/>
            <w:vMerge w:val="restart"/>
            <w:tcBorders>
              <w:top w:val="single" w:sz="12" w:space="0" w:color="auto"/>
              <w:right w:val="single" w:sz="12" w:space="0" w:color="auto"/>
            </w:tcBorders>
            <w:shd w:val="clear" w:color="000000" w:fill="FFFFFF"/>
            <w:noWrap/>
            <w:hideMark/>
          </w:tcPr>
          <w:p w14:paraId="3DD6E6B8" w14:textId="77777777" w:rsidR="00E65D7A" w:rsidRPr="00677CE8" w:rsidRDefault="00E65D7A" w:rsidP="00E65D7A">
            <w:pPr>
              <w:spacing w:after="0" w:line="240" w:lineRule="auto"/>
              <w:jc w:val="center"/>
              <w:rPr>
                <w:sz w:val="20"/>
                <w:szCs w:val="20"/>
              </w:rPr>
            </w:pPr>
            <w:r w:rsidRPr="00677CE8">
              <w:rPr>
                <w:sz w:val="20"/>
                <w:szCs w:val="20"/>
              </w:rPr>
              <w:t>0 min</w:t>
            </w:r>
          </w:p>
        </w:tc>
      </w:tr>
      <w:tr w:rsidR="00E65D7A" w:rsidRPr="00677CE8" w14:paraId="057CC000" w14:textId="77777777" w:rsidTr="00E83B07">
        <w:trPr>
          <w:trHeight w:val="19"/>
        </w:trPr>
        <w:tc>
          <w:tcPr>
            <w:tcW w:w="1402" w:type="dxa"/>
            <w:vMerge/>
            <w:tcBorders>
              <w:top w:val="nil"/>
              <w:left w:val="single" w:sz="12" w:space="0" w:color="auto"/>
              <w:bottom w:val="single" w:sz="12" w:space="0" w:color="auto"/>
              <w:right w:val="single" w:sz="12" w:space="0" w:color="auto"/>
            </w:tcBorders>
            <w:vAlign w:val="center"/>
            <w:hideMark/>
          </w:tcPr>
          <w:p w14:paraId="49AE8E81" w14:textId="77777777" w:rsidR="00E65D7A" w:rsidRPr="00677CE8" w:rsidRDefault="00E65D7A" w:rsidP="00007FF5">
            <w:pPr>
              <w:spacing w:after="0" w:line="240" w:lineRule="auto"/>
              <w:rPr>
                <w:b/>
                <w:bCs/>
                <w:sz w:val="20"/>
                <w:szCs w:val="20"/>
              </w:rPr>
            </w:pPr>
          </w:p>
        </w:tc>
        <w:tc>
          <w:tcPr>
            <w:tcW w:w="2816" w:type="dxa"/>
            <w:gridSpan w:val="2"/>
            <w:tcBorders>
              <w:top w:val="nil"/>
              <w:left w:val="single" w:sz="12" w:space="0" w:color="auto"/>
            </w:tcBorders>
            <w:shd w:val="clear" w:color="000000" w:fill="FFFFFF"/>
            <w:noWrap/>
            <w:vAlign w:val="center"/>
            <w:hideMark/>
          </w:tcPr>
          <w:p w14:paraId="489DBAD0" w14:textId="77777777" w:rsidR="00E65D7A" w:rsidRPr="00677CE8" w:rsidRDefault="00E65D7A" w:rsidP="00E65D7A">
            <w:pPr>
              <w:spacing w:after="0" w:line="240" w:lineRule="auto"/>
              <w:jc w:val="center"/>
              <w:rPr>
                <w:sz w:val="20"/>
                <w:szCs w:val="20"/>
              </w:rPr>
            </w:pPr>
            <w:r w:rsidRPr="00677CE8">
              <w:rPr>
                <w:sz w:val="20"/>
                <w:szCs w:val="20"/>
              </w:rPr>
              <w:t>10 min</w:t>
            </w:r>
          </w:p>
        </w:tc>
        <w:tc>
          <w:tcPr>
            <w:tcW w:w="2697" w:type="dxa"/>
            <w:gridSpan w:val="2"/>
            <w:tcBorders>
              <w:top w:val="nil"/>
            </w:tcBorders>
            <w:shd w:val="clear" w:color="000000" w:fill="FFFFFF"/>
            <w:noWrap/>
            <w:vAlign w:val="center"/>
            <w:hideMark/>
          </w:tcPr>
          <w:p w14:paraId="66149022" w14:textId="77777777" w:rsidR="00E65D7A" w:rsidRPr="00677CE8" w:rsidRDefault="00E65D7A" w:rsidP="00E65D7A">
            <w:pPr>
              <w:spacing w:after="0" w:line="240" w:lineRule="auto"/>
              <w:jc w:val="center"/>
              <w:rPr>
                <w:sz w:val="20"/>
                <w:szCs w:val="20"/>
              </w:rPr>
            </w:pPr>
            <w:r w:rsidRPr="00677CE8">
              <w:rPr>
                <w:sz w:val="20"/>
                <w:szCs w:val="20"/>
              </w:rPr>
              <w:t>15 min</w:t>
            </w:r>
          </w:p>
        </w:tc>
        <w:tc>
          <w:tcPr>
            <w:tcW w:w="1525" w:type="dxa"/>
            <w:tcBorders>
              <w:top w:val="nil"/>
            </w:tcBorders>
            <w:shd w:val="clear" w:color="000000" w:fill="FFFFFF"/>
            <w:noWrap/>
            <w:vAlign w:val="center"/>
            <w:hideMark/>
          </w:tcPr>
          <w:p w14:paraId="3DEA48A3" w14:textId="77777777" w:rsidR="00E65D7A" w:rsidRPr="00677CE8" w:rsidRDefault="00E65D7A" w:rsidP="00E65D7A">
            <w:pPr>
              <w:spacing w:after="0" w:line="240" w:lineRule="auto"/>
              <w:jc w:val="center"/>
              <w:rPr>
                <w:sz w:val="20"/>
                <w:szCs w:val="20"/>
              </w:rPr>
            </w:pPr>
            <w:r w:rsidRPr="00677CE8">
              <w:rPr>
                <w:sz w:val="20"/>
                <w:szCs w:val="20"/>
              </w:rPr>
              <w:t>10 min</w:t>
            </w:r>
          </w:p>
        </w:tc>
        <w:tc>
          <w:tcPr>
            <w:tcW w:w="1526" w:type="dxa"/>
            <w:tcBorders>
              <w:top w:val="nil"/>
            </w:tcBorders>
            <w:shd w:val="clear" w:color="000000" w:fill="FFFFFF"/>
            <w:noWrap/>
            <w:vAlign w:val="center"/>
            <w:hideMark/>
          </w:tcPr>
          <w:p w14:paraId="5FF15859" w14:textId="77777777" w:rsidR="00E65D7A" w:rsidRPr="00677CE8" w:rsidRDefault="00E65D7A" w:rsidP="00E65D7A">
            <w:pPr>
              <w:spacing w:after="0" w:line="240" w:lineRule="auto"/>
              <w:jc w:val="center"/>
              <w:rPr>
                <w:sz w:val="20"/>
                <w:szCs w:val="20"/>
              </w:rPr>
            </w:pPr>
            <w:r w:rsidRPr="00677CE8">
              <w:rPr>
                <w:sz w:val="20"/>
                <w:szCs w:val="20"/>
              </w:rPr>
              <w:t>15 min</w:t>
            </w:r>
          </w:p>
        </w:tc>
        <w:tc>
          <w:tcPr>
            <w:tcW w:w="1435" w:type="dxa"/>
            <w:vMerge/>
            <w:tcBorders>
              <w:right w:val="single" w:sz="12" w:space="0" w:color="auto"/>
            </w:tcBorders>
            <w:shd w:val="clear" w:color="000000" w:fill="FFFFFF"/>
            <w:noWrap/>
            <w:hideMark/>
          </w:tcPr>
          <w:p w14:paraId="48D744F1" w14:textId="77777777" w:rsidR="00E65D7A" w:rsidRPr="00677CE8" w:rsidRDefault="00E65D7A" w:rsidP="00E65D7A">
            <w:pPr>
              <w:spacing w:after="0" w:line="240" w:lineRule="auto"/>
              <w:jc w:val="center"/>
              <w:rPr>
                <w:sz w:val="20"/>
                <w:szCs w:val="20"/>
              </w:rPr>
            </w:pPr>
          </w:p>
        </w:tc>
      </w:tr>
      <w:tr w:rsidR="00E65D7A" w:rsidRPr="00677CE8" w14:paraId="21312AAB" w14:textId="77777777" w:rsidTr="00E83B07">
        <w:trPr>
          <w:trHeight w:val="19"/>
        </w:trPr>
        <w:tc>
          <w:tcPr>
            <w:tcW w:w="1402" w:type="dxa"/>
            <w:vMerge/>
            <w:tcBorders>
              <w:top w:val="nil"/>
              <w:left w:val="single" w:sz="12" w:space="0" w:color="auto"/>
              <w:bottom w:val="single" w:sz="12" w:space="0" w:color="auto"/>
              <w:right w:val="single" w:sz="12" w:space="0" w:color="auto"/>
            </w:tcBorders>
            <w:vAlign w:val="center"/>
            <w:hideMark/>
          </w:tcPr>
          <w:p w14:paraId="1DDE6970" w14:textId="77777777" w:rsidR="00E65D7A" w:rsidRPr="00677CE8" w:rsidRDefault="00E65D7A" w:rsidP="00007FF5">
            <w:pPr>
              <w:spacing w:after="0" w:line="240" w:lineRule="auto"/>
              <w:rPr>
                <w:b/>
                <w:bCs/>
                <w:sz w:val="20"/>
                <w:szCs w:val="20"/>
              </w:rPr>
            </w:pPr>
          </w:p>
        </w:tc>
        <w:tc>
          <w:tcPr>
            <w:tcW w:w="2816" w:type="dxa"/>
            <w:gridSpan w:val="2"/>
            <w:tcBorders>
              <w:top w:val="nil"/>
              <w:left w:val="single" w:sz="12" w:space="0" w:color="auto"/>
              <w:bottom w:val="single" w:sz="12" w:space="0" w:color="auto"/>
            </w:tcBorders>
            <w:shd w:val="clear" w:color="000000" w:fill="FFFFFF"/>
            <w:noWrap/>
            <w:vAlign w:val="center"/>
            <w:hideMark/>
          </w:tcPr>
          <w:p w14:paraId="787FB252" w14:textId="77777777" w:rsidR="00E65D7A" w:rsidRPr="00677CE8" w:rsidRDefault="00E65D7A" w:rsidP="00E65D7A">
            <w:pPr>
              <w:spacing w:after="0" w:line="240" w:lineRule="auto"/>
              <w:jc w:val="center"/>
              <w:rPr>
                <w:sz w:val="20"/>
                <w:szCs w:val="20"/>
              </w:rPr>
            </w:pPr>
            <w:r w:rsidRPr="00677CE8">
              <w:rPr>
                <w:sz w:val="20"/>
                <w:szCs w:val="20"/>
              </w:rPr>
              <w:t>15 min</w:t>
            </w:r>
          </w:p>
        </w:tc>
        <w:tc>
          <w:tcPr>
            <w:tcW w:w="2697" w:type="dxa"/>
            <w:gridSpan w:val="2"/>
            <w:tcBorders>
              <w:top w:val="nil"/>
              <w:bottom w:val="single" w:sz="12" w:space="0" w:color="auto"/>
            </w:tcBorders>
            <w:shd w:val="clear" w:color="000000" w:fill="FFFFFF"/>
            <w:noWrap/>
            <w:vAlign w:val="center"/>
            <w:hideMark/>
          </w:tcPr>
          <w:p w14:paraId="55E8DC50" w14:textId="77777777" w:rsidR="00E65D7A" w:rsidRPr="00677CE8" w:rsidRDefault="00E65D7A" w:rsidP="00E65D7A">
            <w:pPr>
              <w:spacing w:after="0" w:line="240" w:lineRule="auto"/>
              <w:jc w:val="center"/>
              <w:rPr>
                <w:sz w:val="20"/>
                <w:szCs w:val="20"/>
              </w:rPr>
            </w:pPr>
            <w:r w:rsidRPr="00677CE8">
              <w:rPr>
                <w:sz w:val="20"/>
                <w:szCs w:val="20"/>
              </w:rPr>
              <w:t>30 min</w:t>
            </w:r>
          </w:p>
        </w:tc>
        <w:tc>
          <w:tcPr>
            <w:tcW w:w="1525" w:type="dxa"/>
            <w:tcBorders>
              <w:top w:val="nil"/>
              <w:bottom w:val="single" w:sz="12" w:space="0" w:color="auto"/>
            </w:tcBorders>
            <w:shd w:val="clear" w:color="000000" w:fill="FFFFFF"/>
            <w:noWrap/>
            <w:vAlign w:val="center"/>
            <w:hideMark/>
          </w:tcPr>
          <w:p w14:paraId="6158D1E3" w14:textId="77777777" w:rsidR="00E65D7A" w:rsidRPr="00677CE8" w:rsidRDefault="00E65D7A" w:rsidP="00E65D7A">
            <w:pPr>
              <w:spacing w:after="0" w:line="240" w:lineRule="auto"/>
              <w:jc w:val="center"/>
              <w:rPr>
                <w:sz w:val="20"/>
                <w:szCs w:val="20"/>
              </w:rPr>
            </w:pPr>
            <w:r w:rsidRPr="00677CE8">
              <w:rPr>
                <w:sz w:val="20"/>
                <w:szCs w:val="20"/>
              </w:rPr>
              <w:t>15 min</w:t>
            </w:r>
          </w:p>
        </w:tc>
        <w:tc>
          <w:tcPr>
            <w:tcW w:w="1526" w:type="dxa"/>
            <w:tcBorders>
              <w:top w:val="nil"/>
              <w:bottom w:val="single" w:sz="12" w:space="0" w:color="auto"/>
            </w:tcBorders>
            <w:shd w:val="clear" w:color="000000" w:fill="FFFFFF"/>
            <w:noWrap/>
            <w:vAlign w:val="center"/>
            <w:hideMark/>
          </w:tcPr>
          <w:p w14:paraId="2778CFBA" w14:textId="77777777" w:rsidR="00E65D7A" w:rsidRPr="00677CE8" w:rsidRDefault="00E65D7A" w:rsidP="00E65D7A">
            <w:pPr>
              <w:spacing w:after="0" w:line="240" w:lineRule="auto"/>
              <w:jc w:val="center"/>
              <w:rPr>
                <w:sz w:val="20"/>
                <w:szCs w:val="20"/>
              </w:rPr>
            </w:pPr>
            <w:r w:rsidRPr="00677CE8">
              <w:rPr>
                <w:sz w:val="20"/>
                <w:szCs w:val="20"/>
              </w:rPr>
              <w:t>30 min</w:t>
            </w:r>
          </w:p>
        </w:tc>
        <w:tc>
          <w:tcPr>
            <w:tcW w:w="1435" w:type="dxa"/>
            <w:vMerge/>
            <w:tcBorders>
              <w:bottom w:val="single" w:sz="12" w:space="0" w:color="auto"/>
              <w:right w:val="single" w:sz="12" w:space="0" w:color="auto"/>
            </w:tcBorders>
            <w:shd w:val="clear" w:color="000000" w:fill="FFFFFF"/>
            <w:noWrap/>
            <w:vAlign w:val="bottom"/>
            <w:hideMark/>
          </w:tcPr>
          <w:p w14:paraId="60C5D960" w14:textId="77777777" w:rsidR="00E65D7A" w:rsidRPr="00677CE8" w:rsidRDefault="00E65D7A" w:rsidP="00E65D7A">
            <w:pPr>
              <w:spacing w:after="0" w:line="240" w:lineRule="auto"/>
              <w:jc w:val="center"/>
              <w:rPr>
                <w:sz w:val="20"/>
                <w:szCs w:val="20"/>
              </w:rPr>
            </w:pPr>
          </w:p>
        </w:tc>
      </w:tr>
      <w:tr w:rsidR="002B0711" w:rsidRPr="00677CE8" w14:paraId="0D6FFAF5" w14:textId="77777777" w:rsidTr="00E83B07">
        <w:trPr>
          <w:trHeight w:val="19"/>
        </w:trPr>
        <w:tc>
          <w:tcPr>
            <w:tcW w:w="1402" w:type="dxa"/>
            <w:vMerge w:val="restart"/>
            <w:tcBorders>
              <w:top w:val="nil"/>
              <w:left w:val="single" w:sz="12" w:space="0" w:color="auto"/>
              <w:right w:val="single" w:sz="12" w:space="0" w:color="auto"/>
            </w:tcBorders>
            <w:vAlign w:val="center"/>
          </w:tcPr>
          <w:p w14:paraId="188557FA" w14:textId="325820B4" w:rsidR="002B0711" w:rsidRPr="00677CE8" w:rsidRDefault="002B0711" w:rsidP="00007FF5">
            <w:pPr>
              <w:spacing w:after="0" w:line="240" w:lineRule="auto"/>
              <w:rPr>
                <w:b/>
                <w:bCs/>
                <w:sz w:val="20"/>
                <w:szCs w:val="20"/>
              </w:rPr>
            </w:pPr>
            <w:r w:rsidRPr="00677CE8">
              <w:rPr>
                <w:b/>
                <w:bCs/>
                <w:sz w:val="20"/>
                <w:szCs w:val="20"/>
              </w:rPr>
              <w:t>Distance to Pick-up/Drop- off Locations</w:t>
            </w:r>
          </w:p>
        </w:tc>
        <w:tc>
          <w:tcPr>
            <w:tcW w:w="2816" w:type="dxa"/>
            <w:gridSpan w:val="2"/>
            <w:tcBorders>
              <w:top w:val="single" w:sz="12" w:space="0" w:color="auto"/>
              <w:left w:val="single" w:sz="12" w:space="0" w:color="auto"/>
            </w:tcBorders>
            <w:shd w:val="clear" w:color="000000" w:fill="FFFFFF"/>
            <w:noWrap/>
            <w:vAlign w:val="center"/>
          </w:tcPr>
          <w:p w14:paraId="4E8CC406" w14:textId="79EB74E0" w:rsidR="002B0711" w:rsidRPr="00677CE8" w:rsidRDefault="002B0711" w:rsidP="002B0711">
            <w:pPr>
              <w:spacing w:after="0" w:line="240" w:lineRule="auto"/>
              <w:jc w:val="center"/>
              <w:rPr>
                <w:sz w:val="20"/>
                <w:szCs w:val="20"/>
              </w:rPr>
            </w:pPr>
            <w:r w:rsidRPr="00677CE8">
              <w:rPr>
                <w:sz w:val="20"/>
                <w:szCs w:val="20"/>
              </w:rPr>
              <w:t>Door-to-door</w:t>
            </w:r>
          </w:p>
        </w:tc>
        <w:tc>
          <w:tcPr>
            <w:tcW w:w="2697" w:type="dxa"/>
            <w:gridSpan w:val="2"/>
            <w:tcBorders>
              <w:top w:val="single" w:sz="12" w:space="0" w:color="auto"/>
            </w:tcBorders>
            <w:shd w:val="clear" w:color="000000" w:fill="FFFFFF"/>
            <w:noWrap/>
            <w:vAlign w:val="center"/>
          </w:tcPr>
          <w:p w14:paraId="0948E87C" w14:textId="58EFAD42" w:rsidR="002B0711" w:rsidRPr="00677CE8" w:rsidRDefault="002B0711" w:rsidP="002B0711">
            <w:pPr>
              <w:spacing w:after="0" w:line="240" w:lineRule="auto"/>
              <w:jc w:val="center"/>
              <w:rPr>
                <w:sz w:val="20"/>
                <w:szCs w:val="20"/>
              </w:rPr>
            </w:pPr>
            <w:r w:rsidRPr="00677CE8">
              <w:rPr>
                <w:sz w:val="20"/>
                <w:szCs w:val="20"/>
              </w:rPr>
              <w:t>Within 0.5 miles</w:t>
            </w:r>
          </w:p>
        </w:tc>
        <w:tc>
          <w:tcPr>
            <w:tcW w:w="1525" w:type="dxa"/>
            <w:tcBorders>
              <w:top w:val="single" w:sz="12" w:space="0" w:color="auto"/>
            </w:tcBorders>
            <w:shd w:val="clear" w:color="000000" w:fill="FFFFFF"/>
            <w:noWrap/>
          </w:tcPr>
          <w:p w14:paraId="4D0B8967" w14:textId="7DD6AECA" w:rsidR="002B0711" w:rsidRPr="00677CE8" w:rsidRDefault="002B0711" w:rsidP="002B0711">
            <w:pPr>
              <w:spacing w:after="0" w:line="240" w:lineRule="auto"/>
              <w:jc w:val="center"/>
              <w:rPr>
                <w:sz w:val="20"/>
                <w:szCs w:val="20"/>
              </w:rPr>
            </w:pPr>
            <w:r w:rsidRPr="00677CE8">
              <w:rPr>
                <w:sz w:val="20"/>
                <w:szCs w:val="20"/>
              </w:rPr>
              <w:t>Door-to-door</w:t>
            </w:r>
          </w:p>
        </w:tc>
        <w:tc>
          <w:tcPr>
            <w:tcW w:w="1526" w:type="dxa"/>
            <w:tcBorders>
              <w:top w:val="single" w:sz="12" w:space="0" w:color="auto"/>
            </w:tcBorders>
            <w:shd w:val="clear" w:color="000000" w:fill="FFFFFF"/>
            <w:noWrap/>
            <w:vAlign w:val="center"/>
          </w:tcPr>
          <w:p w14:paraId="4EA322A3" w14:textId="2FFC7837" w:rsidR="002B0711" w:rsidRPr="00677CE8" w:rsidRDefault="002B0711" w:rsidP="002B0711">
            <w:pPr>
              <w:spacing w:after="0" w:line="240" w:lineRule="auto"/>
              <w:jc w:val="center"/>
              <w:rPr>
                <w:sz w:val="20"/>
                <w:szCs w:val="20"/>
              </w:rPr>
            </w:pPr>
            <w:r w:rsidRPr="00677CE8">
              <w:rPr>
                <w:sz w:val="20"/>
                <w:szCs w:val="20"/>
              </w:rPr>
              <w:t>Within 0.5 miles</w:t>
            </w:r>
          </w:p>
        </w:tc>
        <w:tc>
          <w:tcPr>
            <w:tcW w:w="1435" w:type="dxa"/>
            <w:tcBorders>
              <w:top w:val="single" w:sz="12" w:space="0" w:color="auto"/>
              <w:right w:val="single" w:sz="12" w:space="0" w:color="auto"/>
            </w:tcBorders>
            <w:shd w:val="clear" w:color="000000" w:fill="FFFFFF"/>
            <w:noWrap/>
          </w:tcPr>
          <w:p w14:paraId="6374A878" w14:textId="039CA123" w:rsidR="002B0711" w:rsidRPr="00677CE8" w:rsidRDefault="002B0711" w:rsidP="002B0711">
            <w:pPr>
              <w:spacing w:after="0" w:line="240" w:lineRule="auto"/>
              <w:jc w:val="center"/>
              <w:rPr>
                <w:sz w:val="20"/>
                <w:szCs w:val="20"/>
              </w:rPr>
            </w:pPr>
            <w:r w:rsidRPr="00677CE8">
              <w:rPr>
                <w:sz w:val="20"/>
                <w:szCs w:val="20"/>
              </w:rPr>
              <w:t>Door-to-door</w:t>
            </w:r>
          </w:p>
        </w:tc>
      </w:tr>
      <w:tr w:rsidR="002B0711" w:rsidRPr="00677CE8" w14:paraId="0F61AE15" w14:textId="77777777" w:rsidTr="00E83B07">
        <w:trPr>
          <w:trHeight w:val="19"/>
        </w:trPr>
        <w:tc>
          <w:tcPr>
            <w:tcW w:w="1402" w:type="dxa"/>
            <w:vMerge/>
            <w:tcBorders>
              <w:left w:val="single" w:sz="12" w:space="0" w:color="auto"/>
              <w:right w:val="single" w:sz="12" w:space="0" w:color="auto"/>
            </w:tcBorders>
            <w:vAlign w:val="center"/>
          </w:tcPr>
          <w:p w14:paraId="7E12BC36" w14:textId="77777777" w:rsidR="002B0711" w:rsidRPr="00677CE8" w:rsidRDefault="002B0711" w:rsidP="00007FF5">
            <w:pPr>
              <w:spacing w:after="0" w:line="240" w:lineRule="auto"/>
              <w:rPr>
                <w:b/>
                <w:bCs/>
                <w:sz w:val="20"/>
                <w:szCs w:val="20"/>
              </w:rPr>
            </w:pPr>
          </w:p>
        </w:tc>
        <w:tc>
          <w:tcPr>
            <w:tcW w:w="2816" w:type="dxa"/>
            <w:gridSpan w:val="2"/>
            <w:tcBorders>
              <w:top w:val="nil"/>
              <w:left w:val="single" w:sz="12" w:space="0" w:color="auto"/>
            </w:tcBorders>
            <w:shd w:val="clear" w:color="000000" w:fill="FFFFFF"/>
            <w:noWrap/>
            <w:vAlign w:val="center"/>
          </w:tcPr>
          <w:p w14:paraId="2FCB5B94" w14:textId="13BA1E3D" w:rsidR="002B0711" w:rsidRPr="00677CE8" w:rsidRDefault="002B0711" w:rsidP="002B0711">
            <w:pPr>
              <w:spacing w:after="0" w:line="240" w:lineRule="auto"/>
              <w:jc w:val="center"/>
              <w:rPr>
                <w:sz w:val="20"/>
                <w:szCs w:val="20"/>
              </w:rPr>
            </w:pPr>
            <w:r w:rsidRPr="00677CE8">
              <w:rPr>
                <w:sz w:val="20"/>
                <w:szCs w:val="20"/>
              </w:rPr>
              <w:t>Within 0.5 miles</w:t>
            </w:r>
          </w:p>
        </w:tc>
        <w:tc>
          <w:tcPr>
            <w:tcW w:w="2697" w:type="dxa"/>
            <w:gridSpan w:val="2"/>
            <w:tcBorders>
              <w:top w:val="nil"/>
            </w:tcBorders>
            <w:shd w:val="clear" w:color="000000" w:fill="FFFFFF"/>
            <w:noWrap/>
            <w:vAlign w:val="center"/>
          </w:tcPr>
          <w:p w14:paraId="27850F43" w14:textId="6626D024" w:rsidR="002B0711" w:rsidRPr="00677CE8" w:rsidRDefault="002B0711" w:rsidP="002B0711">
            <w:pPr>
              <w:spacing w:after="0" w:line="240" w:lineRule="auto"/>
              <w:jc w:val="center"/>
              <w:rPr>
                <w:sz w:val="20"/>
                <w:szCs w:val="20"/>
              </w:rPr>
            </w:pPr>
            <w:r w:rsidRPr="00677CE8">
              <w:rPr>
                <w:sz w:val="20"/>
                <w:szCs w:val="20"/>
              </w:rPr>
              <w:t>Within 1 mile</w:t>
            </w:r>
          </w:p>
        </w:tc>
        <w:tc>
          <w:tcPr>
            <w:tcW w:w="1525" w:type="dxa"/>
            <w:tcBorders>
              <w:top w:val="nil"/>
            </w:tcBorders>
            <w:shd w:val="clear" w:color="000000" w:fill="FFFFFF"/>
            <w:noWrap/>
            <w:vAlign w:val="center"/>
          </w:tcPr>
          <w:p w14:paraId="36A756A8" w14:textId="77777777" w:rsidR="002B0711" w:rsidRPr="00677CE8" w:rsidRDefault="002B0711" w:rsidP="002B0711">
            <w:pPr>
              <w:spacing w:after="0" w:line="240" w:lineRule="auto"/>
              <w:jc w:val="center"/>
              <w:rPr>
                <w:sz w:val="20"/>
                <w:szCs w:val="20"/>
              </w:rPr>
            </w:pPr>
          </w:p>
        </w:tc>
        <w:tc>
          <w:tcPr>
            <w:tcW w:w="1526" w:type="dxa"/>
            <w:tcBorders>
              <w:top w:val="nil"/>
            </w:tcBorders>
            <w:shd w:val="clear" w:color="000000" w:fill="FFFFFF"/>
            <w:noWrap/>
            <w:vAlign w:val="center"/>
          </w:tcPr>
          <w:p w14:paraId="4CB4324A" w14:textId="7A0BE7F1" w:rsidR="002B0711" w:rsidRPr="00677CE8" w:rsidRDefault="002B0711" w:rsidP="002B0711">
            <w:pPr>
              <w:spacing w:after="0" w:line="240" w:lineRule="auto"/>
              <w:jc w:val="center"/>
              <w:rPr>
                <w:sz w:val="20"/>
                <w:szCs w:val="20"/>
              </w:rPr>
            </w:pPr>
            <w:r w:rsidRPr="00677CE8">
              <w:rPr>
                <w:sz w:val="20"/>
                <w:szCs w:val="20"/>
              </w:rPr>
              <w:t>Within 1 mile</w:t>
            </w:r>
          </w:p>
        </w:tc>
        <w:tc>
          <w:tcPr>
            <w:tcW w:w="1435" w:type="dxa"/>
            <w:tcBorders>
              <w:right w:val="single" w:sz="12" w:space="0" w:color="auto"/>
            </w:tcBorders>
            <w:shd w:val="clear" w:color="000000" w:fill="FFFFFF"/>
            <w:noWrap/>
            <w:vAlign w:val="bottom"/>
          </w:tcPr>
          <w:p w14:paraId="37FA10C2" w14:textId="77777777" w:rsidR="002B0711" w:rsidRPr="00677CE8" w:rsidRDefault="002B0711" w:rsidP="002B0711">
            <w:pPr>
              <w:spacing w:after="0" w:line="240" w:lineRule="auto"/>
              <w:jc w:val="center"/>
              <w:rPr>
                <w:sz w:val="20"/>
                <w:szCs w:val="20"/>
              </w:rPr>
            </w:pPr>
          </w:p>
        </w:tc>
      </w:tr>
      <w:tr w:rsidR="002B0711" w:rsidRPr="00677CE8" w14:paraId="0C979586" w14:textId="77777777" w:rsidTr="00E83B07">
        <w:trPr>
          <w:trHeight w:val="19"/>
        </w:trPr>
        <w:tc>
          <w:tcPr>
            <w:tcW w:w="1402" w:type="dxa"/>
            <w:vMerge/>
            <w:tcBorders>
              <w:left w:val="single" w:sz="12" w:space="0" w:color="auto"/>
              <w:bottom w:val="single" w:sz="12" w:space="0" w:color="auto"/>
              <w:right w:val="single" w:sz="12" w:space="0" w:color="auto"/>
            </w:tcBorders>
            <w:vAlign w:val="center"/>
          </w:tcPr>
          <w:p w14:paraId="31EF47A9" w14:textId="77777777" w:rsidR="002B0711" w:rsidRPr="00677CE8" w:rsidRDefault="002B0711" w:rsidP="00007FF5">
            <w:pPr>
              <w:spacing w:after="0" w:line="240" w:lineRule="auto"/>
              <w:rPr>
                <w:b/>
                <w:bCs/>
                <w:sz w:val="20"/>
                <w:szCs w:val="20"/>
              </w:rPr>
            </w:pPr>
          </w:p>
        </w:tc>
        <w:tc>
          <w:tcPr>
            <w:tcW w:w="2816" w:type="dxa"/>
            <w:gridSpan w:val="2"/>
            <w:tcBorders>
              <w:top w:val="nil"/>
              <w:left w:val="single" w:sz="12" w:space="0" w:color="auto"/>
              <w:bottom w:val="single" w:sz="12" w:space="0" w:color="auto"/>
            </w:tcBorders>
            <w:shd w:val="clear" w:color="000000" w:fill="FFFFFF"/>
            <w:noWrap/>
            <w:vAlign w:val="center"/>
          </w:tcPr>
          <w:p w14:paraId="439CFDC7" w14:textId="77777777" w:rsidR="002B0711" w:rsidRPr="00677CE8" w:rsidRDefault="002B0711" w:rsidP="002B0711">
            <w:pPr>
              <w:spacing w:after="0" w:line="240" w:lineRule="auto"/>
              <w:jc w:val="center"/>
              <w:rPr>
                <w:sz w:val="20"/>
                <w:szCs w:val="20"/>
              </w:rPr>
            </w:pPr>
          </w:p>
        </w:tc>
        <w:tc>
          <w:tcPr>
            <w:tcW w:w="2697" w:type="dxa"/>
            <w:gridSpan w:val="2"/>
            <w:tcBorders>
              <w:top w:val="nil"/>
              <w:bottom w:val="single" w:sz="12" w:space="0" w:color="auto"/>
            </w:tcBorders>
            <w:shd w:val="clear" w:color="000000" w:fill="FFFFFF"/>
            <w:noWrap/>
            <w:vAlign w:val="center"/>
          </w:tcPr>
          <w:p w14:paraId="78C09DE5" w14:textId="35CDF3D9" w:rsidR="002B0711" w:rsidRPr="00677CE8" w:rsidRDefault="002B0711" w:rsidP="002B0711">
            <w:pPr>
              <w:spacing w:after="0" w:line="240" w:lineRule="auto"/>
              <w:jc w:val="center"/>
              <w:rPr>
                <w:sz w:val="20"/>
                <w:szCs w:val="20"/>
              </w:rPr>
            </w:pPr>
            <w:r w:rsidRPr="00677CE8">
              <w:rPr>
                <w:sz w:val="20"/>
                <w:szCs w:val="20"/>
              </w:rPr>
              <w:t>More than 1 mile</w:t>
            </w:r>
          </w:p>
        </w:tc>
        <w:tc>
          <w:tcPr>
            <w:tcW w:w="1525" w:type="dxa"/>
            <w:tcBorders>
              <w:top w:val="nil"/>
              <w:bottom w:val="single" w:sz="12" w:space="0" w:color="auto"/>
            </w:tcBorders>
            <w:shd w:val="clear" w:color="000000" w:fill="FFFFFF"/>
            <w:noWrap/>
            <w:vAlign w:val="center"/>
          </w:tcPr>
          <w:p w14:paraId="10765BE5" w14:textId="77777777" w:rsidR="002B0711" w:rsidRPr="00677CE8" w:rsidRDefault="002B0711" w:rsidP="002B0711">
            <w:pPr>
              <w:spacing w:after="0" w:line="240" w:lineRule="auto"/>
              <w:jc w:val="center"/>
              <w:rPr>
                <w:sz w:val="20"/>
                <w:szCs w:val="20"/>
              </w:rPr>
            </w:pPr>
          </w:p>
        </w:tc>
        <w:tc>
          <w:tcPr>
            <w:tcW w:w="1526" w:type="dxa"/>
            <w:tcBorders>
              <w:top w:val="nil"/>
              <w:bottom w:val="single" w:sz="12" w:space="0" w:color="auto"/>
            </w:tcBorders>
            <w:shd w:val="clear" w:color="000000" w:fill="FFFFFF"/>
            <w:noWrap/>
            <w:vAlign w:val="center"/>
          </w:tcPr>
          <w:p w14:paraId="27B023DA" w14:textId="3910A9DE" w:rsidR="002B0711" w:rsidRPr="00677CE8" w:rsidRDefault="002B0711" w:rsidP="002B0711">
            <w:pPr>
              <w:spacing w:after="0" w:line="240" w:lineRule="auto"/>
              <w:jc w:val="center"/>
              <w:rPr>
                <w:sz w:val="20"/>
                <w:szCs w:val="20"/>
              </w:rPr>
            </w:pPr>
            <w:r w:rsidRPr="00677CE8">
              <w:rPr>
                <w:sz w:val="20"/>
                <w:szCs w:val="20"/>
              </w:rPr>
              <w:t>More than 1 mile</w:t>
            </w:r>
          </w:p>
        </w:tc>
        <w:tc>
          <w:tcPr>
            <w:tcW w:w="1435" w:type="dxa"/>
            <w:tcBorders>
              <w:bottom w:val="single" w:sz="12" w:space="0" w:color="auto"/>
              <w:right w:val="single" w:sz="12" w:space="0" w:color="auto"/>
            </w:tcBorders>
            <w:shd w:val="clear" w:color="000000" w:fill="FFFFFF"/>
            <w:noWrap/>
            <w:vAlign w:val="bottom"/>
          </w:tcPr>
          <w:p w14:paraId="2B5C3CDC" w14:textId="77777777" w:rsidR="002B0711" w:rsidRPr="00677CE8" w:rsidRDefault="002B0711" w:rsidP="002B0711">
            <w:pPr>
              <w:spacing w:after="0" w:line="240" w:lineRule="auto"/>
              <w:jc w:val="center"/>
              <w:rPr>
                <w:sz w:val="20"/>
                <w:szCs w:val="20"/>
              </w:rPr>
            </w:pPr>
          </w:p>
        </w:tc>
      </w:tr>
      <w:tr w:rsidR="002B0711" w:rsidRPr="00677CE8" w14:paraId="1293B88D" w14:textId="77777777" w:rsidTr="00E83B07">
        <w:trPr>
          <w:trHeight w:val="19"/>
        </w:trPr>
        <w:tc>
          <w:tcPr>
            <w:tcW w:w="1402" w:type="dxa"/>
            <w:vMerge w:val="restart"/>
            <w:tcBorders>
              <w:top w:val="single" w:sz="12" w:space="0" w:color="auto"/>
              <w:left w:val="single" w:sz="12" w:space="0" w:color="auto"/>
              <w:bottom w:val="single" w:sz="12" w:space="0" w:color="auto"/>
              <w:right w:val="single" w:sz="12" w:space="0" w:color="auto"/>
            </w:tcBorders>
            <w:shd w:val="clear" w:color="000000" w:fill="FFFFFF"/>
            <w:noWrap/>
            <w:vAlign w:val="center"/>
          </w:tcPr>
          <w:p w14:paraId="763EA015" w14:textId="77777777" w:rsidR="002B0711" w:rsidRPr="00677CE8" w:rsidRDefault="002B0711" w:rsidP="00007FF5">
            <w:pPr>
              <w:spacing w:after="0" w:line="240" w:lineRule="auto"/>
              <w:rPr>
                <w:b/>
                <w:bCs/>
                <w:sz w:val="20"/>
                <w:szCs w:val="20"/>
              </w:rPr>
            </w:pPr>
            <w:r w:rsidRPr="00677CE8">
              <w:rPr>
                <w:b/>
                <w:bCs/>
                <w:sz w:val="20"/>
                <w:szCs w:val="20"/>
              </w:rPr>
              <w:t>Cost</w:t>
            </w:r>
            <w:r w:rsidRPr="00677CE8">
              <w:rPr>
                <w:b/>
                <w:bCs/>
                <w:sz w:val="20"/>
                <w:szCs w:val="20"/>
                <w:vertAlign w:val="superscript"/>
              </w:rPr>
              <w:t>†</w:t>
            </w:r>
          </w:p>
        </w:tc>
        <w:tc>
          <w:tcPr>
            <w:tcW w:w="2816" w:type="dxa"/>
            <w:gridSpan w:val="2"/>
            <w:tcBorders>
              <w:top w:val="single" w:sz="12" w:space="0" w:color="auto"/>
              <w:left w:val="single" w:sz="12" w:space="0" w:color="auto"/>
            </w:tcBorders>
            <w:shd w:val="clear" w:color="000000" w:fill="FFFFFF"/>
            <w:noWrap/>
            <w:vAlign w:val="center"/>
          </w:tcPr>
          <w:p w14:paraId="5B904E26" w14:textId="77777777" w:rsidR="002B0711" w:rsidRPr="00677CE8" w:rsidRDefault="002B0711" w:rsidP="002B0711">
            <w:pPr>
              <w:spacing w:after="0" w:line="240" w:lineRule="auto"/>
              <w:jc w:val="center"/>
              <w:rPr>
                <w:sz w:val="20"/>
                <w:szCs w:val="20"/>
              </w:rPr>
            </w:pPr>
            <w:r w:rsidRPr="00677CE8">
              <w:rPr>
                <w:sz w:val="20"/>
                <w:szCs w:val="20"/>
              </w:rPr>
              <w:t>$0.50 /mile</w:t>
            </w:r>
          </w:p>
        </w:tc>
        <w:tc>
          <w:tcPr>
            <w:tcW w:w="2697" w:type="dxa"/>
            <w:gridSpan w:val="2"/>
            <w:tcBorders>
              <w:top w:val="single" w:sz="12" w:space="0" w:color="auto"/>
            </w:tcBorders>
            <w:shd w:val="clear" w:color="000000" w:fill="FFFFFF"/>
            <w:noWrap/>
            <w:vAlign w:val="center"/>
          </w:tcPr>
          <w:p w14:paraId="4A12DFD8" w14:textId="77777777" w:rsidR="002B0711" w:rsidRPr="00677CE8" w:rsidRDefault="002B0711" w:rsidP="002B0711">
            <w:pPr>
              <w:spacing w:after="0" w:line="240" w:lineRule="auto"/>
              <w:jc w:val="center"/>
              <w:rPr>
                <w:sz w:val="20"/>
                <w:szCs w:val="20"/>
              </w:rPr>
            </w:pPr>
            <w:r w:rsidRPr="00677CE8">
              <w:rPr>
                <w:sz w:val="20"/>
                <w:szCs w:val="20"/>
              </w:rPr>
              <w:t>$0.25 / mile</w:t>
            </w:r>
          </w:p>
        </w:tc>
        <w:tc>
          <w:tcPr>
            <w:tcW w:w="1525" w:type="dxa"/>
            <w:tcBorders>
              <w:top w:val="single" w:sz="12" w:space="0" w:color="auto"/>
            </w:tcBorders>
            <w:shd w:val="clear" w:color="000000" w:fill="FFFFFF"/>
            <w:noWrap/>
            <w:vAlign w:val="center"/>
          </w:tcPr>
          <w:p w14:paraId="51224BB7" w14:textId="77777777" w:rsidR="002B0711" w:rsidRPr="00677CE8" w:rsidRDefault="002B0711" w:rsidP="002B0711">
            <w:pPr>
              <w:spacing w:after="0" w:line="240" w:lineRule="auto"/>
              <w:jc w:val="center"/>
              <w:rPr>
                <w:sz w:val="20"/>
                <w:szCs w:val="20"/>
              </w:rPr>
            </w:pPr>
            <w:r w:rsidRPr="00677CE8">
              <w:rPr>
                <w:sz w:val="20"/>
                <w:szCs w:val="20"/>
              </w:rPr>
              <w:t>$1 / mile</w:t>
            </w:r>
          </w:p>
        </w:tc>
        <w:tc>
          <w:tcPr>
            <w:tcW w:w="1526" w:type="dxa"/>
            <w:vMerge w:val="restart"/>
            <w:tcBorders>
              <w:top w:val="single" w:sz="12" w:space="0" w:color="auto"/>
            </w:tcBorders>
            <w:shd w:val="clear" w:color="000000" w:fill="FFFFFF"/>
            <w:noWrap/>
          </w:tcPr>
          <w:p w14:paraId="2BBF9B0D" w14:textId="77777777" w:rsidR="002B0711" w:rsidRPr="00677CE8" w:rsidRDefault="002B0711" w:rsidP="002B0711">
            <w:pPr>
              <w:spacing w:after="0" w:line="240" w:lineRule="auto"/>
              <w:jc w:val="center"/>
              <w:rPr>
                <w:sz w:val="20"/>
                <w:szCs w:val="20"/>
              </w:rPr>
            </w:pPr>
            <w:r w:rsidRPr="00677CE8">
              <w:rPr>
                <w:sz w:val="20"/>
                <w:szCs w:val="20"/>
              </w:rPr>
              <w:t>$3.50</w:t>
            </w:r>
          </w:p>
        </w:tc>
        <w:tc>
          <w:tcPr>
            <w:tcW w:w="1435" w:type="dxa"/>
            <w:tcBorders>
              <w:top w:val="single" w:sz="12" w:space="0" w:color="auto"/>
              <w:right w:val="single" w:sz="12" w:space="0" w:color="auto"/>
            </w:tcBorders>
            <w:shd w:val="clear" w:color="000000" w:fill="FFFFFF"/>
            <w:noWrap/>
          </w:tcPr>
          <w:p w14:paraId="70AC06F4" w14:textId="77777777" w:rsidR="002B0711" w:rsidRPr="00677CE8" w:rsidRDefault="002B0711" w:rsidP="002B0711">
            <w:pPr>
              <w:spacing w:after="0" w:line="240" w:lineRule="auto"/>
              <w:jc w:val="center"/>
              <w:rPr>
                <w:sz w:val="20"/>
                <w:szCs w:val="20"/>
              </w:rPr>
            </w:pPr>
            <w:r w:rsidRPr="00677CE8">
              <w:rPr>
                <w:sz w:val="20"/>
                <w:szCs w:val="20"/>
              </w:rPr>
              <w:t>$5 (includes gas</w:t>
            </w:r>
          </w:p>
        </w:tc>
      </w:tr>
      <w:tr w:rsidR="002B0711" w:rsidRPr="00677CE8" w14:paraId="592FCFF1" w14:textId="77777777" w:rsidTr="00E83B07">
        <w:trPr>
          <w:trHeight w:val="19"/>
        </w:trPr>
        <w:tc>
          <w:tcPr>
            <w:tcW w:w="1402" w:type="dxa"/>
            <w:vMerge/>
            <w:tcBorders>
              <w:left w:val="single" w:sz="12" w:space="0" w:color="auto"/>
              <w:bottom w:val="single" w:sz="12" w:space="0" w:color="auto"/>
              <w:right w:val="single" w:sz="12" w:space="0" w:color="auto"/>
            </w:tcBorders>
            <w:shd w:val="clear" w:color="000000" w:fill="FFFFFF"/>
            <w:noWrap/>
            <w:vAlign w:val="center"/>
          </w:tcPr>
          <w:p w14:paraId="481BC114" w14:textId="77777777" w:rsidR="002B0711" w:rsidRPr="00677CE8" w:rsidRDefault="002B0711" w:rsidP="00007FF5">
            <w:pPr>
              <w:spacing w:after="0" w:line="240" w:lineRule="auto"/>
              <w:rPr>
                <w:b/>
                <w:bCs/>
                <w:sz w:val="20"/>
                <w:szCs w:val="20"/>
              </w:rPr>
            </w:pPr>
          </w:p>
        </w:tc>
        <w:tc>
          <w:tcPr>
            <w:tcW w:w="2816" w:type="dxa"/>
            <w:gridSpan w:val="2"/>
            <w:tcBorders>
              <w:left w:val="single" w:sz="12" w:space="0" w:color="auto"/>
            </w:tcBorders>
            <w:shd w:val="clear" w:color="000000" w:fill="FFFFFF"/>
            <w:noWrap/>
            <w:vAlign w:val="center"/>
          </w:tcPr>
          <w:p w14:paraId="6BCAFD85" w14:textId="77777777" w:rsidR="002B0711" w:rsidRPr="00677CE8" w:rsidRDefault="002B0711" w:rsidP="002B0711">
            <w:pPr>
              <w:spacing w:after="0" w:line="240" w:lineRule="auto"/>
              <w:jc w:val="center"/>
              <w:rPr>
                <w:sz w:val="20"/>
                <w:szCs w:val="20"/>
              </w:rPr>
            </w:pPr>
            <w:r w:rsidRPr="00677CE8">
              <w:rPr>
                <w:sz w:val="20"/>
                <w:szCs w:val="20"/>
              </w:rPr>
              <w:t>$1 / mile</w:t>
            </w:r>
          </w:p>
        </w:tc>
        <w:tc>
          <w:tcPr>
            <w:tcW w:w="2697" w:type="dxa"/>
            <w:gridSpan w:val="2"/>
            <w:shd w:val="clear" w:color="000000" w:fill="FFFFFF"/>
            <w:noWrap/>
            <w:vAlign w:val="center"/>
          </w:tcPr>
          <w:p w14:paraId="656CCEAD" w14:textId="77777777" w:rsidR="002B0711" w:rsidRPr="00677CE8" w:rsidRDefault="002B0711" w:rsidP="002B0711">
            <w:pPr>
              <w:spacing w:after="0" w:line="240" w:lineRule="auto"/>
              <w:jc w:val="center"/>
              <w:rPr>
                <w:sz w:val="20"/>
                <w:szCs w:val="20"/>
              </w:rPr>
            </w:pPr>
            <w:r w:rsidRPr="00677CE8">
              <w:rPr>
                <w:sz w:val="20"/>
                <w:szCs w:val="20"/>
              </w:rPr>
              <w:t>$0.50 /mile</w:t>
            </w:r>
          </w:p>
        </w:tc>
        <w:tc>
          <w:tcPr>
            <w:tcW w:w="1525" w:type="dxa"/>
            <w:shd w:val="clear" w:color="000000" w:fill="FFFFFF"/>
            <w:noWrap/>
            <w:vAlign w:val="center"/>
          </w:tcPr>
          <w:p w14:paraId="1A41AA54" w14:textId="77777777" w:rsidR="002B0711" w:rsidRPr="00677CE8" w:rsidRDefault="002B0711" w:rsidP="002B0711">
            <w:pPr>
              <w:spacing w:after="0" w:line="240" w:lineRule="auto"/>
              <w:jc w:val="center"/>
              <w:rPr>
                <w:sz w:val="20"/>
                <w:szCs w:val="20"/>
              </w:rPr>
            </w:pPr>
            <w:r w:rsidRPr="00677CE8">
              <w:rPr>
                <w:sz w:val="20"/>
                <w:szCs w:val="20"/>
              </w:rPr>
              <w:t>$2 / mile</w:t>
            </w:r>
          </w:p>
        </w:tc>
        <w:tc>
          <w:tcPr>
            <w:tcW w:w="1526" w:type="dxa"/>
            <w:vMerge/>
            <w:shd w:val="clear" w:color="000000" w:fill="FFFFFF"/>
            <w:noWrap/>
            <w:vAlign w:val="center"/>
          </w:tcPr>
          <w:p w14:paraId="64300612" w14:textId="77777777" w:rsidR="002B0711" w:rsidRPr="00677CE8" w:rsidRDefault="002B0711" w:rsidP="002B0711">
            <w:pPr>
              <w:spacing w:after="0" w:line="240" w:lineRule="auto"/>
              <w:jc w:val="center"/>
              <w:rPr>
                <w:sz w:val="20"/>
                <w:szCs w:val="20"/>
              </w:rPr>
            </w:pPr>
          </w:p>
        </w:tc>
        <w:tc>
          <w:tcPr>
            <w:tcW w:w="1435" w:type="dxa"/>
            <w:tcBorders>
              <w:right w:val="single" w:sz="12" w:space="0" w:color="auto"/>
            </w:tcBorders>
            <w:shd w:val="clear" w:color="000000" w:fill="FFFFFF"/>
            <w:noWrap/>
          </w:tcPr>
          <w:p w14:paraId="2165CB2A" w14:textId="77777777" w:rsidR="002B0711" w:rsidRPr="00677CE8" w:rsidRDefault="002B0711" w:rsidP="002B0711">
            <w:pPr>
              <w:spacing w:after="0" w:line="240" w:lineRule="auto"/>
              <w:jc w:val="center"/>
              <w:rPr>
                <w:sz w:val="20"/>
                <w:szCs w:val="20"/>
              </w:rPr>
            </w:pPr>
            <w:r w:rsidRPr="00677CE8">
              <w:rPr>
                <w:sz w:val="20"/>
                <w:szCs w:val="20"/>
              </w:rPr>
              <w:t>and parking)</w:t>
            </w:r>
          </w:p>
        </w:tc>
      </w:tr>
      <w:tr w:rsidR="002B0711" w:rsidRPr="00677CE8" w14:paraId="2048E625" w14:textId="77777777" w:rsidTr="00E83B07">
        <w:trPr>
          <w:trHeight w:val="19"/>
        </w:trPr>
        <w:tc>
          <w:tcPr>
            <w:tcW w:w="1402" w:type="dxa"/>
            <w:vMerge/>
            <w:tcBorders>
              <w:left w:val="single" w:sz="12" w:space="0" w:color="auto"/>
              <w:bottom w:val="single" w:sz="12" w:space="0" w:color="auto"/>
              <w:right w:val="single" w:sz="12" w:space="0" w:color="auto"/>
            </w:tcBorders>
            <w:shd w:val="clear" w:color="000000" w:fill="FFFFFF"/>
            <w:noWrap/>
            <w:vAlign w:val="center"/>
          </w:tcPr>
          <w:p w14:paraId="1A49278C" w14:textId="77777777" w:rsidR="002B0711" w:rsidRPr="00677CE8" w:rsidRDefault="002B0711" w:rsidP="00007FF5">
            <w:pPr>
              <w:spacing w:after="0" w:line="240" w:lineRule="auto"/>
              <w:rPr>
                <w:b/>
                <w:bCs/>
                <w:sz w:val="20"/>
                <w:szCs w:val="20"/>
              </w:rPr>
            </w:pPr>
          </w:p>
        </w:tc>
        <w:tc>
          <w:tcPr>
            <w:tcW w:w="2816" w:type="dxa"/>
            <w:gridSpan w:val="2"/>
            <w:tcBorders>
              <w:left w:val="single" w:sz="12" w:space="0" w:color="auto"/>
            </w:tcBorders>
            <w:shd w:val="clear" w:color="000000" w:fill="FFFFFF"/>
            <w:noWrap/>
            <w:vAlign w:val="center"/>
          </w:tcPr>
          <w:p w14:paraId="037ED4EB" w14:textId="77777777" w:rsidR="002B0711" w:rsidRPr="00677CE8" w:rsidRDefault="002B0711" w:rsidP="002B0711">
            <w:pPr>
              <w:spacing w:after="0" w:line="240" w:lineRule="auto"/>
              <w:jc w:val="center"/>
              <w:rPr>
                <w:sz w:val="20"/>
                <w:szCs w:val="20"/>
              </w:rPr>
            </w:pPr>
            <w:r w:rsidRPr="00677CE8">
              <w:rPr>
                <w:sz w:val="20"/>
                <w:szCs w:val="20"/>
              </w:rPr>
              <w:t>$3 / mile</w:t>
            </w:r>
          </w:p>
        </w:tc>
        <w:tc>
          <w:tcPr>
            <w:tcW w:w="2697" w:type="dxa"/>
            <w:gridSpan w:val="2"/>
            <w:shd w:val="clear" w:color="000000" w:fill="FFFFFF"/>
            <w:noWrap/>
            <w:vAlign w:val="center"/>
          </w:tcPr>
          <w:p w14:paraId="33BAF18C" w14:textId="77777777" w:rsidR="002B0711" w:rsidRPr="00677CE8" w:rsidRDefault="002B0711" w:rsidP="002B0711">
            <w:pPr>
              <w:spacing w:after="0" w:line="240" w:lineRule="auto"/>
              <w:jc w:val="center"/>
              <w:rPr>
                <w:sz w:val="20"/>
                <w:szCs w:val="20"/>
              </w:rPr>
            </w:pPr>
            <w:r w:rsidRPr="00677CE8">
              <w:rPr>
                <w:sz w:val="20"/>
                <w:szCs w:val="20"/>
              </w:rPr>
              <w:t>$1 / mile</w:t>
            </w:r>
          </w:p>
        </w:tc>
        <w:tc>
          <w:tcPr>
            <w:tcW w:w="1525" w:type="dxa"/>
            <w:shd w:val="clear" w:color="000000" w:fill="FFFFFF"/>
            <w:noWrap/>
            <w:vAlign w:val="center"/>
          </w:tcPr>
          <w:p w14:paraId="25D147DA" w14:textId="77777777" w:rsidR="002B0711" w:rsidRPr="00677CE8" w:rsidRDefault="002B0711" w:rsidP="002B0711">
            <w:pPr>
              <w:spacing w:after="0" w:line="240" w:lineRule="auto"/>
              <w:jc w:val="center"/>
              <w:rPr>
                <w:sz w:val="20"/>
                <w:szCs w:val="20"/>
              </w:rPr>
            </w:pPr>
          </w:p>
        </w:tc>
        <w:tc>
          <w:tcPr>
            <w:tcW w:w="1526" w:type="dxa"/>
            <w:vMerge/>
            <w:shd w:val="clear" w:color="000000" w:fill="FFFFFF"/>
            <w:noWrap/>
            <w:vAlign w:val="center"/>
          </w:tcPr>
          <w:p w14:paraId="68BE2E50" w14:textId="77777777" w:rsidR="002B0711" w:rsidRPr="00677CE8" w:rsidRDefault="002B0711" w:rsidP="002B0711">
            <w:pPr>
              <w:spacing w:after="0" w:line="240" w:lineRule="auto"/>
              <w:jc w:val="center"/>
              <w:rPr>
                <w:sz w:val="20"/>
                <w:szCs w:val="20"/>
              </w:rPr>
            </w:pPr>
          </w:p>
        </w:tc>
        <w:tc>
          <w:tcPr>
            <w:tcW w:w="1435" w:type="dxa"/>
            <w:tcBorders>
              <w:right w:val="single" w:sz="12" w:space="0" w:color="auto"/>
            </w:tcBorders>
            <w:shd w:val="clear" w:color="000000" w:fill="FFFFFF"/>
            <w:noWrap/>
          </w:tcPr>
          <w:p w14:paraId="6303B523" w14:textId="77777777" w:rsidR="002B0711" w:rsidRPr="00677CE8" w:rsidRDefault="002B0711" w:rsidP="002B0711">
            <w:pPr>
              <w:spacing w:after="0" w:line="240" w:lineRule="auto"/>
              <w:jc w:val="center"/>
              <w:rPr>
                <w:sz w:val="20"/>
                <w:szCs w:val="20"/>
              </w:rPr>
            </w:pPr>
          </w:p>
        </w:tc>
      </w:tr>
      <w:tr w:rsidR="002B0711" w:rsidRPr="00677CE8" w14:paraId="425C12E1" w14:textId="77777777" w:rsidTr="00E83B07">
        <w:trPr>
          <w:trHeight w:val="19"/>
        </w:trPr>
        <w:tc>
          <w:tcPr>
            <w:tcW w:w="1402" w:type="dxa"/>
            <w:vMerge/>
            <w:tcBorders>
              <w:left w:val="single" w:sz="12" w:space="0" w:color="auto"/>
              <w:bottom w:val="single" w:sz="12" w:space="0" w:color="auto"/>
              <w:right w:val="single" w:sz="12" w:space="0" w:color="auto"/>
            </w:tcBorders>
            <w:shd w:val="clear" w:color="000000" w:fill="FFFFFF"/>
            <w:noWrap/>
            <w:vAlign w:val="center"/>
          </w:tcPr>
          <w:p w14:paraId="27B1D888" w14:textId="77777777" w:rsidR="002B0711" w:rsidRPr="00677CE8" w:rsidRDefault="002B0711" w:rsidP="00007FF5">
            <w:pPr>
              <w:spacing w:after="0" w:line="240" w:lineRule="auto"/>
              <w:rPr>
                <w:b/>
                <w:bCs/>
                <w:sz w:val="20"/>
                <w:szCs w:val="20"/>
              </w:rPr>
            </w:pPr>
          </w:p>
        </w:tc>
        <w:tc>
          <w:tcPr>
            <w:tcW w:w="2816" w:type="dxa"/>
            <w:gridSpan w:val="2"/>
            <w:tcBorders>
              <w:left w:val="single" w:sz="12" w:space="0" w:color="auto"/>
              <w:bottom w:val="single" w:sz="12" w:space="0" w:color="auto"/>
            </w:tcBorders>
            <w:shd w:val="clear" w:color="000000" w:fill="FFFFFF"/>
            <w:noWrap/>
            <w:vAlign w:val="center"/>
          </w:tcPr>
          <w:p w14:paraId="6CCCB0FF" w14:textId="77777777" w:rsidR="002B0711" w:rsidRPr="00677CE8" w:rsidRDefault="002B0711" w:rsidP="002B0711">
            <w:pPr>
              <w:spacing w:after="0" w:line="240" w:lineRule="auto"/>
              <w:jc w:val="center"/>
              <w:rPr>
                <w:sz w:val="20"/>
                <w:szCs w:val="20"/>
              </w:rPr>
            </w:pPr>
            <w:r w:rsidRPr="00677CE8">
              <w:rPr>
                <w:sz w:val="20"/>
                <w:szCs w:val="20"/>
              </w:rPr>
              <w:t>$8 / mile</w:t>
            </w:r>
          </w:p>
        </w:tc>
        <w:tc>
          <w:tcPr>
            <w:tcW w:w="2697" w:type="dxa"/>
            <w:gridSpan w:val="2"/>
            <w:tcBorders>
              <w:bottom w:val="single" w:sz="12" w:space="0" w:color="auto"/>
            </w:tcBorders>
            <w:shd w:val="clear" w:color="000000" w:fill="FFFFFF"/>
            <w:noWrap/>
            <w:vAlign w:val="center"/>
          </w:tcPr>
          <w:p w14:paraId="03AF0D71" w14:textId="77777777" w:rsidR="002B0711" w:rsidRPr="00677CE8" w:rsidRDefault="002B0711" w:rsidP="002B0711">
            <w:pPr>
              <w:spacing w:after="0" w:line="240" w:lineRule="auto"/>
              <w:jc w:val="center"/>
              <w:rPr>
                <w:sz w:val="20"/>
                <w:szCs w:val="20"/>
              </w:rPr>
            </w:pPr>
            <w:r w:rsidRPr="00677CE8">
              <w:rPr>
                <w:sz w:val="20"/>
                <w:szCs w:val="20"/>
              </w:rPr>
              <w:t>$3 / mile</w:t>
            </w:r>
          </w:p>
        </w:tc>
        <w:tc>
          <w:tcPr>
            <w:tcW w:w="1525" w:type="dxa"/>
            <w:tcBorders>
              <w:bottom w:val="single" w:sz="12" w:space="0" w:color="auto"/>
            </w:tcBorders>
            <w:shd w:val="clear" w:color="000000" w:fill="FFFFFF"/>
            <w:noWrap/>
            <w:vAlign w:val="center"/>
          </w:tcPr>
          <w:p w14:paraId="6DA3639E" w14:textId="77777777" w:rsidR="002B0711" w:rsidRPr="00677CE8" w:rsidRDefault="002B0711" w:rsidP="002B0711">
            <w:pPr>
              <w:spacing w:after="0" w:line="240" w:lineRule="auto"/>
              <w:jc w:val="center"/>
              <w:rPr>
                <w:sz w:val="20"/>
                <w:szCs w:val="20"/>
              </w:rPr>
            </w:pPr>
          </w:p>
        </w:tc>
        <w:tc>
          <w:tcPr>
            <w:tcW w:w="1526" w:type="dxa"/>
            <w:vMerge/>
            <w:tcBorders>
              <w:bottom w:val="single" w:sz="12" w:space="0" w:color="auto"/>
            </w:tcBorders>
            <w:shd w:val="clear" w:color="000000" w:fill="FFFFFF"/>
            <w:noWrap/>
            <w:vAlign w:val="center"/>
          </w:tcPr>
          <w:p w14:paraId="30318DC0" w14:textId="77777777" w:rsidR="002B0711" w:rsidRPr="00677CE8" w:rsidRDefault="002B0711" w:rsidP="002B0711">
            <w:pPr>
              <w:spacing w:after="0" w:line="240" w:lineRule="auto"/>
              <w:jc w:val="center"/>
              <w:rPr>
                <w:sz w:val="20"/>
                <w:szCs w:val="20"/>
              </w:rPr>
            </w:pPr>
          </w:p>
        </w:tc>
        <w:tc>
          <w:tcPr>
            <w:tcW w:w="1435" w:type="dxa"/>
            <w:tcBorders>
              <w:bottom w:val="single" w:sz="12" w:space="0" w:color="auto"/>
              <w:right w:val="single" w:sz="12" w:space="0" w:color="auto"/>
            </w:tcBorders>
            <w:shd w:val="clear" w:color="000000" w:fill="FFFFFF"/>
            <w:noWrap/>
          </w:tcPr>
          <w:p w14:paraId="7817C135" w14:textId="77777777" w:rsidR="002B0711" w:rsidRPr="00677CE8" w:rsidRDefault="002B0711" w:rsidP="002B0711">
            <w:pPr>
              <w:spacing w:after="0" w:line="240" w:lineRule="auto"/>
              <w:jc w:val="center"/>
              <w:rPr>
                <w:sz w:val="20"/>
                <w:szCs w:val="20"/>
              </w:rPr>
            </w:pPr>
          </w:p>
        </w:tc>
      </w:tr>
      <w:tr w:rsidR="002B0711" w:rsidRPr="00677CE8" w14:paraId="7B5A8E2C" w14:textId="77777777" w:rsidTr="00E83B07">
        <w:trPr>
          <w:trHeight w:val="330"/>
        </w:trPr>
        <w:tc>
          <w:tcPr>
            <w:tcW w:w="1402" w:type="dxa"/>
            <w:vMerge w:val="restart"/>
            <w:tcBorders>
              <w:top w:val="single" w:sz="12" w:space="0" w:color="auto"/>
              <w:left w:val="single" w:sz="12" w:space="0" w:color="auto"/>
              <w:bottom w:val="single" w:sz="12" w:space="0" w:color="auto"/>
              <w:right w:val="single" w:sz="12" w:space="0" w:color="auto"/>
            </w:tcBorders>
            <w:shd w:val="clear" w:color="000000" w:fill="FFFFFF"/>
            <w:noWrap/>
            <w:vAlign w:val="center"/>
            <w:hideMark/>
          </w:tcPr>
          <w:p w14:paraId="1BDC07F0" w14:textId="6DFD4B2D" w:rsidR="002B0711" w:rsidRPr="00677CE8" w:rsidRDefault="00194F31" w:rsidP="00007FF5">
            <w:pPr>
              <w:spacing w:after="0" w:line="240" w:lineRule="auto"/>
              <w:rPr>
                <w:b/>
                <w:bCs/>
                <w:sz w:val="20"/>
                <w:szCs w:val="20"/>
              </w:rPr>
            </w:pPr>
            <w:r w:rsidRPr="00677CE8">
              <w:rPr>
                <w:b/>
                <w:bCs/>
                <w:sz w:val="20"/>
                <w:szCs w:val="20"/>
              </w:rPr>
              <w:t xml:space="preserve">UAM </w:t>
            </w:r>
            <w:r w:rsidR="002B0711" w:rsidRPr="00677CE8">
              <w:rPr>
                <w:b/>
                <w:bCs/>
                <w:sz w:val="20"/>
                <w:szCs w:val="20"/>
              </w:rPr>
              <w:t>Flight Altitude</w:t>
            </w:r>
            <w:r w:rsidR="002B0711" w:rsidRPr="00677CE8">
              <w:rPr>
                <w:b/>
                <w:bCs/>
                <w:sz w:val="20"/>
                <w:szCs w:val="20"/>
                <w:vertAlign w:val="superscript"/>
              </w:rPr>
              <w:t xml:space="preserve">‡ </w:t>
            </w:r>
          </w:p>
        </w:tc>
        <w:tc>
          <w:tcPr>
            <w:tcW w:w="1946" w:type="dxa"/>
            <w:vMerge w:val="restart"/>
            <w:tcBorders>
              <w:top w:val="single" w:sz="12" w:space="0" w:color="auto"/>
              <w:left w:val="single" w:sz="12" w:space="0" w:color="auto"/>
            </w:tcBorders>
            <w:shd w:val="clear" w:color="000000" w:fill="FFFFFF"/>
            <w:noWrap/>
            <w:vAlign w:val="center"/>
          </w:tcPr>
          <w:p w14:paraId="63295428" w14:textId="77777777" w:rsidR="002B0711" w:rsidRPr="00677CE8" w:rsidRDefault="002B0711" w:rsidP="002B0711">
            <w:pPr>
              <w:spacing w:after="0" w:line="240" w:lineRule="auto"/>
              <w:jc w:val="both"/>
              <w:rPr>
                <w:sz w:val="20"/>
                <w:szCs w:val="20"/>
              </w:rPr>
            </w:pPr>
            <w:r w:rsidRPr="00677CE8">
              <w:rPr>
                <w:noProof/>
                <w:sz w:val="20"/>
                <w:szCs w:val="20"/>
              </w:rPr>
              <w:drawing>
                <wp:inline distT="0" distB="0" distL="0" distR="0" wp14:anchorId="16B4B4AD" wp14:editId="2D841329">
                  <wp:extent cx="1154184" cy="640080"/>
                  <wp:effectExtent l="0" t="0" r="8255" b="7620"/>
                  <wp:docPr id="729740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6" cstate="print">
                            <a:extLst>
                              <a:ext uri="{28A0092B-C50C-407E-A947-70E740481C1C}">
                                <a14:useLocalDpi xmlns:a14="http://schemas.microsoft.com/office/drawing/2010/main" val="0"/>
                              </a:ext>
                            </a:extLst>
                          </a:blip>
                          <a:srcRect/>
                          <a:stretch>
                            <a:fillRect/>
                          </a:stretch>
                        </pic:blipFill>
                        <pic:spPr bwMode="auto">
                          <a:xfrm>
                            <a:off x="0" y="0"/>
                            <a:ext cx="1154184" cy="640080"/>
                          </a:xfrm>
                          <a:prstGeom prst="rect">
                            <a:avLst/>
                          </a:prstGeom>
                          <a:noFill/>
                        </pic:spPr>
                      </pic:pic>
                    </a:graphicData>
                  </a:graphic>
                </wp:inline>
              </w:drawing>
            </w:r>
          </w:p>
          <w:p w14:paraId="438E77CB" w14:textId="77777777" w:rsidR="002B0711" w:rsidRPr="00677CE8" w:rsidRDefault="002B0711" w:rsidP="002B0711">
            <w:pPr>
              <w:spacing w:after="0" w:line="240" w:lineRule="auto"/>
              <w:jc w:val="center"/>
              <w:rPr>
                <w:sz w:val="20"/>
                <w:szCs w:val="20"/>
              </w:rPr>
            </w:pPr>
            <w:r w:rsidRPr="00677CE8">
              <w:rPr>
                <w:sz w:val="20"/>
                <w:szCs w:val="20"/>
              </w:rPr>
              <w:t>(500 feet)</w:t>
            </w:r>
          </w:p>
        </w:tc>
        <w:tc>
          <w:tcPr>
            <w:tcW w:w="1946" w:type="dxa"/>
            <w:gridSpan w:val="2"/>
            <w:vMerge w:val="restart"/>
            <w:tcBorders>
              <w:top w:val="single" w:sz="12" w:space="0" w:color="auto"/>
            </w:tcBorders>
            <w:shd w:val="clear" w:color="000000" w:fill="FFFFFF"/>
            <w:vAlign w:val="center"/>
          </w:tcPr>
          <w:p w14:paraId="4B968ADA" w14:textId="77777777" w:rsidR="002B0711" w:rsidRPr="00677CE8" w:rsidRDefault="002B0711" w:rsidP="002B0711">
            <w:pPr>
              <w:spacing w:after="0" w:line="240" w:lineRule="auto"/>
              <w:jc w:val="both"/>
              <w:rPr>
                <w:sz w:val="20"/>
                <w:szCs w:val="20"/>
              </w:rPr>
            </w:pPr>
            <w:r w:rsidRPr="00677CE8">
              <w:rPr>
                <w:noProof/>
                <w:sz w:val="20"/>
                <w:szCs w:val="20"/>
              </w:rPr>
              <w:drawing>
                <wp:inline distT="0" distB="0" distL="0" distR="0" wp14:anchorId="3EDFDC38" wp14:editId="2D101F65">
                  <wp:extent cx="1155718" cy="640080"/>
                  <wp:effectExtent l="0" t="0" r="6350" b="7620"/>
                  <wp:docPr id="5186772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7" cstate="print">
                            <a:extLst>
                              <a:ext uri="{28A0092B-C50C-407E-A947-70E740481C1C}">
                                <a14:useLocalDpi xmlns:a14="http://schemas.microsoft.com/office/drawing/2010/main" val="0"/>
                              </a:ext>
                            </a:extLst>
                          </a:blip>
                          <a:srcRect/>
                          <a:stretch>
                            <a:fillRect/>
                          </a:stretch>
                        </pic:blipFill>
                        <pic:spPr bwMode="auto">
                          <a:xfrm>
                            <a:off x="0" y="0"/>
                            <a:ext cx="1155718" cy="640080"/>
                          </a:xfrm>
                          <a:prstGeom prst="rect">
                            <a:avLst/>
                          </a:prstGeom>
                          <a:noFill/>
                        </pic:spPr>
                      </pic:pic>
                    </a:graphicData>
                  </a:graphic>
                </wp:inline>
              </w:drawing>
            </w:r>
          </w:p>
          <w:p w14:paraId="69599A72" w14:textId="77777777" w:rsidR="002B0711" w:rsidRPr="00677CE8" w:rsidRDefault="002B0711" w:rsidP="002B0711">
            <w:pPr>
              <w:spacing w:after="0" w:line="240" w:lineRule="auto"/>
              <w:jc w:val="center"/>
              <w:rPr>
                <w:sz w:val="20"/>
                <w:szCs w:val="20"/>
              </w:rPr>
            </w:pPr>
            <w:r w:rsidRPr="00677CE8">
              <w:rPr>
                <w:sz w:val="20"/>
                <w:szCs w:val="20"/>
              </w:rPr>
              <w:t>(1,000 feet)</w:t>
            </w:r>
          </w:p>
        </w:tc>
        <w:tc>
          <w:tcPr>
            <w:tcW w:w="1621" w:type="dxa"/>
            <w:vMerge w:val="restart"/>
            <w:tcBorders>
              <w:top w:val="single" w:sz="12" w:space="0" w:color="auto"/>
            </w:tcBorders>
            <w:shd w:val="clear" w:color="000000" w:fill="FFFFFF"/>
            <w:vAlign w:val="center"/>
          </w:tcPr>
          <w:p w14:paraId="2D86EBAB" w14:textId="77777777" w:rsidR="002B0711" w:rsidRPr="00677CE8" w:rsidRDefault="002B0711" w:rsidP="002B0711">
            <w:pPr>
              <w:spacing w:after="0" w:line="240" w:lineRule="auto"/>
              <w:jc w:val="both"/>
              <w:rPr>
                <w:sz w:val="20"/>
                <w:szCs w:val="20"/>
              </w:rPr>
            </w:pPr>
            <w:r w:rsidRPr="00677CE8">
              <w:rPr>
                <w:noProof/>
                <w:sz w:val="20"/>
                <w:szCs w:val="20"/>
              </w:rPr>
              <w:drawing>
                <wp:inline distT="0" distB="0" distL="0" distR="0" wp14:anchorId="5E91315E" wp14:editId="031FCE86">
                  <wp:extent cx="1154184" cy="640080"/>
                  <wp:effectExtent l="0" t="0" r="8255" b="7620"/>
                  <wp:docPr id="1781896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8" cstate="print">
                            <a:extLst>
                              <a:ext uri="{28A0092B-C50C-407E-A947-70E740481C1C}">
                                <a14:useLocalDpi xmlns:a14="http://schemas.microsoft.com/office/drawing/2010/main" val="0"/>
                              </a:ext>
                            </a:extLst>
                          </a:blip>
                          <a:srcRect/>
                          <a:stretch>
                            <a:fillRect/>
                          </a:stretch>
                        </pic:blipFill>
                        <pic:spPr bwMode="auto">
                          <a:xfrm>
                            <a:off x="0" y="0"/>
                            <a:ext cx="1154184" cy="640080"/>
                          </a:xfrm>
                          <a:prstGeom prst="rect">
                            <a:avLst/>
                          </a:prstGeom>
                          <a:noFill/>
                        </pic:spPr>
                      </pic:pic>
                    </a:graphicData>
                  </a:graphic>
                </wp:inline>
              </w:drawing>
            </w:r>
          </w:p>
          <w:p w14:paraId="2C0BDA4F" w14:textId="77777777" w:rsidR="002B0711" w:rsidRPr="00677CE8" w:rsidRDefault="002B0711" w:rsidP="002B0711">
            <w:pPr>
              <w:spacing w:after="0" w:line="240" w:lineRule="auto"/>
              <w:jc w:val="center"/>
              <w:rPr>
                <w:sz w:val="20"/>
                <w:szCs w:val="20"/>
              </w:rPr>
            </w:pPr>
            <w:r w:rsidRPr="00677CE8">
              <w:rPr>
                <w:sz w:val="20"/>
                <w:szCs w:val="20"/>
              </w:rPr>
              <w:t>(2,500 feet)</w:t>
            </w:r>
          </w:p>
        </w:tc>
        <w:tc>
          <w:tcPr>
            <w:tcW w:w="1525" w:type="dxa"/>
            <w:tcBorders>
              <w:top w:val="single" w:sz="12" w:space="0" w:color="auto"/>
            </w:tcBorders>
            <w:shd w:val="clear" w:color="000000" w:fill="FFFFFF"/>
            <w:noWrap/>
            <w:hideMark/>
          </w:tcPr>
          <w:p w14:paraId="5DC2E4B6" w14:textId="77777777" w:rsidR="002B0711" w:rsidRPr="00677CE8" w:rsidRDefault="002B0711" w:rsidP="002B0711">
            <w:pPr>
              <w:spacing w:after="0" w:line="240" w:lineRule="auto"/>
              <w:jc w:val="center"/>
              <w:rPr>
                <w:sz w:val="20"/>
                <w:szCs w:val="20"/>
              </w:rPr>
            </w:pPr>
            <w:r w:rsidRPr="00677CE8">
              <w:rPr>
                <w:sz w:val="20"/>
                <w:szCs w:val="20"/>
              </w:rPr>
              <w:t>--</w:t>
            </w:r>
          </w:p>
        </w:tc>
        <w:tc>
          <w:tcPr>
            <w:tcW w:w="1526" w:type="dxa"/>
            <w:tcBorders>
              <w:top w:val="single" w:sz="12" w:space="0" w:color="auto"/>
            </w:tcBorders>
            <w:shd w:val="clear" w:color="000000" w:fill="FFFFFF"/>
            <w:noWrap/>
            <w:hideMark/>
          </w:tcPr>
          <w:p w14:paraId="18CCF60F" w14:textId="77777777" w:rsidR="002B0711" w:rsidRPr="00677CE8" w:rsidRDefault="002B0711" w:rsidP="002B0711">
            <w:pPr>
              <w:spacing w:after="0" w:line="240" w:lineRule="auto"/>
              <w:jc w:val="center"/>
              <w:rPr>
                <w:sz w:val="20"/>
                <w:szCs w:val="20"/>
              </w:rPr>
            </w:pPr>
            <w:r w:rsidRPr="00677CE8">
              <w:rPr>
                <w:sz w:val="20"/>
                <w:szCs w:val="20"/>
              </w:rPr>
              <w:t>--</w:t>
            </w:r>
          </w:p>
        </w:tc>
        <w:tc>
          <w:tcPr>
            <w:tcW w:w="1435" w:type="dxa"/>
            <w:tcBorders>
              <w:top w:val="single" w:sz="12" w:space="0" w:color="auto"/>
              <w:right w:val="single" w:sz="12" w:space="0" w:color="auto"/>
            </w:tcBorders>
            <w:shd w:val="clear" w:color="000000" w:fill="FFFFFF"/>
            <w:noWrap/>
            <w:hideMark/>
          </w:tcPr>
          <w:p w14:paraId="0A084C0F" w14:textId="77777777" w:rsidR="002B0711" w:rsidRPr="00677CE8" w:rsidRDefault="002B0711" w:rsidP="002B0711">
            <w:pPr>
              <w:spacing w:after="0" w:line="240" w:lineRule="auto"/>
              <w:jc w:val="center"/>
              <w:rPr>
                <w:sz w:val="20"/>
                <w:szCs w:val="20"/>
              </w:rPr>
            </w:pPr>
            <w:r w:rsidRPr="00677CE8">
              <w:rPr>
                <w:sz w:val="20"/>
                <w:szCs w:val="20"/>
              </w:rPr>
              <w:t>--</w:t>
            </w:r>
          </w:p>
        </w:tc>
      </w:tr>
      <w:tr w:rsidR="002B0711" w:rsidRPr="00677CE8" w14:paraId="52F69485" w14:textId="77777777" w:rsidTr="00E83B07">
        <w:trPr>
          <w:trHeight w:val="19"/>
        </w:trPr>
        <w:tc>
          <w:tcPr>
            <w:tcW w:w="1402" w:type="dxa"/>
            <w:vMerge/>
            <w:tcBorders>
              <w:left w:val="single" w:sz="12" w:space="0" w:color="auto"/>
              <w:bottom w:val="single" w:sz="12" w:space="0" w:color="auto"/>
              <w:right w:val="single" w:sz="12" w:space="0" w:color="auto"/>
            </w:tcBorders>
            <w:vAlign w:val="center"/>
            <w:hideMark/>
          </w:tcPr>
          <w:p w14:paraId="5C0D2D10" w14:textId="77777777" w:rsidR="002B0711" w:rsidRPr="00677CE8" w:rsidRDefault="002B0711" w:rsidP="00007FF5">
            <w:pPr>
              <w:spacing w:after="0" w:line="240" w:lineRule="auto"/>
              <w:rPr>
                <w:b/>
                <w:bCs/>
                <w:sz w:val="20"/>
                <w:szCs w:val="20"/>
              </w:rPr>
            </w:pPr>
          </w:p>
        </w:tc>
        <w:tc>
          <w:tcPr>
            <w:tcW w:w="1946" w:type="dxa"/>
            <w:vMerge/>
            <w:tcBorders>
              <w:left w:val="single" w:sz="12" w:space="0" w:color="auto"/>
            </w:tcBorders>
            <w:shd w:val="clear" w:color="000000" w:fill="FFFFFF"/>
            <w:noWrap/>
            <w:vAlign w:val="center"/>
          </w:tcPr>
          <w:p w14:paraId="00869B0E" w14:textId="77777777" w:rsidR="002B0711" w:rsidRPr="00677CE8" w:rsidRDefault="002B0711" w:rsidP="002B0711">
            <w:pPr>
              <w:spacing w:after="0" w:line="240" w:lineRule="auto"/>
              <w:jc w:val="both"/>
              <w:rPr>
                <w:sz w:val="20"/>
                <w:szCs w:val="20"/>
              </w:rPr>
            </w:pPr>
          </w:p>
        </w:tc>
        <w:tc>
          <w:tcPr>
            <w:tcW w:w="1946" w:type="dxa"/>
            <w:gridSpan w:val="2"/>
            <w:vMerge/>
            <w:shd w:val="clear" w:color="000000" w:fill="FFFFFF"/>
            <w:vAlign w:val="center"/>
          </w:tcPr>
          <w:p w14:paraId="46F70C34" w14:textId="77777777" w:rsidR="002B0711" w:rsidRPr="00677CE8" w:rsidRDefault="002B0711" w:rsidP="002B0711">
            <w:pPr>
              <w:spacing w:after="0" w:line="240" w:lineRule="auto"/>
              <w:jc w:val="both"/>
              <w:rPr>
                <w:sz w:val="20"/>
                <w:szCs w:val="20"/>
              </w:rPr>
            </w:pPr>
          </w:p>
        </w:tc>
        <w:tc>
          <w:tcPr>
            <w:tcW w:w="1621" w:type="dxa"/>
            <w:vMerge/>
            <w:shd w:val="clear" w:color="000000" w:fill="FFFFFF"/>
            <w:vAlign w:val="center"/>
          </w:tcPr>
          <w:p w14:paraId="0E9BEF80" w14:textId="77777777" w:rsidR="002B0711" w:rsidRPr="00677CE8" w:rsidRDefault="002B0711" w:rsidP="002B0711">
            <w:pPr>
              <w:spacing w:after="0" w:line="240" w:lineRule="auto"/>
              <w:jc w:val="both"/>
              <w:rPr>
                <w:sz w:val="20"/>
                <w:szCs w:val="20"/>
              </w:rPr>
            </w:pPr>
          </w:p>
        </w:tc>
        <w:tc>
          <w:tcPr>
            <w:tcW w:w="1525" w:type="dxa"/>
            <w:tcBorders>
              <w:top w:val="nil"/>
            </w:tcBorders>
            <w:shd w:val="clear" w:color="000000" w:fill="FFFFFF"/>
            <w:noWrap/>
            <w:vAlign w:val="center"/>
            <w:hideMark/>
          </w:tcPr>
          <w:p w14:paraId="0F3FC0D1" w14:textId="77777777" w:rsidR="002B0711" w:rsidRPr="00677CE8" w:rsidRDefault="002B0711" w:rsidP="002B0711">
            <w:pPr>
              <w:spacing w:after="0" w:line="240" w:lineRule="auto"/>
              <w:jc w:val="both"/>
              <w:rPr>
                <w:sz w:val="20"/>
                <w:szCs w:val="20"/>
              </w:rPr>
            </w:pPr>
            <w:r w:rsidRPr="00677CE8">
              <w:rPr>
                <w:sz w:val="20"/>
                <w:szCs w:val="20"/>
              </w:rPr>
              <w:t> </w:t>
            </w:r>
          </w:p>
        </w:tc>
        <w:tc>
          <w:tcPr>
            <w:tcW w:w="1526" w:type="dxa"/>
            <w:tcBorders>
              <w:top w:val="nil"/>
            </w:tcBorders>
            <w:shd w:val="clear" w:color="000000" w:fill="FFFFFF"/>
            <w:noWrap/>
            <w:vAlign w:val="center"/>
            <w:hideMark/>
          </w:tcPr>
          <w:p w14:paraId="1BD4D810" w14:textId="77777777" w:rsidR="002B0711" w:rsidRPr="00677CE8" w:rsidRDefault="002B0711" w:rsidP="002B0711">
            <w:pPr>
              <w:spacing w:after="0" w:line="240" w:lineRule="auto"/>
              <w:jc w:val="both"/>
              <w:rPr>
                <w:sz w:val="20"/>
                <w:szCs w:val="20"/>
              </w:rPr>
            </w:pPr>
            <w:r w:rsidRPr="00677CE8">
              <w:rPr>
                <w:sz w:val="20"/>
                <w:szCs w:val="20"/>
              </w:rPr>
              <w:t> </w:t>
            </w:r>
          </w:p>
        </w:tc>
        <w:tc>
          <w:tcPr>
            <w:tcW w:w="1435" w:type="dxa"/>
            <w:tcBorders>
              <w:top w:val="nil"/>
              <w:right w:val="single" w:sz="12" w:space="0" w:color="auto"/>
            </w:tcBorders>
            <w:shd w:val="clear" w:color="000000" w:fill="FFFFFF"/>
            <w:noWrap/>
            <w:vAlign w:val="center"/>
            <w:hideMark/>
          </w:tcPr>
          <w:p w14:paraId="4F7191E3" w14:textId="77777777" w:rsidR="002B0711" w:rsidRPr="00677CE8" w:rsidRDefault="002B0711" w:rsidP="002B0711">
            <w:pPr>
              <w:spacing w:after="0" w:line="240" w:lineRule="auto"/>
              <w:jc w:val="both"/>
              <w:rPr>
                <w:sz w:val="20"/>
                <w:szCs w:val="20"/>
              </w:rPr>
            </w:pPr>
            <w:r w:rsidRPr="00677CE8">
              <w:rPr>
                <w:sz w:val="20"/>
                <w:szCs w:val="20"/>
              </w:rPr>
              <w:t> </w:t>
            </w:r>
          </w:p>
        </w:tc>
      </w:tr>
      <w:tr w:rsidR="002B0711" w:rsidRPr="00677CE8" w14:paraId="3C037E9E" w14:textId="77777777" w:rsidTr="00E83B07">
        <w:trPr>
          <w:trHeight w:val="19"/>
        </w:trPr>
        <w:tc>
          <w:tcPr>
            <w:tcW w:w="1402" w:type="dxa"/>
            <w:vMerge/>
            <w:tcBorders>
              <w:left w:val="single" w:sz="12" w:space="0" w:color="auto"/>
              <w:bottom w:val="single" w:sz="12" w:space="0" w:color="auto"/>
              <w:right w:val="single" w:sz="12" w:space="0" w:color="auto"/>
            </w:tcBorders>
            <w:vAlign w:val="center"/>
            <w:hideMark/>
          </w:tcPr>
          <w:p w14:paraId="58AC9119" w14:textId="77777777" w:rsidR="002B0711" w:rsidRPr="00677CE8" w:rsidRDefault="002B0711" w:rsidP="00007FF5">
            <w:pPr>
              <w:spacing w:after="0" w:line="240" w:lineRule="auto"/>
              <w:rPr>
                <w:b/>
                <w:bCs/>
                <w:sz w:val="20"/>
                <w:szCs w:val="20"/>
              </w:rPr>
            </w:pPr>
          </w:p>
        </w:tc>
        <w:tc>
          <w:tcPr>
            <w:tcW w:w="1946" w:type="dxa"/>
            <w:vMerge/>
            <w:tcBorders>
              <w:left w:val="single" w:sz="12" w:space="0" w:color="auto"/>
              <w:bottom w:val="single" w:sz="12" w:space="0" w:color="auto"/>
            </w:tcBorders>
            <w:shd w:val="clear" w:color="000000" w:fill="FFFFFF"/>
            <w:noWrap/>
            <w:vAlign w:val="center"/>
          </w:tcPr>
          <w:p w14:paraId="6F4763AA" w14:textId="77777777" w:rsidR="002B0711" w:rsidRPr="00677CE8" w:rsidRDefault="002B0711" w:rsidP="002B0711">
            <w:pPr>
              <w:spacing w:after="0" w:line="240" w:lineRule="auto"/>
              <w:jc w:val="both"/>
              <w:rPr>
                <w:sz w:val="20"/>
                <w:szCs w:val="20"/>
              </w:rPr>
            </w:pPr>
          </w:p>
        </w:tc>
        <w:tc>
          <w:tcPr>
            <w:tcW w:w="1946" w:type="dxa"/>
            <w:gridSpan w:val="2"/>
            <w:vMerge/>
            <w:tcBorders>
              <w:bottom w:val="single" w:sz="12" w:space="0" w:color="auto"/>
            </w:tcBorders>
            <w:shd w:val="clear" w:color="000000" w:fill="FFFFFF"/>
            <w:vAlign w:val="center"/>
          </w:tcPr>
          <w:p w14:paraId="20C76D11" w14:textId="77777777" w:rsidR="002B0711" w:rsidRPr="00677CE8" w:rsidRDefault="002B0711" w:rsidP="002B0711">
            <w:pPr>
              <w:spacing w:after="0" w:line="240" w:lineRule="auto"/>
              <w:jc w:val="both"/>
              <w:rPr>
                <w:sz w:val="20"/>
                <w:szCs w:val="20"/>
              </w:rPr>
            </w:pPr>
          </w:p>
        </w:tc>
        <w:tc>
          <w:tcPr>
            <w:tcW w:w="1621" w:type="dxa"/>
            <w:vMerge/>
            <w:tcBorders>
              <w:bottom w:val="single" w:sz="12" w:space="0" w:color="auto"/>
            </w:tcBorders>
            <w:shd w:val="clear" w:color="000000" w:fill="FFFFFF"/>
            <w:vAlign w:val="center"/>
          </w:tcPr>
          <w:p w14:paraId="1DAFE5D7" w14:textId="77777777" w:rsidR="002B0711" w:rsidRPr="00677CE8" w:rsidRDefault="002B0711" w:rsidP="002B0711">
            <w:pPr>
              <w:spacing w:after="0" w:line="240" w:lineRule="auto"/>
              <w:jc w:val="both"/>
              <w:rPr>
                <w:sz w:val="20"/>
                <w:szCs w:val="20"/>
              </w:rPr>
            </w:pPr>
          </w:p>
        </w:tc>
        <w:tc>
          <w:tcPr>
            <w:tcW w:w="1525" w:type="dxa"/>
            <w:tcBorders>
              <w:top w:val="nil"/>
              <w:bottom w:val="single" w:sz="12" w:space="0" w:color="auto"/>
            </w:tcBorders>
            <w:shd w:val="clear" w:color="000000" w:fill="FFFFFF"/>
            <w:noWrap/>
            <w:vAlign w:val="center"/>
            <w:hideMark/>
          </w:tcPr>
          <w:p w14:paraId="00113995" w14:textId="77777777" w:rsidR="002B0711" w:rsidRPr="00677CE8" w:rsidRDefault="002B0711" w:rsidP="002B0711">
            <w:pPr>
              <w:spacing w:after="0" w:line="240" w:lineRule="auto"/>
              <w:jc w:val="both"/>
              <w:rPr>
                <w:sz w:val="20"/>
                <w:szCs w:val="20"/>
              </w:rPr>
            </w:pPr>
            <w:r w:rsidRPr="00677CE8">
              <w:rPr>
                <w:sz w:val="20"/>
                <w:szCs w:val="20"/>
              </w:rPr>
              <w:t> </w:t>
            </w:r>
          </w:p>
        </w:tc>
        <w:tc>
          <w:tcPr>
            <w:tcW w:w="1526" w:type="dxa"/>
            <w:tcBorders>
              <w:top w:val="nil"/>
              <w:bottom w:val="single" w:sz="12" w:space="0" w:color="auto"/>
            </w:tcBorders>
            <w:shd w:val="clear" w:color="000000" w:fill="FFFFFF"/>
            <w:noWrap/>
            <w:vAlign w:val="center"/>
            <w:hideMark/>
          </w:tcPr>
          <w:p w14:paraId="2FDABFC1" w14:textId="77777777" w:rsidR="002B0711" w:rsidRPr="00677CE8" w:rsidRDefault="002B0711" w:rsidP="002B0711">
            <w:pPr>
              <w:spacing w:after="0" w:line="240" w:lineRule="auto"/>
              <w:jc w:val="both"/>
              <w:rPr>
                <w:sz w:val="20"/>
                <w:szCs w:val="20"/>
              </w:rPr>
            </w:pPr>
            <w:r w:rsidRPr="00677CE8">
              <w:rPr>
                <w:sz w:val="20"/>
                <w:szCs w:val="20"/>
              </w:rPr>
              <w:t> </w:t>
            </w:r>
          </w:p>
        </w:tc>
        <w:tc>
          <w:tcPr>
            <w:tcW w:w="1435" w:type="dxa"/>
            <w:tcBorders>
              <w:top w:val="nil"/>
              <w:bottom w:val="single" w:sz="12" w:space="0" w:color="auto"/>
              <w:right w:val="single" w:sz="12" w:space="0" w:color="auto"/>
            </w:tcBorders>
            <w:shd w:val="clear" w:color="000000" w:fill="FFFFFF"/>
            <w:noWrap/>
            <w:vAlign w:val="center"/>
            <w:hideMark/>
          </w:tcPr>
          <w:p w14:paraId="75FB128C" w14:textId="77777777" w:rsidR="002B0711" w:rsidRPr="00677CE8" w:rsidRDefault="002B0711" w:rsidP="002B0711">
            <w:pPr>
              <w:spacing w:after="0" w:line="240" w:lineRule="auto"/>
              <w:jc w:val="both"/>
              <w:rPr>
                <w:sz w:val="20"/>
                <w:szCs w:val="20"/>
              </w:rPr>
            </w:pPr>
            <w:r w:rsidRPr="00677CE8">
              <w:rPr>
                <w:sz w:val="20"/>
                <w:szCs w:val="20"/>
              </w:rPr>
              <w:t> </w:t>
            </w:r>
          </w:p>
        </w:tc>
      </w:tr>
      <w:tr w:rsidR="002B0711" w:rsidRPr="00677CE8" w14:paraId="39D83C71" w14:textId="77777777" w:rsidTr="00E83B07">
        <w:trPr>
          <w:trHeight w:val="19"/>
        </w:trPr>
        <w:tc>
          <w:tcPr>
            <w:tcW w:w="1402" w:type="dxa"/>
            <w:vMerge w:val="restart"/>
            <w:tcBorders>
              <w:top w:val="single" w:sz="12" w:space="0" w:color="auto"/>
              <w:left w:val="single" w:sz="12" w:space="0" w:color="auto"/>
              <w:bottom w:val="single" w:sz="12" w:space="0" w:color="auto"/>
              <w:right w:val="single" w:sz="12" w:space="0" w:color="auto"/>
            </w:tcBorders>
            <w:shd w:val="clear" w:color="000000" w:fill="FFFFFF"/>
            <w:noWrap/>
            <w:vAlign w:val="center"/>
          </w:tcPr>
          <w:p w14:paraId="6D1D53AE" w14:textId="77777777" w:rsidR="002B0711" w:rsidRPr="00677CE8" w:rsidRDefault="002B0711" w:rsidP="00007FF5">
            <w:pPr>
              <w:spacing w:after="0" w:line="240" w:lineRule="auto"/>
              <w:rPr>
                <w:b/>
                <w:bCs/>
                <w:sz w:val="20"/>
                <w:szCs w:val="20"/>
              </w:rPr>
            </w:pPr>
            <w:r w:rsidRPr="00677CE8">
              <w:rPr>
                <w:b/>
                <w:bCs/>
                <w:sz w:val="20"/>
                <w:szCs w:val="20"/>
              </w:rPr>
              <w:t>UAM Availability</w:t>
            </w:r>
            <w:r w:rsidRPr="00677CE8">
              <w:rPr>
                <w:b/>
                <w:bCs/>
                <w:sz w:val="20"/>
                <w:szCs w:val="20"/>
                <w:vertAlign w:val="superscript"/>
              </w:rPr>
              <w:t>‡</w:t>
            </w:r>
          </w:p>
        </w:tc>
        <w:tc>
          <w:tcPr>
            <w:tcW w:w="2816" w:type="dxa"/>
            <w:gridSpan w:val="2"/>
            <w:tcBorders>
              <w:top w:val="single" w:sz="12" w:space="0" w:color="auto"/>
              <w:left w:val="single" w:sz="12" w:space="0" w:color="auto"/>
            </w:tcBorders>
            <w:shd w:val="clear" w:color="000000" w:fill="FFFFFF"/>
            <w:noWrap/>
            <w:vAlign w:val="center"/>
          </w:tcPr>
          <w:p w14:paraId="192023B6" w14:textId="77777777" w:rsidR="002B0711" w:rsidRPr="00677CE8" w:rsidRDefault="002B0711" w:rsidP="002B0711">
            <w:pPr>
              <w:spacing w:after="0" w:line="240" w:lineRule="auto"/>
              <w:jc w:val="center"/>
              <w:rPr>
                <w:sz w:val="20"/>
                <w:szCs w:val="20"/>
              </w:rPr>
            </w:pPr>
            <w:r w:rsidRPr="00677CE8">
              <w:rPr>
                <w:sz w:val="20"/>
                <w:szCs w:val="20"/>
              </w:rPr>
              <w:t>Always available</w:t>
            </w:r>
          </w:p>
        </w:tc>
        <w:tc>
          <w:tcPr>
            <w:tcW w:w="2697" w:type="dxa"/>
            <w:gridSpan w:val="2"/>
            <w:tcBorders>
              <w:top w:val="single" w:sz="12" w:space="0" w:color="auto"/>
            </w:tcBorders>
            <w:shd w:val="clear" w:color="000000" w:fill="FFFFFF"/>
            <w:noWrap/>
            <w:vAlign w:val="center"/>
          </w:tcPr>
          <w:p w14:paraId="0106CD5F" w14:textId="77777777" w:rsidR="002B0711" w:rsidRPr="00677CE8" w:rsidRDefault="002B0711" w:rsidP="002B0711">
            <w:pPr>
              <w:spacing w:after="0" w:line="240" w:lineRule="auto"/>
              <w:jc w:val="center"/>
              <w:rPr>
                <w:sz w:val="20"/>
                <w:szCs w:val="20"/>
              </w:rPr>
            </w:pPr>
            <w:r w:rsidRPr="00677CE8">
              <w:rPr>
                <w:sz w:val="20"/>
                <w:szCs w:val="20"/>
              </w:rPr>
              <w:t>Always available</w:t>
            </w:r>
          </w:p>
        </w:tc>
        <w:tc>
          <w:tcPr>
            <w:tcW w:w="1525" w:type="dxa"/>
            <w:vMerge w:val="restart"/>
            <w:tcBorders>
              <w:top w:val="single" w:sz="12" w:space="0" w:color="auto"/>
            </w:tcBorders>
            <w:shd w:val="clear" w:color="000000" w:fill="FFFFFF"/>
            <w:noWrap/>
          </w:tcPr>
          <w:p w14:paraId="7D01573A" w14:textId="77777777" w:rsidR="002B0711" w:rsidRPr="00677CE8" w:rsidRDefault="002B0711" w:rsidP="002B0711">
            <w:pPr>
              <w:spacing w:after="0" w:line="240" w:lineRule="auto"/>
              <w:jc w:val="center"/>
              <w:rPr>
                <w:sz w:val="20"/>
                <w:szCs w:val="20"/>
              </w:rPr>
            </w:pPr>
            <w:r w:rsidRPr="00677CE8">
              <w:rPr>
                <w:sz w:val="20"/>
                <w:szCs w:val="20"/>
              </w:rPr>
              <w:t>Always available</w:t>
            </w:r>
          </w:p>
        </w:tc>
        <w:tc>
          <w:tcPr>
            <w:tcW w:w="1526" w:type="dxa"/>
            <w:vMerge w:val="restart"/>
            <w:tcBorders>
              <w:top w:val="single" w:sz="12" w:space="0" w:color="auto"/>
            </w:tcBorders>
            <w:shd w:val="clear" w:color="000000" w:fill="FFFFFF"/>
            <w:noWrap/>
          </w:tcPr>
          <w:p w14:paraId="377C423C" w14:textId="77777777" w:rsidR="002B0711" w:rsidRPr="00677CE8" w:rsidRDefault="002B0711" w:rsidP="002B0711">
            <w:pPr>
              <w:spacing w:after="0" w:line="240" w:lineRule="auto"/>
              <w:jc w:val="center"/>
              <w:rPr>
                <w:sz w:val="20"/>
                <w:szCs w:val="20"/>
              </w:rPr>
            </w:pPr>
            <w:r w:rsidRPr="00677CE8">
              <w:rPr>
                <w:sz w:val="20"/>
                <w:szCs w:val="20"/>
              </w:rPr>
              <w:t>Always available</w:t>
            </w:r>
          </w:p>
        </w:tc>
        <w:tc>
          <w:tcPr>
            <w:tcW w:w="1435" w:type="dxa"/>
            <w:vMerge w:val="restart"/>
            <w:tcBorders>
              <w:top w:val="single" w:sz="12" w:space="0" w:color="auto"/>
              <w:right w:val="single" w:sz="12" w:space="0" w:color="auto"/>
            </w:tcBorders>
            <w:shd w:val="clear" w:color="000000" w:fill="FFFFFF"/>
            <w:noWrap/>
          </w:tcPr>
          <w:p w14:paraId="3505C80C" w14:textId="77777777" w:rsidR="002B0711" w:rsidRPr="00677CE8" w:rsidRDefault="002B0711" w:rsidP="002B0711">
            <w:pPr>
              <w:spacing w:after="0" w:line="240" w:lineRule="auto"/>
              <w:jc w:val="center"/>
              <w:rPr>
                <w:sz w:val="20"/>
                <w:szCs w:val="20"/>
              </w:rPr>
            </w:pPr>
            <w:r w:rsidRPr="00677CE8">
              <w:rPr>
                <w:sz w:val="20"/>
                <w:szCs w:val="20"/>
              </w:rPr>
              <w:t>Always available</w:t>
            </w:r>
          </w:p>
        </w:tc>
      </w:tr>
      <w:tr w:rsidR="002B0711" w:rsidRPr="00677CE8" w14:paraId="1FCD3DD1" w14:textId="77777777" w:rsidTr="00E83B07">
        <w:trPr>
          <w:trHeight w:val="19"/>
        </w:trPr>
        <w:tc>
          <w:tcPr>
            <w:tcW w:w="1402" w:type="dxa"/>
            <w:vMerge/>
            <w:tcBorders>
              <w:left w:val="single" w:sz="12" w:space="0" w:color="auto"/>
              <w:bottom w:val="single" w:sz="12" w:space="0" w:color="auto"/>
              <w:right w:val="single" w:sz="12" w:space="0" w:color="auto"/>
            </w:tcBorders>
            <w:shd w:val="clear" w:color="000000" w:fill="FFFFFF"/>
            <w:noWrap/>
            <w:vAlign w:val="center"/>
          </w:tcPr>
          <w:p w14:paraId="37938ADA" w14:textId="77777777" w:rsidR="002B0711" w:rsidRPr="00677CE8" w:rsidRDefault="002B0711" w:rsidP="00007FF5">
            <w:pPr>
              <w:spacing w:after="0" w:line="240" w:lineRule="auto"/>
              <w:rPr>
                <w:b/>
                <w:bCs/>
                <w:sz w:val="20"/>
                <w:szCs w:val="20"/>
              </w:rPr>
            </w:pPr>
          </w:p>
        </w:tc>
        <w:tc>
          <w:tcPr>
            <w:tcW w:w="2816" w:type="dxa"/>
            <w:gridSpan w:val="2"/>
            <w:tcBorders>
              <w:left w:val="single" w:sz="12" w:space="0" w:color="auto"/>
              <w:bottom w:val="single" w:sz="12" w:space="0" w:color="auto"/>
            </w:tcBorders>
            <w:shd w:val="clear" w:color="000000" w:fill="FFFFFF"/>
            <w:noWrap/>
            <w:vAlign w:val="center"/>
          </w:tcPr>
          <w:p w14:paraId="324291D5" w14:textId="77777777" w:rsidR="002B0711" w:rsidRPr="00677CE8" w:rsidRDefault="002B0711" w:rsidP="002B0711">
            <w:pPr>
              <w:spacing w:after="0" w:line="240" w:lineRule="auto"/>
              <w:jc w:val="center"/>
              <w:rPr>
                <w:sz w:val="20"/>
                <w:szCs w:val="20"/>
              </w:rPr>
            </w:pPr>
            <w:r w:rsidRPr="00677CE8">
              <w:rPr>
                <w:sz w:val="20"/>
                <w:szCs w:val="20"/>
              </w:rPr>
              <w:t>Available only in clear weather conditions</w:t>
            </w:r>
          </w:p>
        </w:tc>
        <w:tc>
          <w:tcPr>
            <w:tcW w:w="2697" w:type="dxa"/>
            <w:gridSpan w:val="2"/>
            <w:tcBorders>
              <w:bottom w:val="single" w:sz="12" w:space="0" w:color="auto"/>
            </w:tcBorders>
            <w:shd w:val="clear" w:color="000000" w:fill="FFFFFF"/>
            <w:noWrap/>
            <w:vAlign w:val="center"/>
          </w:tcPr>
          <w:p w14:paraId="3EE15A8A" w14:textId="77777777" w:rsidR="002B0711" w:rsidRPr="00677CE8" w:rsidRDefault="002B0711" w:rsidP="002B0711">
            <w:pPr>
              <w:spacing w:after="0" w:line="240" w:lineRule="auto"/>
              <w:jc w:val="center"/>
              <w:rPr>
                <w:sz w:val="20"/>
                <w:szCs w:val="20"/>
              </w:rPr>
            </w:pPr>
            <w:r w:rsidRPr="00677CE8">
              <w:rPr>
                <w:sz w:val="20"/>
                <w:szCs w:val="20"/>
              </w:rPr>
              <w:t>Available only in clear weather conditions</w:t>
            </w:r>
          </w:p>
        </w:tc>
        <w:tc>
          <w:tcPr>
            <w:tcW w:w="1525" w:type="dxa"/>
            <w:vMerge/>
            <w:tcBorders>
              <w:bottom w:val="single" w:sz="12" w:space="0" w:color="auto"/>
            </w:tcBorders>
            <w:shd w:val="clear" w:color="000000" w:fill="FFFFFF"/>
            <w:noWrap/>
          </w:tcPr>
          <w:p w14:paraId="665B48E1" w14:textId="77777777" w:rsidR="002B0711" w:rsidRPr="00677CE8" w:rsidRDefault="002B0711" w:rsidP="002B0711">
            <w:pPr>
              <w:spacing w:after="0" w:line="240" w:lineRule="auto"/>
              <w:jc w:val="center"/>
              <w:rPr>
                <w:sz w:val="20"/>
                <w:szCs w:val="20"/>
              </w:rPr>
            </w:pPr>
          </w:p>
        </w:tc>
        <w:tc>
          <w:tcPr>
            <w:tcW w:w="1526" w:type="dxa"/>
            <w:vMerge/>
            <w:tcBorders>
              <w:bottom w:val="single" w:sz="12" w:space="0" w:color="auto"/>
            </w:tcBorders>
            <w:shd w:val="clear" w:color="000000" w:fill="FFFFFF"/>
            <w:noWrap/>
          </w:tcPr>
          <w:p w14:paraId="5707DD64" w14:textId="77777777" w:rsidR="002B0711" w:rsidRPr="00677CE8" w:rsidRDefault="002B0711" w:rsidP="002B0711">
            <w:pPr>
              <w:spacing w:after="0" w:line="240" w:lineRule="auto"/>
              <w:jc w:val="center"/>
              <w:rPr>
                <w:sz w:val="20"/>
                <w:szCs w:val="20"/>
              </w:rPr>
            </w:pPr>
          </w:p>
        </w:tc>
        <w:tc>
          <w:tcPr>
            <w:tcW w:w="1435" w:type="dxa"/>
            <w:vMerge/>
            <w:tcBorders>
              <w:bottom w:val="single" w:sz="12" w:space="0" w:color="auto"/>
              <w:right w:val="single" w:sz="12" w:space="0" w:color="auto"/>
            </w:tcBorders>
            <w:shd w:val="clear" w:color="000000" w:fill="FFFFFF"/>
            <w:noWrap/>
          </w:tcPr>
          <w:p w14:paraId="63C5369E" w14:textId="77777777" w:rsidR="002B0711" w:rsidRPr="00677CE8" w:rsidRDefault="002B0711" w:rsidP="002B0711">
            <w:pPr>
              <w:spacing w:after="0" w:line="240" w:lineRule="auto"/>
              <w:jc w:val="center"/>
              <w:rPr>
                <w:sz w:val="20"/>
                <w:szCs w:val="20"/>
              </w:rPr>
            </w:pPr>
          </w:p>
        </w:tc>
      </w:tr>
      <w:tr w:rsidR="002B0711" w:rsidRPr="00677CE8" w14:paraId="5590D956" w14:textId="77777777" w:rsidTr="00E83B07">
        <w:trPr>
          <w:trHeight w:val="19"/>
        </w:trPr>
        <w:tc>
          <w:tcPr>
            <w:tcW w:w="1402" w:type="dxa"/>
            <w:vMerge w:val="restart"/>
            <w:tcBorders>
              <w:top w:val="single" w:sz="12" w:space="0" w:color="auto"/>
              <w:left w:val="single" w:sz="12" w:space="0" w:color="auto"/>
              <w:bottom w:val="single" w:sz="12" w:space="0" w:color="auto"/>
              <w:right w:val="single" w:sz="12" w:space="0" w:color="auto"/>
            </w:tcBorders>
            <w:shd w:val="clear" w:color="000000" w:fill="FFFFFF"/>
            <w:noWrap/>
            <w:vAlign w:val="center"/>
            <w:hideMark/>
          </w:tcPr>
          <w:p w14:paraId="1FC93C6A" w14:textId="77777777" w:rsidR="002B0711" w:rsidRPr="00677CE8" w:rsidRDefault="002B0711" w:rsidP="00007FF5">
            <w:pPr>
              <w:spacing w:after="0" w:line="240" w:lineRule="auto"/>
              <w:rPr>
                <w:b/>
                <w:bCs/>
                <w:sz w:val="20"/>
                <w:szCs w:val="20"/>
              </w:rPr>
            </w:pPr>
            <w:r w:rsidRPr="00677CE8">
              <w:rPr>
                <w:b/>
                <w:bCs/>
                <w:sz w:val="20"/>
                <w:szCs w:val="20"/>
              </w:rPr>
              <w:t>Noise Level</w:t>
            </w:r>
            <w:r w:rsidRPr="00677CE8">
              <w:rPr>
                <w:b/>
                <w:bCs/>
                <w:sz w:val="20"/>
                <w:szCs w:val="20"/>
                <w:vertAlign w:val="superscript"/>
              </w:rPr>
              <w:t xml:space="preserve">‡ </w:t>
            </w:r>
          </w:p>
        </w:tc>
        <w:tc>
          <w:tcPr>
            <w:tcW w:w="2816" w:type="dxa"/>
            <w:gridSpan w:val="2"/>
            <w:tcBorders>
              <w:top w:val="single" w:sz="12" w:space="0" w:color="auto"/>
              <w:left w:val="single" w:sz="12" w:space="0" w:color="auto"/>
            </w:tcBorders>
            <w:shd w:val="clear" w:color="000000" w:fill="FFFFFF"/>
            <w:noWrap/>
            <w:vAlign w:val="center"/>
            <w:hideMark/>
          </w:tcPr>
          <w:p w14:paraId="061F7EE9" w14:textId="77777777" w:rsidR="002B0711" w:rsidRPr="00677CE8" w:rsidRDefault="002B0711" w:rsidP="002B0711">
            <w:pPr>
              <w:spacing w:after="0" w:line="240" w:lineRule="auto"/>
              <w:jc w:val="center"/>
              <w:rPr>
                <w:sz w:val="20"/>
                <w:szCs w:val="20"/>
              </w:rPr>
            </w:pPr>
            <w:r w:rsidRPr="00677CE8">
              <w:rPr>
                <w:sz w:val="20"/>
                <w:szCs w:val="20"/>
              </w:rPr>
              <w:t>Quiet outdoor environment</w:t>
            </w:r>
          </w:p>
        </w:tc>
        <w:tc>
          <w:tcPr>
            <w:tcW w:w="2697" w:type="dxa"/>
            <w:gridSpan w:val="2"/>
            <w:tcBorders>
              <w:top w:val="single" w:sz="12" w:space="0" w:color="auto"/>
            </w:tcBorders>
            <w:shd w:val="clear" w:color="000000" w:fill="FFFFFF"/>
            <w:noWrap/>
            <w:vAlign w:val="center"/>
            <w:hideMark/>
          </w:tcPr>
          <w:p w14:paraId="0154604E" w14:textId="77777777" w:rsidR="002B0711" w:rsidRPr="00677CE8" w:rsidRDefault="002B0711" w:rsidP="002B0711">
            <w:pPr>
              <w:spacing w:after="0" w:line="240" w:lineRule="auto"/>
              <w:jc w:val="center"/>
              <w:rPr>
                <w:sz w:val="20"/>
                <w:szCs w:val="20"/>
              </w:rPr>
            </w:pPr>
            <w:r w:rsidRPr="00677CE8">
              <w:rPr>
                <w:sz w:val="20"/>
                <w:szCs w:val="20"/>
              </w:rPr>
              <w:t>Quiet outdoor environment</w:t>
            </w:r>
          </w:p>
        </w:tc>
        <w:tc>
          <w:tcPr>
            <w:tcW w:w="1525" w:type="dxa"/>
            <w:vMerge w:val="restart"/>
            <w:tcBorders>
              <w:top w:val="single" w:sz="12" w:space="0" w:color="auto"/>
            </w:tcBorders>
            <w:shd w:val="clear" w:color="000000" w:fill="FFFFFF"/>
            <w:noWrap/>
            <w:hideMark/>
          </w:tcPr>
          <w:p w14:paraId="1CFF3188" w14:textId="77777777" w:rsidR="002B0711" w:rsidRPr="00677CE8" w:rsidRDefault="002B0711" w:rsidP="002B0711">
            <w:pPr>
              <w:spacing w:after="0" w:line="240" w:lineRule="auto"/>
              <w:jc w:val="center"/>
              <w:rPr>
                <w:sz w:val="20"/>
                <w:szCs w:val="20"/>
              </w:rPr>
            </w:pPr>
            <w:r w:rsidRPr="00677CE8">
              <w:rPr>
                <w:sz w:val="20"/>
                <w:szCs w:val="20"/>
              </w:rPr>
              <w:t>Standard (moderate vehicle traffic)</w:t>
            </w:r>
          </w:p>
        </w:tc>
        <w:tc>
          <w:tcPr>
            <w:tcW w:w="1526" w:type="dxa"/>
            <w:vMerge w:val="restart"/>
            <w:tcBorders>
              <w:top w:val="single" w:sz="12" w:space="0" w:color="auto"/>
            </w:tcBorders>
            <w:shd w:val="clear" w:color="000000" w:fill="FFFFFF"/>
            <w:noWrap/>
            <w:hideMark/>
          </w:tcPr>
          <w:p w14:paraId="051BF3CC" w14:textId="77777777" w:rsidR="002B0711" w:rsidRPr="00677CE8" w:rsidRDefault="002B0711" w:rsidP="002B0711">
            <w:pPr>
              <w:spacing w:after="0" w:line="240" w:lineRule="auto"/>
              <w:jc w:val="center"/>
              <w:rPr>
                <w:sz w:val="20"/>
                <w:szCs w:val="20"/>
              </w:rPr>
            </w:pPr>
            <w:r w:rsidRPr="00677CE8">
              <w:rPr>
                <w:sz w:val="20"/>
                <w:szCs w:val="20"/>
              </w:rPr>
              <w:t>Standard (moderate vehicle traffic)</w:t>
            </w:r>
          </w:p>
        </w:tc>
        <w:tc>
          <w:tcPr>
            <w:tcW w:w="1435" w:type="dxa"/>
            <w:vMerge w:val="restart"/>
            <w:tcBorders>
              <w:top w:val="single" w:sz="12" w:space="0" w:color="auto"/>
              <w:right w:val="single" w:sz="12" w:space="0" w:color="auto"/>
            </w:tcBorders>
            <w:shd w:val="clear" w:color="000000" w:fill="FFFFFF"/>
            <w:noWrap/>
            <w:hideMark/>
          </w:tcPr>
          <w:p w14:paraId="1C64795E" w14:textId="77777777" w:rsidR="002B0711" w:rsidRPr="00677CE8" w:rsidRDefault="002B0711" w:rsidP="002B0711">
            <w:pPr>
              <w:spacing w:after="0" w:line="240" w:lineRule="auto"/>
              <w:jc w:val="center"/>
              <w:rPr>
                <w:sz w:val="20"/>
                <w:szCs w:val="20"/>
              </w:rPr>
            </w:pPr>
            <w:r w:rsidRPr="00677CE8">
              <w:rPr>
                <w:sz w:val="20"/>
                <w:szCs w:val="20"/>
              </w:rPr>
              <w:t>Standard (moderate vehicle traffic)</w:t>
            </w:r>
          </w:p>
        </w:tc>
      </w:tr>
      <w:tr w:rsidR="002B0711" w:rsidRPr="00677CE8" w14:paraId="652AA112" w14:textId="77777777" w:rsidTr="00E83B07">
        <w:trPr>
          <w:trHeight w:val="19"/>
        </w:trPr>
        <w:tc>
          <w:tcPr>
            <w:tcW w:w="1402" w:type="dxa"/>
            <w:vMerge/>
            <w:tcBorders>
              <w:left w:val="single" w:sz="12" w:space="0" w:color="auto"/>
              <w:bottom w:val="single" w:sz="12" w:space="0" w:color="auto"/>
              <w:right w:val="single" w:sz="12" w:space="0" w:color="auto"/>
            </w:tcBorders>
            <w:vAlign w:val="center"/>
            <w:hideMark/>
          </w:tcPr>
          <w:p w14:paraId="30EE93B2" w14:textId="77777777" w:rsidR="002B0711" w:rsidRPr="00677CE8" w:rsidRDefault="002B0711" w:rsidP="00007FF5">
            <w:pPr>
              <w:spacing w:after="0" w:line="240" w:lineRule="auto"/>
              <w:rPr>
                <w:b/>
                <w:bCs/>
                <w:sz w:val="20"/>
                <w:szCs w:val="20"/>
              </w:rPr>
            </w:pPr>
          </w:p>
        </w:tc>
        <w:tc>
          <w:tcPr>
            <w:tcW w:w="2816" w:type="dxa"/>
            <w:gridSpan w:val="2"/>
            <w:tcBorders>
              <w:left w:val="single" w:sz="12" w:space="0" w:color="auto"/>
            </w:tcBorders>
            <w:shd w:val="clear" w:color="000000" w:fill="FFFFFF"/>
            <w:noWrap/>
            <w:vAlign w:val="center"/>
            <w:hideMark/>
          </w:tcPr>
          <w:p w14:paraId="4BA4CE8F" w14:textId="77777777" w:rsidR="002B0711" w:rsidRPr="00677CE8" w:rsidRDefault="002B0711" w:rsidP="002B0711">
            <w:pPr>
              <w:spacing w:after="0" w:line="240" w:lineRule="auto"/>
              <w:jc w:val="center"/>
              <w:rPr>
                <w:sz w:val="20"/>
                <w:szCs w:val="20"/>
              </w:rPr>
            </w:pPr>
            <w:r w:rsidRPr="00677CE8">
              <w:rPr>
                <w:sz w:val="20"/>
                <w:szCs w:val="20"/>
              </w:rPr>
              <w:t>Moderate car traffic</w:t>
            </w:r>
          </w:p>
        </w:tc>
        <w:tc>
          <w:tcPr>
            <w:tcW w:w="2697" w:type="dxa"/>
            <w:gridSpan w:val="2"/>
            <w:shd w:val="clear" w:color="000000" w:fill="FFFFFF"/>
            <w:noWrap/>
            <w:vAlign w:val="center"/>
            <w:hideMark/>
          </w:tcPr>
          <w:p w14:paraId="0C9514F3" w14:textId="77777777" w:rsidR="002B0711" w:rsidRPr="00677CE8" w:rsidRDefault="002B0711" w:rsidP="002B0711">
            <w:pPr>
              <w:spacing w:after="0" w:line="240" w:lineRule="auto"/>
              <w:jc w:val="center"/>
              <w:rPr>
                <w:sz w:val="20"/>
                <w:szCs w:val="20"/>
              </w:rPr>
            </w:pPr>
            <w:r w:rsidRPr="00677CE8">
              <w:rPr>
                <w:sz w:val="20"/>
                <w:szCs w:val="20"/>
              </w:rPr>
              <w:t>Moderate car traffic</w:t>
            </w:r>
          </w:p>
        </w:tc>
        <w:tc>
          <w:tcPr>
            <w:tcW w:w="1525" w:type="dxa"/>
            <w:vMerge/>
            <w:shd w:val="clear" w:color="000000" w:fill="FFFFFF"/>
            <w:noWrap/>
            <w:vAlign w:val="center"/>
            <w:hideMark/>
          </w:tcPr>
          <w:p w14:paraId="4E516F51" w14:textId="77777777" w:rsidR="002B0711" w:rsidRPr="00677CE8" w:rsidRDefault="002B0711" w:rsidP="002B0711">
            <w:pPr>
              <w:spacing w:after="0" w:line="240" w:lineRule="auto"/>
              <w:jc w:val="center"/>
              <w:rPr>
                <w:sz w:val="20"/>
                <w:szCs w:val="20"/>
              </w:rPr>
            </w:pPr>
          </w:p>
        </w:tc>
        <w:tc>
          <w:tcPr>
            <w:tcW w:w="1526" w:type="dxa"/>
            <w:vMerge/>
            <w:shd w:val="clear" w:color="000000" w:fill="FFFFFF"/>
            <w:noWrap/>
            <w:vAlign w:val="center"/>
            <w:hideMark/>
          </w:tcPr>
          <w:p w14:paraId="25284361" w14:textId="77777777" w:rsidR="002B0711" w:rsidRPr="00677CE8" w:rsidRDefault="002B0711" w:rsidP="002B0711">
            <w:pPr>
              <w:spacing w:after="0" w:line="240" w:lineRule="auto"/>
              <w:jc w:val="center"/>
              <w:rPr>
                <w:sz w:val="20"/>
                <w:szCs w:val="20"/>
              </w:rPr>
            </w:pPr>
          </w:p>
        </w:tc>
        <w:tc>
          <w:tcPr>
            <w:tcW w:w="1435" w:type="dxa"/>
            <w:vMerge/>
            <w:tcBorders>
              <w:right w:val="single" w:sz="12" w:space="0" w:color="auto"/>
            </w:tcBorders>
            <w:shd w:val="clear" w:color="000000" w:fill="FFFFFF"/>
            <w:noWrap/>
            <w:vAlign w:val="center"/>
            <w:hideMark/>
          </w:tcPr>
          <w:p w14:paraId="14ADA89F" w14:textId="77777777" w:rsidR="002B0711" w:rsidRPr="00677CE8" w:rsidRDefault="002B0711" w:rsidP="002B0711">
            <w:pPr>
              <w:spacing w:after="0" w:line="240" w:lineRule="auto"/>
              <w:jc w:val="center"/>
              <w:rPr>
                <w:sz w:val="20"/>
                <w:szCs w:val="20"/>
              </w:rPr>
            </w:pPr>
          </w:p>
        </w:tc>
      </w:tr>
      <w:tr w:rsidR="002B0711" w:rsidRPr="00677CE8" w14:paraId="74B4842E" w14:textId="77777777" w:rsidTr="00E83B07">
        <w:trPr>
          <w:trHeight w:val="19"/>
        </w:trPr>
        <w:tc>
          <w:tcPr>
            <w:tcW w:w="1402" w:type="dxa"/>
            <w:vMerge/>
            <w:tcBorders>
              <w:left w:val="single" w:sz="12" w:space="0" w:color="auto"/>
              <w:bottom w:val="single" w:sz="12" w:space="0" w:color="auto"/>
              <w:right w:val="single" w:sz="12" w:space="0" w:color="auto"/>
            </w:tcBorders>
            <w:vAlign w:val="center"/>
            <w:hideMark/>
          </w:tcPr>
          <w:p w14:paraId="2F720A0E" w14:textId="77777777" w:rsidR="002B0711" w:rsidRPr="00677CE8" w:rsidRDefault="002B0711" w:rsidP="00007FF5">
            <w:pPr>
              <w:spacing w:after="0" w:line="240" w:lineRule="auto"/>
              <w:rPr>
                <w:b/>
                <w:bCs/>
                <w:sz w:val="20"/>
                <w:szCs w:val="20"/>
              </w:rPr>
            </w:pPr>
          </w:p>
        </w:tc>
        <w:tc>
          <w:tcPr>
            <w:tcW w:w="2816" w:type="dxa"/>
            <w:gridSpan w:val="2"/>
            <w:tcBorders>
              <w:left w:val="single" w:sz="12" w:space="0" w:color="auto"/>
              <w:bottom w:val="single" w:sz="12" w:space="0" w:color="auto"/>
            </w:tcBorders>
            <w:shd w:val="clear" w:color="000000" w:fill="FFFFFF"/>
            <w:noWrap/>
            <w:vAlign w:val="bottom"/>
            <w:hideMark/>
          </w:tcPr>
          <w:p w14:paraId="44F87EBF" w14:textId="77777777" w:rsidR="002B0711" w:rsidRPr="00677CE8" w:rsidRDefault="002B0711" w:rsidP="002B0711">
            <w:pPr>
              <w:spacing w:after="0" w:line="240" w:lineRule="auto"/>
              <w:jc w:val="center"/>
              <w:rPr>
                <w:sz w:val="20"/>
                <w:szCs w:val="20"/>
              </w:rPr>
            </w:pPr>
            <w:r w:rsidRPr="00677CE8">
              <w:rPr>
                <w:sz w:val="20"/>
                <w:szCs w:val="20"/>
              </w:rPr>
              <w:t>A heavy truck or motorcycle</w:t>
            </w:r>
          </w:p>
        </w:tc>
        <w:tc>
          <w:tcPr>
            <w:tcW w:w="2697" w:type="dxa"/>
            <w:gridSpan w:val="2"/>
            <w:tcBorders>
              <w:bottom w:val="single" w:sz="12" w:space="0" w:color="auto"/>
            </w:tcBorders>
            <w:shd w:val="clear" w:color="000000" w:fill="FFFFFF"/>
            <w:noWrap/>
            <w:vAlign w:val="bottom"/>
            <w:hideMark/>
          </w:tcPr>
          <w:p w14:paraId="0C23400E" w14:textId="77777777" w:rsidR="002B0711" w:rsidRPr="00677CE8" w:rsidRDefault="002B0711" w:rsidP="002B0711">
            <w:pPr>
              <w:spacing w:after="0" w:line="240" w:lineRule="auto"/>
              <w:jc w:val="center"/>
              <w:rPr>
                <w:sz w:val="20"/>
                <w:szCs w:val="20"/>
              </w:rPr>
            </w:pPr>
            <w:r w:rsidRPr="00677CE8">
              <w:rPr>
                <w:sz w:val="20"/>
                <w:szCs w:val="20"/>
              </w:rPr>
              <w:t>A heavy truck or motorcycle</w:t>
            </w:r>
          </w:p>
        </w:tc>
        <w:tc>
          <w:tcPr>
            <w:tcW w:w="1525" w:type="dxa"/>
            <w:vMerge/>
            <w:tcBorders>
              <w:bottom w:val="single" w:sz="12" w:space="0" w:color="auto"/>
            </w:tcBorders>
            <w:shd w:val="clear" w:color="000000" w:fill="FFFFFF"/>
            <w:noWrap/>
            <w:vAlign w:val="center"/>
            <w:hideMark/>
          </w:tcPr>
          <w:p w14:paraId="3F5D0452" w14:textId="77777777" w:rsidR="002B0711" w:rsidRPr="00677CE8" w:rsidRDefault="002B0711" w:rsidP="002B0711">
            <w:pPr>
              <w:spacing w:after="0" w:line="240" w:lineRule="auto"/>
              <w:jc w:val="center"/>
              <w:rPr>
                <w:sz w:val="20"/>
                <w:szCs w:val="20"/>
              </w:rPr>
            </w:pPr>
          </w:p>
        </w:tc>
        <w:tc>
          <w:tcPr>
            <w:tcW w:w="1526" w:type="dxa"/>
            <w:vMerge/>
            <w:tcBorders>
              <w:bottom w:val="single" w:sz="12" w:space="0" w:color="auto"/>
            </w:tcBorders>
            <w:shd w:val="clear" w:color="000000" w:fill="FFFFFF"/>
            <w:noWrap/>
            <w:vAlign w:val="center"/>
            <w:hideMark/>
          </w:tcPr>
          <w:p w14:paraId="6E7B9035" w14:textId="77777777" w:rsidR="002B0711" w:rsidRPr="00677CE8" w:rsidRDefault="002B0711" w:rsidP="002B0711">
            <w:pPr>
              <w:spacing w:after="0" w:line="240" w:lineRule="auto"/>
              <w:jc w:val="center"/>
              <w:rPr>
                <w:sz w:val="20"/>
                <w:szCs w:val="20"/>
              </w:rPr>
            </w:pPr>
          </w:p>
        </w:tc>
        <w:tc>
          <w:tcPr>
            <w:tcW w:w="1435" w:type="dxa"/>
            <w:vMerge/>
            <w:tcBorders>
              <w:bottom w:val="single" w:sz="12" w:space="0" w:color="auto"/>
              <w:right w:val="single" w:sz="12" w:space="0" w:color="auto"/>
            </w:tcBorders>
            <w:shd w:val="clear" w:color="000000" w:fill="FFFFFF"/>
            <w:noWrap/>
            <w:vAlign w:val="center"/>
            <w:hideMark/>
          </w:tcPr>
          <w:p w14:paraId="155839F7" w14:textId="77777777" w:rsidR="002B0711" w:rsidRPr="00677CE8" w:rsidRDefault="002B0711" w:rsidP="002B0711">
            <w:pPr>
              <w:spacing w:after="0" w:line="240" w:lineRule="auto"/>
              <w:jc w:val="center"/>
              <w:rPr>
                <w:sz w:val="20"/>
                <w:szCs w:val="20"/>
              </w:rPr>
            </w:pPr>
          </w:p>
        </w:tc>
      </w:tr>
      <w:tr w:rsidR="002B0711" w:rsidRPr="00677CE8" w14:paraId="3CA2FE6C" w14:textId="77777777" w:rsidTr="00E83B07">
        <w:trPr>
          <w:trHeight w:val="19"/>
        </w:trPr>
        <w:tc>
          <w:tcPr>
            <w:tcW w:w="1402" w:type="dxa"/>
            <w:tcBorders>
              <w:top w:val="single" w:sz="12" w:space="0" w:color="auto"/>
              <w:left w:val="single" w:sz="12" w:space="0" w:color="auto"/>
              <w:bottom w:val="single" w:sz="12" w:space="0" w:color="auto"/>
              <w:right w:val="single" w:sz="12" w:space="0" w:color="auto"/>
            </w:tcBorders>
            <w:shd w:val="clear" w:color="000000" w:fill="FFFFFF"/>
            <w:vAlign w:val="center"/>
          </w:tcPr>
          <w:p w14:paraId="4C3FD58B" w14:textId="03691DEA" w:rsidR="002B0711" w:rsidRPr="00677CE8" w:rsidRDefault="002B0711" w:rsidP="00007FF5">
            <w:pPr>
              <w:spacing w:after="0" w:line="240" w:lineRule="auto"/>
              <w:rPr>
                <w:b/>
                <w:bCs/>
                <w:sz w:val="20"/>
                <w:szCs w:val="20"/>
              </w:rPr>
            </w:pPr>
            <w:r w:rsidRPr="00677CE8">
              <w:rPr>
                <w:b/>
                <w:bCs/>
                <w:sz w:val="20"/>
                <w:szCs w:val="20"/>
              </w:rPr>
              <w:t xml:space="preserve">UAM </w:t>
            </w:r>
            <w:r w:rsidR="00621405" w:rsidRPr="00677CE8">
              <w:rPr>
                <w:b/>
                <w:bCs/>
                <w:sz w:val="20"/>
                <w:szCs w:val="20"/>
              </w:rPr>
              <w:t>In-Flight Experience</w:t>
            </w:r>
            <w:r w:rsidRPr="00677CE8">
              <w:rPr>
                <w:b/>
                <w:bCs/>
                <w:sz w:val="20"/>
                <w:szCs w:val="20"/>
                <w:vertAlign w:val="superscript"/>
              </w:rPr>
              <w:t>‡</w:t>
            </w:r>
            <w:r w:rsidRPr="00677CE8">
              <w:rPr>
                <w:b/>
                <w:bCs/>
                <w:sz w:val="20"/>
                <w:szCs w:val="20"/>
              </w:rPr>
              <w:t xml:space="preserve"> </w:t>
            </w:r>
          </w:p>
        </w:tc>
        <w:tc>
          <w:tcPr>
            <w:tcW w:w="2816" w:type="dxa"/>
            <w:gridSpan w:val="2"/>
            <w:tcBorders>
              <w:top w:val="single" w:sz="12" w:space="0" w:color="auto"/>
              <w:left w:val="single" w:sz="12" w:space="0" w:color="auto"/>
              <w:bottom w:val="single" w:sz="12" w:space="0" w:color="auto"/>
            </w:tcBorders>
            <w:shd w:val="clear" w:color="000000" w:fill="FFFFFF"/>
            <w:noWrap/>
            <w:vAlign w:val="center"/>
          </w:tcPr>
          <w:p w14:paraId="47F000A6" w14:textId="77777777" w:rsidR="002B0711" w:rsidRPr="00677CE8" w:rsidRDefault="002B0711" w:rsidP="002B0711">
            <w:pPr>
              <w:spacing w:after="0" w:line="240" w:lineRule="auto"/>
              <w:jc w:val="center"/>
              <w:rPr>
                <w:sz w:val="20"/>
                <w:szCs w:val="20"/>
              </w:rPr>
            </w:pPr>
            <w:r w:rsidRPr="00677CE8">
              <w:rPr>
                <w:noProof/>
              </w:rPr>
              <w:drawing>
                <wp:inline distT="0" distB="0" distL="0" distR="0" wp14:anchorId="7642A951" wp14:editId="766682EF">
                  <wp:extent cx="1141646" cy="600586"/>
                  <wp:effectExtent l="0" t="0" r="1905" b="9525"/>
                  <wp:docPr id="828533504" name="Picture 1" descr="Lilium Jet Seven Seater">
                    <a:extLst xmlns:a="http://schemas.openxmlformats.org/drawingml/2006/main">
                      <a:ext uri="{FF2B5EF4-FFF2-40B4-BE49-F238E27FC236}">
                        <a16:creationId xmlns:a16="http://schemas.microsoft.com/office/drawing/2014/main" id="{8258FAEE-3FEB-9A0A-42F6-2CBC0CEB6D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Lilium Jet Seven Seater">
                            <a:extLst>
                              <a:ext uri="{FF2B5EF4-FFF2-40B4-BE49-F238E27FC236}">
                                <a16:creationId xmlns:a16="http://schemas.microsoft.com/office/drawing/2014/main" id="{8258FAEE-3FEB-9A0A-42F6-2CBC0CEB6DB7}"/>
                              </a:ext>
                            </a:extLst>
                          </pic:cNvPr>
                          <pic:cNvPicPr>
                            <a:picLocks noChangeAspect="1" noChangeArrowheads="1"/>
                          </pic:cNvPicPr>
                        </pic:nvPicPr>
                        <pic:blipFill rotWithShape="1">
                          <a:blip r:embed="rId309" cstate="print">
                            <a:extLst>
                              <a:ext uri="{28A0092B-C50C-407E-A947-70E740481C1C}">
                                <a14:useLocalDpi xmlns:a14="http://schemas.microsoft.com/office/drawing/2010/main" val="0"/>
                              </a:ext>
                            </a:extLst>
                          </a:blip>
                          <a:srcRect t="24572"/>
                          <a:stretch/>
                        </pic:blipFill>
                        <pic:spPr bwMode="auto">
                          <a:xfrm>
                            <a:off x="0" y="0"/>
                            <a:ext cx="1143000" cy="601298"/>
                          </a:xfrm>
                          <a:prstGeom prst="rect">
                            <a:avLst/>
                          </a:prstGeom>
                          <a:noFill/>
                          <a:ln>
                            <a:noFill/>
                          </a:ln>
                          <a:extLst>
                            <a:ext uri="{53640926-AAD7-44D8-BBD7-CCE9431645EC}">
                              <a14:shadowObscured xmlns:a14="http://schemas.microsoft.com/office/drawing/2010/main"/>
                            </a:ext>
                          </a:extLst>
                        </pic:spPr>
                      </pic:pic>
                    </a:graphicData>
                  </a:graphic>
                </wp:inline>
              </w:drawing>
            </w:r>
          </w:p>
          <w:p w14:paraId="5D55C143" w14:textId="77777777" w:rsidR="002B0711" w:rsidRPr="00677CE8" w:rsidRDefault="002B0711" w:rsidP="002B0711">
            <w:pPr>
              <w:spacing w:after="0" w:line="240" w:lineRule="auto"/>
              <w:jc w:val="center"/>
              <w:rPr>
                <w:sz w:val="20"/>
                <w:szCs w:val="20"/>
              </w:rPr>
            </w:pPr>
            <w:r w:rsidRPr="00677CE8">
              <w:rPr>
                <w:sz w:val="20"/>
                <w:szCs w:val="20"/>
              </w:rPr>
              <w:t>(Spacious interior with room for belongings)</w:t>
            </w:r>
          </w:p>
        </w:tc>
        <w:tc>
          <w:tcPr>
            <w:tcW w:w="2697" w:type="dxa"/>
            <w:gridSpan w:val="2"/>
            <w:tcBorders>
              <w:top w:val="single" w:sz="12" w:space="0" w:color="auto"/>
              <w:bottom w:val="single" w:sz="12" w:space="0" w:color="auto"/>
            </w:tcBorders>
            <w:shd w:val="clear" w:color="000000" w:fill="FFFFFF"/>
            <w:noWrap/>
            <w:vAlign w:val="center"/>
          </w:tcPr>
          <w:p w14:paraId="3DE402D4" w14:textId="77777777" w:rsidR="002B0711" w:rsidRPr="00677CE8" w:rsidRDefault="002B0711" w:rsidP="002B0711">
            <w:pPr>
              <w:spacing w:after="0" w:line="240" w:lineRule="auto"/>
              <w:jc w:val="center"/>
              <w:rPr>
                <w:sz w:val="20"/>
                <w:szCs w:val="20"/>
              </w:rPr>
            </w:pPr>
            <w:r w:rsidRPr="00677CE8">
              <w:rPr>
                <w:noProof/>
              </w:rPr>
              <w:drawing>
                <wp:inline distT="0" distB="0" distL="0" distR="0" wp14:anchorId="55B9FAFE" wp14:editId="5ADEB8F7">
                  <wp:extent cx="1144235" cy="640080"/>
                  <wp:effectExtent l="0" t="0" r="0" b="7620"/>
                  <wp:docPr id="857764731" name="Picture 3">
                    <a:extLst xmlns:a="http://schemas.openxmlformats.org/drawingml/2006/main">
                      <a:ext uri="{FF2B5EF4-FFF2-40B4-BE49-F238E27FC236}">
                        <a16:creationId xmlns:a16="http://schemas.microsoft.com/office/drawing/2014/main" id="{2DDD4D0C-743E-D320-1D09-EA1A3C79AC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2DDD4D0C-743E-D320-1D09-EA1A3C79ACAC}"/>
                              </a:ext>
                            </a:extLst>
                          </pic:cNvPr>
                          <pic:cNvPicPr>
                            <a:picLocks noChangeAspect="1" noChangeArrowheads="1"/>
                          </pic:cNvPicPr>
                        </pic:nvPicPr>
                        <pic:blipFill>
                          <a:blip r:embed="rId310" cstate="print">
                            <a:extLst>
                              <a:ext uri="{28A0092B-C50C-407E-A947-70E740481C1C}">
                                <a14:useLocalDpi xmlns:a14="http://schemas.microsoft.com/office/drawing/2010/main" val="0"/>
                              </a:ext>
                            </a:extLst>
                          </a:blip>
                          <a:srcRect/>
                          <a:stretch>
                            <a:fillRect/>
                          </a:stretch>
                        </pic:blipFill>
                        <pic:spPr bwMode="auto">
                          <a:xfrm>
                            <a:off x="0" y="0"/>
                            <a:ext cx="1144235" cy="640080"/>
                          </a:xfrm>
                          <a:prstGeom prst="rect">
                            <a:avLst/>
                          </a:prstGeom>
                          <a:noFill/>
                        </pic:spPr>
                      </pic:pic>
                    </a:graphicData>
                  </a:graphic>
                </wp:inline>
              </w:drawing>
            </w:r>
          </w:p>
          <w:p w14:paraId="6F4D5089" w14:textId="77777777" w:rsidR="002B0711" w:rsidRPr="00677CE8" w:rsidRDefault="002B0711" w:rsidP="002B0711">
            <w:pPr>
              <w:spacing w:after="0" w:line="240" w:lineRule="auto"/>
              <w:jc w:val="center"/>
              <w:rPr>
                <w:sz w:val="20"/>
                <w:szCs w:val="20"/>
              </w:rPr>
            </w:pPr>
            <w:r w:rsidRPr="00677CE8">
              <w:rPr>
                <w:sz w:val="20"/>
                <w:szCs w:val="20"/>
              </w:rPr>
              <w:t>(Cramped interior space)</w:t>
            </w:r>
          </w:p>
        </w:tc>
        <w:tc>
          <w:tcPr>
            <w:tcW w:w="1525" w:type="dxa"/>
            <w:tcBorders>
              <w:top w:val="single" w:sz="12" w:space="0" w:color="auto"/>
              <w:bottom w:val="single" w:sz="12" w:space="0" w:color="auto"/>
            </w:tcBorders>
            <w:shd w:val="clear" w:color="000000" w:fill="FFFFFF"/>
            <w:noWrap/>
          </w:tcPr>
          <w:p w14:paraId="04178997" w14:textId="77777777" w:rsidR="002B0711" w:rsidRPr="00677CE8" w:rsidRDefault="002B0711" w:rsidP="002B0711">
            <w:pPr>
              <w:spacing w:after="0" w:line="240" w:lineRule="auto"/>
              <w:jc w:val="center"/>
              <w:rPr>
                <w:sz w:val="20"/>
                <w:szCs w:val="20"/>
              </w:rPr>
            </w:pPr>
            <w:r w:rsidRPr="00677CE8">
              <w:rPr>
                <w:sz w:val="20"/>
                <w:szCs w:val="20"/>
              </w:rPr>
              <w:t>--</w:t>
            </w:r>
          </w:p>
        </w:tc>
        <w:tc>
          <w:tcPr>
            <w:tcW w:w="1526" w:type="dxa"/>
            <w:tcBorders>
              <w:top w:val="single" w:sz="12" w:space="0" w:color="auto"/>
              <w:bottom w:val="single" w:sz="12" w:space="0" w:color="auto"/>
            </w:tcBorders>
            <w:shd w:val="clear" w:color="000000" w:fill="FFFFFF"/>
            <w:noWrap/>
          </w:tcPr>
          <w:p w14:paraId="1606160A" w14:textId="77777777" w:rsidR="002B0711" w:rsidRPr="00677CE8" w:rsidRDefault="002B0711" w:rsidP="002B0711">
            <w:pPr>
              <w:spacing w:after="0" w:line="240" w:lineRule="auto"/>
              <w:jc w:val="center"/>
              <w:rPr>
                <w:sz w:val="20"/>
                <w:szCs w:val="20"/>
              </w:rPr>
            </w:pPr>
            <w:r w:rsidRPr="00677CE8">
              <w:rPr>
                <w:sz w:val="20"/>
                <w:szCs w:val="20"/>
              </w:rPr>
              <w:t>--</w:t>
            </w:r>
          </w:p>
        </w:tc>
        <w:tc>
          <w:tcPr>
            <w:tcW w:w="1435" w:type="dxa"/>
            <w:tcBorders>
              <w:top w:val="single" w:sz="12" w:space="0" w:color="auto"/>
              <w:bottom w:val="single" w:sz="12" w:space="0" w:color="auto"/>
              <w:right w:val="single" w:sz="12" w:space="0" w:color="auto"/>
            </w:tcBorders>
            <w:shd w:val="clear" w:color="000000" w:fill="FFFFFF"/>
            <w:noWrap/>
          </w:tcPr>
          <w:p w14:paraId="0288293F" w14:textId="77777777" w:rsidR="002B0711" w:rsidRPr="00677CE8" w:rsidRDefault="002B0711" w:rsidP="002B0711">
            <w:pPr>
              <w:spacing w:after="0" w:line="240" w:lineRule="auto"/>
              <w:jc w:val="center"/>
              <w:rPr>
                <w:sz w:val="20"/>
                <w:szCs w:val="20"/>
              </w:rPr>
            </w:pPr>
            <w:r w:rsidRPr="00677CE8">
              <w:rPr>
                <w:sz w:val="20"/>
                <w:szCs w:val="20"/>
              </w:rPr>
              <w:t>--</w:t>
            </w:r>
          </w:p>
        </w:tc>
      </w:tr>
      <w:tr w:rsidR="002B0711" w:rsidRPr="00677CE8" w14:paraId="3A65428A" w14:textId="77777777" w:rsidTr="00E83B07">
        <w:trPr>
          <w:trHeight w:val="19"/>
        </w:trPr>
        <w:tc>
          <w:tcPr>
            <w:tcW w:w="1402" w:type="dxa"/>
            <w:vMerge w:val="restart"/>
            <w:tcBorders>
              <w:top w:val="single" w:sz="12" w:space="0" w:color="auto"/>
              <w:left w:val="single" w:sz="12" w:space="0" w:color="auto"/>
              <w:bottom w:val="single" w:sz="12" w:space="0" w:color="auto"/>
              <w:right w:val="single" w:sz="12" w:space="0" w:color="auto"/>
            </w:tcBorders>
            <w:shd w:val="clear" w:color="000000" w:fill="FFFFFF"/>
            <w:vAlign w:val="center"/>
          </w:tcPr>
          <w:p w14:paraId="54075957" w14:textId="77777777" w:rsidR="002B0711" w:rsidRPr="00677CE8" w:rsidRDefault="002B0711" w:rsidP="00007FF5">
            <w:pPr>
              <w:spacing w:after="0" w:line="240" w:lineRule="auto"/>
              <w:rPr>
                <w:b/>
                <w:bCs/>
                <w:sz w:val="20"/>
                <w:szCs w:val="20"/>
              </w:rPr>
            </w:pPr>
            <w:r w:rsidRPr="00677CE8">
              <w:rPr>
                <w:b/>
                <w:bCs/>
                <w:sz w:val="20"/>
                <w:szCs w:val="20"/>
              </w:rPr>
              <w:t>Environmental Sustainability</w:t>
            </w:r>
            <w:r w:rsidRPr="00677CE8">
              <w:rPr>
                <w:b/>
                <w:bCs/>
                <w:sz w:val="20"/>
                <w:szCs w:val="20"/>
                <w:vertAlign w:val="superscript"/>
              </w:rPr>
              <w:t>‡</w:t>
            </w:r>
            <w:r w:rsidRPr="00677CE8">
              <w:rPr>
                <w:b/>
                <w:bCs/>
                <w:sz w:val="20"/>
                <w:szCs w:val="20"/>
              </w:rPr>
              <w:t xml:space="preserve"> </w:t>
            </w:r>
          </w:p>
        </w:tc>
        <w:tc>
          <w:tcPr>
            <w:tcW w:w="2816" w:type="dxa"/>
            <w:gridSpan w:val="2"/>
            <w:tcBorders>
              <w:top w:val="single" w:sz="12" w:space="0" w:color="auto"/>
              <w:left w:val="single" w:sz="12" w:space="0" w:color="auto"/>
              <w:bottom w:val="nil"/>
            </w:tcBorders>
            <w:shd w:val="clear" w:color="000000" w:fill="FFFFFF"/>
            <w:noWrap/>
            <w:vAlign w:val="center"/>
          </w:tcPr>
          <w:p w14:paraId="38FB42DC" w14:textId="77777777" w:rsidR="002B0711" w:rsidRPr="00677CE8" w:rsidRDefault="002B0711" w:rsidP="002B0711">
            <w:pPr>
              <w:spacing w:after="0" w:line="240" w:lineRule="auto"/>
              <w:jc w:val="center"/>
              <w:rPr>
                <w:sz w:val="20"/>
                <w:szCs w:val="20"/>
              </w:rPr>
            </w:pPr>
            <w:r w:rsidRPr="00677CE8">
              <w:rPr>
                <w:sz w:val="20"/>
                <w:szCs w:val="20"/>
              </w:rPr>
              <w:t>High impact</w:t>
            </w:r>
          </w:p>
        </w:tc>
        <w:tc>
          <w:tcPr>
            <w:tcW w:w="2697" w:type="dxa"/>
            <w:gridSpan w:val="2"/>
            <w:tcBorders>
              <w:top w:val="single" w:sz="12" w:space="0" w:color="auto"/>
              <w:bottom w:val="nil"/>
            </w:tcBorders>
            <w:shd w:val="clear" w:color="000000" w:fill="FFFFFF"/>
            <w:noWrap/>
            <w:vAlign w:val="center"/>
          </w:tcPr>
          <w:p w14:paraId="1A40CD1D" w14:textId="77777777" w:rsidR="002B0711" w:rsidRPr="00677CE8" w:rsidRDefault="002B0711" w:rsidP="002B0711">
            <w:pPr>
              <w:spacing w:after="0" w:line="240" w:lineRule="auto"/>
              <w:jc w:val="center"/>
              <w:rPr>
                <w:sz w:val="20"/>
                <w:szCs w:val="20"/>
              </w:rPr>
            </w:pPr>
            <w:r w:rsidRPr="00677CE8">
              <w:rPr>
                <w:sz w:val="20"/>
                <w:szCs w:val="20"/>
              </w:rPr>
              <w:t>High impact</w:t>
            </w:r>
          </w:p>
        </w:tc>
        <w:tc>
          <w:tcPr>
            <w:tcW w:w="1525" w:type="dxa"/>
            <w:vMerge w:val="restart"/>
            <w:tcBorders>
              <w:top w:val="single" w:sz="12" w:space="0" w:color="auto"/>
              <w:bottom w:val="single" w:sz="12" w:space="0" w:color="auto"/>
            </w:tcBorders>
            <w:shd w:val="clear" w:color="000000" w:fill="FFFFFF"/>
            <w:noWrap/>
          </w:tcPr>
          <w:p w14:paraId="4309872F" w14:textId="77777777" w:rsidR="002B0711" w:rsidRPr="00677CE8" w:rsidRDefault="002B0711" w:rsidP="002B0711">
            <w:pPr>
              <w:spacing w:after="0" w:line="240" w:lineRule="auto"/>
              <w:jc w:val="center"/>
              <w:rPr>
                <w:sz w:val="20"/>
                <w:szCs w:val="20"/>
              </w:rPr>
            </w:pPr>
            <w:r w:rsidRPr="00677CE8">
              <w:rPr>
                <w:sz w:val="20"/>
                <w:szCs w:val="20"/>
              </w:rPr>
              <w:t>High impact</w:t>
            </w:r>
          </w:p>
        </w:tc>
        <w:tc>
          <w:tcPr>
            <w:tcW w:w="1526" w:type="dxa"/>
            <w:vMerge w:val="restart"/>
            <w:tcBorders>
              <w:top w:val="single" w:sz="12" w:space="0" w:color="auto"/>
              <w:bottom w:val="single" w:sz="12" w:space="0" w:color="auto"/>
            </w:tcBorders>
            <w:shd w:val="clear" w:color="000000" w:fill="FFFFFF"/>
            <w:noWrap/>
          </w:tcPr>
          <w:p w14:paraId="5F93F202" w14:textId="77777777" w:rsidR="002B0711" w:rsidRPr="00677CE8" w:rsidRDefault="002B0711" w:rsidP="002B0711">
            <w:pPr>
              <w:spacing w:after="0" w:line="240" w:lineRule="auto"/>
              <w:jc w:val="center"/>
              <w:rPr>
                <w:sz w:val="20"/>
                <w:szCs w:val="20"/>
              </w:rPr>
            </w:pPr>
            <w:r w:rsidRPr="00677CE8">
              <w:rPr>
                <w:sz w:val="20"/>
                <w:szCs w:val="20"/>
              </w:rPr>
              <w:t>Medium impact</w:t>
            </w:r>
          </w:p>
        </w:tc>
        <w:tc>
          <w:tcPr>
            <w:tcW w:w="1435" w:type="dxa"/>
            <w:vMerge w:val="restart"/>
            <w:tcBorders>
              <w:top w:val="single" w:sz="12" w:space="0" w:color="auto"/>
              <w:bottom w:val="single" w:sz="12" w:space="0" w:color="auto"/>
              <w:right w:val="single" w:sz="12" w:space="0" w:color="auto"/>
            </w:tcBorders>
            <w:shd w:val="clear" w:color="000000" w:fill="FFFFFF"/>
            <w:noWrap/>
          </w:tcPr>
          <w:p w14:paraId="49B8320F" w14:textId="77777777" w:rsidR="002B0711" w:rsidRPr="00677CE8" w:rsidRDefault="002B0711" w:rsidP="002B0711">
            <w:pPr>
              <w:spacing w:after="0" w:line="240" w:lineRule="auto"/>
              <w:jc w:val="center"/>
              <w:rPr>
                <w:sz w:val="20"/>
                <w:szCs w:val="20"/>
              </w:rPr>
            </w:pPr>
            <w:r w:rsidRPr="00677CE8">
              <w:rPr>
                <w:sz w:val="20"/>
                <w:szCs w:val="20"/>
              </w:rPr>
              <w:t>High impact</w:t>
            </w:r>
          </w:p>
        </w:tc>
      </w:tr>
      <w:tr w:rsidR="002B0711" w:rsidRPr="00677CE8" w14:paraId="7465C751" w14:textId="77777777" w:rsidTr="00E83B07">
        <w:trPr>
          <w:trHeight w:val="19"/>
        </w:trPr>
        <w:tc>
          <w:tcPr>
            <w:tcW w:w="1402" w:type="dxa"/>
            <w:vMerge/>
            <w:tcBorders>
              <w:left w:val="single" w:sz="12" w:space="0" w:color="auto"/>
              <w:bottom w:val="single" w:sz="12" w:space="0" w:color="auto"/>
              <w:right w:val="single" w:sz="12" w:space="0" w:color="auto"/>
            </w:tcBorders>
            <w:shd w:val="clear" w:color="000000" w:fill="FFFFFF"/>
            <w:vAlign w:val="center"/>
          </w:tcPr>
          <w:p w14:paraId="59B680D9" w14:textId="77777777" w:rsidR="002B0711" w:rsidRPr="00677CE8" w:rsidRDefault="002B0711" w:rsidP="00007FF5">
            <w:pPr>
              <w:spacing w:after="0" w:line="240" w:lineRule="auto"/>
              <w:rPr>
                <w:b/>
                <w:bCs/>
                <w:sz w:val="20"/>
                <w:szCs w:val="20"/>
              </w:rPr>
            </w:pPr>
          </w:p>
        </w:tc>
        <w:tc>
          <w:tcPr>
            <w:tcW w:w="2816" w:type="dxa"/>
            <w:gridSpan w:val="2"/>
            <w:tcBorders>
              <w:left w:val="single" w:sz="12" w:space="0" w:color="auto"/>
              <w:bottom w:val="nil"/>
            </w:tcBorders>
            <w:shd w:val="clear" w:color="000000" w:fill="FFFFFF"/>
            <w:noWrap/>
            <w:vAlign w:val="center"/>
          </w:tcPr>
          <w:p w14:paraId="4979E112" w14:textId="77777777" w:rsidR="002B0711" w:rsidRPr="00677CE8" w:rsidRDefault="002B0711" w:rsidP="002B0711">
            <w:pPr>
              <w:spacing w:after="0" w:line="240" w:lineRule="auto"/>
              <w:jc w:val="center"/>
              <w:rPr>
                <w:sz w:val="20"/>
                <w:szCs w:val="20"/>
              </w:rPr>
            </w:pPr>
            <w:r w:rsidRPr="00677CE8">
              <w:rPr>
                <w:sz w:val="20"/>
                <w:szCs w:val="20"/>
              </w:rPr>
              <w:t>Medium impact</w:t>
            </w:r>
          </w:p>
        </w:tc>
        <w:tc>
          <w:tcPr>
            <w:tcW w:w="2697" w:type="dxa"/>
            <w:gridSpan w:val="2"/>
            <w:tcBorders>
              <w:bottom w:val="nil"/>
            </w:tcBorders>
            <w:shd w:val="clear" w:color="000000" w:fill="FFFFFF"/>
            <w:noWrap/>
            <w:vAlign w:val="center"/>
          </w:tcPr>
          <w:p w14:paraId="63BC3A04" w14:textId="77777777" w:rsidR="002B0711" w:rsidRPr="00677CE8" w:rsidRDefault="002B0711" w:rsidP="002B0711">
            <w:pPr>
              <w:spacing w:after="0" w:line="240" w:lineRule="auto"/>
              <w:jc w:val="center"/>
              <w:rPr>
                <w:sz w:val="20"/>
                <w:szCs w:val="20"/>
              </w:rPr>
            </w:pPr>
            <w:r w:rsidRPr="00677CE8">
              <w:rPr>
                <w:sz w:val="20"/>
                <w:szCs w:val="20"/>
              </w:rPr>
              <w:t>Medium impact</w:t>
            </w:r>
          </w:p>
        </w:tc>
        <w:tc>
          <w:tcPr>
            <w:tcW w:w="1525" w:type="dxa"/>
            <w:vMerge/>
            <w:tcBorders>
              <w:bottom w:val="single" w:sz="12" w:space="0" w:color="auto"/>
            </w:tcBorders>
            <w:shd w:val="clear" w:color="000000" w:fill="FFFFFF"/>
            <w:noWrap/>
            <w:vAlign w:val="center"/>
          </w:tcPr>
          <w:p w14:paraId="470A9A6C" w14:textId="77777777" w:rsidR="002B0711" w:rsidRPr="00677CE8" w:rsidRDefault="002B0711" w:rsidP="002B0711">
            <w:pPr>
              <w:spacing w:after="0" w:line="240" w:lineRule="auto"/>
              <w:jc w:val="center"/>
              <w:rPr>
                <w:sz w:val="20"/>
                <w:szCs w:val="20"/>
              </w:rPr>
            </w:pPr>
          </w:p>
        </w:tc>
        <w:tc>
          <w:tcPr>
            <w:tcW w:w="1526" w:type="dxa"/>
            <w:vMerge/>
            <w:tcBorders>
              <w:bottom w:val="single" w:sz="12" w:space="0" w:color="auto"/>
            </w:tcBorders>
            <w:shd w:val="clear" w:color="000000" w:fill="FFFFFF"/>
            <w:noWrap/>
            <w:vAlign w:val="center"/>
          </w:tcPr>
          <w:p w14:paraId="7CD2FB72" w14:textId="77777777" w:rsidR="002B0711" w:rsidRPr="00677CE8" w:rsidRDefault="002B0711" w:rsidP="002B0711">
            <w:pPr>
              <w:spacing w:after="0" w:line="240" w:lineRule="auto"/>
              <w:jc w:val="center"/>
              <w:rPr>
                <w:sz w:val="20"/>
                <w:szCs w:val="20"/>
              </w:rPr>
            </w:pPr>
          </w:p>
        </w:tc>
        <w:tc>
          <w:tcPr>
            <w:tcW w:w="1435" w:type="dxa"/>
            <w:vMerge/>
            <w:tcBorders>
              <w:bottom w:val="single" w:sz="12" w:space="0" w:color="auto"/>
              <w:right w:val="single" w:sz="12" w:space="0" w:color="auto"/>
            </w:tcBorders>
            <w:shd w:val="clear" w:color="000000" w:fill="FFFFFF"/>
            <w:noWrap/>
            <w:vAlign w:val="center"/>
          </w:tcPr>
          <w:p w14:paraId="450538ED" w14:textId="77777777" w:rsidR="002B0711" w:rsidRPr="00677CE8" w:rsidRDefault="002B0711" w:rsidP="002B0711">
            <w:pPr>
              <w:spacing w:after="0" w:line="240" w:lineRule="auto"/>
              <w:jc w:val="center"/>
              <w:rPr>
                <w:sz w:val="20"/>
                <w:szCs w:val="20"/>
              </w:rPr>
            </w:pPr>
          </w:p>
        </w:tc>
      </w:tr>
      <w:tr w:rsidR="002B0711" w:rsidRPr="00677CE8" w14:paraId="4F0F3D6F" w14:textId="77777777" w:rsidTr="00E83B07">
        <w:trPr>
          <w:trHeight w:val="19"/>
        </w:trPr>
        <w:tc>
          <w:tcPr>
            <w:tcW w:w="1402" w:type="dxa"/>
            <w:vMerge/>
            <w:tcBorders>
              <w:left w:val="single" w:sz="12" w:space="0" w:color="auto"/>
              <w:bottom w:val="single" w:sz="12" w:space="0" w:color="auto"/>
              <w:right w:val="single" w:sz="12" w:space="0" w:color="auto"/>
            </w:tcBorders>
            <w:shd w:val="clear" w:color="000000" w:fill="FFFFFF"/>
            <w:vAlign w:val="center"/>
          </w:tcPr>
          <w:p w14:paraId="7F9C6BDA" w14:textId="77777777" w:rsidR="002B0711" w:rsidRPr="00677CE8" w:rsidRDefault="002B0711" w:rsidP="00007FF5">
            <w:pPr>
              <w:spacing w:after="0" w:line="240" w:lineRule="auto"/>
              <w:rPr>
                <w:b/>
                <w:bCs/>
                <w:sz w:val="20"/>
                <w:szCs w:val="20"/>
              </w:rPr>
            </w:pPr>
          </w:p>
        </w:tc>
        <w:tc>
          <w:tcPr>
            <w:tcW w:w="2816" w:type="dxa"/>
            <w:gridSpan w:val="2"/>
            <w:tcBorders>
              <w:left w:val="single" w:sz="12" w:space="0" w:color="auto"/>
              <w:bottom w:val="single" w:sz="12" w:space="0" w:color="auto"/>
            </w:tcBorders>
            <w:shd w:val="clear" w:color="000000" w:fill="FFFFFF"/>
            <w:noWrap/>
            <w:vAlign w:val="bottom"/>
          </w:tcPr>
          <w:p w14:paraId="2EE28D19" w14:textId="77777777" w:rsidR="002B0711" w:rsidRPr="00677CE8" w:rsidRDefault="002B0711" w:rsidP="002B0711">
            <w:pPr>
              <w:spacing w:after="0" w:line="240" w:lineRule="auto"/>
              <w:jc w:val="center"/>
              <w:rPr>
                <w:sz w:val="20"/>
                <w:szCs w:val="20"/>
              </w:rPr>
            </w:pPr>
            <w:r w:rsidRPr="00677CE8">
              <w:rPr>
                <w:sz w:val="20"/>
                <w:szCs w:val="20"/>
              </w:rPr>
              <w:t>Low impact</w:t>
            </w:r>
          </w:p>
        </w:tc>
        <w:tc>
          <w:tcPr>
            <w:tcW w:w="2697" w:type="dxa"/>
            <w:gridSpan w:val="2"/>
            <w:tcBorders>
              <w:bottom w:val="single" w:sz="12" w:space="0" w:color="auto"/>
            </w:tcBorders>
            <w:shd w:val="clear" w:color="000000" w:fill="FFFFFF"/>
            <w:noWrap/>
            <w:vAlign w:val="bottom"/>
          </w:tcPr>
          <w:p w14:paraId="444BB825" w14:textId="77777777" w:rsidR="002B0711" w:rsidRPr="00677CE8" w:rsidRDefault="002B0711" w:rsidP="002B0711">
            <w:pPr>
              <w:spacing w:after="0" w:line="240" w:lineRule="auto"/>
              <w:jc w:val="center"/>
              <w:rPr>
                <w:sz w:val="20"/>
                <w:szCs w:val="20"/>
              </w:rPr>
            </w:pPr>
            <w:r w:rsidRPr="00677CE8">
              <w:rPr>
                <w:sz w:val="20"/>
                <w:szCs w:val="20"/>
              </w:rPr>
              <w:t>Low impact</w:t>
            </w:r>
          </w:p>
        </w:tc>
        <w:tc>
          <w:tcPr>
            <w:tcW w:w="1525" w:type="dxa"/>
            <w:vMerge/>
            <w:tcBorders>
              <w:bottom w:val="single" w:sz="12" w:space="0" w:color="auto"/>
            </w:tcBorders>
            <w:shd w:val="clear" w:color="000000" w:fill="FFFFFF"/>
            <w:noWrap/>
            <w:vAlign w:val="bottom"/>
          </w:tcPr>
          <w:p w14:paraId="27E448E5" w14:textId="77777777" w:rsidR="002B0711" w:rsidRPr="00677CE8" w:rsidRDefault="002B0711" w:rsidP="002B0711">
            <w:pPr>
              <w:spacing w:after="0" w:line="240" w:lineRule="auto"/>
              <w:jc w:val="center"/>
              <w:rPr>
                <w:sz w:val="20"/>
                <w:szCs w:val="20"/>
              </w:rPr>
            </w:pPr>
          </w:p>
        </w:tc>
        <w:tc>
          <w:tcPr>
            <w:tcW w:w="1526" w:type="dxa"/>
            <w:vMerge/>
            <w:tcBorders>
              <w:bottom w:val="single" w:sz="12" w:space="0" w:color="auto"/>
            </w:tcBorders>
            <w:shd w:val="clear" w:color="000000" w:fill="FFFFFF"/>
            <w:noWrap/>
            <w:vAlign w:val="bottom"/>
          </w:tcPr>
          <w:p w14:paraId="7BCD50C7" w14:textId="77777777" w:rsidR="002B0711" w:rsidRPr="00677CE8" w:rsidRDefault="002B0711" w:rsidP="002B0711">
            <w:pPr>
              <w:spacing w:after="0" w:line="240" w:lineRule="auto"/>
              <w:jc w:val="center"/>
              <w:rPr>
                <w:sz w:val="20"/>
                <w:szCs w:val="20"/>
              </w:rPr>
            </w:pPr>
          </w:p>
        </w:tc>
        <w:tc>
          <w:tcPr>
            <w:tcW w:w="1435" w:type="dxa"/>
            <w:vMerge/>
            <w:tcBorders>
              <w:bottom w:val="single" w:sz="12" w:space="0" w:color="auto"/>
              <w:right w:val="single" w:sz="12" w:space="0" w:color="auto"/>
            </w:tcBorders>
            <w:shd w:val="clear" w:color="000000" w:fill="FFFFFF"/>
            <w:noWrap/>
            <w:vAlign w:val="bottom"/>
          </w:tcPr>
          <w:p w14:paraId="0EA0EF76" w14:textId="77777777" w:rsidR="002B0711" w:rsidRPr="00677CE8" w:rsidRDefault="002B0711" w:rsidP="002B0711">
            <w:pPr>
              <w:spacing w:after="0" w:line="240" w:lineRule="auto"/>
              <w:jc w:val="center"/>
              <w:rPr>
                <w:sz w:val="20"/>
                <w:szCs w:val="20"/>
              </w:rPr>
            </w:pPr>
          </w:p>
        </w:tc>
      </w:tr>
      <w:tr w:rsidR="002B0711" w:rsidRPr="00677CE8" w14:paraId="04D3EDA0" w14:textId="77777777" w:rsidTr="00E83B07">
        <w:trPr>
          <w:trHeight w:val="19"/>
        </w:trPr>
        <w:tc>
          <w:tcPr>
            <w:tcW w:w="1402" w:type="dxa"/>
            <w:vMerge w:val="restart"/>
            <w:tcBorders>
              <w:top w:val="single" w:sz="12" w:space="0" w:color="auto"/>
              <w:left w:val="single" w:sz="12" w:space="0" w:color="auto"/>
              <w:bottom w:val="single" w:sz="12" w:space="0" w:color="auto"/>
              <w:right w:val="single" w:sz="12" w:space="0" w:color="auto"/>
            </w:tcBorders>
            <w:shd w:val="clear" w:color="000000" w:fill="FFFFFF"/>
            <w:vAlign w:val="center"/>
          </w:tcPr>
          <w:p w14:paraId="620F3A4F" w14:textId="4C04A545" w:rsidR="002B0711" w:rsidRPr="00677CE8" w:rsidRDefault="002B0711" w:rsidP="00007FF5">
            <w:pPr>
              <w:spacing w:after="0" w:line="240" w:lineRule="auto"/>
              <w:rPr>
                <w:b/>
                <w:bCs/>
                <w:sz w:val="20"/>
                <w:szCs w:val="20"/>
              </w:rPr>
            </w:pPr>
            <w:r w:rsidRPr="00677CE8">
              <w:rPr>
                <w:b/>
                <w:bCs/>
                <w:sz w:val="20"/>
                <w:szCs w:val="20"/>
              </w:rPr>
              <w:t>UAM</w:t>
            </w:r>
            <w:r w:rsidR="00F3557E">
              <w:rPr>
                <w:b/>
                <w:bCs/>
                <w:sz w:val="20"/>
                <w:szCs w:val="20"/>
              </w:rPr>
              <w:t xml:space="preserve"> Crash-Related</w:t>
            </w:r>
            <w:r w:rsidRPr="00677CE8">
              <w:rPr>
                <w:b/>
                <w:bCs/>
                <w:sz w:val="20"/>
                <w:szCs w:val="20"/>
              </w:rPr>
              <w:t xml:space="preserve"> Safety</w:t>
            </w:r>
            <w:r w:rsidR="00F3557E">
              <w:rPr>
                <w:b/>
                <w:bCs/>
                <w:sz w:val="20"/>
                <w:szCs w:val="20"/>
              </w:rPr>
              <w:t xml:space="preserve"> Level</w:t>
            </w:r>
            <w:r w:rsidRPr="00677CE8">
              <w:rPr>
                <w:b/>
                <w:bCs/>
                <w:sz w:val="20"/>
                <w:szCs w:val="20"/>
                <w:vertAlign w:val="superscript"/>
              </w:rPr>
              <w:t>‡</w:t>
            </w:r>
            <w:r w:rsidRPr="00677CE8">
              <w:rPr>
                <w:b/>
                <w:bCs/>
                <w:sz w:val="20"/>
                <w:szCs w:val="20"/>
              </w:rPr>
              <w:t xml:space="preserve"> </w:t>
            </w:r>
          </w:p>
        </w:tc>
        <w:tc>
          <w:tcPr>
            <w:tcW w:w="2816" w:type="dxa"/>
            <w:gridSpan w:val="2"/>
            <w:tcBorders>
              <w:top w:val="single" w:sz="12" w:space="0" w:color="auto"/>
              <w:left w:val="single" w:sz="12" w:space="0" w:color="auto"/>
            </w:tcBorders>
            <w:shd w:val="clear" w:color="000000" w:fill="FFFFFF"/>
            <w:noWrap/>
            <w:vAlign w:val="center"/>
          </w:tcPr>
          <w:p w14:paraId="7D3CD617" w14:textId="08A4A48F" w:rsidR="002B0711" w:rsidRPr="00677CE8" w:rsidRDefault="002B0711" w:rsidP="002B0711">
            <w:pPr>
              <w:spacing w:after="0" w:line="240" w:lineRule="auto"/>
              <w:jc w:val="center"/>
              <w:rPr>
                <w:sz w:val="20"/>
                <w:szCs w:val="20"/>
              </w:rPr>
            </w:pPr>
            <w:r w:rsidRPr="00677CE8">
              <w:rPr>
                <w:sz w:val="20"/>
                <w:szCs w:val="20"/>
              </w:rPr>
              <w:t>More crashes per mile than ground vehicles</w:t>
            </w:r>
          </w:p>
        </w:tc>
        <w:tc>
          <w:tcPr>
            <w:tcW w:w="2697" w:type="dxa"/>
            <w:gridSpan w:val="2"/>
            <w:tcBorders>
              <w:top w:val="single" w:sz="12" w:space="0" w:color="auto"/>
            </w:tcBorders>
            <w:shd w:val="clear" w:color="000000" w:fill="FFFFFF"/>
            <w:noWrap/>
            <w:vAlign w:val="center"/>
          </w:tcPr>
          <w:p w14:paraId="21EE380E" w14:textId="2F49CA42" w:rsidR="002B0711" w:rsidRPr="00677CE8" w:rsidRDefault="002B0711" w:rsidP="002B0711">
            <w:pPr>
              <w:spacing w:after="0" w:line="240" w:lineRule="auto"/>
              <w:jc w:val="center"/>
              <w:rPr>
                <w:sz w:val="20"/>
                <w:szCs w:val="20"/>
              </w:rPr>
            </w:pPr>
            <w:r w:rsidRPr="00677CE8">
              <w:rPr>
                <w:sz w:val="20"/>
                <w:szCs w:val="20"/>
              </w:rPr>
              <w:t>More crashes per mile than ground vehicles</w:t>
            </w:r>
          </w:p>
        </w:tc>
        <w:tc>
          <w:tcPr>
            <w:tcW w:w="1525" w:type="dxa"/>
            <w:tcBorders>
              <w:top w:val="single" w:sz="12" w:space="0" w:color="auto"/>
            </w:tcBorders>
            <w:shd w:val="clear" w:color="000000" w:fill="FFFFFF"/>
            <w:noWrap/>
          </w:tcPr>
          <w:p w14:paraId="4AE922C3" w14:textId="324A2845" w:rsidR="002B0711" w:rsidRPr="00677CE8" w:rsidRDefault="002B0711" w:rsidP="002B0711">
            <w:pPr>
              <w:spacing w:after="0" w:line="240" w:lineRule="auto"/>
              <w:jc w:val="center"/>
              <w:rPr>
                <w:sz w:val="20"/>
                <w:szCs w:val="20"/>
              </w:rPr>
            </w:pPr>
            <w:r w:rsidRPr="00677CE8">
              <w:rPr>
                <w:sz w:val="20"/>
                <w:szCs w:val="20"/>
              </w:rPr>
              <w:t>--</w:t>
            </w:r>
          </w:p>
        </w:tc>
        <w:tc>
          <w:tcPr>
            <w:tcW w:w="1526" w:type="dxa"/>
            <w:tcBorders>
              <w:top w:val="single" w:sz="12" w:space="0" w:color="auto"/>
            </w:tcBorders>
            <w:shd w:val="clear" w:color="000000" w:fill="FFFFFF"/>
            <w:noWrap/>
          </w:tcPr>
          <w:p w14:paraId="6CE77D16" w14:textId="61F79EE7" w:rsidR="002B0711" w:rsidRPr="00677CE8" w:rsidRDefault="002B0711" w:rsidP="002B0711">
            <w:pPr>
              <w:spacing w:after="0" w:line="240" w:lineRule="auto"/>
              <w:jc w:val="center"/>
              <w:rPr>
                <w:sz w:val="20"/>
                <w:szCs w:val="20"/>
              </w:rPr>
            </w:pPr>
            <w:r w:rsidRPr="00677CE8">
              <w:rPr>
                <w:sz w:val="20"/>
                <w:szCs w:val="20"/>
              </w:rPr>
              <w:t>--</w:t>
            </w:r>
          </w:p>
        </w:tc>
        <w:tc>
          <w:tcPr>
            <w:tcW w:w="1435" w:type="dxa"/>
            <w:tcBorders>
              <w:top w:val="single" w:sz="12" w:space="0" w:color="auto"/>
              <w:right w:val="single" w:sz="12" w:space="0" w:color="auto"/>
            </w:tcBorders>
            <w:shd w:val="clear" w:color="000000" w:fill="FFFFFF"/>
            <w:noWrap/>
          </w:tcPr>
          <w:p w14:paraId="07B6A490" w14:textId="7397FAD4" w:rsidR="002B0711" w:rsidRPr="00677CE8" w:rsidRDefault="002B0711" w:rsidP="002B0711">
            <w:pPr>
              <w:spacing w:after="0" w:line="240" w:lineRule="auto"/>
              <w:jc w:val="center"/>
              <w:rPr>
                <w:sz w:val="20"/>
                <w:szCs w:val="20"/>
              </w:rPr>
            </w:pPr>
            <w:r w:rsidRPr="00677CE8">
              <w:rPr>
                <w:sz w:val="20"/>
                <w:szCs w:val="20"/>
              </w:rPr>
              <w:t>--</w:t>
            </w:r>
          </w:p>
        </w:tc>
      </w:tr>
      <w:tr w:rsidR="002B0711" w:rsidRPr="00677CE8" w14:paraId="3AEFB5B2" w14:textId="77777777" w:rsidTr="00E83B07">
        <w:trPr>
          <w:trHeight w:val="19"/>
        </w:trPr>
        <w:tc>
          <w:tcPr>
            <w:tcW w:w="1402" w:type="dxa"/>
            <w:vMerge/>
            <w:tcBorders>
              <w:left w:val="single" w:sz="12" w:space="0" w:color="auto"/>
              <w:bottom w:val="single" w:sz="12" w:space="0" w:color="auto"/>
              <w:right w:val="single" w:sz="12" w:space="0" w:color="auto"/>
            </w:tcBorders>
            <w:shd w:val="clear" w:color="000000" w:fill="FFFFFF"/>
            <w:vAlign w:val="center"/>
          </w:tcPr>
          <w:p w14:paraId="2E4FEF15" w14:textId="77777777" w:rsidR="002B0711" w:rsidRPr="00677CE8" w:rsidRDefault="002B0711" w:rsidP="00007FF5">
            <w:pPr>
              <w:spacing w:after="0" w:line="240" w:lineRule="auto"/>
              <w:rPr>
                <w:b/>
                <w:bCs/>
                <w:sz w:val="20"/>
                <w:szCs w:val="20"/>
              </w:rPr>
            </w:pPr>
          </w:p>
        </w:tc>
        <w:tc>
          <w:tcPr>
            <w:tcW w:w="2816" w:type="dxa"/>
            <w:gridSpan w:val="2"/>
            <w:tcBorders>
              <w:left w:val="single" w:sz="12" w:space="0" w:color="auto"/>
              <w:bottom w:val="single" w:sz="12" w:space="0" w:color="auto"/>
            </w:tcBorders>
            <w:shd w:val="clear" w:color="000000" w:fill="FFFFFF"/>
            <w:noWrap/>
            <w:vAlign w:val="center"/>
          </w:tcPr>
          <w:p w14:paraId="4B93C116" w14:textId="3CE10451" w:rsidR="002B0711" w:rsidRPr="00677CE8" w:rsidRDefault="002B0711" w:rsidP="002B0711">
            <w:pPr>
              <w:spacing w:after="0" w:line="240" w:lineRule="auto"/>
              <w:jc w:val="center"/>
              <w:rPr>
                <w:sz w:val="20"/>
                <w:szCs w:val="20"/>
              </w:rPr>
            </w:pPr>
            <w:r w:rsidRPr="00677CE8">
              <w:rPr>
                <w:sz w:val="20"/>
                <w:szCs w:val="20"/>
              </w:rPr>
              <w:t>Fewer crashes per mile than ground vehicles</w:t>
            </w:r>
          </w:p>
        </w:tc>
        <w:tc>
          <w:tcPr>
            <w:tcW w:w="2697" w:type="dxa"/>
            <w:gridSpan w:val="2"/>
            <w:tcBorders>
              <w:bottom w:val="single" w:sz="12" w:space="0" w:color="auto"/>
            </w:tcBorders>
            <w:shd w:val="clear" w:color="000000" w:fill="FFFFFF"/>
            <w:noWrap/>
            <w:vAlign w:val="center"/>
          </w:tcPr>
          <w:p w14:paraId="7E633544" w14:textId="1F6F7610" w:rsidR="002B0711" w:rsidRPr="00677CE8" w:rsidRDefault="002B0711" w:rsidP="002B0711">
            <w:pPr>
              <w:spacing w:after="0" w:line="240" w:lineRule="auto"/>
              <w:jc w:val="center"/>
              <w:rPr>
                <w:sz w:val="20"/>
                <w:szCs w:val="20"/>
              </w:rPr>
            </w:pPr>
            <w:r w:rsidRPr="00677CE8">
              <w:rPr>
                <w:sz w:val="20"/>
                <w:szCs w:val="20"/>
              </w:rPr>
              <w:t>Fewer crashes per mile than ground vehicles</w:t>
            </w:r>
          </w:p>
        </w:tc>
        <w:tc>
          <w:tcPr>
            <w:tcW w:w="1525" w:type="dxa"/>
            <w:tcBorders>
              <w:bottom w:val="single" w:sz="12" w:space="0" w:color="auto"/>
            </w:tcBorders>
            <w:shd w:val="clear" w:color="000000" w:fill="FFFFFF"/>
            <w:noWrap/>
            <w:vAlign w:val="bottom"/>
          </w:tcPr>
          <w:p w14:paraId="3EFF6E76" w14:textId="77777777" w:rsidR="002B0711" w:rsidRPr="00677CE8" w:rsidRDefault="002B0711" w:rsidP="002B0711">
            <w:pPr>
              <w:spacing w:after="0" w:line="240" w:lineRule="auto"/>
              <w:jc w:val="center"/>
              <w:rPr>
                <w:sz w:val="20"/>
                <w:szCs w:val="20"/>
              </w:rPr>
            </w:pPr>
          </w:p>
        </w:tc>
        <w:tc>
          <w:tcPr>
            <w:tcW w:w="1526" w:type="dxa"/>
            <w:tcBorders>
              <w:bottom w:val="single" w:sz="12" w:space="0" w:color="auto"/>
            </w:tcBorders>
            <w:shd w:val="clear" w:color="000000" w:fill="FFFFFF"/>
            <w:noWrap/>
            <w:vAlign w:val="bottom"/>
          </w:tcPr>
          <w:p w14:paraId="683D68FA" w14:textId="77777777" w:rsidR="002B0711" w:rsidRPr="00677CE8" w:rsidRDefault="002B0711" w:rsidP="002B0711">
            <w:pPr>
              <w:spacing w:after="0" w:line="240" w:lineRule="auto"/>
              <w:jc w:val="center"/>
              <w:rPr>
                <w:sz w:val="20"/>
                <w:szCs w:val="20"/>
              </w:rPr>
            </w:pPr>
          </w:p>
        </w:tc>
        <w:tc>
          <w:tcPr>
            <w:tcW w:w="1435" w:type="dxa"/>
            <w:tcBorders>
              <w:bottom w:val="single" w:sz="12" w:space="0" w:color="auto"/>
              <w:right w:val="single" w:sz="12" w:space="0" w:color="auto"/>
            </w:tcBorders>
            <w:shd w:val="clear" w:color="000000" w:fill="FFFFFF"/>
            <w:noWrap/>
            <w:vAlign w:val="bottom"/>
          </w:tcPr>
          <w:p w14:paraId="16F11CEF" w14:textId="77777777" w:rsidR="002B0711" w:rsidRPr="00677CE8" w:rsidRDefault="002B0711" w:rsidP="002B0711">
            <w:pPr>
              <w:spacing w:after="0" w:line="240" w:lineRule="auto"/>
              <w:jc w:val="center"/>
              <w:rPr>
                <w:sz w:val="20"/>
                <w:szCs w:val="20"/>
              </w:rPr>
            </w:pPr>
          </w:p>
        </w:tc>
      </w:tr>
      <w:tr w:rsidR="002B0711" w:rsidRPr="00677CE8" w14:paraId="2812B62D" w14:textId="77777777" w:rsidTr="00E83B07">
        <w:trPr>
          <w:trHeight w:val="19"/>
        </w:trPr>
        <w:tc>
          <w:tcPr>
            <w:tcW w:w="1402" w:type="dxa"/>
            <w:vMerge w:val="restart"/>
            <w:tcBorders>
              <w:top w:val="single" w:sz="12" w:space="0" w:color="auto"/>
              <w:left w:val="single" w:sz="12" w:space="0" w:color="auto"/>
              <w:bottom w:val="single" w:sz="12" w:space="0" w:color="auto"/>
              <w:right w:val="single" w:sz="12" w:space="0" w:color="auto"/>
            </w:tcBorders>
            <w:shd w:val="clear" w:color="000000" w:fill="FFFFFF"/>
            <w:vAlign w:val="center"/>
          </w:tcPr>
          <w:p w14:paraId="7A62D84B" w14:textId="3613E3D6" w:rsidR="002B0711" w:rsidRPr="00677CE8" w:rsidRDefault="002B0711" w:rsidP="00007FF5">
            <w:pPr>
              <w:spacing w:after="0" w:line="240" w:lineRule="auto"/>
              <w:rPr>
                <w:b/>
                <w:bCs/>
                <w:sz w:val="20"/>
                <w:szCs w:val="20"/>
              </w:rPr>
            </w:pPr>
            <w:r w:rsidRPr="00677CE8">
              <w:rPr>
                <w:b/>
                <w:bCs/>
                <w:sz w:val="20"/>
                <w:szCs w:val="20"/>
              </w:rPr>
              <w:t>In-Vehicle Personal Safety Monitoring</w:t>
            </w:r>
            <w:r w:rsidRPr="00677CE8">
              <w:rPr>
                <w:b/>
                <w:bCs/>
                <w:sz w:val="20"/>
                <w:szCs w:val="20"/>
                <w:vertAlign w:val="superscript"/>
              </w:rPr>
              <w:t>§</w:t>
            </w:r>
          </w:p>
        </w:tc>
        <w:tc>
          <w:tcPr>
            <w:tcW w:w="2816" w:type="dxa"/>
            <w:gridSpan w:val="2"/>
            <w:tcBorders>
              <w:top w:val="single" w:sz="12" w:space="0" w:color="auto"/>
              <w:left w:val="single" w:sz="12" w:space="0" w:color="auto"/>
            </w:tcBorders>
            <w:shd w:val="clear" w:color="000000" w:fill="FFFFFF"/>
            <w:noWrap/>
            <w:vAlign w:val="center"/>
          </w:tcPr>
          <w:p w14:paraId="3D10B54D" w14:textId="34186594" w:rsidR="002B0711" w:rsidRPr="00677CE8" w:rsidRDefault="002B0711" w:rsidP="002B0711">
            <w:pPr>
              <w:spacing w:after="0" w:line="240" w:lineRule="auto"/>
              <w:jc w:val="center"/>
              <w:rPr>
                <w:sz w:val="20"/>
                <w:szCs w:val="20"/>
              </w:rPr>
            </w:pPr>
            <w:r w:rsidRPr="00677CE8">
              <w:rPr>
                <w:sz w:val="20"/>
                <w:szCs w:val="20"/>
              </w:rPr>
              <w:t>No Monitoring</w:t>
            </w:r>
          </w:p>
        </w:tc>
        <w:tc>
          <w:tcPr>
            <w:tcW w:w="2697" w:type="dxa"/>
            <w:gridSpan w:val="2"/>
            <w:tcBorders>
              <w:top w:val="single" w:sz="12" w:space="0" w:color="auto"/>
            </w:tcBorders>
            <w:shd w:val="clear" w:color="000000" w:fill="FFFFFF"/>
            <w:noWrap/>
            <w:vAlign w:val="center"/>
          </w:tcPr>
          <w:p w14:paraId="45080EC8" w14:textId="26FDBAA1" w:rsidR="002B0711" w:rsidRPr="00677CE8" w:rsidRDefault="002B0711" w:rsidP="002B0711">
            <w:pPr>
              <w:spacing w:after="0" w:line="240" w:lineRule="auto"/>
              <w:jc w:val="center"/>
              <w:rPr>
                <w:sz w:val="20"/>
                <w:szCs w:val="20"/>
              </w:rPr>
            </w:pPr>
            <w:r w:rsidRPr="00677CE8">
              <w:rPr>
                <w:sz w:val="20"/>
                <w:szCs w:val="20"/>
              </w:rPr>
              <w:t>No Monitoring</w:t>
            </w:r>
          </w:p>
        </w:tc>
        <w:tc>
          <w:tcPr>
            <w:tcW w:w="1525" w:type="dxa"/>
            <w:tcBorders>
              <w:top w:val="single" w:sz="12" w:space="0" w:color="auto"/>
            </w:tcBorders>
            <w:shd w:val="clear" w:color="000000" w:fill="FFFFFF"/>
            <w:noWrap/>
            <w:vAlign w:val="center"/>
          </w:tcPr>
          <w:p w14:paraId="612BF741" w14:textId="6EED807C" w:rsidR="002B0711" w:rsidRPr="00677CE8" w:rsidRDefault="002B0711" w:rsidP="002B0711">
            <w:pPr>
              <w:spacing w:after="0" w:line="240" w:lineRule="auto"/>
              <w:jc w:val="center"/>
              <w:rPr>
                <w:sz w:val="20"/>
                <w:szCs w:val="20"/>
              </w:rPr>
            </w:pPr>
            <w:r w:rsidRPr="00677CE8">
              <w:rPr>
                <w:sz w:val="20"/>
                <w:szCs w:val="20"/>
              </w:rPr>
              <w:t>No Monitoring</w:t>
            </w:r>
          </w:p>
        </w:tc>
        <w:tc>
          <w:tcPr>
            <w:tcW w:w="1526" w:type="dxa"/>
            <w:tcBorders>
              <w:top w:val="single" w:sz="12" w:space="0" w:color="auto"/>
            </w:tcBorders>
            <w:shd w:val="clear" w:color="000000" w:fill="FFFFFF"/>
            <w:noWrap/>
            <w:vAlign w:val="center"/>
          </w:tcPr>
          <w:p w14:paraId="6EB96854" w14:textId="2867189F" w:rsidR="002B0711" w:rsidRPr="00677CE8" w:rsidRDefault="002B0711" w:rsidP="002B0711">
            <w:pPr>
              <w:spacing w:after="0" w:line="240" w:lineRule="auto"/>
              <w:jc w:val="center"/>
              <w:rPr>
                <w:sz w:val="20"/>
                <w:szCs w:val="20"/>
              </w:rPr>
            </w:pPr>
            <w:r w:rsidRPr="00677CE8">
              <w:rPr>
                <w:sz w:val="20"/>
                <w:szCs w:val="20"/>
              </w:rPr>
              <w:t>No Monitoring</w:t>
            </w:r>
          </w:p>
        </w:tc>
        <w:tc>
          <w:tcPr>
            <w:tcW w:w="1435" w:type="dxa"/>
            <w:tcBorders>
              <w:top w:val="single" w:sz="12" w:space="0" w:color="auto"/>
              <w:right w:val="single" w:sz="12" w:space="0" w:color="auto"/>
            </w:tcBorders>
            <w:shd w:val="clear" w:color="000000" w:fill="FFFFFF"/>
            <w:noWrap/>
          </w:tcPr>
          <w:p w14:paraId="59E4580C" w14:textId="1628641B" w:rsidR="002B0711" w:rsidRPr="00677CE8" w:rsidRDefault="002B0711" w:rsidP="002B0711">
            <w:pPr>
              <w:spacing w:after="0" w:line="240" w:lineRule="auto"/>
              <w:jc w:val="center"/>
              <w:rPr>
                <w:sz w:val="20"/>
                <w:szCs w:val="20"/>
              </w:rPr>
            </w:pPr>
            <w:r w:rsidRPr="00677CE8">
              <w:rPr>
                <w:sz w:val="20"/>
                <w:szCs w:val="20"/>
              </w:rPr>
              <w:t>No Monitoring</w:t>
            </w:r>
          </w:p>
        </w:tc>
      </w:tr>
      <w:tr w:rsidR="002B0711" w:rsidRPr="00677CE8" w14:paraId="533EE7E4" w14:textId="77777777" w:rsidTr="00E83B07">
        <w:trPr>
          <w:trHeight w:val="19"/>
        </w:trPr>
        <w:tc>
          <w:tcPr>
            <w:tcW w:w="1402" w:type="dxa"/>
            <w:vMerge/>
            <w:tcBorders>
              <w:left w:val="single" w:sz="12" w:space="0" w:color="auto"/>
              <w:bottom w:val="single" w:sz="12" w:space="0" w:color="auto"/>
              <w:right w:val="single" w:sz="12" w:space="0" w:color="auto"/>
            </w:tcBorders>
            <w:shd w:val="clear" w:color="000000" w:fill="FFFFFF"/>
            <w:vAlign w:val="center"/>
          </w:tcPr>
          <w:p w14:paraId="0101E35B" w14:textId="77777777" w:rsidR="002B0711" w:rsidRPr="00677CE8" w:rsidRDefault="002B0711" w:rsidP="002B0711">
            <w:pPr>
              <w:spacing w:after="0" w:line="240" w:lineRule="auto"/>
              <w:jc w:val="both"/>
              <w:rPr>
                <w:b/>
                <w:bCs/>
                <w:sz w:val="20"/>
                <w:szCs w:val="20"/>
              </w:rPr>
            </w:pPr>
          </w:p>
        </w:tc>
        <w:tc>
          <w:tcPr>
            <w:tcW w:w="2816" w:type="dxa"/>
            <w:gridSpan w:val="2"/>
            <w:tcBorders>
              <w:left w:val="single" w:sz="12" w:space="0" w:color="auto"/>
            </w:tcBorders>
            <w:shd w:val="clear" w:color="000000" w:fill="FFFFFF"/>
            <w:noWrap/>
            <w:vAlign w:val="bottom"/>
          </w:tcPr>
          <w:p w14:paraId="407BCCB6" w14:textId="26951935" w:rsidR="002B0711" w:rsidRPr="00677CE8" w:rsidRDefault="002B0711" w:rsidP="002B0711">
            <w:pPr>
              <w:spacing w:after="0" w:line="240" w:lineRule="auto"/>
              <w:jc w:val="center"/>
              <w:rPr>
                <w:sz w:val="20"/>
                <w:szCs w:val="20"/>
              </w:rPr>
            </w:pPr>
            <w:r w:rsidRPr="00677CE8">
              <w:rPr>
                <w:sz w:val="20"/>
                <w:szCs w:val="20"/>
              </w:rPr>
              <w:t>Remotely monitored</w:t>
            </w:r>
          </w:p>
        </w:tc>
        <w:tc>
          <w:tcPr>
            <w:tcW w:w="2697" w:type="dxa"/>
            <w:gridSpan w:val="2"/>
            <w:shd w:val="clear" w:color="000000" w:fill="FFFFFF"/>
            <w:noWrap/>
            <w:vAlign w:val="bottom"/>
          </w:tcPr>
          <w:p w14:paraId="686933DD" w14:textId="40F4BEFA" w:rsidR="002B0711" w:rsidRPr="00677CE8" w:rsidRDefault="002B0711" w:rsidP="002B0711">
            <w:pPr>
              <w:spacing w:after="0" w:line="240" w:lineRule="auto"/>
              <w:jc w:val="center"/>
              <w:rPr>
                <w:sz w:val="20"/>
                <w:szCs w:val="20"/>
              </w:rPr>
            </w:pPr>
            <w:r w:rsidRPr="00677CE8">
              <w:rPr>
                <w:sz w:val="20"/>
                <w:szCs w:val="20"/>
              </w:rPr>
              <w:t>Remotely monitored</w:t>
            </w:r>
          </w:p>
        </w:tc>
        <w:tc>
          <w:tcPr>
            <w:tcW w:w="1525" w:type="dxa"/>
            <w:shd w:val="clear" w:color="000000" w:fill="FFFFFF"/>
            <w:noWrap/>
            <w:vAlign w:val="center"/>
          </w:tcPr>
          <w:p w14:paraId="26F7911C" w14:textId="084F438E" w:rsidR="002B0711" w:rsidRPr="00677CE8" w:rsidRDefault="002B0711" w:rsidP="002B0711">
            <w:pPr>
              <w:spacing w:after="0" w:line="240" w:lineRule="auto"/>
              <w:jc w:val="center"/>
              <w:rPr>
                <w:sz w:val="20"/>
                <w:szCs w:val="20"/>
              </w:rPr>
            </w:pPr>
            <w:r w:rsidRPr="00677CE8">
              <w:rPr>
                <w:sz w:val="20"/>
                <w:szCs w:val="20"/>
              </w:rPr>
              <w:t>Remotely monitored</w:t>
            </w:r>
          </w:p>
        </w:tc>
        <w:tc>
          <w:tcPr>
            <w:tcW w:w="1526" w:type="dxa"/>
            <w:shd w:val="clear" w:color="000000" w:fill="FFFFFF"/>
            <w:noWrap/>
            <w:vAlign w:val="center"/>
          </w:tcPr>
          <w:p w14:paraId="0286A143" w14:textId="63DF640B" w:rsidR="002B0711" w:rsidRPr="00677CE8" w:rsidRDefault="002B0711" w:rsidP="002B0711">
            <w:pPr>
              <w:spacing w:after="0" w:line="240" w:lineRule="auto"/>
              <w:jc w:val="center"/>
              <w:rPr>
                <w:sz w:val="20"/>
                <w:szCs w:val="20"/>
              </w:rPr>
            </w:pPr>
            <w:r w:rsidRPr="00677CE8">
              <w:rPr>
                <w:sz w:val="20"/>
                <w:szCs w:val="20"/>
              </w:rPr>
              <w:t>Remotely monitored</w:t>
            </w:r>
          </w:p>
        </w:tc>
        <w:tc>
          <w:tcPr>
            <w:tcW w:w="1435" w:type="dxa"/>
            <w:tcBorders>
              <w:right w:val="single" w:sz="12" w:space="0" w:color="auto"/>
            </w:tcBorders>
            <w:shd w:val="clear" w:color="000000" w:fill="FFFFFF"/>
            <w:noWrap/>
            <w:vAlign w:val="center"/>
          </w:tcPr>
          <w:p w14:paraId="01E542C3" w14:textId="77777777" w:rsidR="002B0711" w:rsidRPr="00677CE8" w:rsidRDefault="002B0711" w:rsidP="002B0711">
            <w:pPr>
              <w:spacing w:after="0" w:line="240" w:lineRule="auto"/>
              <w:jc w:val="center"/>
              <w:rPr>
                <w:sz w:val="20"/>
                <w:szCs w:val="20"/>
              </w:rPr>
            </w:pPr>
          </w:p>
        </w:tc>
      </w:tr>
      <w:tr w:rsidR="002B0711" w:rsidRPr="00677CE8" w14:paraId="5C431A5B" w14:textId="77777777" w:rsidTr="00E83B07">
        <w:trPr>
          <w:trHeight w:val="19"/>
        </w:trPr>
        <w:tc>
          <w:tcPr>
            <w:tcW w:w="1402" w:type="dxa"/>
            <w:vMerge/>
            <w:tcBorders>
              <w:left w:val="single" w:sz="12" w:space="0" w:color="auto"/>
              <w:bottom w:val="single" w:sz="12" w:space="0" w:color="auto"/>
              <w:right w:val="single" w:sz="12" w:space="0" w:color="auto"/>
            </w:tcBorders>
            <w:shd w:val="clear" w:color="000000" w:fill="FFFFFF"/>
            <w:vAlign w:val="center"/>
          </w:tcPr>
          <w:p w14:paraId="5593374C" w14:textId="77777777" w:rsidR="002B0711" w:rsidRPr="00677CE8" w:rsidRDefault="002B0711" w:rsidP="002B0711">
            <w:pPr>
              <w:spacing w:after="0" w:line="240" w:lineRule="auto"/>
              <w:jc w:val="both"/>
              <w:rPr>
                <w:b/>
                <w:bCs/>
                <w:sz w:val="20"/>
                <w:szCs w:val="20"/>
              </w:rPr>
            </w:pPr>
          </w:p>
        </w:tc>
        <w:tc>
          <w:tcPr>
            <w:tcW w:w="2816" w:type="dxa"/>
            <w:gridSpan w:val="2"/>
            <w:tcBorders>
              <w:left w:val="single" w:sz="12" w:space="0" w:color="auto"/>
              <w:bottom w:val="single" w:sz="12" w:space="0" w:color="auto"/>
            </w:tcBorders>
            <w:shd w:val="clear" w:color="000000" w:fill="FFFFFF"/>
            <w:noWrap/>
            <w:vAlign w:val="bottom"/>
          </w:tcPr>
          <w:p w14:paraId="0BBD4FAE" w14:textId="0C0DE273" w:rsidR="002B0711" w:rsidRPr="00677CE8" w:rsidRDefault="002B0711" w:rsidP="002B0711">
            <w:pPr>
              <w:spacing w:after="0" w:line="240" w:lineRule="auto"/>
              <w:jc w:val="center"/>
              <w:rPr>
                <w:sz w:val="20"/>
                <w:szCs w:val="20"/>
              </w:rPr>
            </w:pPr>
            <w:r w:rsidRPr="00677CE8">
              <w:rPr>
                <w:sz w:val="20"/>
                <w:szCs w:val="20"/>
              </w:rPr>
              <w:t>In-vehicle assistant</w:t>
            </w:r>
          </w:p>
        </w:tc>
        <w:tc>
          <w:tcPr>
            <w:tcW w:w="2697" w:type="dxa"/>
            <w:gridSpan w:val="2"/>
            <w:tcBorders>
              <w:bottom w:val="single" w:sz="12" w:space="0" w:color="auto"/>
            </w:tcBorders>
            <w:shd w:val="clear" w:color="000000" w:fill="FFFFFF"/>
            <w:noWrap/>
            <w:vAlign w:val="bottom"/>
          </w:tcPr>
          <w:p w14:paraId="78A67D5B" w14:textId="0BB51133" w:rsidR="002B0711" w:rsidRPr="00677CE8" w:rsidRDefault="002B0711" w:rsidP="002B0711">
            <w:pPr>
              <w:spacing w:after="0" w:line="240" w:lineRule="auto"/>
              <w:jc w:val="center"/>
              <w:rPr>
                <w:sz w:val="20"/>
                <w:szCs w:val="20"/>
              </w:rPr>
            </w:pPr>
            <w:r w:rsidRPr="00677CE8">
              <w:rPr>
                <w:sz w:val="20"/>
                <w:szCs w:val="20"/>
              </w:rPr>
              <w:t>In-vehicle assistant</w:t>
            </w:r>
          </w:p>
        </w:tc>
        <w:tc>
          <w:tcPr>
            <w:tcW w:w="1525" w:type="dxa"/>
            <w:tcBorders>
              <w:bottom w:val="single" w:sz="12" w:space="0" w:color="auto"/>
            </w:tcBorders>
            <w:shd w:val="clear" w:color="000000" w:fill="FFFFFF"/>
            <w:noWrap/>
            <w:vAlign w:val="bottom"/>
          </w:tcPr>
          <w:p w14:paraId="26240046" w14:textId="3C618694" w:rsidR="002B0711" w:rsidRPr="00677CE8" w:rsidRDefault="002B0711" w:rsidP="002B0711">
            <w:pPr>
              <w:spacing w:after="0" w:line="240" w:lineRule="auto"/>
              <w:jc w:val="center"/>
              <w:rPr>
                <w:sz w:val="20"/>
                <w:szCs w:val="20"/>
              </w:rPr>
            </w:pPr>
            <w:r w:rsidRPr="00677CE8">
              <w:rPr>
                <w:sz w:val="20"/>
                <w:szCs w:val="20"/>
              </w:rPr>
              <w:t>In-vehicle assistant</w:t>
            </w:r>
          </w:p>
        </w:tc>
        <w:tc>
          <w:tcPr>
            <w:tcW w:w="1526" w:type="dxa"/>
            <w:tcBorders>
              <w:bottom w:val="single" w:sz="12" w:space="0" w:color="auto"/>
            </w:tcBorders>
            <w:shd w:val="clear" w:color="000000" w:fill="FFFFFF"/>
            <w:noWrap/>
            <w:vAlign w:val="bottom"/>
          </w:tcPr>
          <w:p w14:paraId="4E2B4CC7" w14:textId="0474A653" w:rsidR="002B0711" w:rsidRPr="00677CE8" w:rsidRDefault="002B0711" w:rsidP="002B0711">
            <w:pPr>
              <w:spacing w:after="0" w:line="240" w:lineRule="auto"/>
              <w:jc w:val="center"/>
              <w:rPr>
                <w:sz w:val="20"/>
                <w:szCs w:val="20"/>
              </w:rPr>
            </w:pPr>
            <w:r w:rsidRPr="00677CE8">
              <w:rPr>
                <w:sz w:val="20"/>
                <w:szCs w:val="20"/>
              </w:rPr>
              <w:t>In-vehicle assistant</w:t>
            </w:r>
          </w:p>
        </w:tc>
        <w:tc>
          <w:tcPr>
            <w:tcW w:w="1435" w:type="dxa"/>
            <w:tcBorders>
              <w:bottom w:val="single" w:sz="12" w:space="0" w:color="auto"/>
              <w:right w:val="single" w:sz="12" w:space="0" w:color="auto"/>
            </w:tcBorders>
            <w:shd w:val="clear" w:color="000000" w:fill="FFFFFF"/>
            <w:noWrap/>
            <w:vAlign w:val="center"/>
          </w:tcPr>
          <w:p w14:paraId="6E2D55D7" w14:textId="77777777" w:rsidR="002B0711" w:rsidRPr="00677CE8" w:rsidRDefault="002B0711" w:rsidP="002B0711">
            <w:pPr>
              <w:spacing w:after="0" w:line="240" w:lineRule="auto"/>
              <w:jc w:val="center"/>
              <w:rPr>
                <w:sz w:val="20"/>
                <w:szCs w:val="20"/>
              </w:rPr>
            </w:pPr>
          </w:p>
        </w:tc>
      </w:tr>
    </w:tbl>
    <w:p w14:paraId="0FBE1357" w14:textId="77777777" w:rsidR="003F6A6B" w:rsidRPr="00677CE8" w:rsidRDefault="003F6A6B" w:rsidP="00E9594A">
      <w:pPr>
        <w:pStyle w:val="Heading2"/>
        <w:spacing w:after="1600" w:line="240" w:lineRule="auto"/>
        <w:sectPr w:rsidR="003F6A6B" w:rsidRPr="00677CE8" w:rsidSect="00891C71">
          <w:pgSz w:w="12240" w:h="15840"/>
          <w:pgMar w:top="1440" w:right="1440" w:bottom="1440" w:left="1440" w:header="720" w:footer="720" w:gutter="0"/>
          <w:cols w:space="720"/>
          <w:docGrid w:linePitch="360"/>
        </w:sectPr>
      </w:pPr>
    </w:p>
    <w:tbl>
      <w:tblPr>
        <w:tblpPr w:leftFromText="180" w:rightFromText="180" w:vertAnchor="text" w:horzAnchor="margin" w:tblpXSpec="center" w:tblpY="464"/>
        <w:tblW w:w="11415" w:type="dxa"/>
        <w:tblCellMar>
          <w:left w:w="58" w:type="dxa"/>
          <w:right w:w="58" w:type="dxa"/>
        </w:tblCellMar>
        <w:tblLook w:val="04A0" w:firstRow="1" w:lastRow="0" w:firstColumn="1" w:lastColumn="0" w:noHBand="0" w:noVBand="1"/>
      </w:tblPr>
      <w:tblGrid>
        <w:gridCol w:w="1739"/>
        <w:gridCol w:w="2491"/>
        <w:gridCol w:w="2685"/>
        <w:gridCol w:w="1530"/>
        <w:gridCol w:w="1530"/>
        <w:gridCol w:w="1440"/>
      </w:tblGrid>
      <w:tr w:rsidR="003F6A6B" w:rsidRPr="00677CE8" w14:paraId="35526655" w14:textId="77777777" w:rsidTr="00007FF5">
        <w:trPr>
          <w:trHeight w:val="19"/>
          <w:tblHeader/>
        </w:trPr>
        <w:tc>
          <w:tcPr>
            <w:tcW w:w="11413" w:type="dxa"/>
            <w:gridSpan w:val="6"/>
            <w:tcBorders>
              <w:top w:val="single" w:sz="12" w:space="0" w:color="auto"/>
              <w:left w:val="single" w:sz="12" w:space="0" w:color="auto"/>
              <w:bottom w:val="single" w:sz="12" w:space="0" w:color="auto"/>
              <w:right w:val="single" w:sz="12" w:space="0" w:color="auto"/>
            </w:tcBorders>
            <w:shd w:val="clear" w:color="000000" w:fill="FFFFFF"/>
            <w:noWrap/>
            <w:vAlign w:val="bottom"/>
            <w:hideMark/>
          </w:tcPr>
          <w:p w14:paraId="1E9E2DDE" w14:textId="77777777" w:rsidR="003F6A6B" w:rsidRPr="00677CE8" w:rsidRDefault="003F6A6B" w:rsidP="003F6A6B">
            <w:pPr>
              <w:spacing w:after="0" w:line="240" w:lineRule="auto"/>
              <w:jc w:val="both"/>
              <w:rPr>
                <w:b/>
                <w:bCs/>
                <w:i/>
                <w:iCs/>
                <w:sz w:val="20"/>
                <w:szCs w:val="20"/>
              </w:rPr>
            </w:pPr>
            <w:r w:rsidRPr="00677CE8">
              <w:rPr>
                <w:b/>
                <w:bCs/>
                <w:i/>
                <w:iCs/>
                <w:sz w:val="20"/>
                <w:szCs w:val="20"/>
              </w:rPr>
              <w:lastRenderedPageBreak/>
              <w:t>Service Attributes</w:t>
            </w:r>
          </w:p>
        </w:tc>
      </w:tr>
      <w:tr w:rsidR="003F6A6B" w:rsidRPr="00677CE8" w14:paraId="5336B794" w14:textId="77777777" w:rsidTr="00007FF5">
        <w:trPr>
          <w:trHeight w:val="19"/>
          <w:tblHeader/>
        </w:trPr>
        <w:tc>
          <w:tcPr>
            <w:tcW w:w="1739" w:type="dxa"/>
            <w:tcBorders>
              <w:top w:val="single" w:sz="12" w:space="0" w:color="auto"/>
              <w:left w:val="single" w:sz="12" w:space="0" w:color="auto"/>
              <w:bottom w:val="single" w:sz="12" w:space="0" w:color="auto"/>
              <w:right w:val="single" w:sz="12" w:space="0" w:color="auto"/>
            </w:tcBorders>
            <w:shd w:val="clear" w:color="000000" w:fill="FFFFFF"/>
            <w:noWrap/>
            <w:vAlign w:val="center"/>
            <w:hideMark/>
          </w:tcPr>
          <w:p w14:paraId="352C9CB4" w14:textId="77777777" w:rsidR="003F6A6B" w:rsidRPr="00677CE8" w:rsidRDefault="003F6A6B" w:rsidP="00007FF5">
            <w:pPr>
              <w:spacing w:after="0" w:line="240" w:lineRule="auto"/>
              <w:rPr>
                <w:b/>
                <w:bCs/>
                <w:sz w:val="20"/>
                <w:szCs w:val="20"/>
              </w:rPr>
            </w:pPr>
            <w:r w:rsidRPr="00677CE8">
              <w:rPr>
                <w:b/>
                <w:bCs/>
                <w:sz w:val="20"/>
                <w:szCs w:val="20"/>
              </w:rPr>
              <w:t>Attributes</w:t>
            </w:r>
          </w:p>
        </w:tc>
        <w:tc>
          <w:tcPr>
            <w:tcW w:w="2491" w:type="dxa"/>
            <w:tcBorders>
              <w:top w:val="single" w:sz="12" w:space="0" w:color="auto"/>
              <w:left w:val="single" w:sz="12" w:space="0" w:color="auto"/>
              <w:bottom w:val="single" w:sz="12" w:space="0" w:color="auto"/>
            </w:tcBorders>
            <w:shd w:val="clear" w:color="000000" w:fill="FFFFFF"/>
            <w:vAlign w:val="center"/>
            <w:hideMark/>
          </w:tcPr>
          <w:p w14:paraId="0B84665B" w14:textId="77777777" w:rsidR="003F6A6B" w:rsidRPr="00677CE8" w:rsidRDefault="003F6A6B" w:rsidP="003F6A6B">
            <w:pPr>
              <w:spacing w:after="0" w:line="240" w:lineRule="auto"/>
              <w:jc w:val="center"/>
              <w:rPr>
                <w:b/>
                <w:bCs/>
                <w:sz w:val="20"/>
                <w:szCs w:val="20"/>
              </w:rPr>
            </w:pPr>
            <w:r w:rsidRPr="00677CE8">
              <w:rPr>
                <w:b/>
                <w:bCs/>
                <w:sz w:val="20"/>
                <w:szCs w:val="20"/>
              </w:rPr>
              <w:t xml:space="preserve">Air Taxi </w:t>
            </w:r>
            <w:r w:rsidRPr="00677CE8">
              <w:rPr>
                <w:b/>
                <w:bCs/>
                <w:sz w:val="20"/>
                <w:szCs w:val="20"/>
              </w:rPr>
              <w:br/>
            </w:r>
            <w:r w:rsidRPr="00677CE8">
              <w:rPr>
                <w:sz w:val="20"/>
                <w:szCs w:val="20"/>
              </w:rPr>
              <w:t>(On-demand vehicles)</w:t>
            </w:r>
          </w:p>
        </w:tc>
        <w:tc>
          <w:tcPr>
            <w:tcW w:w="2685" w:type="dxa"/>
            <w:tcBorders>
              <w:top w:val="single" w:sz="12" w:space="0" w:color="auto"/>
              <w:left w:val="nil"/>
              <w:bottom w:val="single" w:sz="12" w:space="0" w:color="auto"/>
            </w:tcBorders>
            <w:shd w:val="clear" w:color="000000" w:fill="FFFFFF"/>
            <w:vAlign w:val="center"/>
            <w:hideMark/>
          </w:tcPr>
          <w:p w14:paraId="7157770A" w14:textId="77777777" w:rsidR="003F6A6B" w:rsidRPr="00677CE8" w:rsidRDefault="003F6A6B" w:rsidP="003F6A6B">
            <w:pPr>
              <w:spacing w:after="0" w:line="240" w:lineRule="auto"/>
              <w:jc w:val="center"/>
              <w:rPr>
                <w:b/>
                <w:bCs/>
                <w:sz w:val="20"/>
                <w:szCs w:val="20"/>
              </w:rPr>
            </w:pPr>
            <w:r w:rsidRPr="00677CE8">
              <w:rPr>
                <w:b/>
                <w:bCs/>
                <w:sz w:val="20"/>
                <w:szCs w:val="20"/>
              </w:rPr>
              <w:t xml:space="preserve">Air Metro </w:t>
            </w:r>
            <w:r w:rsidRPr="00677CE8">
              <w:rPr>
                <w:b/>
                <w:bCs/>
                <w:sz w:val="20"/>
                <w:szCs w:val="20"/>
              </w:rPr>
              <w:br/>
            </w:r>
            <w:r w:rsidRPr="00677CE8">
              <w:rPr>
                <w:sz w:val="20"/>
                <w:szCs w:val="20"/>
              </w:rPr>
              <w:t>(Shared vehicles, with fixed routes and departure times)</w:t>
            </w:r>
          </w:p>
        </w:tc>
        <w:tc>
          <w:tcPr>
            <w:tcW w:w="1530" w:type="dxa"/>
            <w:tcBorders>
              <w:top w:val="single" w:sz="12" w:space="0" w:color="auto"/>
              <w:bottom w:val="single" w:sz="12" w:space="0" w:color="auto"/>
            </w:tcBorders>
            <w:shd w:val="clear" w:color="000000" w:fill="FFFFFF"/>
            <w:vAlign w:val="center"/>
            <w:hideMark/>
          </w:tcPr>
          <w:p w14:paraId="437EAD7F" w14:textId="77777777" w:rsidR="003F6A6B" w:rsidRPr="00677CE8" w:rsidRDefault="003F6A6B" w:rsidP="003F6A6B">
            <w:pPr>
              <w:spacing w:after="0" w:line="240" w:lineRule="auto"/>
              <w:jc w:val="center"/>
              <w:rPr>
                <w:sz w:val="20"/>
                <w:szCs w:val="20"/>
              </w:rPr>
            </w:pPr>
            <w:proofErr w:type="spellStart"/>
            <w:r w:rsidRPr="00677CE8">
              <w:rPr>
                <w:b/>
                <w:bCs/>
                <w:sz w:val="20"/>
                <w:szCs w:val="20"/>
              </w:rPr>
              <w:t>Ridehailing</w:t>
            </w:r>
            <w:proofErr w:type="spellEnd"/>
            <w:r w:rsidRPr="00677CE8">
              <w:rPr>
                <w:sz w:val="20"/>
                <w:szCs w:val="20"/>
              </w:rPr>
              <w:t xml:space="preserve"> </w:t>
            </w:r>
            <w:r w:rsidRPr="00677CE8">
              <w:rPr>
                <w:sz w:val="20"/>
                <w:szCs w:val="20"/>
              </w:rPr>
              <w:br/>
              <w:t>(Ground-based)</w:t>
            </w:r>
          </w:p>
        </w:tc>
        <w:tc>
          <w:tcPr>
            <w:tcW w:w="1530" w:type="dxa"/>
            <w:tcBorders>
              <w:top w:val="single" w:sz="12" w:space="0" w:color="auto"/>
              <w:bottom w:val="single" w:sz="12" w:space="0" w:color="auto"/>
            </w:tcBorders>
            <w:shd w:val="clear" w:color="000000" w:fill="FFFFFF"/>
            <w:vAlign w:val="center"/>
            <w:hideMark/>
          </w:tcPr>
          <w:p w14:paraId="6DD2CC82" w14:textId="77777777" w:rsidR="003F6A6B" w:rsidRPr="00677CE8" w:rsidRDefault="003F6A6B" w:rsidP="003F6A6B">
            <w:pPr>
              <w:spacing w:after="0" w:line="240" w:lineRule="auto"/>
              <w:jc w:val="center"/>
              <w:rPr>
                <w:b/>
                <w:bCs/>
                <w:sz w:val="20"/>
                <w:szCs w:val="20"/>
              </w:rPr>
            </w:pPr>
            <w:r w:rsidRPr="00677CE8">
              <w:rPr>
                <w:b/>
                <w:bCs/>
                <w:sz w:val="20"/>
                <w:szCs w:val="20"/>
              </w:rPr>
              <w:t>Public Transportation</w:t>
            </w:r>
            <w:r w:rsidRPr="00677CE8">
              <w:rPr>
                <w:b/>
                <w:bCs/>
                <w:sz w:val="20"/>
                <w:szCs w:val="20"/>
              </w:rPr>
              <w:br/>
            </w:r>
            <w:r w:rsidRPr="00677CE8">
              <w:rPr>
                <w:sz w:val="20"/>
                <w:szCs w:val="20"/>
              </w:rPr>
              <w:t>(Ground-based)</w:t>
            </w:r>
          </w:p>
        </w:tc>
        <w:tc>
          <w:tcPr>
            <w:tcW w:w="1440" w:type="dxa"/>
            <w:tcBorders>
              <w:top w:val="single" w:sz="12" w:space="0" w:color="auto"/>
              <w:left w:val="nil"/>
              <w:bottom w:val="single" w:sz="12" w:space="0" w:color="auto"/>
              <w:right w:val="single" w:sz="12" w:space="0" w:color="auto"/>
            </w:tcBorders>
            <w:shd w:val="clear" w:color="000000" w:fill="FFFFFF"/>
            <w:vAlign w:val="center"/>
            <w:hideMark/>
          </w:tcPr>
          <w:p w14:paraId="4AFC7C3B" w14:textId="77777777" w:rsidR="003F6A6B" w:rsidRPr="00677CE8" w:rsidRDefault="003F6A6B" w:rsidP="003F6A6B">
            <w:pPr>
              <w:spacing w:after="0" w:line="240" w:lineRule="auto"/>
              <w:jc w:val="center"/>
              <w:rPr>
                <w:b/>
                <w:bCs/>
                <w:sz w:val="20"/>
                <w:szCs w:val="20"/>
              </w:rPr>
            </w:pPr>
            <w:r w:rsidRPr="00677CE8">
              <w:rPr>
                <w:b/>
                <w:bCs/>
                <w:sz w:val="20"/>
                <w:szCs w:val="20"/>
              </w:rPr>
              <w:t xml:space="preserve">Private Vehicle </w:t>
            </w:r>
            <w:r w:rsidRPr="00677CE8">
              <w:rPr>
                <w:b/>
                <w:bCs/>
                <w:sz w:val="20"/>
                <w:szCs w:val="20"/>
              </w:rPr>
              <w:br/>
            </w:r>
            <w:r w:rsidRPr="00677CE8">
              <w:rPr>
                <w:sz w:val="20"/>
                <w:szCs w:val="20"/>
              </w:rPr>
              <w:t>(Ground-based)</w:t>
            </w:r>
          </w:p>
        </w:tc>
      </w:tr>
      <w:tr w:rsidR="005C34AD" w:rsidRPr="00677CE8" w14:paraId="48561100" w14:textId="77777777" w:rsidTr="00007FF5">
        <w:trPr>
          <w:trHeight w:val="19"/>
        </w:trPr>
        <w:tc>
          <w:tcPr>
            <w:tcW w:w="1739" w:type="dxa"/>
            <w:vMerge w:val="restart"/>
            <w:tcBorders>
              <w:top w:val="single" w:sz="12" w:space="0" w:color="auto"/>
              <w:left w:val="single" w:sz="12" w:space="0" w:color="auto"/>
              <w:right w:val="single" w:sz="12" w:space="0" w:color="auto"/>
            </w:tcBorders>
            <w:shd w:val="clear" w:color="000000" w:fill="FFFFFF"/>
            <w:noWrap/>
            <w:vAlign w:val="center"/>
          </w:tcPr>
          <w:p w14:paraId="12A6BD6C" w14:textId="31A2F15F" w:rsidR="005C34AD" w:rsidRPr="00677CE8" w:rsidRDefault="005C34AD" w:rsidP="00007FF5">
            <w:pPr>
              <w:spacing w:after="0" w:line="240" w:lineRule="auto"/>
              <w:rPr>
                <w:b/>
                <w:bCs/>
                <w:sz w:val="20"/>
                <w:szCs w:val="20"/>
              </w:rPr>
            </w:pPr>
            <w:r w:rsidRPr="00677CE8">
              <w:rPr>
                <w:b/>
                <w:bCs/>
                <w:sz w:val="20"/>
                <w:szCs w:val="20"/>
              </w:rPr>
              <w:t>UAM Pre-Boarding Security Screening</w:t>
            </w:r>
            <w:r w:rsidRPr="00677CE8">
              <w:rPr>
                <w:b/>
                <w:bCs/>
                <w:sz w:val="20"/>
                <w:szCs w:val="20"/>
                <w:vertAlign w:val="superscript"/>
              </w:rPr>
              <w:t>‡</w:t>
            </w:r>
          </w:p>
        </w:tc>
        <w:tc>
          <w:tcPr>
            <w:tcW w:w="2491" w:type="dxa"/>
            <w:tcBorders>
              <w:top w:val="single" w:sz="12" w:space="0" w:color="auto"/>
              <w:left w:val="single" w:sz="12" w:space="0" w:color="auto"/>
              <w:bottom w:val="nil"/>
            </w:tcBorders>
            <w:shd w:val="clear" w:color="000000" w:fill="FFFFFF"/>
            <w:noWrap/>
            <w:vAlign w:val="center"/>
          </w:tcPr>
          <w:p w14:paraId="21BD83A8" w14:textId="5312A898" w:rsidR="005C34AD" w:rsidRPr="00677CE8" w:rsidRDefault="005C34AD" w:rsidP="005C34AD">
            <w:pPr>
              <w:spacing w:after="0" w:line="240" w:lineRule="auto"/>
              <w:jc w:val="center"/>
              <w:rPr>
                <w:sz w:val="20"/>
                <w:szCs w:val="20"/>
              </w:rPr>
            </w:pPr>
            <w:r w:rsidRPr="00677CE8">
              <w:rPr>
                <w:sz w:val="20"/>
                <w:szCs w:val="20"/>
              </w:rPr>
              <w:t>Security screenings</w:t>
            </w:r>
          </w:p>
        </w:tc>
        <w:tc>
          <w:tcPr>
            <w:tcW w:w="2685" w:type="dxa"/>
            <w:tcBorders>
              <w:top w:val="single" w:sz="12" w:space="0" w:color="auto"/>
              <w:left w:val="nil"/>
              <w:bottom w:val="nil"/>
            </w:tcBorders>
            <w:shd w:val="clear" w:color="000000" w:fill="FFFFFF"/>
            <w:noWrap/>
            <w:vAlign w:val="center"/>
          </w:tcPr>
          <w:p w14:paraId="7E7094B0" w14:textId="0DDABC51" w:rsidR="005C34AD" w:rsidRPr="00677CE8" w:rsidRDefault="005C34AD" w:rsidP="005C34AD">
            <w:pPr>
              <w:spacing w:after="0" w:line="240" w:lineRule="auto"/>
              <w:jc w:val="center"/>
              <w:rPr>
                <w:sz w:val="20"/>
                <w:szCs w:val="20"/>
              </w:rPr>
            </w:pPr>
            <w:r w:rsidRPr="00677CE8">
              <w:rPr>
                <w:sz w:val="20"/>
                <w:szCs w:val="20"/>
              </w:rPr>
              <w:t>Security screenings</w:t>
            </w:r>
          </w:p>
        </w:tc>
        <w:tc>
          <w:tcPr>
            <w:tcW w:w="1530" w:type="dxa"/>
            <w:tcBorders>
              <w:top w:val="single" w:sz="12" w:space="0" w:color="auto"/>
              <w:bottom w:val="nil"/>
            </w:tcBorders>
            <w:shd w:val="clear" w:color="000000" w:fill="FFFFFF"/>
            <w:noWrap/>
          </w:tcPr>
          <w:p w14:paraId="40052587" w14:textId="1B7734E3" w:rsidR="005C34AD" w:rsidRPr="00677CE8" w:rsidRDefault="005C34AD" w:rsidP="005C34AD">
            <w:pPr>
              <w:spacing w:after="0" w:line="240" w:lineRule="auto"/>
              <w:jc w:val="center"/>
              <w:rPr>
                <w:sz w:val="20"/>
                <w:szCs w:val="20"/>
              </w:rPr>
            </w:pPr>
            <w:r w:rsidRPr="00677CE8">
              <w:rPr>
                <w:sz w:val="20"/>
                <w:szCs w:val="20"/>
              </w:rPr>
              <w:t>No screenings</w:t>
            </w:r>
          </w:p>
        </w:tc>
        <w:tc>
          <w:tcPr>
            <w:tcW w:w="1530" w:type="dxa"/>
            <w:tcBorders>
              <w:top w:val="single" w:sz="12" w:space="0" w:color="auto"/>
              <w:bottom w:val="nil"/>
            </w:tcBorders>
            <w:shd w:val="clear" w:color="000000" w:fill="FFFFFF"/>
            <w:noWrap/>
          </w:tcPr>
          <w:p w14:paraId="207D7866" w14:textId="4734AA8D" w:rsidR="005C34AD" w:rsidRPr="00677CE8" w:rsidRDefault="005C34AD" w:rsidP="005C34AD">
            <w:pPr>
              <w:spacing w:after="0" w:line="240" w:lineRule="auto"/>
              <w:jc w:val="center"/>
              <w:rPr>
                <w:sz w:val="20"/>
                <w:szCs w:val="20"/>
              </w:rPr>
            </w:pPr>
            <w:r w:rsidRPr="00677CE8">
              <w:rPr>
                <w:sz w:val="20"/>
                <w:szCs w:val="20"/>
              </w:rPr>
              <w:t>No screenings</w:t>
            </w:r>
          </w:p>
        </w:tc>
        <w:tc>
          <w:tcPr>
            <w:tcW w:w="1440" w:type="dxa"/>
            <w:tcBorders>
              <w:top w:val="single" w:sz="12" w:space="0" w:color="auto"/>
              <w:left w:val="nil"/>
              <w:bottom w:val="nil"/>
              <w:right w:val="single" w:sz="12" w:space="0" w:color="auto"/>
            </w:tcBorders>
            <w:shd w:val="clear" w:color="000000" w:fill="FFFFFF"/>
            <w:noWrap/>
          </w:tcPr>
          <w:p w14:paraId="0880980E" w14:textId="4A7FC501" w:rsidR="005C34AD" w:rsidRPr="00677CE8" w:rsidRDefault="005C34AD" w:rsidP="005C34AD">
            <w:pPr>
              <w:spacing w:after="0" w:line="240" w:lineRule="auto"/>
              <w:jc w:val="center"/>
              <w:rPr>
                <w:sz w:val="20"/>
                <w:szCs w:val="20"/>
              </w:rPr>
            </w:pPr>
            <w:r w:rsidRPr="00677CE8">
              <w:rPr>
                <w:sz w:val="20"/>
                <w:szCs w:val="20"/>
              </w:rPr>
              <w:t>No screenings</w:t>
            </w:r>
          </w:p>
        </w:tc>
      </w:tr>
      <w:tr w:rsidR="005C34AD" w:rsidRPr="00677CE8" w14:paraId="58911E74" w14:textId="77777777" w:rsidTr="00007FF5">
        <w:trPr>
          <w:trHeight w:val="19"/>
        </w:trPr>
        <w:tc>
          <w:tcPr>
            <w:tcW w:w="1739" w:type="dxa"/>
            <w:vMerge/>
            <w:tcBorders>
              <w:left w:val="single" w:sz="12" w:space="0" w:color="auto"/>
              <w:bottom w:val="single" w:sz="12" w:space="0" w:color="auto"/>
              <w:right w:val="single" w:sz="12" w:space="0" w:color="auto"/>
            </w:tcBorders>
            <w:shd w:val="clear" w:color="000000" w:fill="FFFFFF"/>
            <w:noWrap/>
            <w:vAlign w:val="center"/>
          </w:tcPr>
          <w:p w14:paraId="28D70485" w14:textId="77777777" w:rsidR="005C34AD" w:rsidRPr="00677CE8" w:rsidRDefault="005C34AD" w:rsidP="00007FF5">
            <w:pPr>
              <w:spacing w:after="0" w:line="240" w:lineRule="auto"/>
              <w:rPr>
                <w:b/>
                <w:bCs/>
                <w:sz w:val="20"/>
                <w:szCs w:val="20"/>
              </w:rPr>
            </w:pPr>
          </w:p>
        </w:tc>
        <w:tc>
          <w:tcPr>
            <w:tcW w:w="2491" w:type="dxa"/>
            <w:tcBorders>
              <w:left w:val="single" w:sz="12" w:space="0" w:color="auto"/>
              <w:bottom w:val="single" w:sz="12" w:space="0" w:color="auto"/>
            </w:tcBorders>
            <w:shd w:val="clear" w:color="000000" w:fill="FFFFFF"/>
            <w:noWrap/>
            <w:vAlign w:val="center"/>
          </w:tcPr>
          <w:p w14:paraId="5BD51BC9" w14:textId="22B592C7" w:rsidR="005C34AD" w:rsidRPr="00677CE8" w:rsidRDefault="005C34AD" w:rsidP="005C34AD">
            <w:pPr>
              <w:spacing w:after="0" w:line="240" w:lineRule="auto"/>
              <w:jc w:val="center"/>
              <w:rPr>
                <w:sz w:val="20"/>
                <w:szCs w:val="20"/>
              </w:rPr>
            </w:pPr>
            <w:r w:rsidRPr="00677CE8">
              <w:rPr>
                <w:sz w:val="20"/>
                <w:szCs w:val="20"/>
              </w:rPr>
              <w:t>No screenings</w:t>
            </w:r>
          </w:p>
        </w:tc>
        <w:tc>
          <w:tcPr>
            <w:tcW w:w="2685" w:type="dxa"/>
            <w:tcBorders>
              <w:left w:val="nil"/>
              <w:bottom w:val="single" w:sz="12" w:space="0" w:color="auto"/>
            </w:tcBorders>
            <w:shd w:val="clear" w:color="000000" w:fill="FFFFFF"/>
            <w:noWrap/>
            <w:vAlign w:val="center"/>
          </w:tcPr>
          <w:p w14:paraId="1997D413" w14:textId="2ACCA6D9" w:rsidR="005C34AD" w:rsidRPr="00677CE8" w:rsidRDefault="005C34AD" w:rsidP="005C34AD">
            <w:pPr>
              <w:spacing w:after="0" w:line="240" w:lineRule="auto"/>
              <w:jc w:val="center"/>
              <w:rPr>
                <w:sz w:val="20"/>
                <w:szCs w:val="20"/>
              </w:rPr>
            </w:pPr>
            <w:r w:rsidRPr="00677CE8">
              <w:rPr>
                <w:sz w:val="20"/>
                <w:szCs w:val="20"/>
              </w:rPr>
              <w:t>No screenings</w:t>
            </w:r>
          </w:p>
        </w:tc>
        <w:tc>
          <w:tcPr>
            <w:tcW w:w="1530" w:type="dxa"/>
            <w:tcBorders>
              <w:bottom w:val="single" w:sz="12" w:space="0" w:color="auto"/>
            </w:tcBorders>
            <w:shd w:val="clear" w:color="000000" w:fill="FFFFFF"/>
            <w:noWrap/>
            <w:vAlign w:val="bottom"/>
          </w:tcPr>
          <w:p w14:paraId="70AF9F83" w14:textId="77777777" w:rsidR="005C34AD" w:rsidRPr="00677CE8" w:rsidRDefault="005C34AD" w:rsidP="005C34AD">
            <w:pPr>
              <w:spacing w:after="0" w:line="240" w:lineRule="auto"/>
              <w:jc w:val="center"/>
              <w:rPr>
                <w:sz w:val="20"/>
                <w:szCs w:val="20"/>
              </w:rPr>
            </w:pPr>
          </w:p>
        </w:tc>
        <w:tc>
          <w:tcPr>
            <w:tcW w:w="1530" w:type="dxa"/>
            <w:tcBorders>
              <w:bottom w:val="single" w:sz="12" w:space="0" w:color="auto"/>
            </w:tcBorders>
            <w:shd w:val="clear" w:color="000000" w:fill="FFFFFF"/>
            <w:noWrap/>
            <w:vAlign w:val="bottom"/>
          </w:tcPr>
          <w:p w14:paraId="1C8750CA" w14:textId="77777777" w:rsidR="005C34AD" w:rsidRPr="00677CE8" w:rsidRDefault="005C34AD" w:rsidP="005C34AD">
            <w:pPr>
              <w:spacing w:after="0" w:line="240" w:lineRule="auto"/>
              <w:jc w:val="center"/>
              <w:rPr>
                <w:sz w:val="20"/>
                <w:szCs w:val="20"/>
              </w:rPr>
            </w:pPr>
          </w:p>
        </w:tc>
        <w:tc>
          <w:tcPr>
            <w:tcW w:w="1440" w:type="dxa"/>
            <w:tcBorders>
              <w:left w:val="nil"/>
              <w:bottom w:val="single" w:sz="12" w:space="0" w:color="auto"/>
              <w:right w:val="single" w:sz="12" w:space="0" w:color="auto"/>
            </w:tcBorders>
            <w:shd w:val="clear" w:color="000000" w:fill="FFFFFF"/>
            <w:noWrap/>
            <w:vAlign w:val="center"/>
          </w:tcPr>
          <w:p w14:paraId="0E3313F4" w14:textId="77777777" w:rsidR="005C34AD" w:rsidRPr="00677CE8" w:rsidRDefault="005C34AD" w:rsidP="005C34AD">
            <w:pPr>
              <w:spacing w:after="0" w:line="240" w:lineRule="auto"/>
              <w:jc w:val="center"/>
              <w:rPr>
                <w:sz w:val="20"/>
                <w:szCs w:val="20"/>
              </w:rPr>
            </w:pPr>
          </w:p>
        </w:tc>
      </w:tr>
      <w:tr w:rsidR="005C34AD" w:rsidRPr="00677CE8" w14:paraId="2C1C1FA4" w14:textId="77777777" w:rsidTr="00007FF5">
        <w:trPr>
          <w:trHeight w:val="19"/>
        </w:trPr>
        <w:tc>
          <w:tcPr>
            <w:tcW w:w="1739" w:type="dxa"/>
            <w:vMerge w:val="restart"/>
            <w:tcBorders>
              <w:top w:val="single" w:sz="12" w:space="0" w:color="auto"/>
              <w:left w:val="single" w:sz="12" w:space="0" w:color="auto"/>
              <w:bottom w:val="single" w:sz="12" w:space="0" w:color="auto"/>
              <w:right w:val="single" w:sz="12" w:space="0" w:color="auto"/>
            </w:tcBorders>
            <w:shd w:val="clear" w:color="000000" w:fill="FFFFFF"/>
            <w:noWrap/>
            <w:vAlign w:val="center"/>
          </w:tcPr>
          <w:p w14:paraId="752D81ED" w14:textId="77777777" w:rsidR="005C34AD" w:rsidRPr="00677CE8" w:rsidRDefault="005C34AD" w:rsidP="00007FF5">
            <w:pPr>
              <w:spacing w:after="0" w:line="240" w:lineRule="auto"/>
              <w:rPr>
                <w:b/>
                <w:bCs/>
                <w:sz w:val="20"/>
                <w:szCs w:val="20"/>
              </w:rPr>
            </w:pPr>
            <w:r w:rsidRPr="00677CE8">
              <w:rPr>
                <w:b/>
                <w:bCs/>
                <w:sz w:val="20"/>
                <w:szCs w:val="20"/>
              </w:rPr>
              <w:t>Level of Automation</w:t>
            </w:r>
            <w:r w:rsidRPr="00677CE8">
              <w:rPr>
                <w:b/>
                <w:bCs/>
                <w:sz w:val="20"/>
                <w:szCs w:val="20"/>
                <w:vertAlign w:val="superscript"/>
              </w:rPr>
              <w:t>§</w:t>
            </w:r>
          </w:p>
        </w:tc>
        <w:tc>
          <w:tcPr>
            <w:tcW w:w="2491" w:type="dxa"/>
            <w:tcBorders>
              <w:top w:val="single" w:sz="12" w:space="0" w:color="auto"/>
              <w:left w:val="single" w:sz="12" w:space="0" w:color="auto"/>
              <w:bottom w:val="nil"/>
            </w:tcBorders>
            <w:shd w:val="clear" w:color="000000" w:fill="FFFFFF"/>
            <w:noWrap/>
            <w:vAlign w:val="center"/>
          </w:tcPr>
          <w:p w14:paraId="6DDE6724" w14:textId="77777777" w:rsidR="005C34AD" w:rsidRPr="00677CE8" w:rsidRDefault="005C34AD" w:rsidP="005C34AD">
            <w:pPr>
              <w:spacing w:after="0" w:line="240" w:lineRule="auto"/>
              <w:jc w:val="center"/>
              <w:rPr>
                <w:sz w:val="20"/>
                <w:szCs w:val="20"/>
              </w:rPr>
            </w:pPr>
            <w:r w:rsidRPr="00677CE8">
              <w:rPr>
                <w:sz w:val="20"/>
                <w:szCs w:val="20"/>
              </w:rPr>
              <w:t>In-vehicle pilot</w:t>
            </w:r>
          </w:p>
        </w:tc>
        <w:tc>
          <w:tcPr>
            <w:tcW w:w="2685" w:type="dxa"/>
            <w:tcBorders>
              <w:top w:val="single" w:sz="12" w:space="0" w:color="auto"/>
              <w:left w:val="nil"/>
              <w:bottom w:val="nil"/>
            </w:tcBorders>
            <w:shd w:val="clear" w:color="000000" w:fill="FFFFFF"/>
            <w:noWrap/>
            <w:vAlign w:val="center"/>
          </w:tcPr>
          <w:p w14:paraId="0827CEA3" w14:textId="77777777" w:rsidR="005C34AD" w:rsidRPr="00677CE8" w:rsidRDefault="005C34AD" w:rsidP="005C34AD">
            <w:pPr>
              <w:spacing w:after="0" w:line="240" w:lineRule="auto"/>
              <w:jc w:val="center"/>
              <w:rPr>
                <w:sz w:val="20"/>
                <w:szCs w:val="20"/>
              </w:rPr>
            </w:pPr>
            <w:r w:rsidRPr="00677CE8">
              <w:rPr>
                <w:sz w:val="20"/>
                <w:szCs w:val="20"/>
              </w:rPr>
              <w:t>In-vehicle pilot</w:t>
            </w:r>
          </w:p>
        </w:tc>
        <w:tc>
          <w:tcPr>
            <w:tcW w:w="1530" w:type="dxa"/>
            <w:tcBorders>
              <w:top w:val="single" w:sz="12" w:space="0" w:color="auto"/>
              <w:bottom w:val="nil"/>
            </w:tcBorders>
            <w:shd w:val="clear" w:color="000000" w:fill="FFFFFF"/>
            <w:noWrap/>
            <w:vAlign w:val="center"/>
          </w:tcPr>
          <w:p w14:paraId="7A2EEEBF" w14:textId="77777777" w:rsidR="005C34AD" w:rsidRPr="00677CE8" w:rsidRDefault="005C34AD" w:rsidP="005C34AD">
            <w:pPr>
              <w:spacing w:after="0" w:line="240" w:lineRule="auto"/>
              <w:jc w:val="center"/>
              <w:rPr>
                <w:sz w:val="20"/>
                <w:szCs w:val="20"/>
              </w:rPr>
            </w:pPr>
            <w:r w:rsidRPr="00677CE8">
              <w:rPr>
                <w:sz w:val="20"/>
                <w:szCs w:val="20"/>
              </w:rPr>
              <w:t>Driver</w:t>
            </w:r>
          </w:p>
        </w:tc>
        <w:tc>
          <w:tcPr>
            <w:tcW w:w="1530" w:type="dxa"/>
            <w:tcBorders>
              <w:top w:val="single" w:sz="12" w:space="0" w:color="auto"/>
              <w:bottom w:val="nil"/>
            </w:tcBorders>
            <w:shd w:val="clear" w:color="000000" w:fill="FFFFFF"/>
            <w:noWrap/>
            <w:vAlign w:val="center"/>
          </w:tcPr>
          <w:p w14:paraId="758A03AE" w14:textId="77777777" w:rsidR="005C34AD" w:rsidRPr="00677CE8" w:rsidRDefault="005C34AD" w:rsidP="005C34AD">
            <w:pPr>
              <w:spacing w:after="0" w:line="240" w:lineRule="auto"/>
              <w:jc w:val="center"/>
              <w:rPr>
                <w:sz w:val="20"/>
                <w:szCs w:val="20"/>
              </w:rPr>
            </w:pPr>
            <w:r w:rsidRPr="00677CE8">
              <w:rPr>
                <w:sz w:val="20"/>
                <w:szCs w:val="20"/>
              </w:rPr>
              <w:t>Driver</w:t>
            </w:r>
          </w:p>
        </w:tc>
        <w:tc>
          <w:tcPr>
            <w:tcW w:w="1440" w:type="dxa"/>
            <w:tcBorders>
              <w:top w:val="single" w:sz="12" w:space="0" w:color="auto"/>
              <w:left w:val="nil"/>
              <w:bottom w:val="nil"/>
              <w:right w:val="single" w:sz="12" w:space="0" w:color="auto"/>
            </w:tcBorders>
            <w:shd w:val="clear" w:color="000000" w:fill="FFFFFF"/>
            <w:noWrap/>
            <w:vAlign w:val="center"/>
          </w:tcPr>
          <w:p w14:paraId="4ABC1270" w14:textId="77777777" w:rsidR="005C34AD" w:rsidRPr="00677CE8" w:rsidRDefault="005C34AD" w:rsidP="005C34AD">
            <w:pPr>
              <w:spacing w:after="0" w:line="240" w:lineRule="auto"/>
              <w:jc w:val="center"/>
              <w:rPr>
                <w:sz w:val="20"/>
                <w:szCs w:val="20"/>
              </w:rPr>
            </w:pPr>
            <w:r w:rsidRPr="00677CE8">
              <w:rPr>
                <w:sz w:val="20"/>
                <w:szCs w:val="20"/>
              </w:rPr>
              <w:t>Driver (you)</w:t>
            </w:r>
          </w:p>
        </w:tc>
      </w:tr>
      <w:tr w:rsidR="005C34AD" w:rsidRPr="00677CE8" w14:paraId="1DF55A2C" w14:textId="77777777" w:rsidTr="00007FF5">
        <w:trPr>
          <w:trHeight w:val="19"/>
        </w:trPr>
        <w:tc>
          <w:tcPr>
            <w:tcW w:w="1739" w:type="dxa"/>
            <w:vMerge/>
            <w:tcBorders>
              <w:left w:val="single" w:sz="12" w:space="0" w:color="auto"/>
              <w:bottom w:val="single" w:sz="12" w:space="0" w:color="auto"/>
              <w:right w:val="single" w:sz="12" w:space="0" w:color="auto"/>
            </w:tcBorders>
            <w:shd w:val="clear" w:color="000000" w:fill="FFFFFF"/>
            <w:noWrap/>
            <w:vAlign w:val="center"/>
          </w:tcPr>
          <w:p w14:paraId="4DF69EF5" w14:textId="77777777" w:rsidR="005C34AD" w:rsidRPr="00677CE8" w:rsidRDefault="005C34AD" w:rsidP="005C34AD">
            <w:pPr>
              <w:spacing w:after="0" w:line="240" w:lineRule="auto"/>
              <w:jc w:val="both"/>
              <w:rPr>
                <w:b/>
                <w:bCs/>
                <w:sz w:val="20"/>
                <w:szCs w:val="20"/>
              </w:rPr>
            </w:pPr>
          </w:p>
        </w:tc>
        <w:tc>
          <w:tcPr>
            <w:tcW w:w="2491" w:type="dxa"/>
            <w:tcBorders>
              <w:left w:val="single" w:sz="12" w:space="0" w:color="auto"/>
              <w:bottom w:val="single" w:sz="12" w:space="0" w:color="auto"/>
            </w:tcBorders>
            <w:shd w:val="clear" w:color="000000" w:fill="FFFFFF"/>
            <w:noWrap/>
            <w:vAlign w:val="center"/>
          </w:tcPr>
          <w:p w14:paraId="093D08AE" w14:textId="77777777" w:rsidR="005C34AD" w:rsidRPr="00677CE8" w:rsidRDefault="005C34AD" w:rsidP="005C34AD">
            <w:pPr>
              <w:spacing w:after="0" w:line="240" w:lineRule="auto"/>
              <w:jc w:val="center"/>
              <w:rPr>
                <w:sz w:val="20"/>
                <w:szCs w:val="20"/>
              </w:rPr>
            </w:pPr>
            <w:r w:rsidRPr="00677CE8">
              <w:rPr>
                <w:sz w:val="20"/>
                <w:szCs w:val="20"/>
              </w:rPr>
              <w:t>Autonomous</w:t>
            </w:r>
          </w:p>
        </w:tc>
        <w:tc>
          <w:tcPr>
            <w:tcW w:w="2685" w:type="dxa"/>
            <w:tcBorders>
              <w:left w:val="nil"/>
              <w:bottom w:val="single" w:sz="12" w:space="0" w:color="auto"/>
            </w:tcBorders>
            <w:shd w:val="clear" w:color="000000" w:fill="FFFFFF"/>
            <w:noWrap/>
            <w:vAlign w:val="center"/>
          </w:tcPr>
          <w:p w14:paraId="0582AF5D" w14:textId="77777777" w:rsidR="005C34AD" w:rsidRPr="00677CE8" w:rsidRDefault="005C34AD" w:rsidP="005C34AD">
            <w:pPr>
              <w:spacing w:after="0" w:line="240" w:lineRule="auto"/>
              <w:jc w:val="center"/>
              <w:rPr>
                <w:sz w:val="20"/>
                <w:szCs w:val="20"/>
              </w:rPr>
            </w:pPr>
            <w:r w:rsidRPr="00677CE8">
              <w:rPr>
                <w:sz w:val="20"/>
                <w:szCs w:val="20"/>
              </w:rPr>
              <w:t>Autonomous</w:t>
            </w:r>
          </w:p>
        </w:tc>
        <w:tc>
          <w:tcPr>
            <w:tcW w:w="1530" w:type="dxa"/>
            <w:tcBorders>
              <w:bottom w:val="single" w:sz="12" w:space="0" w:color="auto"/>
            </w:tcBorders>
            <w:shd w:val="clear" w:color="000000" w:fill="FFFFFF"/>
            <w:noWrap/>
            <w:vAlign w:val="center"/>
          </w:tcPr>
          <w:p w14:paraId="018E4673" w14:textId="77777777" w:rsidR="005C34AD" w:rsidRPr="00677CE8" w:rsidRDefault="005C34AD" w:rsidP="005C34AD">
            <w:pPr>
              <w:spacing w:after="0" w:line="240" w:lineRule="auto"/>
              <w:jc w:val="center"/>
              <w:rPr>
                <w:sz w:val="20"/>
                <w:szCs w:val="20"/>
              </w:rPr>
            </w:pPr>
            <w:r w:rsidRPr="00677CE8">
              <w:rPr>
                <w:sz w:val="20"/>
                <w:szCs w:val="20"/>
              </w:rPr>
              <w:t>Autonomous</w:t>
            </w:r>
          </w:p>
        </w:tc>
        <w:tc>
          <w:tcPr>
            <w:tcW w:w="1530" w:type="dxa"/>
            <w:tcBorders>
              <w:bottom w:val="single" w:sz="12" w:space="0" w:color="auto"/>
            </w:tcBorders>
            <w:shd w:val="clear" w:color="000000" w:fill="FFFFFF"/>
            <w:noWrap/>
            <w:vAlign w:val="center"/>
          </w:tcPr>
          <w:p w14:paraId="4A315E14" w14:textId="77777777" w:rsidR="005C34AD" w:rsidRPr="00677CE8" w:rsidRDefault="005C34AD" w:rsidP="005C34AD">
            <w:pPr>
              <w:spacing w:after="0" w:line="240" w:lineRule="auto"/>
              <w:jc w:val="center"/>
              <w:rPr>
                <w:sz w:val="20"/>
                <w:szCs w:val="20"/>
              </w:rPr>
            </w:pPr>
            <w:r w:rsidRPr="00677CE8">
              <w:rPr>
                <w:sz w:val="20"/>
                <w:szCs w:val="20"/>
              </w:rPr>
              <w:t>Autonomous</w:t>
            </w:r>
          </w:p>
        </w:tc>
        <w:tc>
          <w:tcPr>
            <w:tcW w:w="1440" w:type="dxa"/>
            <w:tcBorders>
              <w:left w:val="nil"/>
              <w:bottom w:val="single" w:sz="12" w:space="0" w:color="auto"/>
              <w:right w:val="single" w:sz="12" w:space="0" w:color="auto"/>
            </w:tcBorders>
            <w:shd w:val="clear" w:color="000000" w:fill="FFFFFF"/>
            <w:noWrap/>
            <w:vAlign w:val="center"/>
          </w:tcPr>
          <w:p w14:paraId="62F2F6DD" w14:textId="77777777" w:rsidR="005C34AD" w:rsidRPr="00677CE8" w:rsidRDefault="005C34AD" w:rsidP="005C34AD">
            <w:pPr>
              <w:spacing w:after="0" w:line="240" w:lineRule="auto"/>
              <w:jc w:val="center"/>
              <w:rPr>
                <w:sz w:val="20"/>
                <w:szCs w:val="20"/>
              </w:rPr>
            </w:pPr>
            <w:r w:rsidRPr="00677CE8">
              <w:rPr>
                <w:sz w:val="20"/>
                <w:szCs w:val="20"/>
              </w:rPr>
              <w:t>Autonomous</w:t>
            </w:r>
          </w:p>
        </w:tc>
      </w:tr>
      <w:tr w:rsidR="005C34AD" w:rsidRPr="00677CE8" w14:paraId="02C49229" w14:textId="77777777" w:rsidTr="00007FF5">
        <w:trPr>
          <w:trHeight w:val="19"/>
        </w:trPr>
        <w:tc>
          <w:tcPr>
            <w:tcW w:w="11413" w:type="dxa"/>
            <w:gridSpan w:val="6"/>
            <w:tcBorders>
              <w:top w:val="single" w:sz="12" w:space="0" w:color="auto"/>
              <w:left w:val="single" w:sz="12" w:space="0" w:color="auto"/>
              <w:bottom w:val="single" w:sz="12" w:space="0" w:color="auto"/>
              <w:right w:val="single" w:sz="12" w:space="0" w:color="auto"/>
            </w:tcBorders>
            <w:shd w:val="clear" w:color="000000" w:fill="FFFFFF"/>
            <w:noWrap/>
            <w:vAlign w:val="center"/>
            <w:hideMark/>
          </w:tcPr>
          <w:p w14:paraId="6ACAD7C5" w14:textId="77777777" w:rsidR="005C34AD" w:rsidRPr="00677CE8" w:rsidRDefault="005C34AD" w:rsidP="005C34AD">
            <w:pPr>
              <w:spacing w:after="0" w:line="240" w:lineRule="auto"/>
              <w:jc w:val="both"/>
              <w:rPr>
                <w:b/>
                <w:bCs/>
                <w:sz w:val="20"/>
                <w:szCs w:val="20"/>
              </w:rPr>
            </w:pPr>
            <w:r w:rsidRPr="00677CE8">
              <w:rPr>
                <w:b/>
                <w:bCs/>
                <w:sz w:val="20"/>
                <w:szCs w:val="20"/>
              </w:rPr>
              <w:t>Trip Context:</w:t>
            </w:r>
          </w:p>
        </w:tc>
      </w:tr>
      <w:tr w:rsidR="005C34AD" w:rsidRPr="00677CE8" w14:paraId="3CDC46E9" w14:textId="77777777" w:rsidTr="00007FF5">
        <w:trPr>
          <w:trHeight w:val="19"/>
        </w:trPr>
        <w:tc>
          <w:tcPr>
            <w:tcW w:w="1739" w:type="dxa"/>
            <w:vMerge w:val="restart"/>
            <w:tcBorders>
              <w:top w:val="single" w:sz="12" w:space="0" w:color="auto"/>
              <w:left w:val="single" w:sz="12" w:space="0" w:color="auto"/>
              <w:bottom w:val="single" w:sz="12" w:space="0" w:color="auto"/>
              <w:right w:val="single" w:sz="12" w:space="0" w:color="auto"/>
            </w:tcBorders>
            <w:shd w:val="clear" w:color="000000" w:fill="FFFFFF"/>
            <w:noWrap/>
            <w:vAlign w:val="center"/>
            <w:hideMark/>
          </w:tcPr>
          <w:p w14:paraId="4A27F075" w14:textId="77777777" w:rsidR="005C34AD" w:rsidRPr="00677CE8" w:rsidRDefault="005C34AD" w:rsidP="00007FF5">
            <w:pPr>
              <w:spacing w:after="0" w:line="240" w:lineRule="auto"/>
              <w:rPr>
                <w:b/>
                <w:bCs/>
                <w:sz w:val="20"/>
                <w:szCs w:val="20"/>
              </w:rPr>
            </w:pPr>
            <w:r w:rsidRPr="00677CE8">
              <w:rPr>
                <w:b/>
                <w:bCs/>
                <w:sz w:val="20"/>
                <w:szCs w:val="20"/>
              </w:rPr>
              <w:t>Trip Purpose</w:t>
            </w:r>
          </w:p>
        </w:tc>
        <w:tc>
          <w:tcPr>
            <w:tcW w:w="9674" w:type="dxa"/>
            <w:gridSpan w:val="5"/>
            <w:tcBorders>
              <w:top w:val="single" w:sz="12" w:space="0" w:color="auto"/>
              <w:left w:val="single" w:sz="12" w:space="0" w:color="auto"/>
              <w:right w:val="single" w:sz="12" w:space="0" w:color="auto"/>
            </w:tcBorders>
            <w:shd w:val="clear" w:color="000000" w:fill="FFFFFF"/>
            <w:noWrap/>
            <w:vAlign w:val="center"/>
            <w:hideMark/>
          </w:tcPr>
          <w:p w14:paraId="79408FDF" w14:textId="77777777" w:rsidR="005C34AD" w:rsidRPr="00677CE8" w:rsidRDefault="005C34AD" w:rsidP="005C34AD">
            <w:pPr>
              <w:spacing w:after="0" w:line="240" w:lineRule="auto"/>
              <w:jc w:val="both"/>
              <w:rPr>
                <w:sz w:val="20"/>
                <w:szCs w:val="20"/>
              </w:rPr>
            </w:pPr>
            <w:r w:rsidRPr="00677CE8">
              <w:rPr>
                <w:sz w:val="20"/>
                <w:szCs w:val="20"/>
              </w:rPr>
              <w:t>Work</w:t>
            </w:r>
          </w:p>
        </w:tc>
      </w:tr>
      <w:tr w:rsidR="005C34AD" w:rsidRPr="00677CE8" w14:paraId="69B59B9D" w14:textId="77777777" w:rsidTr="00007FF5">
        <w:trPr>
          <w:trHeight w:val="19"/>
        </w:trPr>
        <w:tc>
          <w:tcPr>
            <w:tcW w:w="1739" w:type="dxa"/>
            <w:vMerge/>
            <w:tcBorders>
              <w:left w:val="single" w:sz="12" w:space="0" w:color="auto"/>
              <w:bottom w:val="single" w:sz="12" w:space="0" w:color="auto"/>
              <w:right w:val="single" w:sz="12" w:space="0" w:color="auto"/>
            </w:tcBorders>
            <w:vAlign w:val="center"/>
            <w:hideMark/>
          </w:tcPr>
          <w:p w14:paraId="69993DDF" w14:textId="77777777" w:rsidR="005C34AD" w:rsidRPr="00677CE8" w:rsidRDefault="005C34AD" w:rsidP="00007FF5">
            <w:pPr>
              <w:spacing w:after="0" w:line="240" w:lineRule="auto"/>
              <w:rPr>
                <w:b/>
                <w:bCs/>
                <w:sz w:val="20"/>
                <w:szCs w:val="20"/>
              </w:rPr>
            </w:pPr>
          </w:p>
        </w:tc>
        <w:tc>
          <w:tcPr>
            <w:tcW w:w="9674" w:type="dxa"/>
            <w:gridSpan w:val="5"/>
            <w:tcBorders>
              <w:left w:val="single" w:sz="12" w:space="0" w:color="auto"/>
              <w:right w:val="single" w:sz="12" w:space="0" w:color="auto"/>
            </w:tcBorders>
            <w:shd w:val="clear" w:color="000000" w:fill="FFFFFF"/>
            <w:vAlign w:val="center"/>
            <w:hideMark/>
          </w:tcPr>
          <w:p w14:paraId="36E77D10" w14:textId="77777777" w:rsidR="005C34AD" w:rsidRPr="00677CE8" w:rsidRDefault="005C34AD" w:rsidP="005C34AD">
            <w:pPr>
              <w:spacing w:after="0" w:line="240" w:lineRule="auto"/>
              <w:jc w:val="both"/>
              <w:rPr>
                <w:sz w:val="20"/>
                <w:szCs w:val="20"/>
              </w:rPr>
            </w:pPr>
            <w:r w:rsidRPr="00677CE8">
              <w:rPr>
                <w:sz w:val="20"/>
                <w:szCs w:val="20"/>
              </w:rPr>
              <w:t>Errands</w:t>
            </w:r>
          </w:p>
        </w:tc>
      </w:tr>
      <w:tr w:rsidR="005C34AD" w:rsidRPr="00677CE8" w14:paraId="6A427BA7" w14:textId="77777777" w:rsidTr="00007FF5">
        <w:trPr>
          <w:trHeight w:val="19"/>
        </w:trPr>
        <w:tc>
          <w:tcPr>
            <w:tcW w:w="1739" w:type="dxa"/>
            <w:vMerge/>
            <w:tcBorders>
              <w:left w:val="single" w:sz="12" w:space="0" w:color="auto"/>
              <w:bottom w:val="single" w:sz="12" w:space="0" w:color="auto"/>
              <w:right w:val="single" w:sz="12" w:space="0" w:color="auto"/>
            </w:tcBorders>
            <w:vAlign w:val="center"/>
            <w:hideMark/>
          </w:tcPr>
          <w:p w14:paraId="771FB6D7" w14:textId="77777777" w:rsidR="005C34AD" w:rsidRPr="00677CE8" w:rsidRDefault="005C34AD" w:rsidP="00007FF5">
            <w:pPr>
              <w:spacing w:after="0" w:line="240" w:lineRule="auto"/>
              <w:rPr>
                <w:b/>
                <w:bCs/>
                <w:sz w:val="20"/>
                <w:szCs w:val="20"/>
              </w:rPr>
            </w:pPr>
          </w:p>
        </w:tc>
        <w:tc>
          <w:tcPr>
            <w:tcW w:w="9674" w:type="dxa"/>
            <w:gridSpan w:val="5"/>
            <w:tcBorders>
              <w:left w:val="single" w:sz="12" w:space="0" w:color="auto"/>
              <w:right w:val="single" w:sz="12" w:space="0" w:color="auto"/>
            </w:tcBorders>
            <w:shd w:val="clear" w:color="000000" w:fill="FFFFFF"/>
            <w:noWrap/>
            <w:vAlign w:val="center"/>
            <w:hideMark/>
          </w:tcPr>
          <w:p w14:paraId="16B64A06" w14:textId="77777777" w:rsidR="005C34AD" w:rsidRPr="00677CE8" w:rsidRDefault="005C34AD" w:rsidP="005C34AD">
            <w:pPr>
              <w:spacing w:after="0" w:line="240" w:lineRule="auto"/>
              <w:jc w:val="both"/>
              <w:rPr>
                <w:sz w:val="20"/>
                <w:szCs w:val="20"/>
              </w:rPr>
            </w:pPr>
            <w:r w:rsidRPr="00677CE8">
              <w:rPr>
                <w:sz w:val="20"/>
                <w:szCs w:val="20"/>
              </w:rPr>
              <w:t>Emergency medical transport</w:t>
            </w:r>
          </w:p>
        </w:tc>
      </w:tr>
      <w:tr w:rsidR="005C34AD" w:rsidRPr="00677CE8" w14:paraId="258CE5E2" w14:textId="77777777" w:rsidTr="00007FF5">
        <w:trPr>
          <w:trHeight w:val="19"/>
        </w:trPr>
        <w:tc>
          <w:tcPr>
            <w:tcW w:w="1739" w:type="dxa"/>
            <w:vMerge/>
            <w:tcBorders>
              <w:left w:val="single" w:sz="12" w:space="0" w:color="auto"/>
              <w:bottom w:val="single" w:sz="12" w:space="0" w:color="auto"/>
              <w:right w:val="single" w:sz="12" w:space="0" w:color="auto"/>
            </w:tcBorders>
            <w:vAlign w:val="center"/>
            <w:hideMark/>
          </w:tcPr>
          <w:p w14:paraId="138EADB5" w14:textId="77777777" w:rsidR="005C34AD" w:rsidRPr="00677CE8" w:rsidRDefault="005C34AD" w:rsidP="00007FF5">
            <w:pPr>
              <w:spacing w:after="0" w:line="240" w:lineRule="auto"/>
              <w:rPr>
                <w:b/>
                <w:bCs/>
                <w:sz w:val="20"/>
                <w:szCs w:val="20"/>
              </w:rPr>
            </w:pPr>
          </w:p>
        </w:tc>
        <w:tc>
          <w:tcPr>
            <w:tcW w:w="9674" w:type="dxa"/>
            <w:gridSpan w:val="5"/>
            <w:tcBorders>
              <w:left w:val="single" w:sz="12" w:space="0" w:color="auto"/>
              <w:bottom w:val="single" w:sz="12" w:space="0" w:color="auto"/>
              <w:right w:val="single" w:sz="12" w:space="0" w:color="auto"/>
            </w:tcBorders>
            <w:shd w:val="clear" w:color="000000" w:fill="FFFFFF"/>
            <w:noWrap/>
            <w:vAlign w:val="center"/>
            <w:hideMark/>
          </w:tcPr>
          <w:p w14:paraId="63AAABC7" w14:textId="77777777" w:rsidR="005C34AD" w:rsidRPr="00677CE8" w:rsidRDefault="005C34AD" w:rsidP="005C34AD">
            <w:pPr>
              <w:spacing w:after="0" w:line="240" w:lineRule="auto"/>
              <w:jc w:val="both"/>
              <w:rPr>
                <w:sz w:val="20"/>
                <w:szCs w:val="20"/>
              </w:rPr>
            </w:pPr>
            <w:r w:rsidRPr="00677CE8">
              <w:rPr>
                <w:sz w:val="20"/>
                <w:szCs w:val="20"/>
              </w:rPr>
              <w:t>Leisure</w:t>
            </w:r>
          </w:p>
        </w:tc>
      </w:tr>
      <w:tr w:rsidR="005C34AD" w:rsidRPr="00677CE8" w14:paraId="2F119BA7" w14:textId="77777777" w:rsidTr="00007FF5">
        <w:trPr>
          <w:trHeight w:val="19"/>
        </w:trPr>
        <w:tc>
          <w:tcPr>
            <w:tcW w:w="1739" w:type="dxa"/>
            <w:vMerge w:val="restart"/>
            <w:tcBorders>
              <w:top w:val="single" w:sz="12" w:space="0" w:color="auto"/>
              <w:left w:val="single" w:sz="12" w:space="0" w:color="auto"/>
              <w:bottom w:val="single" w:sz="12" w:space="0" w:color="auto"/>
              <w:right w:val="single" w:sz="12" w:space="0" w:color="auto"/>
            </w:tcBorders>
            <w:shd w:val="clear" w:color="000000" w:fill="FFFFFF"/>
            <w:noWrap/>
            <w:vAlign w:val="center"/>
            <w:hideMark/>
          </w:tcPr>
          <w:p w14:paraId="295BDADB" w14:textId="77777777" w:rsidR="005C34AD" w:rsidRPr="00677CE8" w:rsidRDefault="005C34AD" w:rsidP="00007FF5">
            <w:pPr>
              <w:spacing w:after="0" w:line="240" w:lineRule="auto"/>
              <w:rPr>
                <w:b/>
                <w:bCs/>
                <w:sz w:val="20"/>
                <w:szCs w:val="20"/>
              </w:rPr>
            </w:pPr>
            <w:r w:rsidRPr="00677CE8">
              <w:rPr>
                <w:b/>
                <w:bCs/>
                <w:sz w:val="20"/>
                <w:szCs w:val="20"/>
              </w:rPr>
              <w:t>Trip Distance</w:t>
            </w:r>
          </w:p>
        </w:tc>
        <w:tc>
          <w:tcPr>
            <w:tcW w:w="9674" w:type="dxa"/>
            <w:gridSpan w:val="5"/>
            <w:tcBorders>
              <w:top w:val="single" w:sz="12" w:space="0" w:color="auto"/>
              <w:left w:val="single" w:sz="12" w:space="0" w:color="auto"/>
              <w:right w:val="single" w:sz="12" w:space="0" w:color="auto"/>
            </w:tcBorders>
            <w:shd w:val="clear" w:color="000000" w:fill="FFFFFF"/>
            <w:noWrap/>
            <w:vAlign w:val="center"/>
            <w:hideMark/>
          </w:tcPr>
          <w:p w14:paraId="43E7CF89" w14:textId="1BB6257E" w:rsidR="005C34AD" w:rsidRPr="00677CE8" w:rsidRDefault="005C34AD" w:rsidP="005C34AD">
            <w:pPr>
              <w:spacing w:after="0" w:line="240" w:lineRule="auto"/>
              <w:jc w:val="both"/>
              <w:rPr>
                <w:sz w:val="20"/>
                <w:szCs w:val="20"/>
              </w:rPr>
            </w:pPr>
            <w:r w:rsidRPr="00677CE8">
              <w:rPr>
                <w:sz w:val="20"/>
                <w:szCs w:val="20"/>
              </w:rPr>
              <w:t>Short intra-city trip (~10 miles one-way)</w:t>
            </w:r>
          </w:p>
        </w:tc>
      </w:tr>
      <w:tr w:rsidR="005C34AD" w:rsidRPr="00677CE8" w14:paraId="003875B6" w14:textId="77777777" w:rsidTr="00007FF5">
        <w:trPr>
          <w:trHeight w:val="19"/>
        </w:trPr>
        <w:tc>
          <w:tcPr>
            <w:tcW w:w="1739" w:type="dxa"/>
            <w:vMerge/>
            <w:tcBorders>
              <w:left w:val="single" w:sz="12" w:space="0" w:color="auto"/>
              <w:bottom w:val="single" w:sz="12" w:space="0" w:color="auto"/>
              <w:right w:val="single" w:sz="12" w:space="0" w:color="auto"/>
            </w:tcBorders>
            <w:vAlign w:val="center"/>
            <w:hideMark/>
          </w:tcPr>
          <w:p w14:paraId="518D2A30" w14:textId="77777777" w:rsidR="005C34AD" w:rsidRPr="00677CE8" w:rsidRDefault="005C34AD" w:rsidP="005C34AD">
            <w:pPr>
              <w:spacing w:after="0" w:line="240" w:lineRule="auto"/>
              <w:jc w:val="both"/>
              <w:rPr>
                <w:b/>
                <w:bCs/>
                <w:sz w:val="20"/>
                <w:szCs w:val="20"/>
              </w:rPr>
            </w:pPr>
          </w:p>
        </w:tc>
        <w:tc>
          <w:tcPr>
            <w:tcW w:w="9674" w:type="dxa"/>
            <w:gridSpan w:val="5"/>
            <w:tcBorders>
              <w:left w:val="single" w:sz="12" w:space="0" w:color="auto"/>
              <w:right w:val="single" w:sz="12" w:space="0" w:color="auto"/>
            </w:tcBorders>
            <w:shd w:val="clear" w:color="000000" w:fill="FFFFFF"/>
            <w:noWrap/>
            <w:vAlign w:val="center"/>
            <w:hideMark/>
          </w:tcPr>
          <w:p w14:paraId="2F984915" w14:textId="259CF230" w:rsidR="005C34AD" w:rsidRPr="00677CE8" w:rsidRDefault="005C34AD" w:rsidP="005C34AD">
            <w:pPr>
              <w:spacing w:after="0" w:line="240" w:lineRule="auto"/>
              <w:jc w:val="both"/>
              <w:rPr>
                <w:sz w:val="20"/>
                <w:szCs w:val="20"/>
              </w:rPr>
            </w:pPr>
            <w:r w:rsidRPr="00677CE8">
              <w:rPr>
                <w:sz w:val="20"/>
                <w:szCs w:val="20"/>
              </w:rPr>
              <w:t>Long intra-city trip (~40 miles one-way)</w:t>
            </w:r>
          </w:p>
        </w:tc>
      </w:tr>
      <w:tr w:rsidR="005C34AD" w:rsidRPr="00677CE8" w14:paraId="43F3E85E" w14:textId="77777777" w:rsidTr="00007FF5">
        <w:trPr>
          <w:trHeight w:val="19"/>
        </w:trPr>
        <w:tc>
          <w:tcPr>
            <w:tcW w:w="1739" w:type="dxa"/>
            <w:vMerge/>
            <w:tcBorders>
              <w:left w:val="single" w:sz="12" w:space="0" w:color="auto"/>
              <w:bottom w:val="single" w:sz="12" w:space="0" w:color="auto"/>
              <w:right w:val="single" w:sz="12" w:space="0" w:color="auto"/>
            </w:tcBorders>
            <w:vAlign w:val="center"/>
            <w:hideMark/>
          </w:tcPr>
          <w:p w14:paraId="11087ABF" w14:textId="77777777" w:rsidR="005C34AD" w:rsidRPr="00677CE8" w:rsidRDefault="005C34AD" w:rsidP="005C34AD">
            <w:pPr>
              <w:spacing w:after="0" w:line="240" w:lineRule="auto"/>
              <w:jc w:val="both"/>
              <w:rPr>
                <w:b/>
                <w:bCs/>
                <w:sz w:val="20"/>
                <w:szCs w:val="20"/>
              </w:rPr>
            </w:pPr>
          </w:p>
        </w:tc>
        <w:tc>
          <w:tcPr>
            <w:tcW w:w="9674" w:type="dxa"/>
            <w:gridSpan w:val="5"/>
            <w:tcBorders>
              <w:left w:val="single" w:sz="12" w:space="0" w:color="auto"/>
              <w:bottom w:val="single" w:sz="12" w:space="0" w:color="auto"/>
              <w:right w:val="single" w:sz="12" w:space="0" w:color="auto"/>
            </w:tcBorders>
            <w:shd w:val="clear" w:color="000000" w:fill="FFFFFF"/>
            <w:noWrap/>
            <w:vAlign w:val="center"/>
            <w:hideMark/>
          </w:tcPr>
          <w:p w14:paraId="0D59AAA3" w14:textId="13844711" w:rsidR="005C34AD" w:rsidRPr="00677CE8" w:rsidRDefault="005C34AD" w:rsidP="005C34AD">
            <w:pPr>
              <w:spacing w:after="0" w:line="240" w:lineRule="auto"/>
              <w:jc w:val="both"/>
              <w:rPr>
                <w:sz w:val="20"/>
                <w:szCs w:val="20"/>
              </w:rPr>
            </w:pPr>
            <w:r w:rsidRPr="00677CE8">
              <w:rPr>
                <w:sz w:val="20"/>
                <w:szCs w:val="20"/>
              </w:rPr>
              <w:t>Inter-city trip (~120 miles one-way)</w:t>
            </w:r>
          </w:p>
        </w:tc>
      </w:tr>
      <w:tr w:rsidR="005C34AD" w:rsidRPr="00677CE8" w14:paraId="77130C14" w14:textId="77777777" w:rsidTr="00007FF5">
        <w:trPr>
          <w:trHeight w:val="19"/>
        </w:trPr>
        <w:tc>
          <w:tcPr>
            <w:tcW w:w="11413" w:type="dxa"/>
            <w:gridSpan w:val="6"/>
            <w:tcBorders>
              <w:top w:val="single" w:sz="12" w:space="0" w:color="auto"/>
              <w:left w:val="nil"/>
              <w:bottom w:val="nil"/>
              <w:right w:val="nil"/>
            </w:tcBorders>
            <w:shd w:val="clear" w:color="000000" w:fill="FFFFFF"/>
            <w:noWrap/>
            <w:vAlign w:val="bottom"/>
            <w:hideMark/>
          </w:tcPr>
          <w:p w14:paraId="7F26302C" w14:textId="77777777" w:rsidR="005C34AD" w:rsidRPr="00677CE8" w:rsidRDefault="005C34AD" w:rsidP="005C34AD">
            <w:pPr>
              <w:spacing w:after="0" w:line="240" w:lineRule="auto"/>
              <w:jc w:val="both"/>
              <w:rPr>
                <w:sz w:val="20"/>
                <w:szCs w:val="20"/>
              </w:rPr>
            </w:pPr>
            <w:r w:rsidRPr="00677CE8">
              <w:rPr>
                <w:sz w:val="20"/>
                <w:szCs w:val="20"/>
              </w:rPr>
              <w:t xml:space="preserve">* In-vehicle travel time is presented in the experiments rather than speed, calculated with the scenario-specific speeds and the scenario-specific trip length. Within scenarios, the speed level is kept consistent between the two UAM modes, and a different speed is specified for </w:t>
            </w:r>
            <w:proofErr w:type="spellStart"/>
            <w:r w:rsidRPr="00677CE8">
              <w:rPr>
                <w:sz w:val="20"/>
                <w:szCs w:val="20"/>
              </w:rPr>
              <w:t>ridehailing</w:t>
            </w:r>
            <w:proofErr w:type="spellEnd"/>
            <w:r w:rsidRPr="00677CE8">
              <w:rPr>
                <w:sz w:val="20"/>
                <w:szCs w:val="20"/>
              </w:rPr>
              <w:t xml:space="preserve"> and private vehicle alternatives, while public transportation speeds are set 25% lower than those of the other ground-based modes. </w:t>
            </w:r>
          </w:p>
        </w:tc>
      </w:tr>
      <w:tr w:rsidR="005C34AD" w:rsidRPr="00677CE8" w14:paraId="52F1CCD2" w14:textId="77777777" w:rsidTr="00007FF5">
        <w:trPr>
          <w:trHeight w:val="19"/>
        </w:trPr>
        <w:tc>
          <w:tcPr>
            <w:tcW w:w="11413" w:type="dxa"/>
            <w:gridSpan w:val="6"/>
            <w:tcBorders>
              <w:top w:val="nil"/>
              <w:left w:val="nil"/>
              <w:bottom w:val="nil"/>
              <w:right w:val="nil"/>
            </w:tcBorders>
            <w:shd w:val="clear" w:color="000000" w:fill="FFFFFF"/>
            <w:noWrap/>
            <w:vAlign w:val="bottom"/>
            <w:hideMark/>
          </w:tcPr>
          <w:p w14:paraId="30C36476" w14:textId="77777777" w:rsidR="005C34AD" w:rsidRPr="00677CE8" w:rsidRDefault="005C34AD" w:rsidP="005C34AD">
            <w:pPr>
              <w:spacing w:after="0" w:line="240" w:lineRule="auto"/>
              <w:jc w:val="both"/>
              <w:rPr>
                <w:sz w:val="20"/>
                <w:szCs w:val="20"/>
              </w:rPr>
            </w:pPr>
            <w:r w:rsidRPr="00677CE8">
              <w:rPr>
                <w:sz w:val="20"/>
                <w:szCs w:val="20"/>
                <w:vertAlign w:val="superscript"/>
              </w:rPr>
              <w:t>†</w:t>
            </w:r>
            <w:r w:rsidRPr="00677CE8">
              <w:rPr>
                <w:sz w:val="20"/>
                <w:szCs w:val="20"/>
              </w:rPr>
              <w:t xml:space="preserve"> Presented as a total cost based on the scenario trip length. In each scenario, per-mile cost values for air taxi and air metro are specified as paired levels, with the values in each row representing the combinations used in the experiments. </w:t>
            </w:r>
          </w:p>
        </w:tc>
      </w:tr>
      <w:tr w:rsidR="005C34AD" w:rsidRPr="00677CE8" w14:paraId="6767C72A" w14:textId="77777777" w:rsidTr="00007FF5">
        <w:trPr>
          <w:trHeight w:val="19"/>
        </w:trPr>
        <w:tc>
          <w:tcPr>
            <w:tcW w:w="11413" w:type="dxa"/>
            <w:gridSpan w:val="6"/>
            <w:tcBorders>
              <w:top w:val="nil"/>
              <w:left w:val="nil"/>
              <w:bottom w:val="nil"/>
              <w:right w:val="nil"/>
            </w:tcBorders>
            <w:noWrap/>
            <w:vAlign w:val="bottom"/>
            <w:hideMark/>
          </w:tcPr>
          <w:p w14:paraId="214B78D8" w14:textId="03967C36" w:rsidR="005C34AD" w:rsidRPr="00677CE8" w:rsidRDefault="005C34AD" w:rsidP="005C34AD">
            <w:pPr>
              <w:spacing w:after="0" w:line="240" w:lineRule="auto"/>
              <w:jc w:val="both"/>
              <w:rPr>
                <w:sz w:val="20"/>
                <w:szCs w:val="20"/>
              </w:rPr>
            </w:pPr>
            <w:r w:rsidRPr="00677CE8">
              <w:rPr>
                <w:sz w:val="20"/>
                <w:szCs w:val="20"/>
                <w:vertAlign w:val="superscript"/>
              </w:rPr>
              <w:t>‡</w:t>
            </w:r>
            <w:r w:rsidRPr="00677CE8">
              <w:rPr>
                <w:sz w:val="20"/>
                <w:szCs w:val="20"/>
              </w:rPr>
              <w:t xml:space="preserve"> In each scenario presented, the UAM flight altitude</w:t>
            </w:r>
            <w:r w:rsidR="005A41F0">
              <w:rPr>
                <w:sz w:val="20"/>
                <w:szCs w:val="20"/>
              </w:rPr>
              <w:t xml:space="preserve"> and UAM crash-related safety level</w:t>
            </w:r>
            <w:r w:rsidRPr="00677CE8">
              <w:rPr>
                <w:sz w:val="20"/>
                <w:szCs w:val="20"/>
              </w:rPr>
              <w:t xml:space="preserve"> </w:t>
            </w:r>
            <w:r w:rsidR="005A41F0">
              <w:rPr>
                <w:sz w:val="20"/>
                <w:szCs w:val="20"/>
              </w:rPr>
              <w:t>were</w:t>
            </w:r>
            <w:r w:rsidRPr="00677CE8">
              <w:rPr>
                <w:sz w:val="20"/>
                <w:szCs w:val="20"/>
              </w:rPr>
              <w:t xml:space="preserve"> maintained at the same level across the two UAM alternatives.</w:t>
            </w:r>
          </w:p>
        </w:tc>
      </w:tr>
      <w:tr w:rsidR="005C34AD" w:rsidRPr="00677CE8" w14:paraId="1383F73E" w14:textId="77777777" w:rsidTr="00007FF5">
        <w:trPr>
          <w:trHeight w:val="19"/>
        </w:trPr>
        <w:tc>
          <w:tcPr>
            <w:tcW w:w="11413" w:type="dxa"/>
            <w:gridSpan w:val="6"/>
            <w:tcBorders>
              <w:top w:val="nil"/>
              <w:left w:val="nil"/>
              <w:bottom w:val="nil"/>
              <w:right w:val="nil"/>
            </w:tcBorders>
            <w:shd w:val="clear" w:color="000000" w:fill="FFFFFF"/>
            <w:noWrap/>
            <w:vAlign w:val="bottom"/>
            <w:hideMark/>
          </w:tcPr>
          <w:p w14:paraId="13508827" w14:textId="77777777" w:rsidR="005C34AD" w:rsidRPr="00677CE8" w:rsidRDefault="005C34AD" w:rsidP="005C34AD">
            <w:pPr>
              <w:spacing w:after="0" w:line="240" w:lineRule="auto"/>
              <w:jc w:val="both"/>
              <w:rPr>
                <w:sz w:val="20"/>
                <w:szCs w:val="20"/>
              </w:rPr>
            </w:pPr>
            <w:r w:rsidRPr="00677CE8">
              <w:rPr>
                <w:sz w:val="20"/>
                <w:szCs w:val="20"/>
                <w:vertAlign w:val="superscript"/>
              </w:rPr>
              <w:t>§</w:t>
            </w:r>
            <w:r w:rsidRPr="00677CE8">
              <w:rPr>
                <w:sz w:val="20"/>
                <w:szCs w:val="20"/>
              </w:rPr>
              <w:t xml:space="preserve"> Scenarios maintain a consistent level of automation between the two UAM alternatives, and a common level of automation across the three ground-based alternatives. In-vehicle personal safety monitoring is also kept consistent across all modes, except the private vehicle alternative, and is presented only when vehicles are autonomous.</w:t>
            </w:r>
          </w:p>
        </w:tc>
      </w:tr>
    </w:tbl>
    <w:p w14:paraId="62FF9054" w14:textId="7A8B0D1E" w:rsidR="0011393A" w:rsidRPr="00677CE8" w:rsidRDefault="003F6A6B" w:rsidP="003F6A6B">
      <w:pPr>
        <w:pStyle w:val="Heading2"/>
        <w:spacing w:after="0" w:line="240" w:lineRule="auto"/>
        <w:rPr>
          <w:b w:val="0"/>
          <w:bCs w:val="0"/>
        </w:rPr>
      </w:pPr>
      <w:r w:rsidRPr="00677CE8">
        <w:t xml:space="preserve">Table 2: Human Urban </w:t>
      </w:r>
    </w:p>
    <w:p w14:paraId="7967EF8D" w14:textId="77777777" w:rsidR="003F6A6B" w:rsidRPr="00677CE8" w:rsidRDefault="003F6A6B" w:rsidP="002A731C">
      <w:pPr>
        <w:pStyle w:val="Heading2"/>
        <w:spacing w:line="240" w:lineRule="auto"/>
        <w:jc w:val="both"/>
        <w:sectPr w:rsidR="003F6A6B" w:rsidRPr="00677CE8" w:rsidSect="003F6A6B">
          <w:headerReference w:type="even" r:id="rId311"/>
          <w:headerReference w:type="default" r:id="rId312"/>
          <w:footerReference w:type="even" r:id="rId313"/>
          <w:footerReference w:type="default" r:id="rId314"/>
          <w:headerReference w:type="first" r:id="rId315"/>
          <w:footerReference w:type="first" r:id="rId316"/>
          <w:pgSz w:w="12240" w:h="15840"/>
          <w:pgMar w:top="1440" w:right="1440" w:bottom="1440" w:left="1440" w:header="720" w:footer="720" w:gutter="0"/>
          <w:cols w:space="720"/>
          <w:docGrid w:linePitch="360"/>
        </w:sectPr>
      </w:pPr>
    </w:p>
    <w:p w14:paraId="32BE46FC" w14:textId="6A1CAF38" w:rsidR="008C54C0" w:rsidRPr="00677CE8" w:rsidRDefault="008C54C0" w:rsidP="00E83B07">
      <w:pPr>
        <w:pStyle w:val="Heading2"/>
        <w:spacing w:after="0" w:line="240" w:lineRule="auto"/>
        <w:jc w:val="both"/>
      </w:pPr>
      <w:r w:rsidRPr="00677CE8">
        <w:lastRenderedPageBreak/>
        <w:t xml:space="preserve">Table </w:t>
      </w:r>
      <w:r w:rsidR="0011393A" w:rsidRPr="00677CE8">
        <w:t>3</w:t>
      </w:r>
      <w:r w:rsidRPr="00677CE8">
        <w:t>: Descriptive Statistics of Exogenous Variables</w:t>
      </w:r>
    </w:p>
    <w:tbl>
      <w:tblPr>
        <w:tblStyle w:val="TableGrid"/>
        <w:tblpPr w:leftFromText="180" w:rightFromText="180" w:vertAnchor="page" w:horzAnchor="margin" w:tblpXSpec="center" w:tblpY="1735"/>
        <w:tblW w:w="13941"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3490"/>
        <w:gridCol w:w="1350"/>
        <w:gridCol w:w="902"/>
        <w:gridCol w:w="1045"/>
        <w:gridCol w:w="3816"/>
        <w:gridCol w:w="1351"/>
        <w:gridCol w:w="977"/>
        <w:gridCol w:w="1010"/>
      </w:tblGrid>
      <w:tr w:rsidR="008C54C0" w:rsidRPr="00677CE8" w14:paraId="34A08186" w14:textId="77777777" w:rsidTr="00007FF5">
        <w:trPr>
          <w:trHeight w:val="275"/>
        </w:trPr>
        <w:tc>
          <w:tcPr>
            <w:tcW w:w="3490" w:type="dxa"/>
            <w:tcBorders>
              <w:top w:val="single" w:sz="12" w:space="0" w:color="auto"/>
              <w:left w:val="single" w:sz="12" w:space="0" w:color="auto"/>
              <w:bottom w:val="single" w:sz="12" w:space="0" w:color="auto"/>
            </w:tcBorders>
            <w:vAlign w:val="center"/>
          </w:tcPr>
          <w:p w14:paraId="48B603E5" w14:textId="4C1C4E73" w:rsidR="008C54C0" w:rsidRPr="00677CE8" w:rsidRDefault="000D4094" w:rsidP="007B293E">
            <w:pPr>
              <w:rPr>
                <w:b/>
                <w:bCs/>
                <w:sz w:val="19"/>
                <w:szCs w:val="19"/>
              </w:rPr>
            </w:pPr>
            <w:r w:rsidRPr="00677CE8">
              <w:rPr>
                <w:b/>
                <w:bCs/>
                <w:sz w:val="19"/>
                <w:szCs w:val="19"/>
              </w:rPr>
              <w:t xml:space="preserve">Individual </w:t>
            </w:r>
            <w:r w:rsidR="008C54C0" w:rsidRPr="00677CE8">
              <w:rPr>
                <w:b/>
                <w:bCs/>
                <w:sz w:val="19"/>
                <w:szCs w:val="19"/>
              </w:rPr>
              <w:t>Demographic Characteristic</w:t>
            </w:r>
          </w:p>
        </w:tc>
        <w:tc>
          <w:tcPr>
            <w:tcW w:w="1350" w:type="dxa"/>
            <w:tcBorders>
              <w:top w:val="single" w:sz="12" w:space="0" w:color="auto"/>
              <w:bottom w:val="single" w:sz="12" w:space="0" w:color="auto"/>
            </w:tcBorders>
            <w:vAlign w:val="center"/>
          </w:tcPr>
          <w:p w14:paraId="09C03F13" w14:textId="77777777" w:rsidR="008C54C0" w:rsidRPr="00677CE8" w:rsidRDefault="008C54C0" w:rsidP="007B293E">
            <w:pPr>
              <w:jc w:val="center"/>
              <w:rPr>
                <w:b/>
                <w:bCs/>
                <w:sz w:val="19"/>
                <w:szCs w:val="19"/>
              </w:rPr>
            </w:pPr>
            <w:r w:rsidRPr="00677CE8">
              <w:rPr>
                <w:b/>
                <w:bCs/>
                <w:sz w:val="19"/>
                <w:szCs w:val="19"/>
              </w:rPr>
              <w:t>Observations</w:t>
            </w:r>
          </w:p>
        </w:tc>
        <w:tc>
          <w:tcPr>
            <w:tcW w:w="902" w:type="dxa"/>
            <w:tcBorders>
              <w:top w:val="single" w:sz="12" w:space="0" w:color="auto"/>
              <w:bottom w:val="single" w:sz="12" w:space="0" w:color="auto"/>
            </w:tcBorders>
            <w:vAlign w:val="center"/>
          </w:tcPr>
          <w:p w14:paraId="2F4073A6" w14:textId="77777777" w:rsidR="008C54C0" w:rsidRPr="00677CE8" w:rsidRDefault="008C54C0" w:rsidP="007B293E">
            <w:pPr>
              <w:jc w:val="center"/>
              <w:rPr>
                <w:b/>
                <w:bCs/>
                <w:sz w:val="19"/>
                <w:szCs w:val="19"/>
              </w:rPr>
            </w:pPr>
            <w:r w:rsidRPr="00677CE8">
              <w:rPr>
                <w:b/>
                <w:bCs/>
                <w:sz w:val="19"/>
                <w:szCs w:val="19"/>
              </w:rPr>
              <w:t>Share of Sample</w:t>
            </w:r>
          </w:p>
        </w:tc>
        <w:tc>
          <w:tcPr>
            <w:tcW w:w="1045" w:type="dxa"/>
            <w:tcBorders>
              <w:top w:val="single" w:sz="12" w:space="0" w:color="auto"/>
              <w:bottom w:val="single" w:sz="12" w:space="0" w:color="auto"/>
              <w:right w:val="single" w:sz="12" w:space="0" w:color="auto"/>
            </w:tcBorders>
            <w:vAlign w:val="center"/>
          </w:tcPr>
          <w:p w14:paraId="56A1868A" w14:textId="77777777" w:rsidR="008C54C0" w:rsidRPr="00677CE8" w:rsidRDefault="008C54C0" w:rsidP="007B293E">
            <w:pPr>
              <w:jc w:val="center"/>
              <w:rPr>
                <w:b/>
                <w:bCs/>
                <w:sz w:val="19"/>
                <w:szCs w:val="19"/>
              </w:rPr>
            </w:pPr>
            <w:r w:rsidRPr="00677CE8">
              <w:rPr>
                <w:b/>
                <w:bCs/>
                <w:sz w:val="19"/>
                <w:szCs w:val="19"/>
              </w:rPr>
              <w:t>ACS 2023 Percent</w:t>
            </w:r>
          </w:p>
        </w:tc>
        <w:tc>
          <w:tcPr>
            <w:tcW w:w="3816" w:type="dxa"/>
            <w:tcBorders>
              <w:top w:val="single" w:sz="12" w:space="0" w:color="auto"/>
              <w:left w:val="single" w:sz="12" w:space="0" w:color="auto"/>
              <w:bottom w:val="single" w:sz="12" w:space="0" w:color="auto"/>
            </w:tcBorders>
            <w:vAlign w:val="center"/>
          </w:tcPr>
          <w:p w14:paraId="0DB330CE" w14:textId="7425D913" w:rsidR="008C54C0" w:rsidRPr="00677CE8" w:rsidRDefault="000D4094" w:rsidP="007B293E">
            <w:pPr>
              <w:rPr>
                <w:b/>
                <w:bCs/>
                <w:sz w:val="19"/>
                <w:szCs w:val="19"/>
              </w:rPr>
            </w:pPr>
            <w:r w:rsidRPr="00677CE8">
              <w:rPr>
                <w:b/>
                <w:bCs/>
                <w:sz w:val="19"/>
                <w:szCs w:val="19"/>
              </w:rPr>
              <w:t xml:space="preserve">Household </w:t>
            </w:r>
            <w:r w:rsidR="008C54C0" w:rsidRPr="00677CE8">
              <w:rPr>
                <w:b/>
                <w:bCs/>
                <w:sz w:val="19"/>
                <w:szCs w:val="19"/>
              </w:rPr>
              <w:t>Demographic Characteristic</w:t>
            </w:r>
          </w:p>
        </w:tc>
        <w:tc>
          <w:tcPr>
            <w:tcW w:w="1351" w:type="dxa"/>
            <w:tcBorders>
              <w:top w:val="single" w:sz="12" w:space="0" w:color="auto"/>
              <w:bottom w:val="single" w:sz="12" w:space="0" w:color="auto"/>
            </w:tcBorders>
            <w:vAlign w:val="center"/>
          </w:tcPr>
          <w:p w14:paraId="2E640C0E" w14:textId="77777777" w:rsidR="008C54C0" w:rsidRPr="00677CE8" w:rsidRDefault="008C54C0" w:rsidP="007B293E">
            <w:pPr>
              <w:jc w:val="center"/>
              <w:rPr>
                <w:b/>
                <w:bCs/>
                <w:sz w:val="19"/>
                <w:szCs w:val="19"/>
              </w:rPr>
            </w:pPr>
            <w:r w:rsidRPr="00677CE8">
              <w:rPr>
                <w:b/>
                <w:bCs/>
                <w:sz w:val="19"/>
                <w:szCs w:val="19"/>
              </w:rPr>
              <w:t>Observations</w:t>
            </w:r>
          </w:p>
        </w:tc>
        <w:tc>
          <w:tcPr>
            <w:tcW w:w="977" w:type="dxa"/>
            <w:tcBorders>
              <w:top w:val="single" w:sz="12" w:space="0" w:color="auto"/>
              <w:bottom w:val="single" w:sz="12" w:space="0" w:color="auto"/>
            </w:tcBorders>
            <w:vAlign w:val="center"/>
          </w:tcPr>
          <w:p w14:paraId="4F2F37EC" w14:textId="77777777" w:rsidR="008C54C0" w:rsidRPr="00677CE8" w:rsidRDefault="008C54C0" w:rsidP="007B293E">
            <w:pPr>
              <w:jc w:val="center"/>
              <w:rPr>
                <w:b/>
                <w:bCs/>
                <w:sz w:val="19"/>
                <w:szCs w:val="19"/>
              </w:rPr>
            </w:pPr>
            <w:r w:rsidRPr="00677CE8">
              <w:rPr>
                <w:b/>
                <w:bCs/>
                <w:sz w:val="19"/>
                <w:szCs w:val="19"/>
              </w:rPr>
              <w:t>Share of Sample</w:t>
            </w:r>
          </w:p>
        </w:tc>
        <w:tc>
          <w:tcPr>
            <w:tcW w:w="1007" w:type="dxa"/>
            <w:tcBorders>
              <w:top w:val="single" w:sz="12" w:space="0" w:color="auto"/>
              <w:bottom w:val="single" w:sz="12" w:space="0" w:color="auto"/>
              <w:right w:val="single" w:sz="12" w:space="0" w:color="auto"/>
            </w:tcBorders>
            <w:vAlign w:val="center"/>
          </w:tcPr>
          <w:p w14:paraId="61813379" w14:textId="77777777" w:rsidR="008C54C0" w:rsidRPr="00677CE8" w:rsidRDefault="008C54C0" w:rsidP="007B293E">
            <w:pPr>
              <w:ind w:right="-82"/>
              <w:jc w:val="center"/>
              <w:rPr>
                <w:b/>
                <w:bCs/>
                <w:sz w:val="19"/>
                <w:szCs w:val="19"/>
              </w:rPr>
            </w:pPr>
            <w:r w:rsidRPr="00677CE8">
              <w:rPr>
                <w:b/>
                <w:bCs/>
                <w:sz w:val="19"/>
                <w:szCs w:val="19"/>
              </w:rPr>
              <w:t>ACS 2023 Percent</w:t>
            </w:r>
          </w:p>
        </w:tc>
      </w:tr>
      <w:tr w:rsidR="008C54C0" w:rsidRPr="00677CE8" w14:paraId="6991D623" w14:textId="77777777" w:rsidTr="00007FF5">
        <w:trPr>
          <w:trHeight w:val="275"/>
        </w:trPr>
        <w:tc>
          <w:tcPr>
            <w:tcW w:w="6787" w:type="dxa"/>
            <w:gridSpan w:val="4"/>
            <w:tcBorders>
              <w:top w:val="single" w:sz="12" w:space="0" w:color="auto"/>
              <w:left w:val="single" w:sz="12" w:space="0" w:color="auto"/>
              <w:bottom w:val="nil"/>
              <w:right w:val="single" w:sz="12" w:space="0" w:color="auto"/>
            </w:tcBorders>
          </w:tcPr>
          <w:p w14:paraId="0C95BFFC" w14:textId="77777777" w:rsidR="008C54C0" w:rsidRPr="00677CE8" w:rsidRDefault="008C54C0" w:rsidP="007B293E">
            <w:pPr>
              <w:rPr>
                <w:b/>
                <w:bCs/>
                <w:sz w:val="19"/>
                <w:szCs w:val="19"/>
              </w:rPr>
            </w:pPr>
            <w:r w:rsidRPr="00677CE8">
              <w:rPr>
                <w:b/>
                <w:bCs/>
                <w:sz w:val="19"/>
                <w:szCs w:val="19"/>
              </w:rPr>
              <w:t>Gender</w:t>
            </w:r>
          </w:p>
        </w:tc>
        <w:tc>
          <w:tcPr>
            <w:tcW w:w="7154" w:type="dxa"/>
            <w:gridSpan w:val="4"/>
            <w:tcBorders>
              <w:top w:val="single" w:sz="12" w:space="0" w:color="auto"/>
              <w:left w:val="single" w:sz="12" w:space="0" w:color="auto"/>
              <w:bottom w:val="nil"/>
              <w:right w:val="single" w:sz="12" w:space="0" w:color="auto"/>
            </w:tcBorders>
          </w:tcPr>
          <w:p w14:paraId="67F2D2E7" w14:textId="77777777" w:rsidR="008C54C0" w:rsidRPr="00677CE8" w:rsidRDefault="008C54C0" w:rsidP="007B293E">
            <w:pPr>
              <w:rPr>
                <w:b/>
                <w:bCs/>
                <w:sz w:val="19"/>
                <w:szCs w:val="19"/>
              </w:rPr>
            </w:pPr>
            <w:r w:rsidRPr="00677CE8">
              <w:rPr>
                <w:b/>
                <w:bCs/>
                <w:sz w:val="19"/>
                <w:szCs w:val="19"/>
              </w:rPr>
              <w:t>Household Income</w:t>
            </w:r>
          </w:p>
        </w:tc>
      </w:tr>
      <w:tr w:rsidR="008C54C0" w:rsidRPr="00677CE8" w14:paraId="35B461B7" w14:textId="77777777" w:rsidTr="00007FF5">
        <w:trPr>
          <w:trHeight w:val="264"/>
        </w:trPr>
        <w:tc>
          <w:tcPr>
            <w:tcW w:w="3490" w:type="dxa"/>
            <w:tcBorders>
              <w:top w:val="nil"/>
              <w:left w:val="single" w:sz="12" w:space="0" w:color="auto"/>
              <w:bottom w:val="nil"/>
            </w:tcBorders>
          </w:tcPr>
          <w:p w14:paraId="1AD0DDF9" w14:textId="77777777" w:rsidR="008C54C0" w:rsidRPr="00677CE8" w:rsidRDefault="008C54C0" w:rsidP="007B293E">
            <w:pPr>
              <w:ind w:left="216"/>
              <w:rPr>
                <w:sz w:val="19"/>
                <w:szCs w:val="19"/>
              </w:rPr>
            </w:pPr>
            <w:r w:rsidRPr="00677CE8">
              <w:rPr>
                <w:sz w:val="19"/>
                <w:szCs w:val="19"/>
              </w:rPr>
              <w:t>Male</w:t>
            </w:r>
          </w:p>
        </w:tc>
        <w:tc>
          <w:tcPr>
            <w:tcW w:w="1350" w:type="dxa"/>
            <w:tcBorders>
              <w:top w:val="nil"/>
              <w:bottom w:val="nil"/>
            </w:tcBorders>
            <w:vAlign w:val="center"/>
          </w:tcPr>
          <w:p w14:paraId="59E06A74" w14:textId="77777777" w:rsidR="008C54C0" w:rsidRPr="00677CE8" w:rsidRDefault="008C54C0" w:rsidP="007B293E">
            <w:pPr>
              <w:jc w:val="center"/>
              <w:rPr>
                <w:sz w:val="19"/>
                <w:szCs w:val="19"/>
              </w:rPr>
            </w:pPr>
            <w:r w:rsidRPr="00677CE8">
              <w:rPr>
                <w:color w:val="000000"/>
                <w:sz w:val="19"/>
                <w:szCs w:val="19"/>
              </w:rPr>
              <w:t>577</w:t>
            </w:r>
          </w:p>
        </w:tc>
        <w:tc>
          <w:tcPr>
            <w:tcW w:w="902" w:type="dxa"/>
            <w:tcBorders>
              <w:top w:val="nil"/>
              <w:bottom w:val="nil"/>
            </w:tcBorders>
            <w:vAlign w:val="center"/>
          </w:tcPr>
          <w:p w14:paraId="1160CB8B" w14:textId="77777777" w:rsidR="008C54C0" w:rsidRPr="00677CE8" w:rsidRDefault="008C54C0" w:rsidP="007B293E">
            <w:pPr>
              <w:jc w:val="center"/>
              <w:rPr>
                <w:sz w:val="19"/>
                <w:szCs w:val="19"/>
              </w:rPr>
            </w:pPr>
            <w:r w:rsidRPr="00677CE8">
              <w:rPr>
                <w:color w:val="000000"/>
                <w:sz w:val="19"/>
                <w:szCs w:val="19"/>
              </w:rPr>
              <w:t>54.6%</w:t>
            </w:r>
          </w:p>
        </w:tc>
        <w:tc>
          <w:tcPr>
            <w:tcW w:w="1045" w:type="dxa"/>
            <w:tcBorders>
              <w:top w:val="nil"/>
              <w:bottom w:val="nil"/>
              <w:right w:val="single" w:sz="12" w:space="0" w:color="auto"/>
            </w:tcBorders>
            <w:vAlign w:val="center"/>
          </w:tcPr>
          <w:p w14:paraId="496D6072" w14:textId="77777777" w:rsidR="008C54C0" w:rsidRPr="00677CE8" w:rsidRDefault="008C54C0" w:rsidP="007B293E">
            <w:pPr>
              <w:jc w:val="center"/>
              <w:rPr>
                <w:sz w:val="19"/>
                <w:szCs w:val="19"/>
              </w:rPr>
            </w:pPr>
            <w:r w:rsidRPr="00677CE8">
              <w:rPr>
                <w:color w:val="000000"/>
                <w:sz w:val="19"/>
                <w:szCs w:val="19"/>
              </w:rPr>
              <w:t>49.9%</w:t>
            </w:r>
          </w:p>
        </w:tc>
        <w:tc>
          <w:tcPr>
            <w:tcW w:w="3816" w:type="dxa"/>
            <w:tcBorders>
              <w:top w:val="nil"/>
              <w:left w:val="single" w:sz="12" w:space="0" w:color="auto"/>
              <w:bottom w:val="nil"/>
            </w:tcBorders>
            <w:vAlign w:val="center"/>
          </w:tcPr>
          <w:p w14:paraId="0419E429" w14:textId="716B167A" w:rsidR="008C54C0" w:rsidRPr="00677CE8" w:rsidRDefault="008C54C0" w:rsidP="007B293E">
            <w:pPr>
              <w:ind w:left="216"/>
              <w:rPr>
                <w:sz w:val="19"/>
                <w:szCs w:val="19"/>
              </w:rPr>
            </w:pPr>
            <w:r w:rsidRPr="00677CE8">
              <w:rPr>
                <w:color w:val="000000"/>
                <w:sz w:val="19"/>
                <w:szCs w:val="19"/>
              </w:rPr>
              <w:t xml:space="preserve">Low </w:t>
            </w:r>
            <w:r w:rsidR="0050544D" w:rsidRPr="00677CE8">
              <w:rPr>
                <w:color w:val="000000"/>
                <w:sz w:val="19"/>
                <w:szCs w:val="19"/>
              </w:rPr>
              <w:t>i</w:t>
            </w:r>
            <w:r w:rsidRPr="00677CE8">
              <w:rPr>
                <w:color w:val="000000"/>
                <w:sz w:val="19"/>
                <w:szCs w:val="19"/>
              </w:rPr>
              <w:t>ncome (</w:t>
            </w:r>
            <w:r w:rsidR="0050544D" w:rsidRPr="00677CE8">
              <w:rPr>
                <w:color w:val="000000"/>
                <w:sz w:val="19"/>
                <w:szCs w:val="19"/>
              </w:rPr>
              <w:t>l</w:t>
            </w:r>
            <w:r w:rsidRPr="00677CE8">
              <w:rPr>
                <w:color w:val="000000"/>
                <w:sz w:val="19"/>
                <w:szCs w:val="19"/>
              </w:rPr>
              <w:t>ess than $35,000)</w:t>
            </w:r>
          </w:p>
        </w:tc>
        <w:tc>
          <w:tcPr>
            <w:tcW w:w="1351" w:type="dxa"/>
            <w:tcBorders>
              <w:top w:val="nil"/>
              <w:bottom w:val="nil"/>
            </w:tcBorders>
            <w:vAlign w:val="center"/>
          </w:tcPr>
          <w:p w14:paraId="7052BE33" w14:textId="77777777" w:rsidR="008C54C0" w:rsidRPr="00677CE8" w:rsidRDefault="008C54C0" w:rsidP="007B293E">
            <w:pPr>
              <w:jc w:val="center"/>
              <w:rPr>
                <w:sz w:val="19"/>
                <w:szCs w:val="19"/>
              </w:rPr>
            </w:pPr>
            <w:r w:rsidRPr="00677CE8">
              <w:rPr>
                <w:color w:val="000000"/>
                <w:sz w:val="19"/>
                <w:szCs w:val="19"/>
              </w:rPr>
              <w:t>223</w:t>
            </w:r>
          </w:p>
        </w:tc>
        <w:tc>
          <w:tcPr>
            <w:tcW w:w="977" w:type="dxa"/>
            <w:tcBorders>
              <w:top w:val="nil"/>
              <w:bottom w:val="nil"/>
            </w:tcBorders>
            <w:vAlign w:val="center"/>
          </w:tcPr>
          <w:p w14:paraId="3157AB68" w14:textId="77777777" w:rsidR="008C54C0" w:rsidRPr="00677CE8" w:rsidRDefault="008C54C0" w:rsidP="007B293E">
            <w:pPr>
              <w:jc w:val="center"/>
              <w:rPr>
                <w:sz w:val="19"/>
                <w:szCs w:val="19"/>
              </w:rPr>
            </w:pPr>
            <w:r w:rsidRPr="00677CE8">
              <w:rPr>
                <w:color w:val="000000"/>
                <w:sz w:val="19"/>
                <w:szCs w:val="19"/>
              </w:rPr>
              <w:t>21.1%</w:t>
            </w:r>
          </w:p>
        </w:tc>
        <w:tc>
          <w:tcPr>
            <w:tcW w:w="1007" w:type="dxa"/>
            <w:tcBorders>
              <w:top w:val="nil"/>
              <w:bottom w:val="nil"/>
              <w:right w:val="single" w:sz="12" w:space="0" w:color="auto"/>
            </w:tcBorders>
            <w:vAlign w:val="center"/>
          </w:tcPr>
          <w:p w14:paraId="0B577872" w14:textId="77777777" w:rsidR="008C54C0" w:rsidRPr="00677CE8" w:rsidRDefault="008C54C0" w:rsidP="007B293E">
            <w:pPr>
              <w:jc w:val="center"/>
              <w:rPr>
                <w:sz w:val="19"/>
                <w:szCs w:val="19"/>
              </w:rPr>
            </w:pPr>
            <w:r w:rsidRPr="00677CE8">
              <w:rPr>
                <w:color w:val="000000"/>
                <w:sz w:val="19"/>
                <w:szCs w:val="19"/>
              </w:rPr>
              <w:t>21.9%</w:t>
            </w:r>
          </w:p>
        </w:tc>
      </w:tr>
      <w:tr w:rsidR="008C54C0" w:rsidRPr="00677CE8" w14:paraId="31387BF9" w14:textId="77777777" w:rsidTr="00007FF5">
        <w:trPr>
          <w:trHeight w:val="275"/>
        </w:trPr>
        <w:tc>
          <w:tcPr>
            <w:tcW w:w="3490" w:type="dxa"/>
            <w:tcBorders>
              <w:top w:val="nil"/>
              <w:left w:val="single" w:sz="12" w:space="0" w:color="auto"/>
              <w:bottom w:val="nil"/>
            </w:tcBorders>
          </w:tcPr>
          <w:p w14:paraId="64157B13" w14:textId="77777777" w:rsidR="008C54C0" w:rsidRPr="00677CE8" w:rsidRDefault="008C54C0" w:rsidP="007B293E">
            <w:pPr>
              <w:ind w:left="216"/>
              <w:rPr>
                <w:sz w:val="19"/>
                <w:szCs w:val="19"/>
              </w:rPr>
            </w:pPr>
            <w:r w:rsidRPr="00677CE8">
              <w:rPr>
                <w:sz w:val="19"/>
                <w:szCs w:val="19"/>
              </w:rPr>
              <w:t>Female</w:t>
            </w:r>
          </w:p>
        </w:tc>
        <w:tc>
          <w:tcPr>
            <w:tcW w:w="1350" w:type="dxa"/>
            <w:tcBorders>
              <w:top w:val="nil"/>
              <w:bottom w:val="nil"/>
            </w:tcBorders>
            <w:vAlign w:val="center"/>
          </w:tcPr>
          <w:p w14:paraId="271F80B0" w14:textId="77777777" w:rsidR="008C54C0" w:rsidRPr="00677CE8" w:rsidRDefault="008C54C0" w:rsidP="007B293E">
            <w:pPr>
              <w:jc w:val="center"/>
              <w:rPr>
                <w:sz w:val="19"/>
                <w:szCs w:val="19"/>
              </w:rPr>
            </w:pPr>
            <w:r w:rsidRPr="00677CE8">
              <w:rPr>
                <w:color w:val="000000"/>
                <w:sz w:val="19"/>
                <w:szCs w:val="19"/>
              </w:rPr>
              <w:t>474</w:t>
            </w:r>
          </w:p>
        </w:tc>
        <w:tc>
          <w:tcPr>
            <w:tcW w:w="902" w:type="dxa"/>
            <w:tcBorders>
              <w:top w:val="nil"/>
              <w:bottom w:val="nil"/>
            </w:tcBorders>
            <w:vAlign w:val="center"/>
          </w:tcPr>
          <w:p w14:paraId="7E98B248" w14:textId="77777777" w:rsidR="008C54C0" w:rsidRPr="00677CE8" w:rsidRDefault="008C54C0" w:rsidP="007B293E">
            <w:pPr>
              <w:jc w:val="center"/>
              <w:rPr>
                <w:sz w:val="19"/>
                <w:szCs w:val="19"/>
              </w:rPr>
            </w:pPr>
            <w:r w:rsidRPr="00677CE8">
              <w:rPr>
                <w:color w:val="000000"/>
                <w:sz w:val="19"/>
                <w:szCs w:val="19"/>
              </w:rPr>
              <w:t>44.8%</w:t>
            </w:r>
          </w:p>
        </w:tc>
        <w:tc>
          <w:tcPr>
            <w:tcW w:w="1045" w:type="dxa"/>
            <w:tcBorders>
              <w:top w:val="nil"/>
              <w:bottom w:val="nil"/>
              <w:right w:val="single" w:sz="12" w:space="0" w:color="auto"/>
            </w:tcBorders>
            <w:vAlign w:val="center"/>
          </w:tcPr>
          <w:p w14:paraId="42FC65E6" w14:textId="77777777" w:rsidR="008C54C0" w:rsidRPr="00677CE8" w:rsidRDefault="008C54C0" w:rsidP="007B293E">
            <w:pPr>
              <w:jc w:val="center"/>
              <w:rPr>
                <w:sz w:val="19"/>
                <w:szCs w:val="19"/>
              </w:rPr>
            </w:pPr>
            <w:r w:rsidRPr="00677CE8">
              <w:rPr>
                <w:color w:val="000000"/>
                <w:sz w:val="19"/>
                <w:szCs w:val="19"/>
              </w:rPr>
              <w:t>50.1%</w:t>
            </w:r>
          </w:p>
        </w:tc>
        <w:tc>
          <w:tcPr>
            <w:tcW w:w="3816" w:type="dxa"/>
            <w:tcBorders>
              <w:top w:val="nil"/>
              <w:left w:val="single" w:sz="12" w:space="0" w:color="auto"/>
              <w:bottom w:val="nil"/>
            </w:tcBorders>
            <w:vAlign w:val="center"/>
          </w:tcPr>
          <w:p w14:paraId="67DDF834" w14:textId="1BE8A966" w:rsidR="008C54C0" w:rsidRPr="00677CE8" w:rsidRDefault="008C54C0" w:rsidP="007B293E">
            <w:pPr>
              <w:ind w:left="216"/>
              <w:rPr>
                <w:sz w:val="19"/>
                <w:szCs w:val="19"/>
              </w:rPr>
            </w:pPr>
            <w:r w:rsidRPr="00677CE8">
              <w:rPr>
                <w:color w:val="000000"/>
                <w:sz w:val="19"/>
                <w:szCs w:val="19"/>
              </w:rPr>
              <w:t xml:space="preserve">Medium </w:t>
            </w:r>
            <w:r w:rsidR="0050544D" w:rsidRPr="00677CE8">
              <w:rPr>
                <w:color w:val="000000"/>
                <w:sz w:val="19"/>
                <w:szCs w:val="19"/>
              </w:rPr>
              <w:t>i</w:t>
            </w:r>
            <w:r w:rsidRPr="00677CE8">
              <w:rPr>
                <w:color w:val="000000"/>
                <w:sz w:val="19"/>
                <w:szCs w:val="19"/>
              </w:rPr>
              <w:t>ncome ($35,000-$100,000)</w:t>
            </w:r>
          </w:p>
        </w:tc>
        <w:tc>
          <w:tcPr>
            <w:tcW w:w="1351" w:type="dxa"/>
            <w:tcBorders>
              <w:top w:val="nil"/>
              <w:bottom w:val="nil"/>
            </w:tcBorders>
            <w:vAlign w:val="center"/>
          </w:tcPr>
          <w:p w14:paraId="4987BFF4" w14:textId="77777777" w:rsidR="008C54C0" w:rsidRPr="00677CE8" w:rsidRDefault="008C54C0" w:rsidP="007B293E">
            <w:pPr>
              <w:jc w:val="center"/>
              <w:rPr>
                <w:sz w:val="19"/>
                <w:szCs w:val="19"/>
              </w:rPr>
            </w:pPr>
            <w:r w:rsidRPr="00677CE8">
              <w:rPr>
                <w:color w:val="000000"/>
                <w:sz w:val="19"/>
                <w:szCs w:val="19"/>
              </w:rPr>
              <w:t>361</w:t>
            </w:r>
          </w:p>
        </w:tc>
        <w:tc>
          <w:tcPr>
            <w:tcW w:w="977" w:type="dxa"/>
            <w:tcBorders>
              <w:top w:val="nil"/>
              <w:bottom w:val="nil"/>
            </w:tcBorders>
            <w:vAlign w:val="center"/>
          </w:tcPr>
          <w:p w14:paraId="77DBBE0B" w14:textId="77777777" w:rsidR="008C54C0" w:rsidRPr="00677CE8" w:rsidRDefault="008C54C0" w:rsidP="007B293E">
            <w:pPr>
              <w:jc w:val="center"/>
              <w:rPr>
                <w:sz w:val="19"/>
                <w:szCs w:val="19"/>
              </w:rPr>
            </w:pPr>
            <w:r w:rsidRPr="00677CE8">
              <w:rPr>
                <w:color w:val="000000"/>
                <w:sz w:val="19"/>
                <w:szCs w:val="19"/>
              </w:rPr>
              <w:t>34.2%</w:t>
            </w:r>
          </w:p>
        </w:tc>
        <w:tc>
          <w:tcPr>
            <w:tcW w:w="1007" w:type="dxa"/>
            <w:tcBorders>
              <w:top w:val="nil"/>
              <w:bottom w:val="nil"/>
              <w:right w:val="single" w:sz="12" w:space="0" w:color="auto"/>
            </w:tcBorders>
            <w:vAlign w:val="center"/>
          </w:tcPr>
          <w:p w14:paraId="441693FF" w14:textId="77777777" w:rsidR="008C54C0" w:rsidRPr="00677CE8" w:rsidRDefault="008C54C0" w:rsidP="007B293E">
            <w:pPr>
              <w:jc w:val="center"/>
              <w:rPr>
                <w:sz w:val="19"/>
                <w:szCs w:val="19"/>
              </w:rPr>
            </w:pPr>
            <w:r w:rsidRPr="00677CE8">
              <w:rPr>
                <w:color w:val="000000"/>
                <w:sz w:val="19"/>
                <w:szCs w:val="19"/>
              </w:rPr>
              <w:t>40.3%</w:t>
            </w:r>
          </w:p>
        </w:tc>
      </w:tr>
      <w:tr w:rsidR="008C54C0" w:rsidRPr="00677CE8" w14:paraId="0CE307C6" w14:textId="77777777" w:rsidTr="00007FF5">
        <w:trPr>
          <w:trHeight w:val="275"/>
        </w:trPr>
        <w:tc>
          <w:tcPr>
            <w:tcW w:w="3490" w:type="dxa"/>
            <w:tcBorders>
              <w:top w:val="nil"/>
              <w:left w:val="single" w:sz="12" w:space="0" w:color="auto"/>
              <w:bottom w:val="nil"/>
            </w:tcBorders>
          </w:tcPr>
          <w:p w14:paraId="5EF8CD3B" w14:textId="178278BC" w:rsidR="008C54C0" w:rsidRPr="00677CE8" w:rsidRDefault="008C54C0" w:rsidP="007B293E">
            <w:pPr>
              <w:ind w:left="216"/>
              <w:rPr>
                <w:sz w:val="19"/>
                <w:szCs w:val="19"/>
              </w:rPr>
            </w:pPr>
            <w:r w:rsidRPr="00677CE8">
              <w:rPr>
                <w:sz w:val="19"/>
                <w:szCs w:val="19"/>
              </w:rPr>
              <w:t xml:space="preserve">Other </w:t>
            </w:r>
            <w:r w:rsidR="0050544D" w:rsidRPr="00677CE8">
              <w:rPr>
                <w:sz w:val="19"/>
                <w:szCs w:val="19"/>
              </w:rPr>
              <w:t>g</w:t>
            </w:r>
            <w:r w:rsidRPr="00677CE8">
              <w:rPr>
                <w:sz w:val="19"/>
                <w:szCs w:val="19"/>
              </w:rPr>
              <w:t>ender</w:t>
            </w:r>
            <w:r w:rsidR="00484579" w:rsidRPr="00677CE8">
              <w:rPr>
                <w:sz w:val="19"/>
                <w:szCs w:val="19"/>
              </w:rPr>
              <w:t>*</w:t>
            </w:r>
          </w:p>
        </w:tc>
        <w:tc>
          <w:tcPr>
            <w:tcW w:w="1350" w:type="dxa"/>
            <w:tcBorders>
              <w:top w:val="nil"/>
              <w:bottom w:val="nil"/>
            </w:tcBorders>
            <w:vAlign w:val="center"/>
          </w:tcPr>
          <w:p w14:paraId="09E63F1B" w14:textId="77777777" w:rsidR="008C54C0" w:rsidRPr="00677CE8" w:rsidRDefault="008C54C0" w:rsidP="007B293E">
            <w:pPr>
              <w:jc w:val="center"/>
              <w:rPr>
                <w:sz w:val="19"/>
                <w:szCs w:val="19"/>
              </w:rPr>
            </w:pPr>
            <w:r w:rsidRPr="00677CE8">
              <w:rPr>
                <w:color w:val="000000"/>
                <w:sz w:val="19"/>
                <w:szCs w:val="19"/>
              </w:rPr>
              <w:t>6</w:t>
            </w:r>
          </w:p>
        </w:tc>
        <w:tc>
          <w:tcPr>
            <w:tcW w:w="902" w:type="dxa"/>
            <w:tcBorders>
              <w:top w:val="nil"/>
              <w:bottom w:val="nil"/>
            </w:tcBorders>
            <w:vAlign w:val="center"/>
          </w:tcPr>
          <w:p w14:paraId="610FAD26" w14:textId="77777777" w:rsidR="008C54C0" w:rsidRPr="00677CE8" w:rsidRDefault="008C54C0" w:rsidP="007B293E">
            <w:pPr>
              <w:jc w:val="center"/>
              <w:rPr>
                <w:sz w:val="19"/>
                <w:szCs w:val="19"/>
              </w:rPr>
            </w:pPr>
            <w:r w:rsidRPr="00677CE8">
              <w:rPr>
                <w:color w:val="000000"/>
                <w:sz w:val="19"/>
                <w:szCs w:val="19"/>
              </w:rPr>
              <w:t xml:space="preserve"> </w:t>
            </w:r>
            <w:r w:rsidRPr="00677CE8">
              <w:rPr>
                <w:color w:val="FFFFFF" w:themeColor="background1"/>
                <w:sz w:val="19"/>
                <w:szCs w:val="19"/>
              </w:rPr>
              <w:t>0</w:t>
            </w:r>
            <w:r w:rsidRPr="00677CE8">
              <w:rPr>
                <w:color w:val="000000"/>
                <w:sz w:val="19"/>
                <w:szCs w:val="19"/>
              </w:rPr>
              <w:t>0.6%</w:t>
            </w:r>
          </w:p>
        </w:tc>
        <w:tc>
          <w:tcPr>
            <w:tcW w:w="1045" w:type="dxa"/>
            <w:tcBorders>
              <w:top w:val="nil"/>
              <w:bottom w:val="nil"/>
              <w:right w:val="single" w:sz="12" w:space="0" w:color="auto"/>
            </w:tcBorders>
            <w:vAlign w:val="center"/>
          </w:tcPr>
          <w:p w14:paraId="31726971" w14:textId="77777777" w:rsidR="008C54C0" w:rsidRPr="00677CE8" w:rsidRDefault="008C54C0" w:rsidP="007B293E">
            <w:pPr>
              <w:jc w:val="center"/>
              <w:rPr>
                <w:sz w:val="19"/>
                <w:szCs w:val="19"/>
              </w:rPr>
            </w:pPr>
            <w:r w:rsidRPr="00677CE8">
              <w:rPr>
                <w:color w:val="000000"/>
                <w:sz w:val="19"/>
                <w:szCs w:val="19"/>
              </w:rPr>
              <w:t>--</w:t>
            </w:r>
          </w:p>
        </w:tc>
        <w:tc>
          <w:tcPr>
            <w:tcW w:w="3816" w:type="dxa"/>
            <w:tcBorders>
              <w:top w:val="nil"/>
              <w:left w:val="single" w:sz="12" w:space="0" w:color="auto"/>
              <w:bottom w:val="nil"/>
            </w:tcBorders>
            <w:vAlign w:val="center"/>
          </w:tcPr>
          <w:p w14:paraId="0D43D757" w14:textId="62CBFD11" w:rsidR="008C54C0" w:rsidRPr="00677CE8" w:rsidRDefault="008C54C0" w:rsidP="007B293E">
            <w:pPr>
              <w:ind w:left="216"/>
              <w:rPr>
                <w:sz w:val="19"/>
                <w:szCs w:val="19"/>
              </w:rPr>
            </w:pPr>
            <w:r w:rsidRPr="00677CE8">
              <w:rPr>
                <w:color w:val="000000"/>
                <w:sz w:val="19"/>
                <w:szCs w:val="19"/>
              </w:rPr>
              <w:t xml:space="preserve">High </w:t>
            </w:r>
            <w:r w:rsidR="0050544D" w:rsidRPr="00677CE8">
              <w:rPr>
                <w:color w:val="000000"/>
                <w:sz w:val="19"/>
                <w:szCs w:val="19"/>
              </w:rPr>
              <w:t>i</w:t>
            </w:r>
            <w:r w:rsidRPr="00677CE8">
              <w:rPr>
                <w:color w:val="000000"/>
                <w:sz w:val="19"/>
                <w:szCs w:val="19"/>
              </w:rPr>
              <w:t>ncome (more than $100,000)</w:t>
            </w:r>
          </w:p>
        </w:tc>
        <w:tc>
          <w:tcPr>
            <w:tcW w:w="1351" w:type="dxa"/>
            <w:tcBorders>
              <w:top w:val="nil"/>
              <w:bottom w:val="nil"/>
            </w:tcBorders>
            <w:vAlign w:val="center"/>
          </w:tcPr>
          <w:p w14:paraId="7EA8DC6C" w14:textId="77777777" w:rsidR="008C54C0" w:rsidRPr="00677CE8" w:rsidRDefault="008C54C0" w:rsidP="007B293E">
            <w:pPr>
              <w:jc w:val="center"/>
              <w:rPr>
                <w:sz w:val="19"/>
                <w:szCs w:val="19"/>
              </w:rPr>
            </w:pPr>
            <w:r w:rsidRPr="00677CE8">
              <w:rPr>
                <w:color w:val="000000"/>
                <w:sz w:val="19"/>
                <w:szCs w:val="19"/>
              </w:rPr>
              <w:t>473</w:t>
            </w:r>
          </w:p>
        </w:tc>
        <w:tc>
          <w:tcPr>
            <w:tcW w:w="977" w:type="dxa"/>
            <w:tcBorders>
              <w:top w:val="nil"/>
              <w:bottom w:val="nil"/>
            </w:tcBorders>
            <w:vAlign w:val="center"/>
          </w:tcPr>
          <w:p w14:paraId="2F1D27CD" w14:textId="77777777" w:rsidR="008C54C0" w:rsidRPr="00677CE8" w:rsidRDefault="008C54C0" w:rsidP="007B293E">
            <w:pPr>
              <w:jc w:val="center"/>
              <w:rPr>
                <w:sz w:val="19"/>
                <w:szCs w:val="19"/>
              </w:rPr>
            </w:pPr>
            <w:r w:rsidRPr="00677CE8">
              <w:rPr>
                <w:color w:val="000000"/>
                <w:sz w:val="19"/>
                <w:szCs w:val="19"/>
              </w:rPr>
              <w:t>44.7%</w:t>
            </w:r>
          </w:p>
        </w:tc>
        <w:tc>
          <w:tcPr>
            <w:tcW w:w="1007" w:type="dxa"/>
            <w:tcBorders>
              <w:top w:val="nil"/>
              <w:bottom w:val="nil"/>
              <w:right w:val="single" w:sz="12" w:space="0" w:color="auto"/>
            </w:tcBorders>
            <w:vAlign w:val="center"/>
          </w:tcPr>
          <w:p w14:paraId="0C8CB406" w14:textId="77777777" w:rsidR="008C54C0" w:rsidRPr="00677CE8" w:rsidRDefault="008C54C0" w:rsidP="007B293E">
            <w:pPr>
              <w:jc w:val="center"/>
              <w:rPr>
                <w:sz w:val="19"/>
                <w:szCs w:val="19"/>
              </w:rPr>
            </w:pPr>
            <w:r w:rsidRPr="00677CE8">
              <w:rPr>
                <w:color w:val="000000"/>
                <w:sz w:val="19"/>
                <w:szCs w:val="19"/>
              </w:rPr>
              <w:t>37.8%</w:t>
            </w:r>
          </w:p>
        </w:tc>
      </w:tr>
      <w:tr w:rsidR="008C54C0" w:rsidRPr="00677CE8" w14:paraId="1B7DBB42" w14:textId="77777777" w:rsidTr="00007FF5">
        <w:trPr>
          <w:trHeight w:val="275"/>
        </w:trPr>
        <w:tc>
          <w:tcPr>
            <w:tcW w:w="6787" w:type="dxa"/>
            <w:gridSpan w:val="4"/>
            <w:tcBorders>
              <w:top w:val="nil"/>
              <w:left w:val="single" w:sz="12" w:space="0" w:color="auto"/>
              <w:bottom w:val="nil"/>
              <w:right w:val="single" w:sz="12" w:space="0" w:color="auto"/>
            </w:tcBorders>
          </w:tcPr>
          <w:p w14:paraId="7CADF63E" w14:textId="77777777" w:rsidR="008C54C0" w:rsidRPr="00677CE8" w:rsidRDefault="008C54C0" w:rsidP="007B293E">
            <w:pPr>
              <w:rPr>
                <w:b/>
                <w:bCs/>
                <w:sz w:val="19"/>
                <w:szCs w:val="19"/>
              </w:rPr>
            </w:pPr>
            <w:r w:rsidRPr="00677CE8">
              <w:rPr>
                <w:b/>
                <w:bCs/>
                <w:sz w:val="19"/>
                <w:szCs w:val="19"/>
              </w:rPr>
              <w:t>Age</w:t>
            </w:r>
          </w:p>
        </w:tc>
        <w:tc>
          <w:tcPr>
            <w:tcW w:w="7154" w:type="dxa"/>
            <w:gridSpan w:val="4"/>
            <w:tcBorders>
              <w:top w:val="nil"/>
              <w:left w:val="single" w:sz="12" w:space="0" w:color="auto"/>
              <w:bottom w:val="nil"/>
              <w:right w:val="single" w:sz="12" w:space="0" w:color="auto"/>
            </w:tcBorders>
          </w:tcPr>
          <w:p w14:paraId="38CC9505" w14:textId="77777777" w:rsidR="008C54C0" w:rsidRPr="00677CE8" w:rsidRDefault="008C54C0" w:rsidP="007B293E">
            <w:pPr>
              <w:rPr>
                <w:b/>
                <w:bCs/>
                <w:sz w:val="19"/>
                <w:szCs w:val="19"/>
              </w:rPr>
            </w:pPr>
            <w:r w:rsidRPr="00677CE8">
              <w:rPr>
                <w:b/>
                <w:bCs/>
                <w:sz w:val="19"/>
                <w:szCs w:val="19"/>
              </w:rPr>
              <w:t>Housing Type</w:t>
            </w:r>
          </w:p>
        </w:tc>
      </w:tr>
      <w:tr w:rsidR="008C54C0" w:rsidRPr="00677CE8" w14:paraId="2E9A47A9" w14:textId="77777777" w:rsidTr="00007FF5">
        <w:trPr>
          <w:trHeight w:val="275"/>
        </w:trPr>
        <w:tc>
          <w:tcPr>
            <w:tcW w:w="3490" w:type="dxa"/>
            <w:tcBorders>
              <w:top w:val="nil"/>
              <w:left w:val="single" w:sz="12" w:space="0" w:color="auto"/>
              <w:bottom w:val="nil"/>
            </w:tcBorders>
          </w:tcPr>
          <w:p w14:paraId="41858FAB" w14:textId="77777777" w:rsidR="008C54C0" w:rsidRPr="00677CE8" w:rsidRDefault="008C54C0" w:rsidP="007B293E">
            <w:pPr>
              <w:ind w:left="216"/>
              <w:rPr>
                <w:sz w:val="19"/>
                <w:szCs w:val="19"/>
              </w:rPr>
            </w:pPr>
            <w:r w:rsidRPr="00677CE8">
              <w:rPr>
                <w:sz w:val="19"/>
                <w:szCs w:val="19"/>
              </w:rPr>
              <w:t>Age 18-24</w:t>
            </w:r>
          </w:p>
        </w:tc>
        <w:tc>
          <w:tcPr>
            <w:tcW w:w="1350" w:type="dxa"/>
            <w:tcBorders>
              <w:top w:val="nil"/>
              <w:bottom w:val="nil"/>
            </w:tcBorders>
            <w:vAlign w:val="center"/>
          </w:tcPr>
          <w:p w14:paraId="3BE571E8" w14:textId="77777777" w:rsidR="008C54C0" w:rsidRPr="00677CE8" w:rsidRDefault="008C54C0" w:rsidP="007B293E">
            <w:pPr>
              <w:jc w:val="center"/>
              <w:rPr>
                <w:sz w:val="19"/>
                <w:szCs w:val="19"/>
              </w:rPr>
            </w:pPr>
            <w:r w:rsidRPr="00677CE8">
              <w:rPr>
                <w:color w:val="000000"/>
                <w:sz w:val="19"/>
                <w:szCs w:val="19"/>
              </w:rPr>
              <w:t>157</w:t>
            </w:r>
          </w:p>
        </w:tc>
        <w:tc>
          <w:tcPr>
            <w:tcW w:w="902" w:type="dxa"/>
            <w:tcBorders>
              <w:top w:val="nil"/>
              <w:bottom w:val="nil"/>
            </w:tcBorders>
            <w:vAlign w:val="center"/>
          </w:tcPr>
          <w:p w14:paraId="6C4FA280" w14:textId="77777777" w:rsidR="008C54C0" w:rsidRPr="00677CE8" w:rsidRDefault="008C54C0" w:rsidP="007B293E">
            <w:pPr>
              <w:jc w:val="center"/>
              <w:rPr>
                <w:sz w:val="19"/>
                <w:szCs w:val="19"/>
              </w:rPr>
            </w:pPr>
            <w:r w:rsidRPr="00677CE8">
              <w:rPr>
                <w:color w:val="000000"/>
                <w:sz w:val="19"/>
                <w:szCs w:val="19"/>
              </w:rPr>
              <w:t>14.8%</w:t>
            </w:r>
          </w:p>
        </w:tc>
        <w:tc>
          <w:tcPr>
            <w:tcW w:w="1045" w:type="dxa"/>
            <w:tcBorders>
              <w:top w:val="nil"/>
              <w:bottom w:val="nil"/>
              <w:right w:val="single" w:sz="12" w:space="0" w:color="auto"/>
            </w:tcBorders>
            <w:vAlign w:val="center"/>
          </w:tcPr>
          <w:p w14:paraId="461A04CE" w14:textId="77777777" w:rsidR="008C54C0" w:rsidRPr="00677CE8" w:rsidRDefault="008C54C0" w:rsidP="007B293E">
            <w:pPr>
              <w:jc w:val="center"/>
              <w:rPr>
                <w:sz w:val="19"/>
                <w:szCs w:val="19"/>
              </w:rPr>
            </w:pPr>
            <w:r w:rsidRPr="00677CE8">
              <w:rPr>
                <w:color w:val="000000"/>
                <w:sz w:val="19"/>
                <w:szCs w:val="19"/>
              </w:rPr>
              <w:t>12.8%</w:t>
            </w:r>
          </w:p>
        </w:tc>
        <w:tc>
          <w:tcPr>
            <w:tcW w:w="3816" w:type="dxa"/>
            <w:tcBorders>
              <w:top w:val="nil"/>
              <w:left w:val="single" w:sz="12" w:space="0" w:color="auto"/>
              <w:bottom w:val="nil"/>
            </w:tcBorders>
          </w:tcPr>
          <w:p w14:paraId="6F3739DC" w14:textId="52E98B28" w:rsidR="008C54C0" w:rsidRPr="00677CE8" w:rsidRDefault="008C54C0" w:rsidP="007B293E">
            <w:pPr>
              <w:ind w:left="216"/>
              <w:rPr>
                <w:sz w:val="19"/>
                <w:szCs w:val="19"/>
              </w:rPr>
            </w:pPr>
            <w:r w:rsidRPr="00677CE8">
              <w:rPr>
                <w:sz w:val="19"/>
                <w:szCs w:val="19"/>
              </w:rPr>
              <w:t xml:space="preserve">Single </w:t>
            </w:r>
            <w:r w:rsidR="0050544D" w:rsidRPr="00677CE8">
              <w:rPr>
                <w:sz w:val="19"/>
                <w:szCs w:val="19"/>
              </w:rPr>
              <w:t>f</w:t>
            </w:r>
            <w:r w:rsidRPr="00677CE8">
              <w:rPr>
                <w:sz w:val="19"/>
                <w:szCs w:val="19"/>
              </w:rPr>
              <w:t xml:space="preserve">amily </w:t>
            </w:r>
            <w:r w:rsidR="0050544D" w:rsidRPr="00677CE8">
              <w:rPr>
                <w:sz w:val="19"/>
                <w:szCs w:val="19"/>
              </w:rPr>
              <w:t>h</w:t>
            </w:r>
            <w:r w:rsidRPr="00677CE8">
              <w:rPr>
                <w:sz w:val="19"/>
                <w:szCs w:val="19"/>
              </w:rPr>
              <w:t>ome</w:t>
            </w:r>
          </w:p>
        </w:tc>
        <w:tc>
          <w:tcPr>
            <w:tcW w:w="1351" w:type="dxa"/>
            <w:tcBorders>
              <w:top w:val="nil"/>
              <w:bottom w:val="nil"/>
            </w:tcBorders>
            <w:vAlign w:val="center"/>
          </w:tcPr>
          <w:p w14:paraId="34B3A3C2" w14:textId="77777777" w:rsidR="008C54C0" w:rsidRPr="00677CE8" w:rsidRDefault="008C54C0" w:rsidP="007B293E">
            <w:pPr>
              <w:jc w:val="center"/>
              <w:rPr>
                <w:sz w:val="19"/>
                <w:szCs w:val="19"/>
              </w:rPr>
            </w:pPr>
            <w:r w:rsidRPr="00677CE8">
              <w:rPr>
                <w:color w:val="000000"/>
                <w:sz w:val="19"/>
                <w:szCs w:val="19"/>
              </w:rPr>
              <w:t>654</w:t>
            </w:r>
          </w:p>
        </w:tc>
        <w:tc>
          <w:tcPr>
            <w:tcW w:w="977" w:type="dxa"/>
            <w:tcBorders>
              <w:top w:val="nil"/>
              <w:bottom w:val="nil"/>
            </w:tcBorders>
            <w:vAlign w:val="center"/>
          </w:tcPr>
          <w:p w14:paraId="6A9E269C" w14:textId="77777777" w:rsidR="008C54C0" w:rsidRPr="00677CE8" w:rsidRDefault="008C54C0" w:rsidP="007B293E">
            <w:pPr>
              <w:jc w:val="center"/>
              <w:rPr>
                <w:sz w:val="19"/>
                <w:szCs w:val="19"/>
              </w:rPr>
            </w:pPr>
            <w:r w:rsidRPr="00677CE8">
              <w:rPr>
                <w:color w:val="000000"/>
                <w:sz w:val="19"/>
                <w:szCs w:val="19"/>
              </w:rPr>
              <w:t>61.9%</w:t>
            </w:r>
          </w:p>
        </w:tc>
        <w:tc>
          <w:tcPr>
            <w:tcW w:w="1007" w:type="dxa"/>
            <w:tcBorders>
              <w:top w:val="nil"/>
              <w:bottom w:val="nil"/>
              <w:right w:val="single" w:sz="12" w:space="0" w:color="auto"/>
            </w:tcBorders>
            <w:vAlign w:val="center"/>
          </w:tcPr>
          <w:p w14:paraId="503C2668" w14:textId="77777777" w:rsidR="008C54C0" w:rsidRPr="00677CE8" w:rsidRDefault="008C54C0" w:rsidP="007B293E">
            <w:pPr>
              <w:jc w:val="center"/>
              <w:rPr>
                <w:sz w:val="19"/>
                <w:szCs w:val="19"/>
              </w:rPr>
            </w:pPr>
            <w:r w:rsidRPr="00677CE8">
              <w:rPr>
                <w:color w:val="000000"/>
                <w:sz w:val="19"/>
                <w:szCs w:val="19"/>
              </w:rPr>
              <w:t>67.1%</w:t>
            </w:r>
          </w:p>
        </w:tc>
      </w:tr>
      <w:tr w:rsidR="008C54C0" w:rsidRPr="00677CE8" w14:paraId="083B9B2D" w14:textId="77777777" w:rsidTr="00007FF5">
        <w:trPr>
          <w:trHeight w:val="275"/>
        </w:trPr>
        <w:tc>
          <w:tcPr>
            <w:tcW w:w="3490" w:type="dxa"/>
            <w:tcBorders>
              <w:top w:val="nil"/>
              <w:left w:val="single" w:sz="12" w:space="0" w:color="auto"/>
              <w:bottom w:val="nil"/>
            </w:tcBorders>
          </w:tcPr>
          <w:p w14:paraId="6FBBFD1A" w14:textId="77777777" w:rsidR="008C54C0" w:rsidRPr="00677CE8" w:rsidRDefault="008C54C0" w:rsidP="007B293E">
            <w:pPr>
              <w:ind w:left="216"/>
              <w:rPr>
                <w:sz w:val="19"/>
                <w:szCs w:val="19"/>
              </w:rPr>
            </w:pPr>
            <w:r w:rsidRPr="00677CE8">
              <w:rPr>
                <w:sz w:val="19"/>
                <w:szCs w:val="19"/>
              </w:rPr>
              <w:t>Age 25-34</w:t>
            </w:r>
          </w:p>
        </w:tc>
        <w:tc>
          <w:tcPr>
            <w:tcW w:w="1350" w:type="dxa"/>
            <w:tcBorders>
              <w:top w:val="nil"/>
              <w:bottom w:val="nil"/>
            </w:tcBorders>
            <w:vAlign w:val="center"/>
          </w:tcPr>
          <w:p w14:paraId="19E9BF11" w14:textId="77777777" w:rsidR="008C54C0" w:rsidRPr="00677CE8" w:rsidRDefault="008C54C0" w:rsidP="007B293E">
            <w:pPr>
              <w:jc w:val="center"/>
              <w:rPr>
                <w:sz w:val="19"/>
                <w:szCs w:val="19"/>
              </w:rPr>
            </w:pPr>
            <w:r w:rsidRPr="00677CE8">
              <w:rPr>
                <w:color w:val="000000"/>
                <w:sz w:val="19"/>
                <w:szCs w:val="19"/>
              </w:rPr>
              <w:t>261</w:t>
            </w:r>
          </w:p>
        </w:tc>
        <w:tc>
          <w:tcPr>
            <w:tcW w:w="902" w:type="dxa"/>
            <w:tcBorders>
              <w:top w:val="nil"/>
              <w:bottom w:val="nil"/>
            </w:tcBorders>
            <w:vAlign w:val="center"/>
          </w:tcPr>
          <w:p w14:paraId="3753A2F4" w14:textId="77777777" w:rsidR="008C54C0" w:rsidRPr="00677CE8" w:rsidRDefault="008C54C0" w:rsidP="007B293E">
            <w:pPr>
              <w:jc w:val="center"/>
              <w:rPr>
                <w:sz w:val="19"/>
                <w:szCs w:val="19"/>
              </w:rPr>
            </w:pPr>
            <w:r w:rsidRPr="00677CE8">
              <w:rPr>
                <w:color w:val="000000"/>
                <w:sz w:val="19"/>
                <w:szCs w:val="19"/>
              </w:rPr>
              <w:t>24.7%</w:t>
            </w:r>
          </w:p>
        </w:tc>
        <w:tc>
          <w:tcPr>
            <w:tcW w:w="1045" w:type="dxa"/>
            <w:tcBorders>
              <w:top w:val="nil"/>
              <w:bottom w:val="nil"/>
              <w:right w:val="single" w:sz="12" w:space="0" w:color="auto"/>
            </w:tcBorders>
            <w:vAlign w:val="center"/>
          </w:tcPr>
          <w:p w14:paraId="1E9F31D3" w14:textId="77777777" w:rsidR="008C54C0" w:rsidRPr="00677CE8" w:rsidRDefault="008C54C0" w:rsidP="007B293E">
            <w:pPr>
              <w:jc w:val="center"/>
              <w:rPr>
                <w:sz w:val="19"/>
                <w:szCs w:val="19"/>
              </w:rPr>
            </w:pPr>
            <w:r w:rsidRPr="00677CE8">
              <w:rPr>
                <w:color w:val="000000"/>
                <w:sz w:val="19"/>
                <w:szCs w:val="19"/>
              </w:rPr>
              <w:t>19.1%</w:t>
            </w:r>
          </w:p>
        </w:tc>
        <w:tc>
          <w:tcPr>
            <w:tcW w:w="3816" w:type="dxa"/>
            <w:tcBorders>
              <w:top w:val="nil"/>
              <w:left w:val="single" w:sz="12" w:space="0" w:color="auto"/>
              <w:bottom w:val="nil"/>
            </w:tcBorders>
          </w:tcPr>
          <w:p w14:paraId="5C47348E" w14:textId="4DEC6E3F" w:rsidR="008C54C0" w:rsidRPr="00677CE8" w:rsidRDefault="008C54C0" w:rsidP="007B293E">
            <w:pPr>
              <w:ind w:left="216"/>
              <w:rPr>
                <w:sz w:val="19"/>
                <w:szCs w:val="19"/>
              </w:rPr>
            </w:pPr>
            <w:r w:rsidRPr="00677CE8">
              <w:rPr>
                <w:sz w:val="19"/>
                <w:szCs w:val="19"/>
              </w:rPr>
              <w:t xml:space="preserve">Other </w:t>
            </w:r>
            <w:r w:rsidR="0050544D" w:rsidRPr="00677CE8">
              <w:rPr>
                <w:sz w:val="19"/>
                <w:szCs w:val="19"/>
              </w:rPr>
              <w:t>h</w:t>
            </w:r>
            <w:r w:rsidRPr="00677CE8">
              <w:rPr>
                <w:sz w:val="19"/>
                <w:szCs w:val="19"/>
              </w:rPr>
              <w:t xml:space="preserve">ousing </w:t>
            </w:r>
            <w:r w:rsidR="0050544D" w:rsidRPr="00677CE8">
              <w:rPr>
                <w:sz w:val="19"/>
                <w:szCs w:val="19"/>
              </w:rPr>
              <w:t>t</w:t>
            </w:r>
            <w:r w:rsidRPr="00677CE8">
              <w:rPr>
                <w:sz w:val="19"/>
                <w:szCs w:val="19"/>
              </w:rPr>
              <w:t>ype</w:t>
            </w:r>
          </w:p>
        </w:tc>
        <w:tc>
          <w:tcPr>
            <w:tcW w:w="1351" w:type="dxa"/>
            <w:tcBorders>
              <w:top w:val="nil"/>
              <w:bottom w:val="nil"/>
            </w:tcBorders>
            <w:vAlign w:val="center"/>
          </w:tcPr>
          <w:p w14:paraId="32B821AD" w14:textId="77777777" w:rsidR="008C54C0" w:rsidRPr="00677CE8" w:rsidRDefault="008C54C0" w:rsidP="007B293E">
            <w:pPr>
              <w:jc w:val="center"/>
              <w:rPr>
                <w:sz w:val="19"/>
                <w:szCs w:val="19"/>
              </w:rPr>
            </w:pPr>
            <w:r w:rsidRPr="00677CE8">
              <w:rPr>
                <w:color w:val="000000"/>
                <w:sz w:val="19"/>
                <w:szCs w:val="19"/>
              </w:rPr>
              <w:t>403</w:t>
            </w:r>
          </w:p>
        </w:tc>
        <w:tc>
          <w:tcPr>
            <w:tcW w:w="977" w:type="dxa"/>
            <w:tcBorders>
              <w:top w:val="nil"/>
              <w:bottom w:val="nil"/>
            </w:tcBorders>
            <w:vAlign w:val="center"/>
          </w:tcPr>
          <w:p w14:paraId="5CF0A783" w14:textId="77777777" w:rsidR="008C54C0" w:rsidRPr="00677CE8" w:rsidRDefault="008C54C0" w:rsidP="007B293E">
            <w:pPr>
              <w:jc w:val="center"/>
              <w:rPr>
                <w:sz w:val="19"/>
                <w:szCs w:val="19"/>
              </w:rPr>
            </w:pPr>
            <w:r w:rsidRPr="00677CE8">
              <w:rPr>
                <w:color w:val="000000"/>
                <w:sz w:val="19"/>
                <w:szCs w:val="19"/>
              </w:rPr>
              <w:t>38.1%</w:t>
            </w:r>
          </w:p>
        </w:tc>
        <w:tc>
          <w:tcPr>
            <w:tcW w:w="1007" w:type="dxa"/>
            <w:tcBorders>
              <w:top w:val="nil"/>
              <w:bottom w:val="nil"/>
              <w:right w:val="single" w:sz="12" w:space="0" w:color="auto"/>
            </w:tcBorders>
            <w:vAlign w:val="center"/>
          </w:tcPr>
          <w:p w14:paraId="1757393D" w14:textId="77777777" w:rsidR="008C54C0" w:rsidRPr="00677CE8" w:rsidRDefault="008C54C0" w:rsidP="007B293E">
            <w:pPr>
              <w:jc w:val="center"/>
              <w:rPr>
                <w:sz w:val="19"/>
                <w:szCs w:val="19"/>
              </w:rPr>
            </w:pPr>
            <w:r w:rsidRPr="00677CE8">
              <w:rPr>
                <w:color w:val="000000"/>
                <w:sz w:val="19"/>
                <w:szCs w:val="19"/>
              </w:rPr>
              <w:t>32.9%</w:t>
            </w:r>
          </w:p>
        </w:tc>
      </w:tr>
      <w:tr w:rsidR="008C54C0" w:rsidRPr="00677CE8" w14:paraId="07E38C3A" w14:textId="77777777" w:rsidTr="00007FF5">
        <w:trPr>
          <w:trHeight w:val="275"/>
        </w:trPr>
        <w:tc>
          <w:tcPr>
            <w:tcW w:w="3490" w:type="dxa"/>
            <w:tcBorders>
              <w:top w:val="nil"/>
              <w:left w:val="single" w:sz="12" w:space="0" w:color="auto"/>
              <w:bottom w:val="nil"/>
            </w:tcBorders>
          </w:tcPr>
          <w:p w14:paraId="71BCC1CB" w14:textId="77777777" w:rsidR="008C54C0" w:rsidRPr="00677CE8" w:rsidRDefault="008C54C0" w:rsidP="007B293E">
            <w:pPr>
              <w:ind w:left="216"/>
              <w:rPr>
                <w:sz w:val="19"/>
                <w:szCs w:val="19"/>
              </w:rPr>
            </w:pPr>
            <w:r w:rsidRPr="00677CE8">
              <w:rPr>
                <w:sz w:val="19"/>
                <w:szCs w:val="19"/>
              </w:rPr>
              <w:t>Age 35-44</w:t>
            </w:r>
          </w:p>
        </w:tc>
        <w:tc>
          <w:tcPr>
            <w:tcW w:w="1350" w:type="dxa"/>
            <w:tcBorders>
              <w:top w:val="nil"/>
              <w:bottom w:val="nil"/>
            </w:tcBorders>
            <w:vAlign w:val="center"/>
          </w:tcPr>
          <w:p w14:paraId="71638EA4" w14:textId="77777777" w:rsidR="008C54C0" w:rsidRPr="00677CE8" w:rsidRDefault="008C54C0" w:rsidP="007B293E">
            <w:pPr>
              <w:jc w:val="center"/>
              <w:rPr>
                <w:sz w:val="19"/>
                <w:szCs w:val="19"/>
              </w:rPr>
            </w:pPr>
            <w:r w:rsidRPr="00677CE8">
              <w:rPr>
                <w:color w:val="000000"/>
                <w:sz w:val="19"/>
                <w:szCs w:val="19"/>
              </w:rPr>
              <w:t>196</w:t>
            </w:r>
          </w:p>
        </w:tc>
        <w:tc>
          <w:tcPr>
            <w:tcW w:w="902" w:type="dxa"/>
            <w:tcBorders>
              <w:top w:val="nil"/>
              <w:bottom w:val="nil"/>
            </w:tcBorders>
            <w:vAlign w:val="center"/>
          </w:tcPr>
          <w:p w14:paraId="13641A33" w14:textId="77777777" w:rsidR="008C54C0" w:rsidRPr="00677CE8" w:rsidRDefault="008C54C0" w:rsidP="007B293E">
            <w:pPr>
              <w:jc w:val="center"/>
              <w:rPr>
                <w:sz w:val="19"/>
                <w:szCs w:val="19"/>
              </w:rPr>
            </w:pPr>
            <w:r w:rsidRPr="00677CE8">
              <w:rPr>
                <w:color w:val="000000"/>
                <w:sz w:val="19"/>
                <w:szCs w:val="19"/>
              </w:rPr>
              <w:t>18.5%</w:t>
            </w:r>
          </w:p>
        </w:tc>
        <w:tc>
          <w:tcPr>
            <w:tcW w:w="1045" w:type="dxa"/>
            <w:tcBorders>
              <w:top w:val="nil"/>
              <w:bottom w:val="nil"/>
              <w:right w:val="single" w:sz="12" w:space="0" w:color="auto"/>
            </w:tcBorders>
            <w:vAlign w:val="center"/>
          </w:tcPr>
          <w:p w14:paraId="024DCA4F" w14:textId="77777777" w:rsidR="008C54C0" w:rsidRPr="00677CE8" w:rsidRDefault="008C54C0" w:rsidP="007B293E">
            <w:pPr>
              <w:jc w:val="center"/>
              <w:rPr>
                <w:sz w:val="19"/>
                <w:szCs w:val="19"/>
              </w:rPr>
            </w:pPr>
            <w:r w:rsidRPr="00677CE8">
              <w:rPr>
                <w:color w:val="000000"/>
                <w:sz w:val="19"/>
                <w:szCs w:val="19"/>
              </w:rPr>
              <w:t>18.9%</w:t>
            </w:r>
          </w:p>
        </w:tc>
        <w:tc>
          <w:tcPr>
            <w:tcW w:w="7154" w:type="dxa"/>
            <w:gridSpan w:val="4"/>
            <w:tcBorders>
              <w:top w:val="nil"/>
              <w:left w:val="single" w:sz="12" w:space="0" w:color="auto"/>
              <w:bottom w:val="nil"/>
              <w:right w:val="single" w:sz="12" w:space="0" w:color="auto"/>
            </w:tcBorders>
          </w:tcPr>
          <w:p w14:paraId="7D56D984" w14:textId="140FE4A9" w:rsidR="008C54C0" w:rsidRPr="00677CE8" w:rsidRDefault="008C54C0" w:rsidP="007B293E">
            <w:pPr>
              <w:rPr>
                <w:b/>
                <w:bCs/>
                <w:sz w:val="19"/>
                <w:szCs w:val="19"/>
              </w:rPr>
            </w:pPr>
            <w:r w:rsidRPr="00677CE8">
              <w:rPr>
                <w:b/>
                <w:bCs/>
                <w:sz w:val="19"/>
                <w:szCs w:val="19"/>
              </w:rPr>
              <w:t xml:space="preserve">Housing </w:t>
            </w:r>
            <w:r w:rsidR="00716EFE" w:rsidRPr="00677CE8">
              <w:rPr>
                <w:b/>
                <w:bCs/>
                <w:sz w:val="19"/>
                <w:szCs w:val="19"/>
              </w:rPr>
              <w:t>Tenure</w:t>
            </w:r>
          </w:p>
        </w:tc>
      </w:tr>
      <w:tr w:rsidR="008C54C0" w:rsidRPr="00677CE8" w14:paraId="43A6E1B3" w14:textId="77777777" w:rsidTr="00007FF5">
        <w:trPr>
          <w:trHeight w:val="275"/>
        </w:trPr>
        <w:tc>
          <w:tcPr>
            <w:tcW w:w="3490" w:type="dxa"/>
            <w:tcBorders>
              <w:top w:val="nil"/>
              <w:left w:val="single" w:sz="12" w:space="0" w:color="auto"/>
              <w:bottom w:val="nil"/>
            </w:tcBorders>
          </w:tcPr>
          <w:p w14:paraId="3F874D6F" w14:textId="77777777" w:rsidR="008C54C0" w:rsidRPr="00677CE8" w:rsidRDefault="008C54C0" w:rsidP="007B293E">
            <w:pPr>
              <w:ind w:left="216"/>
              <w:rPr>
                <w:sz w:val="19"/>
                <w:szCs w:val="19"/>
              </w:rPr>
            </w:pPr>
            <w:r w:rsidRPr="00677CE8">
              <w:rPr>
                <w:sz w:val="19"/>
                <w:szCs w:val="19"/>
              </w:rPr>
              <w:t>Age 45-54</w:t>
            </w:r>
          </w:p>
        </w:tc>
        <w:tc>
          <w:tcPr>
            <w:tcW w:w="1350" w:type="dxa"/>
            <w:tcBorders>
              <w:top w:val="nil"/>
              <w:bottom w:val="nil"/>
            </w:tcBorders>
            <w:vAlign w:val="center"/>
          </w:tcPr>
          <w:p w14:paraId="44B2764A" w14:textId="77777777" w:rsidR="008C54C0" w:rsidRPr="00677CE8" w:rsidRDefault="008C54C0" w:rsidP="007B293E">
            <w:pPr>
              <w:jc w:val="center"/>
              <w:rPr>
                <w:sz w:val="19"/>
                <w:szCs w:val="19"/>
              </w:rPr>
            </w:pPr>
            <w:r w:rsidRPr="00677CE8">
              <w:rPr>
                <w:color w:val="000000"/>
                <w:sz w:val="19"/>
                <w:szCs w:val="19"/>
              </w:rPr>
              <w:t>173</w:t>
            </w:r>
          </w:p>
        </w:tc>
        <w:tc>
          <w:tcPr>
            <w:tcW w:w="902" w:type="dxa"/>
            <w:tcBorders>
              <w:top w:val="nil"/>
              <w:bottom w:val="nil"/>
            </w:tcBorders>
            <w:vAlign w:val="center"/>
          </w:tcPr>
          <w:p w14:paraId="0D70BBFE" w14:textId="77777777" w:rsidR="008C54C0" w:rsidRPr="00677CE8" w:rsidRDefault="008C54C0" w:rsidP="007B293E">
            <w:pPr>
              <w:jc w:val="center"/>
              <w:rPr>
                <w:sz w:val="19"/>
                <w:szCs w:val="19"/>
              </w:rPr>
            </w:pPr>
            <w:r w:rsidRPr="00677CE8">
              <w:rPr>
                <w:color w:val="000000"/>
                <w:sz w:val="19"/>
                <w:szCs w:val="19"/>
              </w:rPr>
              <w:t>16.4%</w:t>
            </w:r>
          </w:p>
        </w:tc>
        <w:tc>
          <w:tcPr>
            <w:tcW w:w="1045" w:type="dxa"/>
            <w:tcBorders>
              <w:top w:val="nil"/>
              <w:bottom w:val="nil"/>
              <w:right w:val="single" w:sz="12" w:space="0" w:color="auto"/>
            </w:tcBorders>
            <w:vAlign w:val="center"/>
          </w:tcPr>
          <w:p w14:paraId="38E8C136" w14:textId="77777777" w:rsidR="008C54C0" w:rsidRPr="00677CE8" w:rsidRDefault="008C54C0" w:rsidP="007B293E">
            <w:pPr>
              <w:jc w:val="center"/>
              <w:rPr>
                <w:sz w:val="19"/>
                <w:szCs w:val="19"/>
              </w:rPr>
            </w:pPr>
            <w:r w:rsidRPr="00677CE8">
              <w:rPr>
                <w:color w:val="000000"/>
                <w:sz w:val="19"/>
                <w:szCs w:val="19"/>
              </w:rPr>
              <w:t>16.4%</w:t>
            </w:r>
          </w:p>
        </w:tc>
        <w:tc>
          <w:tcPr>
            <w:tcW w:w="3816" w:type="dxa"/>
            <w:tcBorders>
              <w:top w:val="nil"/>
              <w:left w:val="single" w:sz="12" w:space="0" w:color="auto"/>
              <w:bottom w:val="nil"/>
            </w:tcBorders>
          </w:tcPr>
          <w:p w14:paraId="54490876" w14:textId="77777777" w:rsidR="008C54C0" w:rsidRPr="00677CE8" w:rsidRDefault="008C54C0" w:rsidP="007B293E">
            <w:pPr>
              <w:ind w:left="216"/>
              <w:rPr>
                <w:sz w:val="19"/>
                <w:szCs w:val="19"/>
              </w:rPr>
            </w:pPr>
            <w:r w:rsidRPr="00677CE8">
              <w:rPr>
                <w:sz w:val="19"/>
                <w:szCs w:val="19"/>
              </w:rPr>
              <w:t>Homeowner</w:t>
            </w:r>
          </w:p>
        </w:tc>
        <w:tc>
          <w:tcPr>
            <w:tcW w:w="1351" w:type="dxa"/>
            <w:tcBorders>
              <w:top w:val="nil"/>
              <w:bottom w:val="nil"/>
            </w:tcBorders>
            <w:vAlign w:val="center"/>
          </w:tcPr>
          <w:p w14:paraId="10D67A86" w14:textId="77777777" w:rsidR="008C54C0" w:rsidRPr="00677CE8" w:rsidRDefault="008C54C0" w:rsidP="007B293E">
            <w:pPr>
              <w:jc w:val="center"/>
              <w:rPr>
                <w:sz w:val="19"/>
                <w:szCs w:val="19"/>
              </w:rPr>
            </w:pPr>
            <w:r w:rsidRPr="00677CE8">
              <w:rPr>
                <w:color w:val="000000"/>
                <w:sz w:val="19"/>
                <w:szCs w:val="19"/>
              </w:rPr>
              <w:t>651</w:t>
            </w:r>
          </w:p>
        </w:tc>
        <w:tc>
          <w:tcPr>
            <w:tcW w:w="977" w:type="dxa"/>
            <w:tcBorders>
              <w:top w:val="nil"/>
              <w:bottom w:val="nil"/>
            </w:tcBorders>
            <w:vAlign w:val="center"/>
          </w:tcPr>
          <w:p w14:paraId="0F27307D" w14:textId="77777777" w:rsidR="008C54C0" w:rsidRPr="00677CE8" w:rsidRDefault="008C54C0" w:rsidP="007B293E">
            <w:pPr>
              <w:jc w:val="center"/>
              <w:rPr>
                <w:sz w:val="19"/>
                <w:szCs w:val="19"/>
              </w:rPr>
            </w:pPr>
            <w:r w:rsidRPr="00677CE8">
              <w:rPr>
                <w:color w:val="000000"/>
                <w:sz w:val="19"/>
                <w:szCs w:val="19"/>
              </w:rPr>
              <w:t>61.6%</w:t>
            </w:r>
          </w:p>
        </w:tc>
        <w:tc>
          <w:tcPr>
            <w:tcW w:w="1007" w:type="dxa"/>
            <w:tcBorders>
              <w:top w:val="nil"/>
              <w:bottom w:val="nil"/>
              <w:right w:val="single" w:sz="12" w:space="0" w:color="auto"/>
            </w:tcBorders>
            <w:vAlign w:val="center"/>
          </w:tcPr>
          <w:p w14:paraId="6D7BDBA9" w14:textId="77777777" w:rsidR="008C54C0" w:rsidRPr="00677CE8" w:rsidRDefault="008C54C0" w:rsidP="007B293E">
            <w:pPr>
              <w:jc w:val="center"/>
              <w:rPr>
                <w:sz w:val="19"/>
                <w:szCs w:val="19"/>
              </w:rPr>
            </w:pPr>
            <w:r w:rsidRPr="00677CE8">
              <w:rPr>
                <w:color w:val="000000"/>
                <w:sz w:val="19"/>
                <w:szCs w:val="19"/>
              </w:rPr>
              <w:t>62.6%</w:t>
            </w:r>
          </w:p>
        </w:tc>
      </w:tr>
      <w:tr w:rsidR="008C54C0" w:rsidRPr="00677CE8" w14:paraId="6DB1A1C8" w14:textId="77777777" w:rsidTr="00007FF5">
        <w:trPr>
          <w:trHeight w:val="275"/>
        </w:trPr>
        <w:tc>
          <w:tcPr>
            <w:tcW w:w="3490" w:type="dxa"/>
            <w:tcBorders>
              <w:top w:val="nil"/>
              <w:left w:val="single" w:sz="12" w:space="0" w:color="auto"/>
              <w:bottom w:val="nil"/>
            </w:tcBorders>
          </w:tcPr>
          <w:p w14:paraId="742D5AE1" w14:textId="77777777" w:rsidR="008C54C0" w:rsidRPr="00677CE8" w:rsidRDefault="008C54C0" w:rsidP="007B293E">
            <w:pPr>
              <w:ind w:left="216"/>
              <w:rPr>
                <w:sz w:val="19"/>
                <w:szCs w:val="19"/>
              </w:rPr>
            </w:pPr>
            <w:r w:rsidRPr="00677CE8">
              <w:rPr>
                <w:sz w:val="19"/>
                <w:szCs w:val="19"/>
              </w:rPr>
              <w:t>Age 55-64</w:t>
            </w:r>
          </w:p>
        </w:tc>
        <w:tc>
          <w:tcPr>
            <w:tcW w:w="1350" w:type="dxa"/>
            <w:tcBorders>
              <w:top w:val="nil"/>
              <w:bottom w:val="nil"/>
            </w:tcBorders>
            <w:vAlign w:val="center"/>
          </w:tcPr>
          <w:p w14:paraId="0B045530" w14:textId="77777777" w:rsidR="008C54C0" w:rsidRPr="00677CE8" w:rsidRDefault="008C54C0" w:rsidP="007B293E">
            <w:pPr>
              <w:jc w:val="center"/>
              <w:rPr>
                <w:sz w:val="19"/>
                <w:szCs w:val="19"/>
              </w:rPr>
            </w:pPr>
            <w:r w:rsidRPr="00677CE8">
              <w:rPr>
                <w:color w:val="000000"/>
                <w:sz w:val="19"/>
                <w:szCs w:val="19"/>
              </w:rPr>
              <w:t>115</w:t>
            </w:r>
          </w:p>
        </w:tc>
        <w:tc>
          <w:tcPr>
            <w:tcW w:w="902" w:type="dxa"/>
            <w:tcBorders>
              <w:top w:val="nil"/>
              <w:bottom w:val="nil"/>
            </w:tcBorders>
            <w:vAlign w:val="center"/>
          </w:tcPr>
          <w:p w14:paraId="4044D832" w14:textId="77777777" w:rsidR="008C54C0" w:rsidRPr="00677CE8" w:rsidRDefault="008C54C0" w:rsidP="007B293E">
            <w:pPr>
              <w:jc w:val="center"/>
              <w:rPr>
                <w:sz w:val="19"/>
                <w:szCs w:val="19"/>
              </w:rPr>
            </w:pPr>
            <w:r w:rsidRPr="00677CE8">
              <w:rPr>
                <w:color w:val="000000"/>
                <w:sz w:val="19"/>
                <w:szCs w:val="19"/>
              </w:rPr>
              <w:t>10.9%</w:t>
            </w:r>
          </w:p>
        </w:tc>
        <w:tc>
          <w:tcPr>
            <w:tcW w:w="1045" w:type="dxa"/>
            <w:tcBorders>
              <w:top w:val="nil"/>
              <w:bottom w:val="nil"/>
              <w:right w:val="single" w:sz="12" w:space="0" w:color="auto"/>
            </w:tcBorders>
            <w:vAlign w:val="center"/>
          </w:tcPr>
          <w:p w14:paraId="2C26D420" w14:textId="77777777" w:rsidR="008C54C0" w:rsidRPr="00677CE8" w:rsidRDefault="008C54C0" w:rsidP="007B293E">
            <w:pPr>
              <w:jc w:val="center"/>
              <w:rPr>
                <w:sz w:val="19"/>
                <w:szCs w:val="19"/>
              </w:rPr>
            </w:pPr>
            <w:r w:rsidRPr="00677CE8">
              <w:rPr>
                <w:color w:val="000000"/>
                <w:sz w:val="19"/>
                <w:szCs w:val="19"/>
              </w:rPr>
              <w:t>14.6%</w:t>
            </w:r>
          </w:p>
        </w:tc>
        <w:tc>
          <w:tcPr>
            <w:tcW w:w="3816" w:type="dxa"/>
            <w:tcBorders>
              <w:top w:val="nil"/>
              <w:left w:val="single" w:sz="12" w:space="0" w:color="auto"/>
              <w:bottom w:val="nil"/>
            </w:tcBorders>
          </w:tcPr>
          <w:p w14:paraId="68A4A0EC" w14:textId="11393CFE" w:rsidR="008C54C0" w:rsidRPr="00677CE8" w:rsidRDefault="00716EFE" w:rsidP="007B293E">
            <w:pPr>
              <w:ind w:left="216"/>
              <w:rPr>
                <w:sz w:val="19"/>
                <w:szCs w:val="19"/>
              </w:rPr>
            </w:pPr>
            <w:r w:rsidRPr="00677CE8">
              <w:rPr>
                <w:sz w:val="19"/>
                <w:szCs w:val="19"/>
              </w:rPr>
              <w:t>Non-homeownership arrangement</w:t>
            </w:r>
          </w:p>
        </w:tc>
        <w:tc>
          <w:tcPr>
            <w:tcW w:w="1351" w:type="dxa"/>
            <w:tcBorders>
              <w:top w:val="nil"/>
              <w:bottom w:val="nil"/>
            </w:tcBorders>
            <w:vAlign w:val="center"/>
          </w:tcPr>
          <w:p w14:paraId="0EBE5AA6" w14:textId="77777777" w:rsidR="008C54C0" w:rsidRPr="00677CE8" w:rsidRDefault="008C54C0" w:rsidP="007B293E">
            <w:pPr>
              <w:jc w:val="center"/>
              <w:rPr>
                <w:sz w:val="19"/>
                <w:szCs w:val="19"/>
              </w:rPr>
            </w:pPr>
            <w:r w:rsidRPr="00677CE8">
              <w:rPr>
                <w:color w:val="000000"/>
                <w:sz w:val="19"/>
                <w:szCs w:val="19"/>
              </w:rPr>
              <w:t>406</w:t>
            </w:r>
          </w:p>
        </w:tc>
        <w:tc>
          <w:tcPr>
            <w:tcW w:w="977" w:type="dxa"/>
            <w:tcBorders>
              <w:top w:val="nil"/>
              <w:bottom w:val="nil"/>
            </w:tcBorders>
            <w:vAlign w:val="center"/>
          </w:tcPr>
          <w:p w14:paraId="37A84EC6" w14:textId="77777777" w:rsidR="008C54C0" w:rsidRPr="00677CE8" w:rsidRDefault="008C54C0" w:rsidP="007B293E">
            <w:pPr>
              <w:jc w:val="center"/>
              <w:rPr>
                <w:sz w:val="19"/>
                <w:szCs w:val="19"/>
              </w:rPr>
            </w:pPr>
            <w:r w:rsidRPr="00677CE8">
              <w:rPr>
                <w:color w:val="000000"/>
                <w:sz w:val="19"/>
                <w:szCs w:val="19"/>
              </w:rPr>
              <w:t>38.4%</w:t>
            </w:r>
          </w:p>
        </w:tc>
        <w:tc>
          <w:tcPr>
            <w:tcW w:w="1007" w:type="dxa"/>
            <w:tcBorders>
              <w:top w:val="nil"/>
              <w:bottom w:val="nil"/>
              <w:right w:val="single" w:sz="12" w:space="0" w:color="auto"/>
            </w:tcBorders>
            <w:vAlign w:val="center"/>
          </w:tcPr>
          <w:p w14:paraId="4EE2CBCF" w14:textId="77777777" w:rsidR="008C54C0" w:rsidRPr="00677CE8" w:rsidRDefault="008C54C0" w:rsidP="007B293E">
            <w:pPr>
              <w:jc w:val="center"/>
              <w:rPr>
                <w:sz w:val="19"/>
                <w:szCs w:val="19"/>
              </w:rPr>
            </w:pPr>
            <w:r w:rsidRPr="00677CE8">
              <w:rPr>
                <w:color w:val="000000"/>
                <w:sz w:val="19"/>
                <w:szCs w:val="19"/>
              </w:rPr>
              <w:t>37.4%</w:t>
            </w:r>
          </w:p>
        </w:tc>
      </w:tr>
      <w:tr w:rsidR="008C54C0" w:rsidRPr="00677CE8" w14:paraId="4FD31EF2" w14:textId="77777777" w:rsidTr="00007FF5">
        <w:trPr>
          <w:trHeight w:val="275"/>
        </w:trPr>
        <w:tc>
          <w:tcPr>
            <w:tcW w:w="3490" w:type="dxa"/>
            <w:tcBorders>
              <w:top w:val="nil"/>
              <w:left w:val="single" w:sz="12" w:space="0" w:color="auto"/>
              <w:bottom w:val="nil"/>
            </w:tcBorders>
          </w:tcPr>
          <w:p w14:paraId="529870D6" w14:textId="77777777" w:rsidR="008C54C0" w:rsidRPr="00677CE8" w:rsidRDefault="008C54C0" w:rsidP="007B293E">
            <w:pPr>
              <w:ind w:left="216"/>
              <w:rPr>
                <w:sz w:val="19"/>
                <w:szCs w:val="19"/>
              </w:rPr>
            </w:pPr>
            <w:r w:rsidRPr="00677CE8">
              <w:rPr>
                <w:sz w:val="19"/>
                <w:szCs w:val="19"/>
              </w:rPr>
              <w:t>Age 65+</w:t>
            </w:r>
          </w:p>
        </w:tc>
        <w:tc>
          <w:tcPr>
            <w:tcW w:w="1350" w:type="dxa"/>
            <w:tcBorders>
              <w:top w:val="nil"/>
              <w:bottom w:val="nil"/>
            </w:tcBorders>
            <w:vAlign w:val="center"/>
          </w:tcPr>
          <w:p w14:paraId="3D2DB342" w14:textId="77777777" w:rsidR="008C54C0" w:rsidRPr="00677CE8" w:rsidRDefault="008C54C0" w:rsidP="007B293E">
            <w:pPr>
              <w:jc w:val="center"/>
              <w:rPr>
                <w:sz w:val="19"/>
                <w:szCs w:val="19"/>
              </w:rPr>
            </w:pPr>
            <w:r w:rsidRPr="00677CE8">
              <w:rPr>
                <w:color w:val="000000"/>
                <w:sz w:val="19"/>
                <w:szCs w:val="19"/>
              </w:rPr>
              <w:t>155</w:t>
            </w:r>
          </w:p>
        </w:tc>
        <w:tc>
          <w:tcPr>
            <w:tcW w:w="902" w:type="dxa"/>
            <w:tcBorders>
              <w:top w:val="nil"/>
              <w:bottom w:val="nil"/>
            </w:tcBorders>
            <w:vAlign w:val="center"/>
          </w:tcPr>
          <w:p w14:paraId="1D42CBF0" w14:textId="77777777" w:rsidR="008C54C0" w:rsidRPr="00677CE8" w:rsidRDefault="008C54C0" w:rsidP="007B293E">
            <w:pPr>
              <w:jc w:val="center"/>
              <w:rPr>
                <w:sz w:val="19"/>
                <w:szCs w:val="19"/>
              </w:rPr>
            </w:pPr>
            <w:r w:rsidRPr="00677CE8">
              <w:rPr>
                <w:color w:val="000000"/>
                <w:sz w:val="19"/>
                <w:szCs w:val="19"/>
              </w:rPr>
              <w:t>14.7%</w:t>
            </w:r>
          </w:p>
        </w:tc>
        <w:tc>
          <w:tcPr>
            <w:tcW w:w="1045" w:type="dxa"/>
            <w:tcBorders>
              <w:top w:val="nil"/>
              <w:bottom w:val="nil"/>
              <w:right w:val="single" w:sz="12" w:space="0" w:color="auto"/>
            </w:tcBorders>
            <w:vAlign w:val="center"/>
          </w:tcPr>
          <w:p w14:paraId="26966B50" w14:textId="77777777" w:rsidR="008C54C0" w:rsidRPr="00677CE8" w:rsidRDefault="008C54C0" w:rsidP="007B293E">
            <w:pPr>
              <w:jc w:val="center"/>
              <w:rPr>
                <w:sz w:val="19"/>
                <w:szCs w:val="19"/>
              </w:rPr>
            </w:pPr>
            <w:r w:rsidRPr="00677CE8">
              <w:rPr>
                <w:color w:val="000000"/>
                <w:sz w:val="19"/>
                <w:szCs w:val="19"/>
              </w:rPr>
              <w:t>18.3%</w:t>
            </w:r>
          </w:p>
        </w:tc>
        <w:tc>
          <w:tcPr>
            <w:tcW w:w="7154" w:type="dxa"/>
            <w:gridSpan w:val="4"/>
            <w:tcBorders>
              <w:top w:val="nil"/>
              <w:left w:val="single" w:sz="12" w:space="0" w:color="auto"/>
              <w:bottom w:val="nil"/>
              <w:right w:val="single" w:sz="12" w:space="0" w:color="auto"/>
            </w:tcBorders>
          </w:tcPr>
          <w:p w14:paraId="739FAD95" w14:textId="77777777" w:rsidR="008C54C0" w:rsidRPr="00677CE8" w:rsidRDefault="008C54C0" w:rsidP="007B293E">
            <w:pPr>
              <w:rPr>
                <w:b/>
                <w:bCs/>
                <w:sz w:val="19"/>
                <w:szCs w:val="19"/>
              </w:rPr>
            </w:pPr>
            <w:r w:rsidRPr="00677CE8">
              <w:rPr>
                <w:b/>
                <w:bCs/>
                <w:sz w:val="19"/>
                <w:szCs w:val="19"/>
              </w:rPr>
              <w:t>Residential Location</w:t>
            </w:r>
          </w:p>
        </w:tc>
      </w:tr>
      <w:tr w:rsidR="008C54C0" w:rsidRPr="00677CE8" w14:paraId="54DF4B34" w14:textId="77777777" w:rsidTr="00007FF5">
        <w:trPr>
          <w:trHeight w:val="275"/>
        </w:trPr>
        <w:tc>
          <w:tcPr>
            <w:tcW w:w="6787" w:type="dxa"/>
            <w:gridSpan w:val="4"/>
            <w:tcBorders>
              <w:top w:val="nil"/>
              <w:left w:val="single" w:sz="12" w:space="0" w:color="auto"/>
              <w:bottom w:val="nil"/>
              <w:right w:val="single" w:sz="12" w:space="0" w:color="auto"/>
            </w:tcBorders>
          </w:tcPr>
          <w:p w14:paraId="71570074" w14:textId="77777777" w:rsidR="008C54C0" w:rsidRPr="00677CE8" w:rsidRDefault="008C54C0" w:rsidP="007B293E">
            <w:pPr>
              <w:rPr>
                <w:b/>
                <w:bCs/>
                <w:sz w:val="19"/>
                <w:szCs w:val="19"/>
              </w:rPr>
            </w:pPr>
            <w:r w:rsidRPr="00677CE8">
              <w:rPr>
                <w:b/>
                <w:bCs/>
                <w:sz w:val="19"/>
                <w:szCs w:val="19"/>
              </w:rPr>
              <w:t>Level of Education</w:t>
            </w:r>
          </w:p>
        </w:tc>
        <w:tc>
          <w:tcPr>
            <w:tcW w:w="3816" w:type="dxa"/>
            <w:tcBorders>
              <w:top w:val="nil"/>
              <w:left w:val="single" w:sz="12" w:space="0" w:color="auto"/>
              <w:bottom w:val="nil"/>
            </w:tcBorders>
            <w:vAlign w:val="center"/>
          </w:tcPr>
          <w:p w14:paraId="31B95A7A" w14:textId="5BB74EA2" w:rsidR="008C54C0" w:rsidRPr="00677CE8" w:rsidRDefault="0050544D" w:rsidP="007B293E">
            <w:pPr>
              <w:ind w:left="216"/>
              <w:rPr>
                <w:sz w:val="19"/>
                <w:szCs w:val="19"/>
              </w:rPr>
            </w:pPr>
            <w:r w:rsidRPr="00677CE8">
              <w:rPr>
                <w:color w:val="000000"/>
                <w:sz w:val="19"/>
                <w:szCs w:val="19"/>
              </w:rPr>
              <w:t>Low</w:t>
            </w:r>
            <w:r w:rsidR="00E10305" w:rsidRPr="00677CE8">
              <w:rPr>
                <w:color w:val="000000"/>
                <w:sz w:val="19"/>
                <w:szCs w:val="19"/>
              </w:rPr>
              <w:t xml:space="preserve"> </w:t>
            </w:r>
            <w:r w:rsidRPr="00677CE8">
              <w:rPr>
                <w:color w:val="000000"/>
                <w:sz w:val="19"/>
                <w:szCs w:val="19"/>
              </w:rPr>
              <w:t>density</w:t>
            </w:r>
            <w:r w:rsidR="008C54C0" w:rsidRPr="00677CE8">
              <w:rPr>
                <w:color w:val="000000"/>
                <w:sz w:val="19"/>
                <w:szCs w:val="19"/>
              </w:rPr>
              <w:t xml:space="preserve"> (less than </w:t>
            </w:r>
            <w:proofErr w:type="gramStart"/>
            <w:r w:rsidR="008C54C0" w:rsidRPr="00677CE8">
              <w:rPr>
                <w:color w:val="000000"/>
                <w:sz w:val="19"/>
                <w:szCs w:val="19"/>
              </w:rPr>
              <w:t>6600  pop</w:t>
            </w:r>
            <w:proofErr w:type="gramEnd"/>
            <w:r w:rsidR="008C54C0" w:rsidRPr="00677CE8">
              <w:rPr>
                <w:color w:val="000000"/>
                <w:sz w:val="19"/>
                <w:szCs w:val="19"/>
              </w:rPr>
              <w:t xml:space="preserve">/sq </w:t>
            </w:r>
            <w:proofErr w:type="gramStart"/>
            <w:r w:rsidR="008C54C0" w:rsidRPr="00677CE8">
              <w:rPr>
                <w:color w:val="000000"/>
                <w:sz w:val="19"/>
                <w:szCs w:val="19"/>
              </w:rPr>
              <w:t>mi)</w:t>
            </w:r>
            <w:r w:rsidR="00484579" w:rsidRPr="00677CE8">
              <w:rPr>
                <w:color w:val="000000"/>
                <w:sz w:val="19"/>
                <w:szCs w:val="19"/>
              </w:rPr>
              <w:t>*</w:t>
            </w:r>
            <w:proofErr w:type="gramEnd"/>
          </w:p>
        </w:tc>
        <w:tc>
          <w:tcPr>
            <w:tcW w:w="1351" w:type="dxa"/>
            <w:tcBorders>
              <w:top w:val="nil"/>
              <w:bottom w:val="nil"/>
            </w:tcBorders>
            <w:vAlign w:val="center"/>
          </w:tcPr>
          <w:p w14:paraId="2ED0C95F" w14:textId="77777777" w:rsidR="008C54C0" w:rsidRPr="00677CE8" w:rsidRDefault="008C54C0" w:rsidP="007B293E">
            <w:pPr>
              <w:jc w:val="center"/>
              <w:rPr>
                <w:sz w:val="19"/>
                <w:szCs w:val="19"/>
              </w:rPr>
            </w:pPr>
            <w:r w:rsidRPr="00677CE8">
              <w:rPr>
                <w:sz w:val="19"/>
                <w:szCs w:val="19"/>
              </w:rPr>
              <w:t>341</w:t>
            </w:r>
          </w:p>
        </w:tc>
        <w:tc>
          <w:tcPr>
            <w:tcW w:w="977" w:type="dxa"/>
            <w:tcBorders>
              <w:top w:val="nil"/>
              <w:bottom w:val="nil"/>
            </w:tcBorders>
          </w:tcPr>
          <w:p w14:paraId="1ACA0D31" w14:textId="77777777" w:rsidR="008C54C0" w:rsidRPr="00677CE8" w:rsidRDefault="008C54C0" w:rsidP="007B293E">
            <w:pPr>
              <w:jc w:val="center"/>
              <w:rPr>
                <w:sz w:val="19"/>
                <w:szCs w:val="19"/>
              </w:rPr>
            </w:pPr>
            <w:r w:rsidRPr="00677CE8">
              <w:rPr>
                <w:sz w:val="19"/>
                <w:szCs w:val="19"/>
              </w:rPr>
              <w:t>32.3%</w:t>
            </w:r>
          </w:p>
        </w:tc>
        <w:tc>
          <w:tcPr>
            <w:tcW w:w="1007" w:type="dxa"/>
            <w:tcBorders>
              <w:top w:val="nil"/>
              <w:bottom w:val="nil"/>
              <w:right w:val="single" w:sz="12" w:space="0" w:color="auto"/>
            </w:tcBorders>
          </w:tcPr>
          <w:p w14:paraId="5468D5CF" w14:textId="77777777" w:rsidR="008C54C0" w:rsidRPr="00677CE8" w:rsidRDefault="008C54C0" w:rsidP="007B293E">
            <w:pPr>
              <w:jc w:val="center"/>
              <w:rPr>
                <w:sz w:val="19"/>
                <w:szCs w:val="19"/>
              </w:rPr>
            </w:pPr>
            <w:r w:rsidRPr="00677CE8">
              <w:rPr>
                <w:sz w:val="19"/>
                <w:szCs w:val="19"/>
              </w:rPr>
              <w:t>--</w:t>
            </w:r>
          </w:p>
        </w:tc>
      </w:tr>
      <w:tr w:rsidR="008C54C0" w:rsidRPr="00677CE8" w14:paraId="5668CF4D" w14:textId="77777777" w:rsidTr="00007FF5">
        <w:trPr>
          <w:trHeight w:val="275"/>
        </w:trPr>
        <w:tc>
          <w:tcPr>
            <w:tcW w:w="3490" w:type="dxa"/>
            <w:tcBorders>
              <w:top w:val="nil"/>
              <w:left w:val="single" w:sz="12" w:space="0" w:color="auto"/>
              <w:bottom w:val="nil"/>
            </w:tcBorders>
          </w:tcPr>
          <w:p w14:paraId="1554DE0A" w14:textId="1CC0BB96" w:rsidR="008C54C0" w:rsidRPr="00677CE8" w:rsidRDefault="008C54C0" w:rsidP="007B293E">
            <w:pPr>
              <w:ind w:left="216"/>
              <w:rPr>
                <w:sz w:val="19"/>
                <w:szCs w:val="19"/>
              </w:rPr>
            </w:pPr>
            <w:r w:rsidRPr="00677CE8">
              <w:rPr>
                <w:sz w:val="19"/>
                <w:szCs w:val="19"/>
              </w:rPr>
              <w:t>Bachelor's degree or higher</w:t>
            </w:r>
          </w:p>
        </w:tc>
        <w:tc>
          <w:tcPr>
            <w:tcW w:w="1350" w:type="dxa"/>
            <w:tcBorders>
              <w:top w:val="nil"/>
              <w:bottom w:val="nil"/>
            </w:tcBorders>
            <w:vAlign w:val="center"/>
          </w:tcPr>
          <w:p w14:paraId="73D6D86E" w14:textId="77777777" w:rsidR="008C54C0" w:rsidRPr="00677CE8" w:rsidRDefault="008C54C0" w:rsidP="007B293E">
            <w:pPr>
              <w:jc w:val="center"/>
              <w:rPr>
                <w:sz w:val="19"/>
                <w:szCs w:val="19"/>
              </w:rPr>
            </w:pPr>
            <w:r w:rsidRPr="00677CE8">
              <w:rPr>
                <w:color w:val="000000"/>
                <w:sz w:val="19"/>
                <w:szCs w:val="19"/>
              </w:rPr>
              <w:t>741</w:t>
            </w:r>
          </w:p>
        </w:tc>
        <w:tc>
          <w:tcPr>
            <w:tcW w:w="902" w:type="dxa"/>
            <w:tcBorders>
              <w:top w:val="nil"/>
              <w:bottom w:val="nil"/>
            </w:tcBorders>
            <w:vAlign w:val="center"/>
          </w:tcPr>
          <w:p w14:paraId="1439FA03" w14:textId="77777777" w:rsidR="008C54C0" w:rsidRPr="00677CE8" w:rsidRDefault="008C54C0" w:rsidP="007B293E">
            <w:pPr>
              <w:jc w:val="center"/>
              <w:rPr>
                <w:sz w:val="19"/>
                <w:szCs w:val="19"/>
              </w:rPr>
            </w:pPr>
            <w:r w:rsidRPr="00677CE8">
              <w:rPr>
                <w:sz w:val="19"/>
                <w:szCs w:val="19"/>
              </w:rPr>
              <w:t>70.1%</w:t>
            </w:r>
          </w:p>
        </w:tc>
        <w:tc>
          <w:tcPr>
            <w:tcW w:w="1045" w:type="dxa"/>
            <w:tcBorders>
              <w:top w:val="nil"/>
              <w:bottom w:val="nil"/>
              <w:right w:val="single" w:sz="12" w:space="0" w:color="auto"/>
            </w:tcBorders>
            <w:vAlign w:val="center"/>
          </w:tcPr>
          <w:p w14:paraId="0F38F6EC" w14:textId="77777777" w:rsidR="008C54C0" w:rsidRPr="00677CE8" w:rsidRDefault="008C54C0" w:rsidP="007B293E">
            <w:pPr>
              <w:jc w:val="center"/>
              <w:rPr>
                <w:sz w:val="19"/>
                <w:szCs w:val="19"/>
              </w:rPr>
            </w:pPr>
            <w:r w:rsidRPr="00677CE8">
              <w:rPr>
                <w:color w:val="000000"/>
                <w:sz w:val="19"/>
                <w:szCs w:val="19"/>
              </w:rPr>
              <w:t>34.2%</w:t>
            </w:r>
          </w:p>
        </w:tc>
        <w:tc>
          <w:tcPr>
            <w:tcW w:w="3816" w:type="dxa"/>
            <w:tcBorders>
              <w:top w:val="nil"/>
              <w:left w:val="single" w:sz="12" w:space="0" w:color="auto"/>
              <w:bottom w:val="nil"/>
            </w:tcBorders>
            <w:vAlign w:val="center"/>
          </w:tcPr>
          <w:p w14:paraId="17656732" w14:textId="22508E12" w:rsidR="008C54C0" w:rsidRPr="00677CE8" w:rsidRDefault="00E10305" w:rsidP="007B293E">
            <w:pPr>
              <w:ind w:left="216"/>
              <w:rPr>
                <w:sz w:val="19"/>
                <w:szCs w:val="19"/>
              </w:rPr>
            </w:pPr>
            <w:r w:rsidRPr="00677CE8">
              <w:rPr>
                <w:color w:val="000000"/>
                <w:sz w:val="19"/>
                <w:szCs w:val="19"/>
              </w:rPr>
              <w:t>Medium density</w:t>
            </w:r>
            <w:r w:rsidR="008C54C0" w:rsidRPr="00677CE8">
              <w:rPr>
                <w:color w:val="000000"/>
                <w:sz w:val="19"/>
                <w:szCs w:val="19"/>
              </w:rPr>
              <w:t xml:space="preserve"> (6600-</w:t>
            </w:r>
            <w:proofErr w:type="gramStart"/>
            <w:r w:rsidR="008C54C0" w:rsidRPr="00677CE8">
              <w:rPr>
                <w:color w:val="000000"/>
                <w:sz w:val="19"/>
                <w:szCs w:val="19"/>
              </w:rPr>
              <w:t>15499  pop</w:t>
            </w:r>
            <w:proofErr w:type="gramEnd"/>
            <w:r w:rsidR="008C54C0" w:rsidRPr="00677CE8">
              <w:rPr>
                <w:color w:val="000000"/>
                <w:sz w:val="19"/>
                <w:szCs w:val="19"/>
              </w:rPr>
              <w:t xml:space="preserve">/sq </w:t>
            </w:r>
            <w:proofErr w:type="gramStart"/>
            <w:r w:rsidR="008C54C0" w:rsidRPr="00677CE8">
              <w:rPr>
                <w:color w:val="000000"/>
                <w:sz w:val="19"/>
                <w:szCs w:val="19"/>
              </w:rPr>
              <w:t>mi)</w:t>
            </w:r>
            <w:r w:rsidR="00484579" w:rsidRPr="00677CE8">
              <w:rPr>
                <w:color w:val="000000"/>
                <w:sz w:val="19"/>
                <w:szCs w:val="19"/>
              </w:rPr>
              <w:t>*</w:t>
            </w:r>
            <w:proofErr w:type="gramEnd"/>
          </w:p>
        </w:tc>
        <w:tc>
          <w:tcPr>
            <w:tcW w:w="1351" w:type="dxa"/>
            <w:tcBorders>
              <w:top w:val="nil"/>
              <w:bottom w:val="nil"/>
            </w:tcBorders>
          </w:tcPr>
          <w:p w14:paraId="2834AA21" w14:textId="77777777" w:rsidR="008C54C0" w:rsidRPr="00677CE8" w:rsidRDefault="008C54C0" w:rsidP="007B293E">
            <w:pPr>
              <w:jc w:val="center"/>
              <w:rPr>
                <w:sz w:val="19"/>
                <w:szCs w:val="19"/>
              </w:rPr>
            </w:pPr>
            <w:r w:rsidRPr="00677CE8">
              <w:rPr>
                <w:sz w:val="19"/>
                <w:szCs w:val="19"/>
              </w:rPr>
              <w:t>363</w:t>
            </w:r>
          </w:p>
        </w:tc>
        <w:tc>
          <w:tcPr>
            <w:tcW w:w="977" w:type="dxa"/>
            <w:tcBorders>
              <w:top w:val="nil"/>
              <w:bottom w:val="nil"/>
            </w:tcBorders>
          </w:tcPr>
          <w:p w14:paraId="076F79FA" w14:textId="77777777" w:rsidR="008C54C0" w:rsidRPr="00677CE8" w:rsidRDefault="008C54C0" w:rsidP="007B293E">
            <w:pPr>
              <w:jc w:val="center"/>
              <w:rPr>
                <w:sz w:val="19"/>
                <w:szCs w:val="19"/>
              </w:rPr>
            </w:pPr>
            <w:r w:rsidRPr="00677CE8">
              <w:rPr>
                <w:sz w:val="19"/>
                <w:szCs w:val="19"/>
              </w:rPr>
              <w:t>34.3%</w:t>
            </w:r>
          </w:p>
        </w:tc>
        <w:tc>
          <w:tcPr>
            <w:tcW w:w="1007" w:type="dxa"/>
            <w:tcBorders>
              <w:top w:val="nil"/>
              <w:bottom w:val="nil"/>
              <w:right w:val="single" w:sz="12" w:space="0" w:color="auto"/>
            </w:tcBorders>
          </w:tcPr>
          <w:p w14:paraId="5AA711F5" w14:textId="77777777" w:rsidR="008C54C0" w:rsidRPr="00677CE8" w:rsidRDefault="008C54C0" w:rsidP="007B293E">
            <w:pPr>
              <w:jc w:val="center"/>
              <w:rPr>
                <w:sz w:val="19"/>
                <w:szCs w:val="19"/>
              </w:rPr>
            </w:pPr>
            <w:r w:rsidRPr="00677CE8">
              <w:rPr>
                <w:sz w:val="19"/>
                <w:szCs w:val="19"/>
              </w:rPr>
              <w:t>--</w:t>
            </w:r>
          </w:p>
        </w:tc>
      </w:tr>
      <w:tr w:rsidR="008C54C0" w:rsidRPr="00677CE8" w14:paraId="555341C9" w14:textId="77777777" w:rsidTr="00007FF5">
        <w:trPr>
          <w:trHeight w:val="275"/>
        </w:trPr>
        <w:tc>
          <w:tcPr>
            <w:tcW w:w="3490" w:type="dxa"/>
            <w:tcBorders>
              <w:top w:val="nil"/>
              <w:left w:val="single" w:sz="12" w:space="0" w:color="auto"/>
              <w:bottom w:val="nil"/>
            </w:tcBorders>
          </w:tcPr>
          <w:p w14:paraId="0DE59B03" w14:textId="5F94818B" w:rsidR="008C54C0" w:rsidRPr="00677CE8" w:rsidRDefault="008C54C0" w:rsidP="007B293E">
            <w:pPr>
              <w:ind w:left="216"/>
              <w:rPr>
                <w:sz w:val="19"/>
                <w:szCs w:val="19"/>
              </w:rPr>
            </w:pPr>
            <w:r w:rsidRPr="00677CE8">
              <w:rPr>
                <w:sz w:val="19"/>
                <w:szCs w:val="19"/>
              </w:rPr>
              <w:t xml:space="preserve">Less than a </w:t>
            </w:r>
            <w:r w:rsidR="00B61852">
              <w:rPr>
                <w:sz w:val="19"/>
                <w:szCs w:val="19"/>
              </w:rPr>
              <w:t>b</w:t>
            </w:r>
            <w:r w:rsidRPr="00677CE8">
              <w:rPr>
                <w:sz w:val="19"/>
                <w:szCs w:val="19"/>
              </w:rPr>
              <w:t>achelor's degree</w:t>
            </w:r>
          </w:p>
        </w:tc>
        <w:tc>
          <w:tcPr>
            <w:tcW w:w="1350" w:type="dxa"/>
            <w:tcBorders>
              <w:top w:val="nil"/>
              <w:bottom w:val="nil"/>
            </w:tcBorders>
            <w:vAlign w:val="center"/>
          </w:tcPr>
          <w:p w14:paraId="3C7873FE" w14:textId="77777777" w:rsidR="008C54C0" w:rsidRPr="00677CE8" w:rsidRDefault="008C54C0" w:rsidP="007B293E">
            <w:pPr>
              <w:jc w:val="center"/>
              <w:rPr>
                <w:sz w:val="19"/>
                <w:szCs w:val="19"/>
              </w:rPr>
            </w:pPr>
            <w:r w:rsidRPr="00677CE8">
              <w:rPr>
                <w:color w:val="000000"/>
                <w:sz w:val="19"/>
                <w:szCs w:val="19"/>
              </w:rPr>
              <w:t>316</w:t>
            </w:r>
          </w:p>
        </w:tc>
        <w:tc>
          <w:tcPr>
            <w:tcW w:w="902" w:type="dxa"/>
            <w:tcBorders>
              <w:top w:val="nil"/>
              <w:bottom w:val="nil"/>
            </w:tcBorders>
            <w:vAlign w:val="center"/>
          </w:tcPr>
          <w:p w14:paraId="7406B010" w14:textId="77777777" w:rsidR="008C54C0" w:rsidRPr="00677CE8" w:rsidRDefault="008C54C0" w:rsidP="007B293E">
            <w:pPr>
              <w:jc w:val="center"/>
              <w:rPr>
                <w:sz w:val="19"/>
                <w:szCs w:val="19"/>
              </w:rPr>
            </w:pPr>
            <w:r w:rsidRPr="00677CE8">
              <w:rPr>
                <w:sz w:val="19"/>
                <w:szCs w:val="19"/>
              </w:rPr>
              <w:t>29.9%</w:t>
            </w:r>
          </w:p>
        </w:tc>
        <w:tc>
          <w:tcPr>
            <w:tcW w:w="1045" w:type="dxa"/>
            <w:tcBorders>
              <w:top w:val="nil"/>
              <w:bottom w:val="nil"/>
              <w:right w:val="single" w:sz="12" w:space="0" w:color="auto"/>
            </w:tcBorders>
            <w:vAlign w:val="center"/>
          </w:tcPr>
          <w:p w14:paraId="3F9D3905" w14:textId="77777777" w:rsidR="008C54C0" w:rsidRPr="00677CE8" w:rsidRDefault="008C54C0" w:rsidP="007B293E">
            <w:pPr>
              <w:jc w:val="center"/>
              <w:rPr>
                <w:sz w:val="19"/>
                <w:szCs w:val="19"/>
              </w:rPr>
            </w:pPr>
            <w:r w:rsidRPr="00677CE8">
              <w:rPr>
                <w:color w:val="000000"/>
                <w:sz w:val="19"/>
                <w:szCs w:val="19"/>
              </w:rPr>
              <w:t>65.8%</w:t>
            </w:r>
          </w:p>
        </w:tc>
        <w:tc>
          <w:tcPr>
            <w:tcW w:w="3816" w:type="dxa"/>
            <w:tcBorders>
              <w:top w:val="nil"/>
              <w:left w:val="single" w:sz="12" w:space="0" w:color="auto"/>
              <w:bottom w:val="nil"/>
            </w:tcBorders>
            <w:vAlign w:val="center"/>
          </w:tcPr>
          <w:p w14:paraId="0DA13B2D" w14:textId="07670DA0" w:rsidR="008C54C0" w:rsidRPr="00677CE8" w:rsidRDefault="0050544D" w:rsidP="007B293E">
            <w:pPr>
              <w:ind w:left="216"/>
              <w:rPr>
                <w:sz w:val="19"/>
                <w:szCs w:val="19"/>
              </w:rPr>
            </w:pPr>
            <w:r w:rsidRPr="00677CE8">
              <w:rPr>
                <w:color w:val="000000"/>
                <w:sz w:val="19"/>
                <w:szCs w:val="19"/>
              </w:rPr>
              <w:t>High</w:t>
            </w:r>
            <w:r w:rsidR="00E10305" w:rsidRPr="00677CE8">
              <w:rPr>
                <w:color w:val="000000"/>
                <w:sz w:val="19"/>
                <w:szCs w:val="19"/>
              </w:rPr>
              <w:t xml:space="preserve"> </w:t>
            </w:r>
            <w:r w:rsidRPr="00677CE8">
              <w:rPr>
                <w:color w:val="000000"/>
                <w:sz w:val="19"/>
                <w:szCs w:val="19"/>
              </w:rPr>
              <w:t>density</w:t>
            </w:r>
            <w:r w:rsidR="008C54C0" w:rsidRPr="00677CE8">
              <w:rPr>
                <w:color w:val="000000"/>
                <w:sz w:val="19"/>
                <w:szCs w:val="19"/>
              </w:rPr>
              <w:t xml:space="preserve"> (15500+ pop/sq </w:t>
            </w:r>
            <w:proofErr w:type="gramStart"/>
            <w:r w:rsidR="008C54C0" w:rsidRPr="00677CE8">
              <w:rPr>
                <w:color w:val="000000"/>
                <w:sz w:val="19"/>
                <w:szCs w:val="19"/>
              </w:rPr>
              <w:t>mi)</w:t>
            </w:r>
            <w:r w:rsidR="00484579" w:rsidRPr="00677CE8">
              <w:rPr>
                <w:color w:val="000000"/>
                <w:sz w:val="19"/>
                <w:szCs w:val="19"/>
              </w:rPr>
              <w:t>*</w:t>
            </w:r>
            <w:proofErr w:type="gramEnd"/>
          </w:p>
        </w:tc>
        <w:tc>
          <w:tcPr>
            <w:tcW w:w="1351" w:type="dxa"/>
            <w:tcBorders>
              <w:top w:val="nil"/>
              <w:bottom w:val="nil"/>
            </w:tcBorders>
          </w:tcPr>
          <w:p w14:paraId="7D67F653" w14:textId="77777777" w:rsidR="008C54C0" w:rsidRPr="00677CE8" w:rsidRDefault="008C54C0" w:rsidP="007B293E">
            <w:pPr>
              <w:jc w:val="center"/>
              <w:rPr>
                <w:sz w:val="19"/>
                <w:szCs w:val="19"/>
              </w:rPr>
            </w:pPr>
            <w:r w:rsidRPr="00677CE8">
              <w:rPr>
                <w:sz w:val="19"/>
                <w:szCs w:val="19"/>
              </w:rPr>
              <w:t>353</w:t>
            </w:r>
          </w:p>
        </w:tc>
        <w:tc>
          <w:tcPr>
            <w:tcW w:w="977" w:type="dxa"/>
            <w:tcBorders>
              <w:top w:val="nil"/>
              <w:bottom w:val="nil"/>
            </w:tcBorders>
          </w:tcPr>
          <w:p w14:paraId="1861CB36" w14:textId="77777777" w:rsidR="008C54C0" w:rsidRPr="00677CE8" w:rsidRDefault="008C54C0" w:rsidP="007B293E">
            <w:pPr>
              <w:jc w:val="center"/>
              <w:rPr>
                <w:sz w:val="19"/>
                <w:szCs w:val="19"/>
              </w:rPr>
            </w:pPr>
            <w:r w:rsidRPr="00677CE8">
              <w:rPr>
                <w:sz w:val="19"/>
                <w:szCs w:val="19"/>
              </w:rPr>
              <w:t>33.4%</w:t>
            </w:r>
          </w:p>
        </w:tc>
        <w:tc>
          <w:tcPr>
            <w:tcW w:w="1007" w:type="dxa"/>
            <w:tcBorders>
              <w:top w:val="nil"/>
              <w:bottom w:val="nil"/>
              <w:right w:val="single" w:sz="12" w:space="0" w:color="auto"/>
            </w:tcBorders>
          </w:tcPr>
          <w:p w14:paraId="7ABD903C" w14:textId="77777777" w:rsidR="008C54C0" w:rsidRPr="00677CE8" w:rsidRDefault="008C54C0" w:rsidP="007B293E">
            <w:pPr>
              <w:jc w:val="center"/>
              <w:rPr>
                <w:sz w:val="19"/>
                <w:szCs w:val="19"/>
              </w:rPr>
            </w:pPr>
            <w:r w:rsidRPr="00677CE8">
              <w:rPr>
                <w:sz w:val="19"/>
                <w:szCs w:val="19"/>
              </w:rPr>
              <w:t>--</w:t>
            </w:r>
          </w:p>
        </w:tc>
      </w:tr>
      <w:tr w:rsidR="003F2030" w:rsidRPr="00677CE8" w14:paraId="4626B0B3" w14:textId="77777777" w:rsidTr="00007FF5">
        <w:trPr>
          <w:trHeight w:val="275"/>
        </w:trPr>
        <w:tc>
          <w:tcPr>
            <w:tcW w:w="6787" w:type="dxa"/>
            <w:gridSpan w:val="4"/>
            <w:tcBorders>
              <w:top w:val="nil"/>
              <w:left w:val="single" w:sz="12" w:space="0" w:color="auto"/>
              <w:bottom w:val="nil"/>
              <w:right w:val="single" w:sz="12" w:space="0" w:color="auto"/>
            </w:tcBorders>
          </w:tcPr>
          <w:p w14:paraId="760F9CC0" w14:textId="2243D862" w:rsidR="003F2030" w:rsidRPr="00677CE8" w:rsidRDefault="003F2030" w:rsidP="007B293E">
            <w:pPr>
              <w:rPr>
                <w:b/>
                <w:bCs/>
                <w:sz w:val="19"/>
                <w:szCs w:val="19"/>
              </w:rPr>
            </w:pPr>
            <w:r w:rsidRPr="00677CE8">
              <w:rPr>
                <w:b/>
                <w:bCs/>
                <w:sz w:val="19"/>
                <w:szCs w:val="19"/>
              </w:rPr>
              <w:t>Race</w:t>
            </w:r>
          </w:p>
        </w:tc>
        <w:tc>
          <w:tcPr>
            <w:tcW w:w="3816" w:type="dxa"/>
            <w:tcBorders>
              <w:top w:val="nil"/>
              <w:left w:val="single" w:sz="12" w:space="0" w:color="auto"/>
              <w:bottom w:val="nil"/>
              <w:right w:val="nil"/>
            </w:tcBorders>
          </w:tcPr>
          <w:p w14:paraId="6D11E9D2" w14:textId="13FEB638" w:rsidR="003F2030" w:rsidRPr="00677CE8" w:rsidRDefault="003F2030" w:rsidP="007B293E">
            <w:pPr>
              <w:rPr>
                <w:b/>
                <w:bCs/>
                <w:sz w:val="19"/>
                <w:szCs w:val="19"/>
              </w:rPr>
            </w:pPr>
            <w:r w:rsidRPr="00677CE8">
              <w:rPr>
                <w:b/>
                <w:bCs/>
                <w:sz w:val="19"/>
                <w:szCs w:val="19"/>
              </w:rPr>
              <w:t>Household Composition</w:t>
            </w:r>
          </w:p>
        </w:tc>
        <w:tc>
          <w:tcPr>
            <w:tcW w:w="1351" w:type="dxa"/>
            <w:tcBorders>
              <w:top w:val="nil"/>
              <w:left w:val="nil"/>
              <w:bottom w:val="nil"/>
              <w:right w:val="nil"/>
            </w:tcBorders>
          </w:tcPr>
          <w:p w14:paraId="63441326" w14:textId="77777777" w:rsidR="003F2030" w:rsidRPr="00677CE8" w:rsidRDefault="003F2030" w:rsidP="007B293E">
            <w:pPr>
              <w:rPr>
                <w:b/>
                <w:bCs/>
                <w:sz w:val="19"/>
                <w:szCs w:val="19"/>
              </w:rPr>
            </w:pPr>
          </w:p>
        </w:tc>
        <w:tc>
          <w:tcPr>
            <w:tcW w:w="977" w:type="dxa"/>
            <w:tcBorders>
              <w:top w:val="nil"/>
              <w:left w:val="nil"/>
              <w:bottom w:val="nil"/>
              <w:right w:val="nil"/>
            </w:tcBorders>
          </w:tcPr>
          <w:p w14:paraId="459F8E5E" w14:textId="77777777" w:rsidR="003F2030" w:rsidRPr="00677CE8" w:rsidRDefault="003F2030" w:rsidP="007B293E">
            <w:pPr>
              <w:rPr>
                <w:b/>
                <w:bCs/>
                <w:sz w:val="19"/>
                <w:szCs w:val="19"/>
              </w:rPr>
            </w:pPr>
          </w:p>
        </w:tc>
        <w:tc>
          <w:tcPr>
            <w:tcW w:w="1007" w:type="dxa"/>
            <w:tcBorders>
              <w:top w:val="nil"/>
              <w:left w:val="nil"/>
              <w:bottom w:val="nil"/>
              <w:right w:val="single" w:sz="12" w:space="0" w:color="auto"/>
            </w:tcBorders>
          </w:tcPr>
          <w:p w14:paraId="4FFD5EB2" w14:textId="7F369C2A" w:rsidR="003F2030" w:rsidRPr="00677CE8" w:rsidRDefault="003F2030" w:rsidP="007B293E">
            <w:pPr>
              <w:rPr>
                <w:b/>
                <w:bCs/>
                <w:sz w:val="19"/>
                <w:szCs w:val="19"/>
              </w:rPr>
            </w:pPr>
          </w:p>
        </w:tc>
      </w:tr>
      <w:tr w:rsidR="003F2030" w:rsidRPr="00677CE8" w14:paraId="40CCE24A" w14:textId="77777777" w:rsidTr="00007FF5">
        <w:trPr>
          <w:trHeight w:val="275"/>
        </w:trPr>
        <w:tc>
          <w:tcPr>
            <w:tcW w:w="3490" w:type="dxa"/>
            <w:tcBorders>
              <w:top w:val="nil"/>
              <w:left w:val="single" w:sz="12" w:space="0" w:color="auto"/>
              <w:bottom w:val="nil"/>
            </w:tcBorders>
          </w:tcPr>
          <w:p w14:paraId="55559B4B" w14:textId="77777777" w:rsidR="003F2030" w:rsidRPr="00677CE8" w:rsidRDefault="003F2030" w:rsidP="003F2030">
            <w:pPr>
              <w:ind w:left="216"/>
              <w:rPr>
                <w:sz w:val="19"/>
                <w:szCs w:val="19"/>
              </w:rPr>
            </w:pPr>
            <w:r w:rsidRPr="00677CE8">
              <w:rPr>
                <w:sz w:val="19"/>
                <w:szCs w:val="19"/>
              </w:rPr>
              <w:t>White</w:t>
            </w:r>
          </w:p>
        </w:tc>
        <w:tc>
          <w:tcPr>
            <w:tcW w:w="1350" w:type="dxa"/>
            <w:tcBorders>
              <w:top w:val="nil"/>
              <w:bottom w:val="nil"/>
            </w:tcBorders>
            <w:vAlign w:val="center"/>
          </w:tcPr>
          <w:p w14:paraId="50336509" w14:textId="77777777" w:rsidR="003F2030" w:rsidRPr="00677CE8" w:rsidRDefault="003F2030" w:rsidP="003F2030">
            <w:pPr>
              <w:jc w:val="center"/>
              <w:rPr>
                <w:sz w:val="19"/>
                <w:szCs w:val="19"/>
              </w:rPr>
            </w:pPr>
            <w:r w:rsidRPr="00677CE8">
              <w:rPr>
                <w:color w:val="000000"/>
                <w:sz w:val="19"/>
                <w:szCs w:val="19"/>
              </w:rPr>
              <w:t>680</w:t>
            </w:r>
          </w:p>
        </w:tc>
        <w:tc>
          <w:tcPr>
            <w:tcW w:w="902" w:type="dxa"/>
            <w:tcBorders>
              <w:top w:val="nil"/>
              <w:bottom w:val="nil"/>
            </w:tcBorders>
            <w:vAlign w:val="center"/>
          </w:tcPr>
          <w:p w14:paraId="5EB7ED79" w14:textId="77777777" w:rsidR="003F2030" w:rsidRPr="00677CE8" w:rsidRDefault="003F2030" w:rsidP="003F2030">
            <w:pPr>
              <w:jc w:val="center"/>
              <w:rPr>
                <w:sz w:val="19"/>
                <w:szCs w:val="19"/>
              </w:rPr>
            </w:pPr>
            <w:r w:rsidRPr="00677CE8">
              <w:rPr>
                <w:color w:val="000000"/>
                <w:sz w:val="19"/>
                <w:szCs w:val="19"/>
              </w:rPr>
              <w:t>64.3%</w:t>
            </w:r>
          </w:p>
        </w:tc>
        <w:tc>
          <w:tcPr>
            <w:tcW w:w="1045" w:type="dxa"/>
            <w:tcBorders>
              <w:top w:val="nil"/>
              <w:bottom w:val="nil"/>
              <w:right w:val="single" w:sz="12" w:space="0" w:color="auto"/>
            </w:tcBorders>
            <w:vAlign w:val="center"/>
          </w:tcPr>
          <w:p w14:paraId="511E27AD" w14:textId="77777777" w:rsidR="003F2030" w:rsidRPr="00677CE8" w:rsidRDefault="003F2030" w:rsidP="003F2030">
            <w:pPr>
              <w:jc w:val="center"/>
              <w:rPr>
                <w:sz w:val="19"/>
                <w:szCs w:val="19"/>
              </w:rPr>
            </w:pPr>
            <w:r w:rsidRPr="00677CE8">
              <w:rPr>
                <w:color w:val="000000"/>
                <w:sz w:val="19"/>
                <w:szCs w:val="19"/>
              </w:rPr>
              <w:t>47.7%</w:t>
            </w:r>
          </w:p>
        </w:tc>
        <w:tc>
          <w:tcPr>
            <w:tcW w:w="3816" w:type="dxa"/>
            <w:tcBorders>
              <w:top w:val="nil"/>
              <w:left w:val="single" w:sz="12" w:space="0" w:color="auto"/>
              <w:bottom w:val="nil"/>
              <w:right w:val="nil"/>
            </w:tcBorders>
          </w:tcPr>
          <w:p w14:paraId="0CE50732" w14:textId="4C1B7B62" w:rsidR="003F2030" w:rsidRPr="00677CE8" w:rsidRDefault="003F2030" w:rsidP="003F2030">
            <w:pPr>
              <w:ind w:left="216"/>
              <w:rPr>
                <w:sz w:val="19"/>
                <w:szCs w:val="19"/>
              </w:rPr>
            </w:pPr>
            <w:r w:rsidRPr="00677CE8">
              <w:rPr>
                <w:sz w:val="19"/>
                <w:szCs w:val="19"/>
              </w:rPr>
              <w:t>Child(ren) under 13</w:t>
            </w:r>
            <w:r w:rsidR="00484579" w:rsidRPr="00677CE8">
              <w:rPr>
                <w:sz w:val="19"/>
                <w:szCs w:val="19"/>
              </w:rPr>
              <w:t>*</w:t>
            </w:r>
          </w:p>
        </w:tc>
        <w:tc>
          <w:tcPr>
            <w:tcW w:w="1351" w:type="dxa"/>
            <w:tcBorders>
              <w:top w:val="nil"/>
              <w:left w:val="nil"/>
              <w:bottom w:val="nil"/>
              <w:right w:val="nil"/>
            </w:tcBorders>
          </w:tcPr>
          <w:p w14:paraId="4951B97E" w14:textId="5AA0E49C" w:rsidR="003F2030" w:rsidRPr="00677CE8" w:rsidRDefault="003F2030" w:rsidP="003F2030">
            <w:pPr>
              <w:jc w:val="center"/>
              <w:rPr>
                <w:sz w:val="19"/>
                <w:szCs w:val="19"/>
              </w:rPr>
            </w:pPr>
            <w:r w:rsidRPr="00677CE8">
              <w:rPr>
                <w:sz w:val="19"/>
                <w:szCs w:val="19"/>
              </w:rPr>
              <w:t>178</w:t>
            </w:r>
          </w:p>
        </w:tc>
        <w:tc>
          <w:tcPr>
            <w:tcW w:w="977" w:type="dxa"/>
            <w:tcBorders>
              <w:top w:val="nil"/>
              <w:left w:val="nil"/>
              <w:bottom w:val="nil"/>
              <w:right w:val="nil"/>
            </w:tcBorders>
          </w:tcPr>
          <w:p w14:paraId="5F45F6AE" w14:textId="678C06BB" w:rsidR="003F2030" w:rsidRPr="00677CE8" w:rsidRDefault="003F2030" w:rsidP="003F2030">
            <w:pPr>
              <w:jc w:val="center"/>
              <w:rPr>
                <w:sz w:val="19"/>
                <w:szCs w:val="19"/>
              </w:rPr>
            </w:pPr>
            <w:r w:rsidRPr="00677CE8">
              <w:rPr>
                <w:sz w:val="19"/>
                <w:szCs w:val="19"/>
              </w:rPr>
              <w:t>16.8%</w:t>
            </w:r>
          </w:p>
        </w:tc>
        <w:tc>
          <w:tcPr>
            <w:tcW w:w="1007" w:type="dxa"/>
            <w:tcBorders>
              <w:top w:val="nil"/>
              <w:left w:val="nil"/>
              <w:bottom w:val="nil"/>
              <w:right w:val="single" w:sz="12" w:space="0" w:color="auto"/>
            </w:tcBorders>
          </w:tcPr>
          <w:p w14:paraId="1A155E3C" w14:textId="333F824C" w:rsidR="003F2030" w:rsidRPr="00677CE8" w:rsidRDefault="003F2030" w:rsidP="003F2030">
            <w:pPr>
              <w:jc w:val="center"/>
              <w:rPr>
                <w:sz w:val="19"/>
                <w:szCs w:val="19"/>
              </w:rPr>
            </w:pPr>
            <w:r w:rsidRPr="00677CE8">
              <w:rPr>
                <w:sz w:val="19"/>
                <w:szCs w:val="19"/>
              </w:rPr>
              <w:t>--</w:t>
            </w:r>
          </w:p>
        </w:tc>
      </w:tr>
      <w:tr w:rsidR="003F2030" w:rsidRPr="00677CE8" w14:paraId="53AD6BBD" w14:textId="77777777" w:rsidTr="00007FF5">
        <w:trPr>
          <w:trHeight w:val="275"/>
        </w:trPr>
        <w:tc>
          <w:tcPr>
            <w:tcW w:w="3490" w:type="dxa"/>
            <w:tcBorders>
              <w:top w:val="nil"/>
              <w:left w:val="single" w:sz="12" w:space="0" w:color="auto"/>
              <w:bottom w:val="nil"/>
            </w:tcBorders>
          </w:tcPr>
          <w:p w14:paraId="0F11F718" w14:textId="77777777" w:rsidR="003F2030" w:rsidRPr="00677CE8" w:rsidRDefault="003F2030" w:rsidP="003F2030">
            <w:pPr>
              <w:ind w:left="216"/>
              <w:rPr>
                <w:sz w:val="19"/>
                <w:szCs w:val="19"/>
              </w:rPr>
            </w:pPr>
            <w:r w:rsidRPr="00677CE8">
              <w:rPr>
                <w:sz w:val="19"/>
                <w:szCs w:val="19"/>
              </w:rPr>
              <w:t>Black</w:t>
            </w:r>
          </w:p>
        </w:tc>
        <w:tc>
          <w:tcPr>
            <w:tcW w:w="1350" w:type="dxa"/>
            <w:tcBorders>
              <w:top w:val="nil"/>
              <w:bottom w:val="nil"/>
            </w:tcBorders>
            <w:vAlign w:val="center"/>
          </w:tcPr>
          <w:p w14:paraId="3F410EC3" w14:textId="77777777" w:rsidR="003F2030" w:rsidRPr="00677CE8" w:rsidRDefault="003F2030" w:rsidP="003F2030">
            <w:pPr>
              <w:jc w:val="center"/>
              <w:rPr>
                <w:sz w:val="19"/>
                <w:szCs w:val="19"/>
              </w:rPr>
            </w:pPr>
            <w:r w:rsidRPr="00677CE8">
              <w:rPr>
                <w:color w:val="000000"/>
                <w:sz w:val="19"/>
                <w:szCs w:val="19"/>
              </w:rPr>
              <w:t>155</w:t>
            </w:r>
          </w:p>
        </w:tc>
        <w:tc>
          <w:tcPr>
            <w:tcW w:w="902" w:type="dxa"/>
            <w:tcBorders>
              <w:top w:val="nil"/>
              <w:bottom w:val="nil"/>
            </w:tcBorders>
            <w:vAlign w:val="center"/>
          </w:tcPr>
          <w:p w14:paraId="3DE02DC6" w14:textId="77777777" w:rsidR="003F2030" w:rsidRPr="00677CE8" w:rsidRDefault="003F2030" w:rsidP="003F2030">
            <w:pPr>
              <w:jc w:val="center"/>
              <w:rPr>
                <w:sz w:val="19"/>
                <w:szCs w:val="19"/>
              </w:rPr>
            </w:pPr>
            <w:r w:rsidRPr="00677CE8">
              <w:rPr>
                <w:color w:val="000000"/>
                <w:sz w:val="19"/>
                <w:szCs w:val="19"/>
              </w:rPr>
              <w:t>14.7%</w:t>
            </w:r>
          </w:p>
        </w:tc>
        <w:tc>
          <w:tcPr>
            <w:tcW w:w="1045" w:type="dxa"/>
            <w:tcBorders>
              <w:top w:val="nil"/>
              <w:bottom w:val="nil"/>
              <w:right w:val="single" w:sz="12" w:space="0" w:color="auto"/>
            </w:tcBorders>
            <w:vAlign w:val="center"/>
          </w:tcPr>
          <w:p w14:paraId="5C48E416" w14:textId="77777777" w:rsidR="003F2030" w:rsidRPr="00677CE8" w:rsidRDefault="003F2030" w:rsidP="003F2030">
            <w:pPr>
              <w:jc w:val="center"/>
              <w:rPr>
                <w:sz w:val="19"/>
                <w:szCs w:val="19"/>
              </w:rPr>
            </w:pPr>
            <w:r w:rsidRPr="00677CE8">
              <w:rPr>
                <w:color w:val="000000"/>
                <w:sz w:val="19"/>
                <w:szCs w:val="19"/>
              </w:rPr>
              <w:t>12.3%</w:t>
            </w:r>
          </w:p>
        </w:tc>
        <w:tc>
          <w:tcPr>
            <w:tcW w:w="3816" w:type="dxa"/>
            <w:tcBorders>
              <w:top w:val="nil"/>
              <w:left w:val="single" w:sz="12" w:space="0" w:color="auto"/>
              <w:bottom w:val="nil"/>
              <w:right w:val="nil"/>
            </w:tcBorders>
          </w:tcPr>
          <w:p w14:paraId="7363140E" w14:textId="55593E49" w:rsidR="003F2030" w:rsidRPr="00677CE8" w:rsidRDefault="003F2030" w:rsidP="003F2030">
            <w:pPr>
              <w:ind w:left="216"/>
              <w:rPr>
                <w:sz w:val="19"/>
                <w:szCs w:val="19"/>
              </w:rPr>
            </w:pPr>
            <w:r w:rsidRPr="00677CE8">
              <w:rPr>
                <w:sz w:val="19"/>
                <w:szCs w:val="19"/>
              </w:rPr>
              <w:t>No child(ren) under 13</w:t>
            </w:r>
            <w:r w:rsidR="00484579" w:rsidRPr="00677CE8">
              <w:rPr>
                <w:sz w:val="19"/>
                <w:szCs w:val="19"/>
              </w:rPr>
              <w:t>*</w:t>
            </w:r>
          </w:p>
        </w:tc>
        <w:tc>
          <w:tcPr>
            <w:tcW w:w="1351" w:type="dxa"/>
            <w:tcBorders>
              <w:top w:val="nil"/>
              <w:left w:val="nil"/>
              <w:bottom w:val="nil"/>
              <w:right w:val="nil"/>
            </w:tcBorders>
          </w:tcPr>
          <w:p w14:paraId="3B0544CA" w14:textId="14F3424C" w:rsidR="003F2030" w:rsidRPr="00677CE8" w:rsidRDefault="003F2030" w:rsidP="003F2030">
            <w:pPr>
              <w:jc w:val="center"/>
              <w:rPr>
                <w:sz w:val="19"/>
                <w:szCs w:val="19"/>
              </w:rPr>
            </w:pPr>
            <w:r w:rsidRPr="00677CE8">
              <w:rPr>
                <w:sz w:val="19"/>
                <w:szCs w:val="19"/>
              </w:rPr>
              <w:t>879</w:t>
            </w:r>
          </w:p>
        </w:tc>
        <w:tc>
          <w:tcPr>
            <w:tcW w:w="977" w:type="dxa"/>
            <w:tcBorders>
              <w:top w:val="nil"/>
              <w:left w:val="nil"/>
              <w:bottom w:val="nil"/>
              <w:right w:val="nil"/>
            </w:tcBorders>
          </w:tcPr>
          <w:p w14:paraId="542CBBD8" w14:textId="4EF62A89" w:rsidR="003F2030" w:rsidRPr="00677CE8" w:rsidRDefault="003F2030" w:rsidP="003F2030">
            <w:pPr>
              <w:jc w:val="center"/>
              <w:rPr>
                <w:sz w:val="19"/>
                <w:szCs w:val="19"/>
              </w:rPr>
            </w:pPr>
            <w:r w:rsidRPr="00677CE8">
              <w:rPr>
                <w:sz w:val="19"/>
                <w:szCs w:val="19"/>
              </w:rPr>
              <w:t>83.2%</w:t>
            </w:r>
          </w:p>
        </w:tc>
        <w:tc>
          <w:tcPr>
            <w:tcW w:w="1007" w:type="dxa"/>
            <w:tcBorders>
              <w:top w:val="nil"/>
              <w:left w:val="nil"/>
              <w:bottom w:val="nil"/>
              <w:right w:val="single" w:sz="12" w:space="0" w:color="auto"/>
            </w:tcBorders>
          </w:tcPr>
          <w:p w14:paraId="532F2BBA" w14:textId="7C44113B" w:rsidR="003F2030" w:rsidRPr="00677CE8" w:rsidRDefault="003F2030" w:rsidP="003F2030">
            <w:pPr>
              <w:jc w:val="center"/>
              <w:rPr>
                <w:sz w:val="19"/>
                <w:szCs w:val="19"/>
              </w:rPr>
            </w:pPr>
            <w:r w:rsidRPr="00677CE8">
              <w:rPr>
                <w:sz w:val="19"/>
                <w:szCs w:val="19"/>
              </w:rPr>
              <w:t>--</w:t>
            </w:r>
          </w:p>
        </w:tc>
      </w:tr>
      <w:tr w:rsidR="003F2030" w:rsidRPr="00677CE8" w14:paraId="0DD8690F" w14:textId="77777777" w:rsidTr="00007FF5">
        <w:trPr>
          <w:trHeight w:val="275"/>
        </w:trPr>
        <w:tc>
          <w:tcPr>
            <w:tcW w:w="3490" w:type="dxa"/>
            <w:tcBorders>
              <w:top w:val="nil"/>
              <w:left w:val="single" w:sz="12" w:space="0" w:color="auto"/>
              <w:bottom w:val="nil"/>
            </w:tcBorders>
          </w:tcPr>
          <w:p w14:paraId="3F0B2473" w14:textId="77777777" w:rsidR="003F2030" w:rsidRPr="00677CE8" w:rsidRDefault="003F2030" w:rsidP="003F2030">
            <w:pPr>
              <w:ind w:left="216"/>
              <w:rPr>
                <w:sz w:val="19"/>
                <w:szCs w:val="19"/>
              </w:rPr>
            </w:pPr>
            <w:r w:rsidRPr="00677CE8">
              <w:rPr>
                <w:sz w:val="19"/>
                <w:szCs w:val="19"/>
              </w:rPr>
              <w:t>Asian</w:t>
            </w:r>
          </w:p>
        </w:tc>
        <w:tc>
          <w:tcPr>
            <w:tcW w:w="1350" w:type="dxa"/>
            <w:tcBorders>
              <w:top w:val="nil"/>
              <w:bottom w:val="nil"/>
            </w:tcBorders>
            <w:vAlign w:val="center"/>
          </w:tcPr>
          <w:p w14:paraId="2982341C" w14:textId="77777777" w:rsidR="003F2030" w:rsidRPr="00677CE8" w:rsidRDefault="003F2030" w:rsidP="003F2030">
            <w:pPr>
              <w:jc w:val="center"/>
              <w:rPr>
                <w:sz w:val="19"/>
                <w:szCs w:val="19"/>
              </w:rPr>
            </w:pPr>
            <w:r w:rsidRPr="00677CE8">
              <w:rPr>
                <w:color w:val="000000"/>
                <w:sz w:val="19"/>
                <w:szCs w:val="19"/>
              </w:rPr>
              <w:t>100</w:t>
            </w:r>
          </w:p>
        </w:tc>
        <w:tc>
          <w:tcPr>
            <w:tcW w:w="902" w:type="dxa"/>
            <w:tcBorders>
              <w:top w:val="nil"/>
              <w:bottom w:val="nil"/>
            </w:tcBorders>
            <w:vAlign w:val="center"/>
          </w:tcPr>
          <w:p w14:paraId="0315D1F8" w14:textId="191CCEDC" w:rsidR="003F2030" w:rsidRPr="00677CE8" w:rsidRDefault="003F2030" w:rsidP="003F2030">
            <w:pPr>
              <w:rPr>
                <w:sz w:val="19"/>
                <w:szCs w:val="19"/>
              </w:rPr>
            </w:pPr>
            <w:r w:rsidRPr="00677CE8">
              <w:rPr>
                <w:color w:val="000000"/>
                <w:sz w:val="19"/>
                <w:szCs w:val="19"/>
              </w:rPr>
              <w:t xml:space="preserve"> </w:t>
            </w:r>
            <w:proofErr w:type="gramStart"/>
            <w:r w:rsidRPr="00677CE8">
              <w:rPr>
                <w:color w:val="FFFFFF" w:themeColor="background1"/>
                <w:sz w:val="19"/>
                <w:szCs w:val="19"/>
              </w:rPr>
              <w:t xml:space="preserve">0  </w:t>
            </w:r>
            <w:r w:rsidRPr="00677CE8">
              <w:rPr>
                <w:color w:val="000000"/>
                <w:sz w:val="19"/>
                <w:szCs w:val="19"/>
              </w:rPr>
              <w:t>9.5</w:t>
            </w:r>
            <w:proofErr w:type="gramEnd"/>
            <w:r w:rsidRPr="00677CE8">
              <w:rPr>
                <w:color w:val="000000"/>
                <w:sz w:val="19"/>
                <w:szCs w:val="19"/>
              </w:rPr>
              <w:t>%</w:t>
            </w:r>
          </w:p>
        </w:tc>
        <w:tc>
          <w:tcPr>
            <w:tcW w:w="1045" w:type="dxa"/>
            <w:tcBorders>
              <w:top w:val="nil"/>
              <w:bottom w:val="nil"/>
              <w:right w:val="single" w:sz="12" w:space="0" w:color="auto"/>
            </w:tcBorders>
            <w:vAlign w:val="center"/>
          </w:tcPr>
          <w:p w14:paraId="7724C89E" w14:textId="77777777" w:rsidR="003F2030" w:rsidRPr="00677CE8" w:rsidRDefault="003F2030" w:rsidP="003F2030">
            <w:pPr>
              <w:jc w:val="center"/>
              <w:rPr>
                <w:sz w:val="19"/>
                <w:szCs w:val="19"/>
              </w:rPr>
            </w:pPr>
            <w:r w:rsidRPr="00677CE8">
              <w:rPr>
                <w:color w:val="FFFFFF" w:themeColor="background1"/>
                <w:sz w:val="19"/>
                <w:szCs w:val="19"/>
              </w:rPr>
              <w:t>0</w:t>
            </w:r>
            <w:r w:rsidRPr="00677CE8">
              <w:rPr>
                <w:color w:val="000000"/>
                <w:sz w:val="19"/>
                <w:szCs w:val="19"/>
              </w:rPr>
              <w:t>5.7%</w:t>
            </w:r>
          </w:p>
        </w:tc>
        <w:tc>
          <w:tcPr>
            <w:tcW w:w="3816" w:type="dxa"/>
            <w:tcBorders>
              <w:top w:val="nil"/>
              <w:left w:val="single" w:sz="12" w:space="0" w:color="auto"/>
              <w:bottom w:val="nil"/>
              <w:right w:val="nil"/>
            </w:tcBorders>
          </w:tcPr>
          <w:p w14:paraId="59315813" w14:textId="4668DB74" w:rsidR="003F2030" w:rsidRPr="00677CE8" w:rsidRDefault="003F2030" w:rsidP="003F2030">
            <w:pPr>
              <w:rPr>
                <w:sz w:val="19"/>
                <w:szCs w:val="19"/>
              </w:rPr>
            </w:pPr>
            <w:r w:rsidRPr="00677CE8">
              <w:rPr>
                <w:b/>
                <w:bCs/>
                <w:sz w:val="19"/>
                <w:szCs w:val="19"/>
              </w:rPr>
              <w:t>Household Size</w:t>
            </w:r>
          </w:p>
        </w:tc>
        <w:tc>
          <w:tcPr>
            <w:tcW w:w="1351" w:type="dxa"/>
            <w:tcBorders>
              <w:top w:val="nil"/>
              <w:left w:val="nil"/>
              <w:bottom w:val="nil"/>
              <w:right w:val="nil"/>
            </w:tcBorders>
            <w:vAlign w:val="center"/>
          </w:tcPr>
          <w:p w14:paraId="550CB96D" w14:textId="13D46D06" w:rsidR="003F2030" w:rsidRPr="00677CE8" w:rsidRDefault="003F2030" w:rsidP="003F2030">
            <w:pPr>
              <w:jc w:val="center"/>
              <w:rPr>
                <w:sz w:val="19"/>
                <w:szCs w:val="19"/>
              </w:rPr>
            </w:pPr>
          </w:p>
        </w:tc>
        <w:tc>
          <w:tcPr>
            <w:tcW w:w="977" w:type="dxa"/>
            <w:tcBorders>
              <w:top w:val="nil"/>
              <w:left w:val="nil"/>
              <w:bottom w:val="nil"/>
              <w:right w:val="nil"/>
            </w:tcBorders>
            <w:vAlign w:val="center"/>
          </w:tcPr>
          <w:p w14:paraId="64327358" w14:textId="074C43DF" w:rsidR="003F2030" w:rsidRPr="00677CE8" w:rsidRDefault="003F2030" w:rsidP="003F2030">
            <w:pPr>
              <w:jc w:val="center"/>
              <w:rPr>
                <w:sz w:val="19"/>
                <w:szCs w:val="19"/>
              </w:rPr>
            </w:pPr>
          </w:p>
        </w:tc>
        <w:tc>
          <w:tcPr>
            <w:tcW w:w="1007" w:type="dxa"/>
            <w:tcBorders>
              <w:top w:val="nil"/>
              <w:left w:val="nil"/>
              <w:bottom w:val="nil"/>
              <w:right w:val="single" w:sz="12" w:space="0" w:color="auto"/>
            </w:tcBorders>
            <w:vAlign w:val="center"/>
          </w:tcPr>
          <w:p w14:paraId="7E7FF49F" w14:textId="3FB7BFF7" w:rsidR="003F2030" w:rsidRPr="00677CE8" w:rsidRDefault="003F2030" w:rsidP="003F2030">
            <w:pPr>
              <w:jc w:val="center"/>
              <w:rPr>
                <w:sz w:val="19"/>
                <w:szCs w:val="19"/>
              </w:rPr>
            </w:pPr>
          </w:p>
        </w:tc>
      </w:tr>
      <w:tr w:rsidR="003F2030" w:rsidRPr="00677CE8" w14:paraId="767D9A2E" w14:textId="77777777" w:rsidTr="00007FF5">
        <w:trPr>
          <w:trHeight w:val="275"/>
        </w:trPr>
        <w:tc>
          <w:tcPr>
            <w:tcW w:w="3490" w:type="dxa"/>
            <w:tcBorders>
              <w:top w:val="nil"/>
              <w:left w:val="single" w:sz="12" w:space="0" w:color="auto"/>
              <w:bottom w:val="nil"/>
            </w:tcBorders>
          </w:tcPr>
          <w:p w14:paraId="42430A23" w14:textId="10AB9400" w:rsidR="003F2030" w:rsidRPr="00677CE8" w:rsidRDefault="003F2030" w:rsidP="003F2030">
            <w:pPr>
              <w:ind w:left="216"/>
              <w:rPr>
                <w:sz w:val="19"/>
                <w:szCs w:val="19"/>
              </w:rPr>
            </w:pPr>
            <w:proofErr w:type="gramStart"/>
            <w:r w:rsidRPr="00677CE8">
              <w:rPr>
                <w:sz w:val="19"/>
                <w:szCs w:val="19"/>
              </w:rPr>
              <w:t>Other</w:t>
            </w:r>
            <w:proofErr w:type="gramEnd"/>
            <w:r w:rsidRPr="00677CE8">
              <w:rPr>
                <w:sz w:val="19"/>
                <w:szCs w:val="19"/>
              </w:rPr>
              <w:t xml:space="preserve"> race</w:t>
            </w:r>
          </w:p>
        </w:tc>
        <w:tc>
          <w:tcPr>
            <w:tcW w:w="1350" w:type="dxa"/>
            <w:tcBorders>
              <w:top w:val="nil"/>
              <w:bottom w:val="nil"/>
            </w:tcBorders>
            <w:vAlign w:val="center"/>
          </w:tcPr>
          <w:p w14:paraId="20E8C891" w14:textId="77777777" w:rsidR="003F2030" w:rsidRPr="00677CE8" w:rsidRDefault="003F2030" w:rsidP="003F2030">
            <w:pPr>
              <w:jc w:val="center"/>
              <w:rPr>
                <w:sz w:val="19"/>
                <w:szCs w:val="19"/>
              </w:rPr>
            </w:pPr>
            <w:r w:rsidRPr="00677CE8">
              <w:rPr>
                <w:color w:val="000000"/>
                <w:sz w:val="19"/>
                <w:szCs w:val="19"/>
              </w:rPr>
              <w:t>122</w:t>
            </w:r>
          </w:p>
        </w:tc>
        <w:tc>
          <w:tcPr>
            <w:tcW w:w="902" w:type="dxa"/>
            <w:tcBorders>
              <w:top w:val="nil"/>
              <w:bottom w:val="nil"/>
            </w:tcBorders>
            <w:vAlign w:val="center"/>
          </w:tcPr>
          <w:p w14:paraId="1D633314" w14:textId="77777777" w:rsidR="003F2030" w:rsidRPr="00677CE8" w:rsidRDefault="003F2030" w:rsidP="003F2030">
            <w:pPr>
              <w:jc w:val="center"/>
              <w:rPr>
                <w:sz w:val="19"/>
                <w:szCs w:val="19"/>
              </w:rPr>
            </w:pPr>
            <w:r w:rsidRPr="00677CE8">
              <w:rPr>
                <w:color w:val="000000"/>
                <w:sz w:val="19"/>
                <w:szCs w:val="19"/>
              </w:rPr>
              <w:t>11.5%</w:t>
            </w:r>
          </w:p>
        </w:tc>
        <w:tc>
          <w:tcPr>
            <w:tcW w:w="1045" w:type="dxa"/>
            <w:tcBorders>
              <w:top w:val="nil"/>
              <w:bottom w:val="nil"/>
              <w:right w:val="single" w:sz="12" w:space="0" w:color="auto"/>
            </w:tcBorders>
            <w:vAlign w:val="center"/>
          </w:tcPr>
          <w:p w14:paraId="01AB35ED" w14:textId="77777777" w:rsidR="003F2030" w:rsidRPr="00677CE8" w:rsidRDefault="003F2030" w:rsidP="003F2030">
            <w:pPr>
              <w:jc w:val="center"/>
              <w:rPr>
                <w:sz w:val="19"/>
                <w:szCs w:val="19"/>
              </w:rPr>
            </w:pPr>
            <w:r w:rsidRPr="00677CE8">
              <w:rPr>
                <w:color w:val="000000"/>
                <w:sz w:val="19"/>
                <w:szCs w:val="19"/>
              </w:rPr>
              <w:t>34.3%</w:t>
            </w:r>
          </w:p>
        </w:tc>
        <w:tc>
          <w:tcPr>
            <w:tcW w:w="3816" w:type="dxa"/>
            <w:tcBorders>
              <w:top w:val="nil"/>
              <w:left w:val="single" w:sz="12" w:space="0" w:color="auto"/>
              <w:bottom w:val="nil"/>
              <w:right w:val="nil"/>
            </w:tcBorders>
          </w:tcPr>
          <w:p w14:paraId="2040664B" w14:textId="4DD69275" w:rsidR="003F2030" w:rsidRPr="00677CE8" w:rsidRDefault="003F2030" w:rsidP="003F2030">
            <w:pPr>
              <w:rPr>
                <w:sz w:val="19"/>
                <w:szCs w:val="19"/>
              </w:rPr>
            </w:pPr>
            <w:r w:rsidRPr="00677CE8">
              <w:rPr>
                <w:sz w:val="19"/>
                <w:szCs w:val="19"/>
              </w:rPr>
              <w:t xml:space="preserve">    1 person</w:t>
            </w:r>
          </w:p>
        </w:tc>
        <w:tc>
          <w:tcPr>
            <w:tcW w:w="1351" w:type="dxa"/>
            <w:tcBorders>
              <w:top w:val="nil"/>
              <w:left w:val="nil"/>
              <w:bottom w:val="nil"/>
              <w:right w:val="nil"/>
            </w:tcBorders>
            <w:vAlign w:val="center"/>
          </w:tcPr>
          <w:p w14:paraId="61A110A1" w14:textId="7894FB85" w:rsidR="003F2030" w:rsidRPr="00677CE8" w:rsidRDefault="003F2030" w:rsidP="003F2030">
            <w:pPr>
              <w:jc w:val="center"/>
              <w:rPr>
                <w:sz w:val="19"/>
                <w:szCs w:val="19"/>
              </w:rPr>
            </w:pPr>
            <w:r w:rsidRPr="00677CE8">
              <w:rPr>
                <w:color w:val="000000"/>
                <w:sz w:val="19"/>
                <w:szCs w:val="19"/>
              </w:rPr>
              <w:t>184</w:t>
            </w:r>
          </w:p>
        </w:tc>
        <w:tc>
          <w:tcPr>
            <w:tcW w:w="977" w:type="dxa"/>
            <w:tcBorders>
              <w:top w:val="nil"/>
              <w:left w:val="nil"/>
              <w:bottom w:val="nil"/>
              <w:right w:val="nil"/>
            </w:tcBorders>
            <w:vAlign w:val="center"/>
          </w:tcPr>
          <w:p w14:paraId="7B07E8F8" w14:textId="068205D8" w:rsidR="003F2030" w:rsidRPr="00677CE8" w:rsidRDefault="003F2030" w:rsidP="003F2030">
            <w:pPr>
              <w:jc w:val="center"/>
              <w:rPr>
                <w:sz w:val="19"/>
                <w:szCs w:val="19"/>
              </w:rPr>
            </w:pPr>
            <w:r w:rsidRPr="00677CE8">
              <w:rPr>
                <w:color w:val="000000"/>
                <w:sz w:val="19"/>
                <w:szCs w:val="19"/>
              </w:rPr>
              <w:t>17.4%</w:t>
            </w:r>
          </w:p>
        </w:tc>
        <w:tc>
          <w:tcPr>
            <w:tcW w:w="1007" w:type="dxa"/>
            <w:tcBorders>
              <w:top w:val="nil"/>
              <w:left w:val="nil"/>
              <w:bottom w:val="nil"/>
              <w:right w:val="single" w:sz="12" w:space="0" w:color="auto"/>
            </w:tcBorders>
            <w:vAlign w:val="center"/>
          </w:tcPr>
          <w:p w14:paraId="7981754A" w14:textId="4526F1EE" w:rsidR="003F2030" w:rsidRPr="00677CE8" w:rsidRDefault="003F2030" w:rsidP="003F2030">
            <w:pPr>
              <w:jc w:val="center"/>
              <w:rPr>
                <w:sz w:val="19"/>
                <w:szCs w:val="19"/>
              </w:rPr>
            </w:pPr>
            <w:r w:rsidRPr="00677CE8">
              <w:rPr>
                <w:color w:val="000000"/>
                <w:sz w:val="19"/>
                <w:szCs w:val="19"/>
              </w:rPr>
              <w:t>26.5%</w:t>
            </w:r>
          </w:p>
        </w:tc>
      </w:tr>
      <w:tr w:rsidR="003F2030" w:rsidRPr="00677CE8" w14:paraId="50D396F8" w14:textId="77777777" w:rsidTr="00007FF5">
        <w:trPr>
          <w:trHeight w:val="275"/>
        </w:trPr>
        <w:tc>
          <w:tcPr>
            <w:tcW w:w="3490" w:type="dxa"/>
            <w:tcBorders>
              <w:top w:val="nil"/>
              <w:left w:val="single" w:sz="12" w:space="0" w:color="auto"/>
              <w:bottom w:val="nil"/>
            </w:tcBorders>
          </w:tcPr>
          <w:p w14:paraId="04DEAD8E" w14:textId="3A07328D" w:rsidR="003F2030" w:rsidRPr="00677CE8" w:rsidRDefault="003F2030" w:rsidP="003F2030">
            <w:pPr>
              <w:rPr>
                <w:sz w:val="19"/>
                <w:szCs w:val="19"/>
              </w:rPr>
            </w:pPr>
            <w:r w:rsidRPr="00677CE8">
              <w:rPr>
                <w:b/>
                <w:bCs/>
                <w:sz w:val="19"/>
                <w:szCs w:val="19"/>
              </w:rPr>
              <w:t>Ethnicity</w:t>
            </w:r>
          </w:p>
        </w:tc>
        <w:tc>
          <w:tcPr>
            <w:tcW w:w="1350" w:type="dxa"/>
            <w:tcBorders>
              <w:top w:val="nil"/>
              <w:bottom w:val="nil"/>
            </w:tcBorders>
            <w:vAlign w:val="center"/>
          </w:tcPr>
          <w:p w14:paraId="6DB4DACE" w14:textId="77777777" w:rsidR="003F2030" w:rsidRPr="00677CE8" w:rsidRDefault="003F2030" w:rsidP="003F2030">
            <w:pPr>
              <w:jc w:val="center"/>
              <w:rPr>
                <w:color w:val="000000"/>
                <w:sz w:val="19"/>
                <w:szCs w:val="19"/>
              </w:rPr>
            </w:pPr>
          </w:p>
        </w:tc>
        <w:tc>
          <w:tcPr>
            <w:tcW w:w="902" w:type="dxa"/>
            <w:tcBorders>
              <w:top w:val="nil"/>
              <w:bottom w:val="nil"/>
            </w:tcBorders>
            <w:vAlign w:val="center"/>
          </w:tcPr>
          <w:p w14:paraId="4E3AEFD8" w14:textId="77777777" w:rsidR="003F2030" w:rsidRPr="00677CE8" w:rsidRDefault="003F2030" w:rsidP="003F2030">
            <w:pPr>
              <w:jc w:val="center"/>
              <w:rPr>
                <w:color w:val="000000"/>
                <w:sz w:val="19"/>
                <w:szCs w:val="19"/>
              </w:rPr>
            </w:pPr>
          </w:p>
        </w:tc>
        <w:tc>
          <w:tcPr>
            <w:tcW w:w="1045" w:type="dxa"/>
            <w:tcBorders>
              <w:top w:val="nil"/>
              <w:bottom w:val="nil"/>
              <w:right w:val="single" w:sz="12" w:space="0" w:color="auto"/>
            </w:tcBorders>
            <w:vAlign w:val="center"/>
          </w:tcPr>
          <w:p w14:paraId="46101799" w14:textId="77777777" w:rsidR="003F2030" w:rsidRPr="00677CE8" w:rsidRDefault="003F2030" w:rsidP="003F2030">
            <w:pPr>
              <w:jc w:val="center"/>
              <w:rPr>
                <w:color w:val="000000"/>
                <w:sz w:val="19"/>
                <w:szCs w:val="19"/>
              </w:rPr>
            </w:pPr>
          </w:p>
        </w:tc>
        <w:tc>
          <w:tcPr>
            <w:tcW w:w="3816" w:type="dxa"/>
            <w:tcBorders>
              <w:top w:val="nil"/>
              <w:left w:val="single" w:sz="12" w:space="0" w:color="auto"/>
              <w:bottom w:val="nil"/>
              <w:right w:val="nil"/>
            </w:tcBorders>
          </w:tcPr>
          <w:p w14:paraId="3BCF12BD" w14:textId="51D53958" w:rsidR="003F2030" w:rsidRPr="00677CE8" w:rsidRDefault="003F2030" w:rsidP="003F2030">
            <w:pPr>
              <w:rPr>
                <w:b/>
                <w:bCs/>
                <w:sz w:val="19"/>
                <w:szCs w:val="19"/>
              </w:rPr>
            </w:pPr>
            <w:r w:rsidRPr="00677CE8">
              <w:rPr>
                <w:sz w:val="19"/>
                <w:szCs w:val="19"/>
              </w:rPr>
              <w:t xml:space="preserve">    2 people</w:t>
            </w:r>
          </w:p>
        </w:tc>
        <w:tc>
          <w:tcPr>
            <w:tcW w:w="1351" w:type="dxa"/>
            <w:tcBorders>
              <w:top w:val="nil"/>
              <w:left w:val="nil"/>
              <w:bottom w:val="nil"/>
              <w:right w:val="nil"/>
            </w:tcBorders>
            <w:vAlign w:val="center"/>
          </w:tcPr>
          <w:p w14:paraId="120EAA97" w14:textId="09165A21" w:rsidR="003F2030" w:rsidRPr="00677CE8" w:rsidRDefault="003F2030" w:rsidP="003F2030">
            <w:pPr>
              <w:jc w:val="center"/>
              <w:rPr>
                <w:b/>
                <w:bCs/>
                <w:sz w:val="19"/>
                <w:szCs w:val="19"/>
              </w:rPr>
            </w:pPr>
            <w:r w:rsidRPr="00677CE8">
              <w:rPr>
                <w:color w:val="000000"/>
                <w:sz w:val="19"/>
                <w:szCs w:val="19"/>
              </w:rPr>
              <w:t>330</w:t>
            </w:r>
          </w:p>
        </w:tc>
        <w:tc>
          <w:tcPr>
            <w:tcW w:w="977" w:type="dxa"/>
            <w:tcBorders>
              <w:top w:val="nil"/>
              <w:left w:val="nil"/>
              <w:bottom w:val="nil"/>
              <w:right w:val="nil"/>
            </w:tcBorders>
            <w:vAlign w:val="center"/>
          </w:tcPr>
          <w:p w14:paraId="57B312BC" w14:textId="398C6387" w:rsidR="003F2030" w:rsidRPr="00677CE8" w:rsidRDefault="003F2030" w:rsidP="003F2030">
            <w:pPr>
              <w:jc w:val="center"/>
              <w:rPr>
                <w:b/>
                <w:bCs/>
                <w:sz w:val="19"/>
                <w:szCs w:val="19"/>
              </w:rPr>
            </w:pPr>
            <w:r w:rsidRPr="00677CE8">
              <w:rPr>
                <w:color w:val="000000"/>
                <w:sz w:val="19"/>
                <w:szCs w:val="19"/>
              </w:rPr>
              <w:t>31.2%</w:t>
            </w:r>
          </w:p>
        </w:tc>
        <w:tc>
          <w:tcPr>
            <w:tcW w:w="1007" w:type="dxa"/>
            <w:tcBorders>
              <w:top w:val="nil"/>
              <w:left w:val="nil"/>
              <w:bottom w:val="nil"/>
              <w:right w:val="single" w:sz="12" w:space="0" w:color="auto"/>
            </w:tcBorders>
            <w:vAlign w:val="center"/>
          </w:tcPr>
          <w:p w14:paraId="72661229" w14:textId="59D30D14" w:rsidR="003F2030" w:rsidRPr="00677CE8" w:rsidRDefault="003F2030" w:rsidP="003F2030">
            <w:pPr>
              <w:jc w:val="center"/>
              <w:rPr>
                <w:b/>
                <w:bCs/>
                <w:sz w:val="19"/>
                <w:szCs w:val="19"/>
              </w:rPr>
            </w:pPr>
            <w:r w:rsidRPr="00677CE8">
              <w:rPr>
                <w:color w:val="000000"/>
                <w:sz w:val="19"/>
                <w:szCs w:val="19"/>
              </w:rPr>
              <w:t>31.6%</w:t>
            </w:r>
          </w:p>
        </w:tc>
      </w:tr>
      <w:tr w:rsidR="003F2030" w:rsidRPr="00677CE8" w14:paraId="1A65C0DE" w14:textId="77777777" w:rsidTr="00007FF5">
        <w:trPr>
          <w:trHeight w:val="275"/>
        </w:trPr>
        <w:tc>
          <w:tcPr>
            <w:tcW w:w="3490" w:type="dxa"/>
            <w:tcBorders>
              <w:top w:val="nil"/>
              <w:left w:val="single" w:sz="12" w:space="0" w:color="auto"/>
              <w:bottom w:val="nil"/>
              <w:right w:val="nil"/>
            </w:tcBorders>
          </w:tcPr>
          <w:p w14:paraId="4B90D21E" w14:textId="77777777" w:rsidR="003F2030" w:rsidRPr="00677CE8" w:rsidRDefault="003F2030" w:rsidP="003F2030">
            <w:pPr>
              <w:ind w:left="216"/>
              <w:rPr>
                <w:sz w:val="19"/>
                <w:szCs w:val="19"/>
              </w:rPr>
            </w:pPr>
            <w:r w:rsidRPr="00677CE8">
              <w:rPr>
                <w:sz w:val="19"/>
                <w:szCs w:val="19"/>
              </w:rPr>
              <w:t>Hispanic</w:t>
            </w:r>
          </w:p>
        </w:tc>
        <w:tc>
          <w:tcPr>
            <w:tcW w:w="1350" w:type="dxa"/>
            <w:tcBorders>
              <w:top w:val="nil"/>
              <w:left w:val="nil"/>
              <w:bottom w:val="nil"/>
              <w:right w:val="nil"/>
            </w:tcBorders>
            <w:vAlign w:val="center"/>
          </w:tcPr>
          <w:p w14:paraId="0DD9A909" w14:textId="77777777" w:rsidR="003F2030" w:rsidRPr="00677CE8" w:rsidRDefault="003F2030" w:rsidP="003F2030">
            <w:pPr>
              <w:jc w:val="center"/>
              <w:rPr>
                <w:sz w:val="19"/>
                <w:szCs w:val="19"/>
              </w:rPr>
            </w:pPr>
            <w:r w:rsidRPr="00677CE8">
              <w:rPr>
                <w:color w:val="000000"/>
                <w:sz w:val="19"/>
                <w:szCs w:val="19"/>
              </w:rPr>
              <w:t>251</w:t>
            </w:r>
          </w:p>
        </w:tc>
        <w:tc>
          <w:tcPr>
            <w:tcW w:w="902" w:type="dxa"/>
            <w:tcBorders>
              <w:top w:val="nil"/>
              <w:left w:val="nil"/>
              <w:bottom w:val="nil"/>
              <w:right w:val="nil"/>
            </w:tcBorders>
            <w:vAlign w:val="center"/>
          </w:tcPr>
          <w:p w14:paraId="72367377" w14:textId="77777777" w:rsidR="003F2030" w:rsidRPr="00677CE8" w:rsidRDefault="003F2030" w:rsidP="003F2030">
            <w:pPr>
              <w:jc w:val="center"/>
              <w:rPr>
                <w:sz w:val="19"/>
                <w:szCs w:val="19"/>
              </w:rPr>
            </w:pPr>
            <w:r w:rsidRPr="00677CE8">
              <w:rPr>
                <w:color w:val="000000"/>
                <w:sz w:val="19"/>
                <w:szCs w:val="19"/>
              </w:rPr>
              <w:t>23.7%</w:t>
            </w:r>
          </w:p>
        </w:tc>
        <w:tc>
          <w:tcPr>
            <w:tcW w:w="1045" w:type="dxa"/>
            <w:tcBorders>
              <w:top w:val="nil"/>
              <w:left w:val="nil"/>
              <w:bottom w:val="nil"/>
              <w:right w:val="single" w:sz="12" w:space="0" w:color="auto"/>
            </w:tcBorders>
            <w:vAlign w:val="center"/>
          </w:tcPr>
          <w:p w14:paraId="2DF89B16" w14:textId="77777777" w:rsidR="003F2030" w:rsidRPr="00677CE8" w:rsidRDefault="003F2030" w:rsidP="003F2030">
            <w:pPr>
              <w:jc w:val="center"/>
              <w:rPr>
                <w:sz w:val="19"/>
                <w:szCs w:val="19"/>
              </w:rPr>
            </w:pPr>
            <w:r w:rsidRPr="00677CE8">
              <w:rPr>
                <w:color w:val="000000"/>
                <w:sz w:val="19"/>
                <w:szCs w:val="19"/>
              </w:rPr>
              <w:t>39.8%</w:t>
            </w:r>
          </w:p>
        </w:tc>
        <w:tc>
          <w:tcPr>
            <w:tcW w:w="3816" w:type="dxa"/>
            <w:tcBorders>
              <w:top w:val="nil"/>
              <w:left w:val="single" w:sz="12" w:space="0" w:color="auto"/>
              <w:bottom w:val="nil"/>
              <w:right w:val="nil"/>
            </w:tcBorders>
          </w:tcPr>
          <w:p w14:paraId="64291F95" w14:textId="01F33A97" w:rsidR="003F2030" w:rsidRPr="00677CE8" w:rsidRDefault="003F2030" w:rsidP="003F2030">
            <w:pPr>
              <w:rPr>
                <w:b/>
                <w:bCs/>
                <w:sz w:val="19"/>
                <w:szCs w:val="19"/>
              </w:rPr>
            </w:pPr>
            <w:r w:rsidRPr="00677CE8">
              <w:rPr>
                <w:sz w:val="19"/>
                <w:szCs w:val="19"/>
              </w:rPr>
              <w:t xml:space="preserve">    3 people</w:t>
            </w:r>
          </w:p>
        </w:tc>
        <w:tc>
          <w:tcPr>
            <w:tcW w:w="1351" w:type="dxa"/>
            <w:tcBorders>
              <w:top w:val="nil"/>
              <w:left w:val="nil"/>
              <w:bottom w:val="nil"/>
              <w:right w:val="nil"/>
            </w:tcBorders>
            <w:vAlign w:val="center"/>
          </w:tcPr>
          <w:p w14:paraId="18AD8EDE" w14:textId="32FF3185" w:rsidR="003F2030" w:rsidRPr="00677CE8" w:rsidRDefault="003F2030" w:rsidP="003F2030">
            <w:pPr>
              <w:jc w:val="center"/>
              <w:rPr>
                <w:b/>
                <w:bCs/>
                <w:sz w:val="19"/>
                <w:szCs w:val="19"/>
              </w:rPr>
            </w:pPr>
            <w:r w:rsidRPr="00677CE8">
              <w:rPr>
                <w:color w:val="000000"/>
                <w:sz w:val="19"/>
                <w:szCs w:val="19"/>
              </w:rPr>
              <w:t>208</w:t>
            </w:r>
          </w:p>
        </w:tc>
        <w:tc>
          <w:tcPr>
            <w:tcW w:w="977" w:type="dxa"/>
            <w:tcBorders>
              <w:top w:val="nil"/>
              <w:left w:val="nil"/>
              <w:bottom w:val="nil"/>
              <w:right w:val="nil"/>
            </w:tcBorders>
            <w:vAlign w:val="center"/>
          </w:tcPr>
          <w:p w14:paraId="554E982A" w14:textId="50FFD631" w:rsidR="003F2030" w:rsidRPr="00677CE8" w:rsidRDefault="003F2030" w:rsidP="003F2030">
            <w:pPr>
              <w:jc w:val="center"/>
              <w:rPr>
                <w:b/>
                <w:bCs/>
                <w:sz w:val="19"/>
                <w:szCs w:val="19"/>
              </w:rPr>
            </w:pPr>
            <w:r w:rsidRPr="00677CE8">
              <w:rPr>
                <w:color w:val="000000"/>
                <w:sz w:val="19"/>
                <w:szCs w:val="19"/>
              </w:rPr>
              <w:t>19.7%</w:t>
            </w:r>
          </w:p>
        </w:tc>
        <w:tc>
          <w:tcPr>
            <w:tcW w:w="1007" w:type="dxa"/>
            <w:tcBorders>
              <w:top w:val="nil"/>
              <w:left w:val="nil"/>
              <w:bottom w:val="nil"/>
              <w:right w:val="single" w:sz="12" w:space="0" w:color="auto"/>
            </w:tcBorders>
            <w:vAlign w:val="center"/>
          </w:tcPr>
          <w:p w14:paraId="35626266" w14:textId="12F4E265" w:rsidR="003F2030" w:rsidRPr="00677CE8" w:rsidRDefault="003F2030" w:rsidP="003F2030">
            <w:pPr>
              <w:jc w:val="center"/>
              <w:rPr>
                <w:b/>
                <w:bCs/>
                <w:sz w:val="19"/>
                <w:szCs w:val="19"/>
              </w:rPr>
            </w:pPr>
            <w:r w:rsidRPr="00677CE8">
              <w:rPr>
                <w:color w:val="000000"/>
                <w:sz w:val="19"/>
                <w:szCs w:val="19"/>
              </w:rPr>
              <w:t>16.4%</w:t>
            </w:r>
          </w:p>
        </w:tc>
      </w:tr>
      <w:tr w:rsidR="005C34AD" w:rsidRPr="00677CE8" w14:paraId="038152CD" w14:textId="77777777" w:rsidTr="00007FF5">
        <w:trPr>
          <w:trHeight w:val="275"/>
        </w:trPr>
        <w:tc>
          <w:tcPr>
            <w:tcW w:w="3490" w:type="dxa"/>
            <w:tcBorders>
              <w:top w:val="nil"/>
              <w:left w:val="single" w:sz="12" w:space="0" w:color="auto"/>
              <w:bottom w:val="nil"/>
              <w:right w:val="nil"/>
            </w:tcBorders>
          </w:tcPr>
          <w:p w14:paraId="6C28EF47" w14:textId="77777777" w:rsidR="005C34AD" w:rsidRPr="00677CE8" w:rsidRDefault="005C34AD" w:rsidP="003F2030">
            <w:pPr>
              <w:rPr>
                <w:sz w:val="19"/>
                <w:szCs w:val="19"/>
              </w:rPr>
            </w:pPr>
            <w:r w:rsidRPr="00677CE8">
              <w:rPr>
                <w:sz w:val="19"/>
                <w:szCs w:val="19"/>
              </w:rPr>
              <w:t xml:space="preserve">    Non-Hispanic</w:t>
            </w:r>
          </w:p>
        </w:tc>
        <w:tc>
          <w:tcPr>
            <w:tcW w:w="1350" w:type="dxa"/>
            <w:tcBorders>
              <w:top w:val="nil"/>
              <w:left w:val="nil"/>
              <w:bottom w:val="nil"/>
              <w:right w:val="nil"/>
            </w:tcBorders>
            <w:vAlign w:val="center"/>
          </w:tcPr>
          <w:p w14:paraId="15225863" w14:textId="7A8E9AD2" w:rsidR="005C34AD" w:rsidRPr="00677CE8" w:rsidRDefault="00FF3482" w:rsidP="00FF3482">
            <w:pPr>
              <w:jc w:val="center"/>
              <w:rPr>
                <w:sz w:val="19"/>
                <w:szCs w:val="19"/>
              </w:rPr>
            </w:pPr>
            <w:r w:rsidRPr="00677CE8">
              <w:rPr>
                <w:sz w:val="19"/>
                <w:szCs w:val="19"/>
              </w:rPr>
              <w:t>806</w:t>
            </w:r>
          </w:p>
        </w:tc>
        <w:tc>
          <w:tcPr>
            <w:tcW w:w="902" w:type="dxa"/>
            <w:tcBorders>
              <w:top w:val="nil"/>
              <w:left w:val="nil"/>
              <w:bottom w:val="nil"/>
              <w:right w:val="nil"/>
            </w:tcBorders>
            <w:vAlign w:val="center"/>
          </w:tcPr>
          <w:p w14:paraId="61A5937F" w14:textId="683ECB6E" w:rsidR="005C34AD" w:rsidRPr="00677CE8" w:rsidRDefault="00FF3482" w:rsidP="00FF3482">
            <w:pPr>
              <w:tabs>
                <w:tab w:val="decimal" w:pos="71"/>
              </w:tabs>
              <w:jc w:val="center"/>
              <w:rPr>
                <w:sz w:val="19"/>
                <w:szCs w:val="19"/>
              </w:rPr>
            </w:pPr>
            <w:r w:rsidRPr="00677CE8">
              <w:rPr>
                <w:sz w:val="19"/>
                <w:szCs w:val="19"/>
              </w:rPr>
              <w:t>76.3%</w:t>
            </w:r>
          </w:p>
        </w:tc>
        <w:tc>
          <w:tcPr>
            <w:tcW w:w="1045" w:type="dxa"/>
            <w:tcBorders>
              <w:top w:val="nil"/>
              <w:left w:val="nil"/>
              <w:bottom w:val="nil"/>
              <w:right w:val="single" w:sz="12" w:space="0" w:color="auto"/>
            </w:tcBorders>
            <w:vAlign w:val="center"/>
          </w:tcPr>
          <w:p w14:paraId="4CA4C802" w14:textId="40BED20C" w:rsidR="005C34AD" w:rsidRPr="00677CE8" w:rsidRDefault="00FF3482" w:rsidP="00FF3482">
            <w:pPr>
              <w:jc w:val="center"/>
              <w:rPr>
                <w:sz w:val="19"/>
                <w:szCs w:val="19"/>
              </w:rPr>
            </w:pPr>
            <w:r w:rsidRPr="00677CE8">
              <w:rPr>
                <w:sz w:val="19"/>
                <w:szCs w:val="19"/>
              </w:rPr>
              <w:t>60.2%</w:t>
            </w:r>
          </w:p>
        </w:tc>
        <w:tc>
          <w:tcPr>
            <w:tcW w:w="3816" w:type="dxa"/>
            <w:tcBorders>
              <w:top w:val="nil"/>
              <w:left w:val="single" w:sz="12" w:space="0" w:color="auto"/>
              <w:bottom w:val="nil"/>
              <w:right w:val="nil"/>
            </w:tcBorders>
          </w:tcPr>
          <w:p w14:paraId="6899D9E1" w14:textId="28E245FD" w:rsidR="005C34AD" w:rsidRPr="00677CE8" w:rsidRDefault="005C34AD" w:rsidP="003F2030">
            <w:pPr>
              <w:rPr>
                <w:sz w:val="19"/>
                <w:szCs w:val="19"/>
              </w:rPr>
            </w:pPr>
            <w:r w:rsidRPr="00677CE8">
              <w:rPr>
                <w:sz w:val="19"/>
                <w:szCs w:val="19"/>
              </w:rPr>
              <w:t xml:space="preserve">    4+ people</w:t>
            </w:r>
          </w:p>
        </w:tc>
        <w:tc>
          <w:tcPr>
            <w:tcW w:w="1351" w:type="dxa"/>
            <w:tcBorders>
              <w:top w:val="nil"/>
              <w:left w:val="nil"/>
              <w:bottom w:val="nil"/>
              <w:right w:val="nil"/>
            </w:tcBorders>
            <w:vAlign w:val="center"/>
          </w:tcPr>
          <w:p w14:paraId="71486ED1" w14:textId="2FF07CC8" w:rsidR="005C34AD" w:rsidRPr="00677CE8" w:rsidRDefault="005C34AD" w:rsidP="003F2030">
            <w:pPr>
              <w:jc w:val="center"/>
              <w:rPr>
                <w:sz w:val="19"/>
                <w:szCs w:val="19"/>
              </w:rPr>
            </w:pPr>
            <w:r w:rsidRPr="00677CE8">
              <w:rPr>
                <w:color w:val="000000"/>
                <w:sz w:val="19"/>
                <w:szCs w:val="19"/>
              </w:rPr>
              <w:t>335</w:t>
            </w:r>
          </w:p>
        </w:tc>
        <w:tc>
          <w:tcPr>
            <w:tcW w:w="977" w:type="dxa"/>
            <w:tcBorders>
              <w:top w:val="nil"/>
              <w:left w:val="nil"/>
              <w:bottom w:val="nil"/>
              <w:right w:val="nil"/>
            </w:tcBorders>
            <w:vAlign w:val="center"/>
          </w:tcPr>
          <w:p w14:paraId="02D03F37" w14:textId="0443AD56" w:rsidR="005C34AD" w:rsidRPr="00677CE8" w:rsidRDefault="005C34AD" w:rsidP="003F2030">
            <w:pPr>
              <w:jc w:val="center"/>
              <w:rPr>
                <w:sz w:val="19"/>
                <w:szCs w:val="19"/>
              </w:rPr>
            </w:pPr>
            <w:r w:rsidRPr="00677CE8">
              <w:rPr>
                <w:color w:val="000000"/>
                <w:sz w:val="19"/>
                <w:szCs w:val="19"/>
              </w:rPr>
              <w:t>31.7%</w:t>
            </w:r>
          </w:p>
        </w:tc>
        <w:tc>
          <w:tcPr>
            <w:tcW w:w="1007" w:type="dxa"/>
            <w:tcBorders>
              <w:top w:val="nil"/>
              <w:left w:val="nil"/>
              <w:bottom w:val="nil"/>
              <w:right w:val="single" w:sz="12" w:space="0" w:color="auto"/>
            </w:tcBorders>
            <w:vAlign w:val="center"/>
          </w:tcPr>
          <w:p w14:paraId="0A15DB0E" w14:textId="216E84B6" w:rsidR="005C34AD" w:rsidRPr="00677CE8" w:rsidRDefault="005C34AD" w:rsidP="003F2030">
            <w:pPr>
              <w:jc w:val="center"/>
              <w:rPr>
                <w:sz w:val="19"/>
                <w:szCs w:val="19"/>
              </w:rPr>
            </w:pPr>
            <w:r w:rsidRPr="00677CE8">
              <w:rPr>
                <w:color w:val="000000"/>
                <w:sz w:val="19"/>
                <w:szCs w:val="19"/>
              </w:rPr>
              <w:t>25.6%</w:t>
            </w:r>
          </w:p>
        </w:tc>
      </w:tr>
      <w:tr w:rsidR="005C34AD" w:rsidRPr="00677CE8" w14:paraId="3AAC7960" w14:textId="77777777" w:rsidTr="00007FF5">
        <w:trPr>
          <w:trHeight w:val="275"/>
        </w:trPr>
        <w:tc>
          <w:tcPr>
            <w:tcW w:w="3490" w:type="dxa"/>
            <w:tcBorders>
              <w:top w:val="nil"/>
              <w:left w:val="single" w:sz="12" w:space="0" w:color="auto"/>
              <w:bottom w:val="nil"/>
            </w:tcBorders>
          </w:tcPr>
          <w:p w14:paraId="13523B1D" w14:textId="7863208A" w:rsidR="005C34AD" w:rsidRPr="00677CE8" w:rsidRDefault="005C34AD" w:rsidP="005C34AD">
            <w:pPr>
              <w:rPr>
                <w:sz w:val="19"/>
                <w:szCs w:val="19"/>
              </w:rPr>
            </w:pPr>
            <w:r w:rsidRPr="00677CE8">
              <w:rPr>
                <w:b/>
                <w:bCs/>
                <w:sz w:val="19"/>
                <w:szCs w:val="19"/>
              </w:rPr>
              <w:t>Employment Status</w:t>
            </w:r>
          </w:p>
        </w:tc>
        <w:tc>
          <w:tcPr>
            <w:tcW w:w="1350" w:type="dxa"/>
            <w:tcBorders>
              <w:top w:val="nil"/>
              <w:bottom w:val="nil"/>
            </w:tcBorders>
            <w:vAlign w:val="center"/>
          </w:tcPr>
          <w:p w14:paraId="54B2780A" w14:textId="06BC85FD" w:rsidR="005C34AD" w:rsidRPr="00677CE8" w:rsidRDefault="005C34AD" w:rsidP="005C34AD">
            <w:pPr>
              <w:jc w:val="center"/>
              <w:rPr>
                <w:sz w:val="19"/>
                <w:szCs w:val="19"/>
              </w:rPr>
            </w:pPr>
          </w:p>
        </w:tc>
        <w:tc>
          <w:tcPr>
            <w:tcW w:w="902" w:type="dxa"/>
            <w:tcBorders>
              <w:top w:val="nil"/>
              <w:bottom w:val="nil"/>
            </w:tcBorders>
            <w:vAlign w:val="center"/>
          </w:tcPr>
          <w:p w14:paraId="5DB40CE5" w14:textId="091F0982" w:rsidR="005C34AD" w:rsidRPr="00677CE8" w:rsidRDefault="005C34AD" w:rsidP="005C34AD">
            <w:pPr>
              <w:jc w:val="center"/>
              <w:rPr>
                <w:sz w:val="19"/>
                <w:szCs w:val="19"/>
              </w:rPr>
            </w:pPr>
          </w:p>
        </w:tc>
        <w:tc>
          <w:tcPr>
            <w:tcW w:w="1045" w:type="dxa"/>
            <w:tcBorders>
              <w:top w:val="nil"/>
              <w:bottom w:val="nil"/>
              <w:right w:val="single" w:sz="12" w:space="0" w:color="auto"/>
            </w:tcBorders>
            <w:vAlign w:val="center"/>
          </w:tcPr>
          <w:p w14:paraId="5F5F914B" w14:textId="09CC993A" w:rsidR="005C34AD" w:rsidRPr="00677CE8" w:rsidRDefault="005C34AD" w:rsidP="005C34AD">
            <w:pPr>
              <w:jc w:val="center"/>
              <w:rPr>
                <w:sz w:val="19"/>
                <w:szCs w:val="19"/>
              </w:rPr>
            </w:pPr>
          </w:p>
        </w:tc>
        <w:tc>
          <w:tcPr>
            <w:tcW w:w="3816" w:type="dxa"/>
            <w:tcBorders>
              <w:top w:val="nil"/>
              <w:left w:val="single" w:sz="12" w:space="0" w:color="auto"/>
              <w:bottom w:val="nil"/>
              <w:right w:val="nil"/>
            </w:tcBorders>
          </w:tcPr>
          <w:p w14:paraId="7055DDDC" w14:textId="287100D8" w:rsidR="005C34AD" w:rsidRPr="00677CE8" w:rsidRDefault="005C34AD" w:rsidP="005C34AD">
            <w:pPr>
              <w:rPr>
                <w:sz w:val="19"/>
                <w:szCs w:val="19"/>
              </w:rPr>
            </w:pPr>
            <w:r w:rsidRPr="00677CE8">
              <w:rPr>
                <w:b/>
                <w:bCs/>
                <w:sz w:val="19"/>
                <w:szCs w:val="19"/>
              </w:rPr>
              <w:t>Number of Motorized Vehicles in Household</w:t>
            </w:r>
          </w:p>
        </w:tc>
        <w:tc>
          <w:tcPr>
            <w:tcW w:w="1351" w:type="dxa"/>
            <w:tcBorders>
              <w:top w:val="nil"/>
              <w:left w:val="nil"/>
              <w:bottom w:val="nil"/>
              <w:right w:val="nil"/>
            </w:tcBorders>
            <w:vAlign w:val="center"/>
          </w:tcPr>
          <w:p w14:paraId="292D252D" w14:textId="42FFDD29" w:rsidR="005C34AD" w:rsidRPr="00677CE8" w:rsidRDefault="005C34AD" w:rsidP="005C34AD">
            <w:pPr>
              <w:jc w:val="center"/>
              <w:rPr>
                <w:sz w:val="19"/>
                <w:szCs w:val="19"/>
              </w:rPr>
            </w:pPr>
          </w:p>
        </w:tc>
        <w:tc>
          <w:tcPr>
            <w:tcW w:w="977" w:type="dxa"/>
            <w:tcBorders>
              <w:top w:val="nil"/>
              <w:left w:val="nil"/>
              <w:bottom w:val="nil"/>
              <w:right w:val="nil"/>
            </w:tcBorders>
            <w:vAlign w:val="center"/>
          </w:tcPr>
          <w:p w14:paraId="43F80AAF" w14:textId="15C85F62" w:rsidR="005C34AD" w:rsidRPr="00677CE8" w:rsidRDefault="005C34AD" w:rsidP="005C34AD">
            <w:pPr>
              <w:jc w:val="center"/>
              <w:rPr>
                <w:sz w:val="19"/>
                <w:szCs w:val="19"/>
              </w:rPr>
            </w:pPr>
          </w:p>
        </w:tc>
        <w:tc>
          <w:tcPr>
            <w:tcW w:w="1007" w:type="dxa"/>
            <w:tcBorders>
              <w:top w:val="nil"/>
              <w:left w:val="nil"/>
              <w:bottom w:val="nil"/>
              <w:right w:val="single" w:sz="12" w:space="0" w:color="auto"/>
            </w:tcBorders>
            <w:vAlign w:val="center"/>
          </w:tcPr>
          <w:p w14:paraId="1DBEC586" w14:textId="146585BD" w:rsidR="005C34AD" w:rsidRPr="00677CE8" w:rsidRDefault="005C34AD" w:rsidP="005C34AD">
            <w:pPr>
              <w:jc w:val="center"/>
              <w:rPr>
                <w:sz w:val="19"/>
                <w:szCs w:val="19"/>
              </w:rPr>
            </w:pPr>
          </w:p>
        </w:tc>
      </w:tr>
      <w:tr w:rsidR="005C34AD" w:rsidRPr="00677CE8" w14:paraId="7F1F11A1" w14:textId="77777777" w:rsidTr="00007FF5">
        <w:trPr>
          <w:trHeight w:val="275"/>
        </w:trPr>
        <w:tc>
          <w:tcPr>
            <w:tcW w:w="3490" w:type="dxa"/>
            <w:tcBorders>
              <w:top w:val="nil"/>
              <w:left w:val="single" w:sz="12" w:space="0" w:color="auto"/>
              <w:bottom w:val="nil"/>
            </w:tcBorders>
          </w:tcPr>
          <w:p w14:paraId="05B92D99" w14:textId="0DE43A2F" w:rsidR="005C34AD" w:rsidRPr="00677CE8" w:rsidRDefault="005C34AD" w:rsidP="005C34AD">
            <w:pPr>
              <w:ind w:left="216"/>
              <w:rPr>
                <w:sz w:val="19"/>
                <w:szCs w:val="19"/>
              </w:rPr>
            </w:pPr>
            <w:r w:rsidRPr="00677CE8">
              <w:rPr>
                <w:sz w:val="19"/>
                <w:szCs w:val="19"/>
              </w:rPr>
              <w:t>Full-time</w:t>
            </w:r>
          </w:p>
        </w:tc>
        <w:tc>
          <w:tcPr>
            <w:tcW w:w="1350" w:type="dxa"/>
            <w:tcBorders>
              <w:top w:val="nil"/>
              <w:bottom w:val="nil"/>
            </w:tcBorders>
            <w:vAlign w:val="center"/>
          </w:tcPr>
          <w:p w14:paraId="2C16F244" w14:textId="0798CDDB" w:rsidR="005C34AD" w:rsidRPr="00677CE8" w:rsidRDefault="005C34AD" w:rsidP="005C34AD">
            <w:pPr>
              <w:jc w:val="center"/>
              <w:rPr>
                <w:sz w:val="19"/>
                <w:szCs w:val="19"/>
              </w:rPr>
            </w:pPr>
            <w:r w:rsidRPr="00677CE8">
              <w:rPr>
                <w:color w:val="000000"/>
                <w:sz w:val="19"/>
                <w:szCs w:val="19"/>
              </w:rPr>
              <w:t>595</w:t>
            </w:r>
          </w:p>
        </w:tc>
        <w:tc>
          <w:tcPr>
            <w:tcW w:w="902" w:type="dxa"/>
            <w:tcBorders>
              <w:top w:val="nil"/>
              <w:bottom w:val="nil"/>
            </w:tcBorders>
            <w:vAlign w:val="center"/>
          </w:tcPr>
          <w:p w14:paraId="0758F093" w14:textId="0C1E078E" w:rsidR="005C34AD" w:rsidRPr="00677CE8" w:rsidRDefault="005C34AD" w:rsidP="005C34AD">
            <w:pPr>
              <w:jc w:val="center"/>
              <w:rPr>
                <w:sz w:val="19"/>
                <w:szCs w:val="19"/>
              </w:rPr>
            </w:pPr>
            <w:r w:rsidRPr="00677CE8">
              <w:rPr>
                <w:color w:val="000000"/>
                <w:sz w:val="19"/>
                <w:szCs w:val="19"/>
              </w:rPr>
              <w:t>56.3%</w:t>
            </w:r>
          </w:p>
        </w:tc>
        <w:tc>
          <w:tcPr>
            <w:tcW w:w="1045" w:type="dxa"/>
            <w:tcBorders>
              <w:top w:val="nil"/>
              <w:bottom w:val="nil"/>
              <w:right w:val="single" w:sz="12" w:space="0" w:color="auto"/>
            </w:tcBorders>
            <w:vAlign w:val="center"/>
          </w:tcPr>
          <w:p w14:paraId="7A11F105" w14:textId="77148084" w:rsidR="005C34AD" w:rsidRPr="00677CE8" w:rsidRDefault="005C34AD" w:rsidP="005C34AD">
            <w:pPr>
              <w:jc w:val="center"/>
              <w:rPr>
                <w:sz w:val="19"/>
                <w:szCs w:val="19"/>
              </w:rPr>
            </w:pPr>
            <w:r w:rsidRPr="00677CE8">
              <w:rPr>
                <w:color w:val="000000"/>
                <w:sz w:val="19"/>
                <w:szCs w:val="19"/>
              </w:rPr>
              <w:t>57.7%</w:t>
            </w:r>
          </w:p>
        </w:tc>
        <w:tc>
          <w:tcPr>
            <w:tcW w:w="3816" w:type="dxa"/>
            <w:tcBorders>
              <w:top w:val="nil"/>
              <w:left w:val="single" w:sz="12" w:space="0" w:color="auto"/>
              <w:bottom w:val="nil"/>
              <w:right w:val="nil"/>
            </w:tcBorders>
          </w:tcPr>
          <w:p w14:paraId="1D5840CF" w14:textId="1F95BA1B" w:rsidR="005C34AD" w:rsidRPr="00677CE8" w:rsidRDefault="005C34AD" w:rsidP="005C34AD">
            <w:pPr>
              <w:rPr>
                <w:sz w:val="19"/>
                <w:szCs w:val="19"/>
              </w:rPr>
            </w:pPr>
            <w:r w:rsidRPr="00677CE8">
              <w:rPr>
                <w:sz w:val="19"/>
                <w:szCs w:val="19"/>
              </w:rPr>
              <w:t xml:space="preserve">    0 vehicles</w:t>
            </w:r>
          </w:p>
        </w:tc>
        <w:tc>
          <w:tcPr>
            <w:tcW w:w="1351" w:type="dxa"/>
            <w:tcBorders>
              <w:top w:val="nil"/>
              <w:left w:val="nil"/>
              <w:bottom w:val="nil"/>
              <w:right w:val="nil"/>
            </w:tcBorders>
          </w:tcPr>
          <w:p w14:paraId="5DBAFF91" w14:textId="4E115914" w:rsidR="005C34AD" w:rsidRPr="00677CE8" w:rsidRDefault="005C34AD" w:rsidP="005C34AD">
            <w:pPr>
              <w:jc w:val="center"/>
              <w:rPr>
                <w:sz w:val="19"/>
                <w:szCs w:val="19"/>
              </w:rPr>
            </w:pPr>
            <w:r w:rsidRPr="00677CE8">
              <w:rPr>
                <w:sz w:val="19"/>
                <w:szCs w:val="19"/>
              </w:rPr>
              <w:t>59</w:t>
            </w:r>
          </w:p>
        </w:tc>
        <w:tc>
          <w:tcPr>
            <w:tcW w:w="977" w:type="dxa"/>
            <w:tcBorders>
              <w:top w:val="nil"/>
              <w:left w:val="nil"/>
              <w:bottom w:val="nil"/>
              <w:right w:val="nil"/>
            </w:tcBorders>
          </w:tcPr>
          <w:p w14:paraId="69EB4A9F" w14:textId="0A9321BF" w:rsidR="005C34AD" w:rsidRPr="00677CE8" w:rsidRDefault="005C34AD" w:rsidP="005C34AD">
            <w:pPr>
              <w:jc w:val="center"/>
              <w:rPr>
                <w:sz w:val="19"/>
                <w:szCs w:val="19"/>
              </w:rPr>
            </w:pPr>
            <w:r w:rsidRPr="00677CE8">
              <w:rPr>
                <w:color w:val="FFFFFF" w:themeColor="background1"/>
                <w:sz w:val="19"/>
                <w:szCs w:val="19"/>
              </w:rPr>
              <w:t>0</w:t>
            </w:r>
            <w:r w:rsidRPr="00677CE8">
              <w:rPr>
                <w:sz w:val="19"/>
                <w:szCs w:val="19"/>
              </w:rPr>
              <w:t>5.6%</w:t>
            </w:r>
          </w:p>
        </w:tc>
        <w:tc>
          <w:tcPr>
            <w:tcW w:w="1007" w:type="dxa"/>
            <w:tcBorders>
              <w:top w:val="nil"/>
              <w:left w:val="nil"/>
              <w:bottom w:val="nil"/>
              <w:right w:val="single" w:sz="12" w:space="0" w:color="auto"/>
            </w:tcBorders>
          </w:tcPr>
          <w:p w14:paraId="029A93A7" w14:textId="498248D2" w:rsidR="005C34AD" w:rsidRPr="00677CE8" w:rsidRDefault="005C34AD" w:rsidP="005C34AD">
            <w:pPr>
              <w:jc w:val="center"/>
              <w:rPr>
                <w:sz w:val="19"/>
                <w:szCs w:val="19"/>
              </w:rPr>
            </w:pPr>
            <w:r w:rsidRPr="00677CE8">
              <w:rPr>
                <w:color w:val="FFFFFF" w:themeColor="background1"/>
                <w:sz w:val="19"/>
                <w:szCs w:val="19"/>
              </w:rPr>
              <w:t>0</w:t>
            </w:r>
            <w:r w:rsidRPr="00677CE8">
              <w:rPr>
                <w:sz w:val="19"/>
                <w:szCs w:val="19"/>
              </w:rPr>
              <w:t>5.5%</w:t>
            </w:r>
          </w:p>
        </w:tc>
      </w:tr>
      <w:tr w:rsidR="005C34AD" w:rsidRPr="00677CE8" w14:paraId="2E7DE4FF" w14:textId="77777777" w:rsidTr="00007FF5">
        <w:trPr>
          <w:trHeight w:val="275"/>
        </w:trPr>
        <w:tc>
          <w:tcPr>
            <w:tcW w:w="3490" w:type="dxa"/>
            <w:tcBorders>
              <w:top w:val="nil"/>
              <w:left w:val="single" w:sz="12" w:space="0" w:color="auto"/>
              <w:bottom w:val="nil"/>
            </w:tcBorders>
          </w:tcPr>
          <w:p w14:paraId="65F454E2" w14:textId="68932F0D" w:rsidR="005C34AD" w:rsidRPr="00677CE8" w:rsidRDefault="005C34AD" w:rsidP="005C34AD">
            <w:pPr>
              <w:ind w:left="216"/>
              <w:rPr>
                <w:sz w:val="19"/>
                <w:szCs w:val="19"/>
              </w:rPr>
            </w:pPr>
            <w:r w:rsidRPr="00677CE8">
              <w:rPr>
                <w:sz w:val="19"/>
                <w:szCs w:val="19"/>
              </w:rPr>
              <w:t>Part-time</w:t>
            </w:r>
          </w:p>
        </w:tc>
        <w:tc>
          <w:tcPr>
            <w:tcW w:w="1350" w:type="dxa"/>
            <w:tcBorders>
              <w:top w:val="nil"/>
              <w:bottom w:val="nil"/>
            </w:tcBorders>
            <w:vAlign w:val="center"/>
          </w:tcPr>
          <w:p w14:paraId="69695B8F" w14:textId="71810386" w:rsidR="005C34AD" w:rsidRPr="00677CE8" w:rsidRDefault="005C34AD" w:rsidP="005C34AD">
            <w:pPr>
              <w:jc w:val="center"/>
              <w:rPr>
                <w:sz w:val="19"/>
                <w:szCs w:val="19"/>
              </w:rPr>
            </w:pPr>
            <w:r w:rsidRPr="00677CE8">
              <w:rPr>
                <w:color w:val="000000"/>
                <w:sz w:val="19"/>
                <w:szCs w:val="19"/>
              </w:rPr>
              <w:t>115</w:t>
            </w:r>
          </w:p>
        </w:tc>
        <w:tc>
          <w:tcPr>
            <w:tcW w:w="902" w:type="dxa"/>
            <w:tcBorders>
              <w:top w:val="nil"/>
              <w:bottom w:val="nil"/>
            </w:tcBorders>
            <w:vAlign w:val="center"/>
          </w:tcPr>
          <w:p w14:paraId="09EA67A7" w14:textId="7D712AE8" w:rsidR="005C34AD" w:rsidRPr="00677CE8" w:rsidRDefault="005C34AD" w:rsidP="005C34AD">
            <w:pPr>
              <w:jc w:val="center"/>
              <w:rPr>
                <w:sz w:val="19"/>
                <w:szCs w:val="19"/>
              </w:rPr>
            </w:pPr>
            <w:r w:rsidRPr="00677CE8">
              <w:rPr>
                <w:color w:val="000000"/>
                <w:sz w:val="19"/>
                <w:szCs w:val="19"/>
              </w:rPr>
              <w:t>10.9%</w:t>
            </w:r>
          </w:p>
        </w:tc>
        <w:tc>
          <w:tcPr>
            <w:tcW w:w="1045" w:type="dxa"/>
            <w:tcBorders>
              <w:top w:val="nil"/>
              <w:bottom w:val="nil"/>
              <w:right w:val="single" w:sz="12" w:space="0" w:color="auto"/>
            </w:tcBorders>
            <w:vAlign w:val="center"/>
          </w:tcPr>
          <w:p w14:paraId="009717F6" w14:textId="7987F09A" w:rsidR="005C34AD" w:rsidRPr="00677CE8" w:rsidRDefault="005C34AD" w:rsidP="005C34AD">
            <w:pPr>
              <w:jc w:val="center"/>
              <w:rPr>
                <w:sz w:val="19"/>
                <w:szCs w:val="19"/>
              </w:rPr>
            </w:pPr>
            <w:r w:rsidRPr="00677CE8">
              <w:rPr>
                <w:color w:val="000000"/>
                <w:sz w:val="19"/>
                <w:szCs w:val="19"/>
              </w:rPr>
              <w:t>13.5%</w:t>
            </w:r>
          </w:p>
        </w:tc>
        <w:tc>
          <w:tcPr>
            <w:tcW w:w="3816" w:type="dxa"/>
            <w:tcBorders>
              <w:top w:val="nil"/>
              <w:left w:val="single" w:sz="12" w:space="0" w:color="auto"/>
              <w:bottom w:val="nil"/>
              <w:right w:val="nil"/>
            </w:tcBorders>
          </w:tcPr>
          <w:p w14:paraId="3F7EE4E0" w14:textId="727D9CEA" w:rsidR="005C34AD" w:rsidRPr="00677CE8" w:rsidRDefault="005C34AD" w:rsidP="005C34AD">
            <w:pPr>
              <w:rPr>
                <w:sz w:val="19"/>
                <w:szCs w:val="19"/>
              </w:rPr>
            </w:pPr>
            <w:r w:rsidRPr="00677CE8">
              <w:rPr>
                <w:sz w:val="19"/>
                <w:szCs w:val="19"/>
              </w:rPr>
              <w:t xml:space="preserve">    1 vehicle</w:t>
            </w:r>
          </w:p>
        </w:tc>
        <w:tc>
          <w:tcPr>
            <w:tcW w:w="1351" w:type="dxa"/>
            <w:tcBorders>
              <w:top w:val="nil"/>
              <w:left w:val="nil"/>
              <w:bottom w:val="nil"/>
              <w:right w:val="nil"/>
            </w:tcBorders>
          </w:tcPr>
          <w:p w14:paraId="021F3B2C" w14:textId="24D4B091" w:rsidR="005C34AD" w:rsidRPr="00677CE8" w:rsidRDefault="005C34AD" w:rsidP="005C34AD">
            <w:pPr>
              <w:jc w:val="center"/>
              <w:rPr>
                <w:sz w:val="19"/>
                <w:szCs w:val="19"/>
              </w:rPr>
            </w:pPr>
            <w:r w:rsidRPr="00677CE8">
              <w:rPr>
                <w:sz w:val="19"/>
                <w:szCs w:val="19"/>
              </w:rPr>
              <w:t>363</w:t>
            </w:r>
          </w:p>
        </w:tc>
        <w:tc>
          <w:tcPr>
            <w:tcW w:w="977" w:type="dxa"/>
            <w:tcBorders>
              <w:top w:val="nil"/>
              <w:left w:val="nil"/>
              <w:bottom w:val="nil"/>
              <w:right w:val="nil"/>
            </w:tcBorders>
          </w:tcPr>
          <w:p w14:paraId="032DC51B" w14:textId="0E867755" w:rsidR="005C34AD" w:rsidRPr="00677CE8" w:rsidRDefault="005C34AD" w:rsidP="005C34AD">
            <w:pPr>
              <w:jc w:val="center"/>
              <w:rPr>
                <w:sz w:val="19"/>
                <w:szCs w:val="19"/>
              </w:rPr>
            </w:pPr>
            <w:r w:rsidRPr="00677CE8">
              <w:rPr>
                <w:sz w:val="19"/>
                <w:szCs w:val="19"/>
              </w:rPr>
              <w:t>34.3%</w:t>
            </w:r>
          </w:p>
        </w:tc>
        <w:tc>
          <w:tcPr>
            <w:tcW w:w="1007" w:type="dxa"/>
            <w:tcBorders>
              <w:top w:val="nil"/>
              <w:left w:val="nil"/>
              <w:bottom w:val="nil"/>
              <w:right w:val="single" w:sz="12" w:space="0" w:color="auto"/>
            </w:tcBorders>
          </w:tcPr>
          <w:p w14:paraId="0DEF402E" w14:textId="579CA463" w:rsidR="005C34AD" w:rsidRPr="00677CE8" w:rsidRDefault="005C34AD" w:rsidP="005C34AD">
            <w:pPr>
              <w:jc w:val="center"/>
              <w:rPr>
                <w:sz w:val="19"/>
                <w:szCs w:val="19"/>
              </w:rPr>
            </w:pPr>
            <w:r w:rsidRPr="00677CE8">
              <w:rPr>
                <w:sz w:val="19"/>
                <w:szCs w:val="19"/>
              </w:rPr>
              <w:t>33.3%</w:t>
            </w:r>
          </w:p>
        </w:tc>
      </w:tr>
      <w:tr w:rsidR="005C34AD" w:rsidRPr="00677CE8" w14:paraId="28BD61AD" w14:textId="77777777" w:rsidTr="00007FF5">
        <w:trPr>
          <w:trHeight w:val="275"/>
        </w:trPr>
        <w:tc>
          <w:tcPr>
            <w:tcW w:w="3490" w:type="dxa"/>
            <w:tcBorders>
              <w:top w:val="nil"/>
              <w:left w:val="single" w:sz="12" w:space="0" w:color="auto"/>
              <w:bottom w:val="nil"/>
            </w:tcBorders>
          </w:tcPr>
          <w:p w14:paraId="2EC6D702" w14:textId="6F263A8E" w:rsidR="005C34AD" w:rsidRPr="00677CE8" w:rsidRDefault="005C34AD" w:rsidP="005C34AD">
            <w:pPr>
              <w:ind w:left="216"/>
              <w:rPr>
                <w:sz w:val="19"/>
                <w:szCs w:val="19"/>
              </w:rPr>
            </w:pPr>
            <w:r w:rsidRPr="00677CE8">
              <w:rPr>
                <w:sz w:val="19"/>
                <w:szCs w:val="19"/>
              </w:rPr>
              <w:t>Student</w:t>
            </w:r>
          </w:p>
        </w:tc>
        <w:tc>
          <w:tcPr>
            <w:tcW w:w="1350" w:type="dxa"/>
            <w:tcBorders>
              <w:top w:val="nil"/>
              <w:bottom w:val="nil"/>
            </w:tcBorders>
            <w:vAlign w:val="center"/>
          </w:tcPr>
          <w:p w14:paraId="1D333D39" w14:textId="28A1481B" w:rsidR="005C34AD" w:rsidRPr="00677CE8" w:rsidRDefault="005C34AD" w:rsidP="005C34AD">
            <w:pPr>
              <w:jc w:val="center"/>
              <w:rPr>
                <w:sz w:val="19"/>
                <w:szCs w:val="19"/>
              </w:rPr>
            </w:pPr>
            <w:r w:rsidRPr="00677CE8">
              <w:rPr>
                <w:color w:val="000000"/>
                <w:sz w:val="19"/>
                <w:szCs w:val="19"/>
              </w:rPr>
              <w:t>111</w:t>
            </w:r>
          </w:p>
        </w:tc>
        <w:tc>
          <w:tcPr>
            <w:tcW w:w="902" w:type="dxa"/>
            <w:tcBorders>
              <w:top w:val="nil"/>
              <w:bottom w:val="nil"/>
            </w:tcBorders>
            <w:vAlign w:val="center"/>
          </w:tcPr>
          <w:p w14:paraId="51C070D9" w14:textId="4E580AA6" w:rsidR="005C34AD" w:rsidRPr="00677CE8" w:rsidRDefault="005C34AD" w:rsidP="005C34AD">
            <w:pPr>
              <w:jc w:val="center"/>
              <w:rPr>
                <w:sz w:val="19"/>
                <w:szCs w:val="19"/>
              </w:rPr>
            </w:pPr>
            <w:r w:rsidRPr="00677CE8">
              <w:rPr>
                <w:color w:val="000000"/>
                <w:sz w:val="19"/>
                <w:szCs w:val="19"/>
              </w:rPr>
              <w:t>10.5%</w:t>
            </w:r>
          </w:p>
        </w:tc>
        <w:tc>
          <w:tcPr>
            <w:tcW w:w="1045" w:type="dxa"/>
            <w:tcBorders>
              <w:top w:val="nil"/>
              <w:bottom w:val="nil"/>
              <w:right w:val="single" w:sz="12" w:space="0" w:color="auto"/>
            </w:tcBorders>
            <w:vAlign w:val="center"/>
          </w:tcPr>
          <w:p w14:paraId="5EB61710" w14:textId="229D7027" w:rsidR="005C34AD" w:rsidRPr="00677CE8" w:rsidRDefault="005C34AD" w:rsidP="005C34AD">
            <w:pPr>
              <w:jc w:val="center"/>
              <w:rPr>
                <w:sz w:val="19"/>
                <w:szCs w:val="19"/>
              </w:rPr>
            </w:pPr>
            <w:r w:rsidRPr="00677CE8">
              <w:rPr>
                <w:color w:val="FFFFFF" w:themeColor="background1"/>
                <w:sz w:val="19"/>
                <w:szCs w:val="19"/>
              </w:rPr>
              <w:t>0</w:t>
            </w:r>
            <w:r w:rsidRPr="00677CE8">
              <w:rPr>
                <w:color w:val="000000"/>
                <w:sz w:val="19"/>
                <w:szCs w:val="19"/>
              </w:rPr>
              <w:t>8.7%</w:t>
            </w:r>
          </w:p>
        </w:tc>
        <w:tc>
          <w:tcPr>
            <w:tcW w:w="3816" w:type="dxa"/>
            <w:tcBorders>
              <w:top w:val="nil"/>
              <w:left w:val="single" w:sz="12" w:space="0" w:color="auto"/>
              <w:bottom w:val="nil"/>
              <w:right w:val="nil"/>
            </w:tcBorders>
          </w:tcPr>
          <w:p w14:paraId="49A67894" w14:textId="3F83AE23" w:rsidR="005C34AD" w:rsidRPr="00677CE8" w:rsidRDefault="005C34AD" w:rsidP="005C34AD">
            <w:pPr>
              <w:rPr>
                <w:b/>
                <w:bCs/>
                <w:sz w:val="19"/>
                <w:szCs w:val="19"/>
              </w:rPr>
            </w:pPr>
            <w:r w:rsidRPr="00677CE8">
              <w:rPr>
                <w:sz w:val="19"/>
                <w:szCs w:val="19"/>
              </w:rPr>
              <w:t xml:space="preserve">    2 vehicles</w:t>
            </w:r>
          </w:p>
        </w:tc>
        <w:tc>
          <w:tcPr>
            <w:tcW w:w="1351" w:type="dxa"/>
            <w:tcBorders>
              <w:top w:val="nil"/>
              <w:left w:val="nil"/>
              <w:bottom w:val="nil"/>
              <w:right w:val="nil"/>
            </w:tcBorders>
          </w:tcPr>
          <w:p w14:paraId="126CAD8B" w14:textId="456DA118" w:rsidR="005C34AD" w:rsidRPr="00677CE8" w:rsidRDefault="005C34AD" w:rsidP="005C34AD">
            <w:pPr>
              <w:jc w:val="center"/>
              <w:rPr>
                <w:b/>
                <w:bCs/>
                <w:sz w:val="19"/>
                <w:szCs w:val="19"/>
              </w:rPr>
            </w:pPr>
            <w:r w:rsidRPr="00677CE8">
              <w:rPr>
                <w:sz w:val="19"/>
                <w:szCs w:val="19"/>
              </w:rPr>
              <w:t>424</w:t>
            </w:r>
          </w:p>
        </w:tc>
        <w:tc>
          <w:tcPr>
            <w:tcW w:w="977" w:type="dxa"/>
            <w:tcBorders>
              <w:top w:val="nil"/>
              <w:left w:val="nil"/>
              <w:bottom w:val="nil"/>
              <w:right w:val="nil"/>
            </w:tcBorders>
          </w:tcPr>
          <w:p w14:paraId="6E4A76EC" w14:textId="19C9F4BB" w:rsidR="005C34AD" w:rsidRPr="00677CE8" w:rsidRDefault="005C34AD" w:rsidP="005C34AD">
            <w:pPr>
              <w:jc w:val="center"/>
              <w:rPr>
                <w:b/>
                <w:bCs/>
                <w:sz w:val="19"/>
                <w:szCs w:val="19"/>
              </w:rPr>
            </w:pPr>
            <w:r w:rsidRPr="00677CE8">
              <w:rPr>
                <w:sz w:val="19"/>
                <w:szCs w:val="19"/>
              </w:rPr>
              <w:t>40.1%</w:t>
            </w:r>
          </w:p>
        </w:tc>
        <w:tc>
          <w:tcPr>
            <w:tcW w:w="1007" w:type="dxa"/>
            <w:tcBorders>
              <w:top w:val="nil"/>
              <w:left w:val="nil"/>
              <w:bottom w:val="nil"/>
              <w:right w:val="single" w:sz="12" w:space="0" w:color="auto"/>
            </w:tcBorders>
          </w:tcPr>
          <w:p w14:paraId="0A9F9FAD" w14:textId="73BE69B2" w:rsidR="005C34AD" w:rsidRPr="00677CE8" w:rsidRDefault="005C34AD" w:rsidP="005C34AD">
            <w:pPr>
              <w:jc w:val="center"/>
              <w:rPr>
                <w:b/>
                <w:bCs/>
                <w:sz w:val="19"/>
                <w:szCs w:val="19"/>
              </w:rPr>
            </w:pPr>
            <w:r w:rsidRPr="00677CE8">
              <w:rPr>
                <w:sz w:val="19"/>
                <w:szCs w:val="19"/>
              </w:rPr>
              <w:t>38.7%</w:t>
            </w:r>
          </w:p>
        </w:tc>
      </w:tr>
      <w:tr w:rsidR="005C34AD" w:rsidRPr="00677CE8" w14:paraId="2E7E89BF" w14:textId="77777777" w:rsidTr="00007FF5">
        <w:trPr>
          <w:trHeight w:val="275"/>
        </w:trPr>
        <w:tc>
          <w:tcPr>
            <w:tcW w:w="3490" w:type="dxa"/>
            <w:tcBorders>
              <w:top w:val="nil"/>
              <w:left w:val="single" w:sz="12" w:space="0" w:color="auto"/>
              <w:bottom w:val="nil"/>
              <w:right w:val="nil"/>
            </w:tcBorders>
          </w:tcPr>
          <w:p w14:paraId="0458FBAC" w14:textId="0CE44696" w:rsidR="005C34AD" w:rsidRPr="00677CE8" w:rsidRDefault="005C34AD" w:rsidP="005C34AD">
            <w:pPr>
              <w:ind w:left="216"/>
              <w:rPr>
                <w:sz w:val="19"/>
                <w:szCs w:val="19"/>
              </w:rPr>
            </w:pPr>
            <w:r w:rsidRPr="00677CE8">
              <w:rPr>
                <w:sz w:val="19"/>
                <w:szCs w:val="19"/>
              </w:rPr>
              <w:t>Retired</w:t>
            </w:r>
          </w:p>
        </w:tc>
        <w:tc>
          <w:tcPr>
            <w:tcW w:w="1350" w:type="dxa"/>
            <w:tcBorders>
              <w:top w:val="nil"/>
              <w:left w:val="nil"/>
              <w:bottom w:val="nil"/>
              <w:right w:val="nil"/>
            </w:tcBorders>
            <w:vAlign w:val="center"/>
          </w:tcPr>
          <w:p w14:paraId="64BBB672" w14:textId="2C74A7BC" w:rsidR="005C34AD" w:rsidRPr="00677CE8" w:rsidRDefault="005C34AD" w:rsidP="005C34AD">
            <w:pPr>
              <w:jc w:val="center"/>
              <w:rPr>
                <w:sz w:val="19"/>
                <w:szCs w:val="19"/>
              </w:rPr>
            </w:pPr>
            <w:r w:rsidRPr="00677CE8">
              <w:rPr>
                <w:color w:val="000000"/>
                <w:sz w:val="19"/>
                <w:szCs w:val="19"/>
              </w:rPr>
              <w:t>150</w:t>
            </w:r>
          </w:p>
        </w:tc>
        <w:tc>
          <w:tcPr>
            <w:tcW w:w="902" w:type="dxa"/>
            <w:tcBorders>
              <w:top w:val="nil"/>
              <w:left w:val="nil"/>
              <w:bottom w:val="nil"/>
              <w:right w:val="nil"/>
            </w:tcBorders>
            <w:vAlign w:val="center"/>
          </w:tcPr>
          <w:p w14:paraId="10531FC3" w14:textId="12539677" w:rsidR="005C34AD" w:rsidRPr="00677CE8" w:rsidRDefault="005C34AD" w:rsidP="005C34AD">
            <w:pPr>
              <w:jc w:val="center"/>
              <w:rPr>
                <w:sz w:val="19"/>
                <w:szCs w:val="19"/>
              </w:rPr>
            </w:pPr>
            <w:r w:rsidRPr="00677CE8">
              <w:rPr>
                <w:color w:val="000000"/>
                <w:sz w:val="19"/>
                <w:szCs w:val="19"/>
              </w:rPr>
              <w:t>14.2%</w:t>
            </w:r>
          </w:p>
        </w:tc>
        <w:tc>
          <w:tcPr>
            <w:tcW w:w="1045" w:type="dxa"/>
            <w:tcBorders>
              <w:top w:val="nil"/>
              <w:left w:val="nil"/>
              <w:bottom w:val="nil"/>
              <w:right w:val="single" w:sz="12" w:space="0" w:color="auto"/>
            </w:tcBorders>
            <w:vAlign w:val="center"/>
          </w:tcPr>
          <w:p w14:paraId="5FF64857" w14:textId="2BC00B6E" w:rsidR="005C34AD" w:rsidRPr="00677CE8" w:rsidRDefault="005C34AD" w:rsidP="005C34AD">
            <w:pPr>
              <w:jc w:val="center"/>
              <w:rPr>
                <w:sz w:val="19"/>
                <w:szCs w:val="19"/>
              </w:rPr>
            </w:pPr>
            <w:r w:rsidRPr="00677CE8">
              <w:rPr>
                <w:color w:val="000000"/>
                <w:sz w:val="19"/>
                <w:szCs w:val="19"/>
              </w:rPr>
              <w:t>15.5%</w:t>
            </w:r>
          </w:p>
        </w:tc>
        <w:tc>
          <w:tcPr>
            <w:tcW w:w="3816" w:type="dxa"/>
            <w:tcBorders>
              <w:top w:val="nil"/>
              <w:left w:val="single" w:sz="12" w:space="0" w:color="auto"/>
              <w:bottom w:val="nil"/>
              <w:right w:val="nil"/>
            </w:tcBorders>
          </w:tcPr>
          <w:p w14:paraId="06421CE8" w14:textId="2B7BF79A" w:rsidR="005C34AD" w:rsidRPr="00677CE8" w:rsidRDefault="005C34AD" w:rsidP="005C34AD">
            <w:pPr>
              <w:rPr>
                <w:sz w:val="19"/>
                <w:szCs w:val="19"/>
              </w:rPr>
            </w:pPr>
            <w:r w:rsidRPr="00677CE8">
              <w:rPr>
                <w:sz w:val="19"/>
                <w:szCs w:val="19"/>
              </w:rPr>
              <w:t xml:space="preserve">    3+ vehicles</w:t>
            </w:r>
          </w:p>
        </w:tc>
        <w:tc>
          <w:tcPr>
            <w:tcW w:w="1351" w:type="dxa"/>
            <w:tcBorders>
              <w:top w:val="nil"/>
              <w:left w:val="nil"/>
              <w:bottom w:val="nil"/>
              <w:right w:val="nil"/>
            </w:tcBorders>
          </w:tcPr>
          <w:p w14:paraId="315BA7F4" w14:textId="619D90E9" w:rsidR="005C34AD" w:rsidRPr="00677CE8" w:rsidRDefault="005C34AD" w:rsidP="005C34AD">
            <w:pPr>
              <w:jc w:val="center"/>
              <w:rPr>
                <w:sz w:val="19"/>
                <w:szCs w:val="19"/>
              </w:rPr>
            </w:pPr>
            <w:r w:rsidRPr="00677CE8">
              <w:rPr>
                <w:sz w:val="19"/>
                <w:szCs w:val="19"/>
              </w:rPr>
              <w:t>211</w:t>
            </w:r>
          </w:p>
        </w:tc>
        <w:tc>
          <w:tcPr>
            <w:tcW w:w="977" w:type="dxa"/>
            <w:tcBorders>
              <w:top w:val="nil"/>
              <w:left w:val="nil"/>
              <w:bottom w:val="nil"/>
              <w:right w:val="nil"/>
            </w:tcBorders>
          </w:tcPr>
          <w:p w14:paraId="244713E8" w14:textId="74CD2590" w:rsidR="005C34AD" w:rsidRPr="00677CE8" w:rsidRDefault="005C34AD" w:rsidP="005C34AD">
            <w:pPr>
              <w:jc w:val="center"/>
              <w:rPr>
                <w:sz w:val="19"/>
                <w:szCs w:val="19"/>
              </w:rPr>
            </w:pPr>
            <w:r w:rsidRPr="00677CE8">
              <w:rPr>
                <w:sz w:val="19"/>
                <w:szCs w:val="19"/>
              </w:rPr>
              <w:t>20.0%</w:t>
            </w:r>
          </w:p>
        </w:tc>
        <w:tc>
          <w:tcPr>
            <w:tcW w:w="1007" w:type="dxa"/>
            <w:tcBorders>
              <w:top w:val="nil"/>
              <w:left w:val="nil"/>
              <w:bottom w:val="nil"/>
              <w:right w:val="single" w:sz="12" w:space="0" w:color="auto"/>
            </w:tcBorders>
          </w:tcPr>
          <w:p w14:paraId="55D38412" w14:textId="7D270D3B" w:rsidR="005C34AD" w:rsidRPr="00677CE8" w:rsidRDefault="005C34AD" w:rsidP="005C34AD">
            <w:pPr>
              <w:jc w:val="center"/>
              <w:rPr>
                <w:sz w:val="19"/>
                <w:szCs w:val="19"/>
              </w:rPr>
            </w:pPr>
            <w:r w:rsidRPr="00677CE8">
              <w:rPr>
                <w:sz w:val="19"/>
                <w:szCs w:val="19"/>
              </w:rPr>
              <w:t>22.5%</w:t>
            </w:r>
          </w:p>
        </w:tc>
      </w:tr>
      <w:tr w:rsidR="005C34AD" w:rsidRPr="00677CE8" w14:paraId="6E302DB7" w14:textId="77777777" w:rsidTr="00007FF5">
        <w:trPr>
          <w:trHeight w:val="275"/>
        </w:trPr>
        <w:tc>
          <w:tcPr>
            <w:tcW w:w="3490" w:type="dxa"/>
            <w:tcBorders>
              <w:top w:val="nil"/>
              <w:left w:val="single" w:sz="12" w:space="0" w:color="auto"/>
              <w:bottom w:val="nil"/>
              <w:right w:val="nil"/>
            </w:tcBorders>
          </w:tcPr>
          <w:p w14:paraId="2F85B7CE" w14:textId="66D5999B" w:rsidR="005C34AD" w:rsidRPr="00677CE8" w:rsidRDefault="005C34AD" w:rsidP="005C34AD">
            <w:pPr>
              <w:rPr>
                <w:color w:val="FFFFFF" w:themeColor="background1"/>
                <w:sz w:val="19"/>
                <w:szCs w:val="19"/>
              </w:rPr>
            </w:pPr>
            <w:r w:rsidRPr="00677CE8">
              <w:rPr>
                <w:sz w:val="19"/>
                <w:szCs w:val="19"/>
              </w:rPr>
              <w:t xml:space="preserve">    Other employment</w:t>
            </w:r>
          </w:p>
        </w:tc>
        <w:tc>
          <w:tcPr>
            <w:tcW w:w="1350" w:type="dxa"/>
            <w:tcBorders>
              <w:top w:val="nil"/>
              <w:left w:val="nil"/>
              <w:bottom w:val="nil"/>
              <w:right w:val="nil"/>
            </w:tcBorders>
            <w:vAlign w:val="center"/>
          </w:tcPr>
          <w:p w14:paraId="7E4844CA" w14:textId="21EC811A" w:rsidR="005C34AD" w:rsidRPr="00677CE8" w:rsidRDefault="005C34AD" w:rsidP="005C34AD">
            <w:pPr>
              <w:jc w:val="center"/>
              <w:rPr>
                <w:color w:val="FFFFFF" w:themeColor="background1"/>
                <w:sz w:val="19"/>
                <w:szCs w:val="19"/>
              </w:rPr>
            </w:pPr>
            <w:r w:rsidRPr="00677CE8">
              <w:rPr>
                <w:color w:val="000000"/>
                <w:sz w:val="19"/>
                <w:szCs w:val="19"/>
              </w:rPr>
              <w:t>86</w:t>
            </w:r>
          </w:p>
        </w:tc>
        <w:tc>
          <w:tcPr>
            <w:tcW w:w="902" w:type="dxa"/>
            <w:tcBorders>
              <w:top w:val="nil"/>
              <w:left w:val="nil"/>
              <w:bottom w:val="nil"/>
              <w:right w:val="nil"/>
            </w:tcBorders>
            <w:vAlign w:val="center"/>
          </w:tcPr>
          <w:p w14:paraId="3583FB76" w14:textId="092181EA" w:rsidR="005C34AD" w:rsidRPr="00677CE8" w:rsidRDefault="005C34AD" w:rsidP="005C34AD">
            <w:pPr>
              <w:jc w:val="center"/>
              <w:rPr>
                <w:color w:val="FFFFFF" w:themeColor="background1"/>
                <w:sz w:val="19"/>
                <w:szCs w:val="19"/>
              </w:rPr>
            </w:pPr>
            <w:r w:rsidRPr="00677CE8">
              <w:rPr>
                <w:color w:val="FFFFFF" w:themeColor="background1"/>
                <w:sz w:val="19"/>
                <w:szCs w:val="19"/>
              </w:rPr>
              <w:t>0</w:t>
            </w:r>
            <w:r w:rsidRPr="00677CE8">
              <w:rPr>
                <w:color w:val="000000"/>
                <w:sz w:val="19"/>
                <w:szCs w:val="19"/>
              </w:rPr>
              <w:t>8.1%</w:t>
            </w:r>
          </w:p>
        </w:tc>
        <w:tc>
          <w:tcPr>
            <w:tcW w:w="1045" w:type="dxa"/>
            <w:tcBorders>
              <w:top w:val="nil"/>
              <w:left w:val="nil"/>
              <w:bottom w:val="nil"/>
              <w:right w:val="single" w:sz="12" w:space="0" w:color="auto"/>
            </w:tcBorders>
            <w:vAlign w:val="center"/>
          </w:tcPr>
          <w:p w14:paraId="174353F2" w14:textId="6581A737" w:rsidR="005C34AD" w:rsidRPr="00677CE8" w:rsidRDefault="005C34AD" w:rsidP="005C34AD">
            <w:pPr>
              <w:jc w:val="center"/>
              <w:rPr>
                <w:color w:val="FFFFFF" w:themeColor="background1"/>
                <w:sz w:val="19"/>
                <w:szCs w:val="19"/>
              </w:rPr>
            </w:pPr>
            <w:r w:rsidRPr="00677CE8">
              <w:rPr>
                <w:color w:val="FFFFFF" w:themeColor="background1"/>
                <w:sz w:val="19"/>
                <w:szCs w:val="19"/>
              </w:rPr>
              <w:t>0</w:t>
            </w:r>
            <w:r w:rsidRPr="00677CE8">
              <w:rPr>
                <w:color w:val="000000"/>
                <w:sz w:val="19"/>
                <w:szCs w:val="19"/>
              </w:rPr>
              <w:t>4.6%</w:t>
            </w:r>
          </w:p>
        </w:tc>
        <w:tc>
          <w:tcPr>
            <w:tcW w:w="3816" w:type="dxa"/>
            <w:tcBorders>
              <w:top w:val="nil"/>
              <w:left w:val="single" w:sz="12" w:space="0" w:color="auto"/>
              <w:bottom w:val="nil"/>
              <w:right w:val="nil"/>
            </w:tcBorders>
          </w:tcPr>
          <w:p w14:paraId="0CF81FE4" w14:textId="42F68457" w:rsidR="005C34AD" w:rsidRPr="00677CE8" w:rsidRDefault="005C34AD" w:rsidP="005C34AD">
            <w:pPr>
              <w:rPr>
                <w:b/>
                <w:bCs/>
                <w:sz w:val="19"/>
                <w:szCs w:val="19"/>
              </w:rPr>
            </w:pPr>
            <w:r w:rsidRPr="00677CE8">
              <w:rPr>
                <w:b/>
                <w:bCs/>
                <w:sz w:val="19"/>
                <w:szCs w:val="19"/>
              </w:rPr>
              <w:t>State of Residence</w:t>
            </w:r>
          </w:p>
        </w:tc>
        <w:tc>
          <w:tcPr>
            <w:tcW w:w="1351" w:type="dxa"/>
            <w:tcBorders>
              <w:top w:val="nil"/>
              <w:left w:val="nil"/>
              <w:bottom w:val="nil"/>
              <w:right w:val="nil"/>
            </w:tcBorders>
          </w:tcPr>
          <w:p w14:paraId="25EC316A" w14:textId="77777777" w:rsidR="005C34AD" w:rsidRPr="00677CE8" w:rsidRDefault="005C34AD" w:rsidP="005C34AD">
            <w:pPr>
              <w:jc w:val="center"/>
              <w:rPr>
                <w:sz w:val="19"/>
                <w:szCs w:val="19"/>
              </w:rPr>
            </w:pPr>
          </w:p>
        </w:tc>
        <w:tc>
          <w:tcPr>
            <w:tcW w:w="977" w:type="dxa"/>
            <w:tcBorders>
              <w:top w:val="nil"/>
              <w:left w:val="nil"/>
              <w:bottom w:val="nil"/>
              <w:right w:val="nil"/>
            </w:tcBorders>
          </w:tcPr>
          <w:p w14:paraId="71308333" w14:textId="77777777" w:rsidR="005C34AD" w:rsidRPr="00677CE8" w:rsidRDefault="005C34AD" w:rsidP="005C34AD">
            <w:pPr>
              <w:jc w:val="center"/>
              <w:rPr>
                <w:sz w:val="19"/>
                <w:szCs w:val="19"/>
              </w:rPr>
            </w:pPr>
          </w:p>
        </w:tc>
        <w:tc>
          <w:tcPr>
            <w:tcW w:w="1007" w:type="dxa"/>
            <w:tcBorders>
              <w:top w:val="nil"/>
              <w:left w:val="nil"/>
              <w:bottom w:val="nil"/>
              <w:right w:val="single" w:sz="12" w:space="0" w:color="auto"/>
            </w:tcBorders>
          </w:tcPr>
          <w:p w14:paraId="6D26379B" w14:textId="77777777" w:rsidR="005C34AD" w:rsidRPr="00677CE8" w:rsidRDefault="005C34AD" w:rsidP="005C34AD">
            <w:pPr>
              <w:jc w:val="center"/>
              <w:rPr>
                <w:sz w:val="19"/>
                <w:szCs w:val="19"/>
              </w:rPr>
            </w:pPr>
          </w:p>
        </w:tc>
      </w:tr>
      <w:tr w:rsidR="005C34AD" w:rsidRPr="00677CE8" w14:paraId="115DE67E" w14:textId="77777777" w:rsidTr="00007FF5">
        <w:trPr>
          <w:trHeight w:val="275"/>
        </w:trPr>
        <w:tc>
          <w:tcPr>
            <w:tcW w:w="3490" w:type="dxa"/>
            <w:tcBorders>
              <w:top w:val="nil"/>
              <w:left w:val="single" w:sz="12" w:space="0" w:color="auto"/>
              <w:bottom w:val="single" w:sz="12" w:space="0" w:color="auto"/>
              <w:right w:val="nil"/>
            </w:tcBorders>
          </w:tcPr>
          <w:p w14:paraId="6126CB2B" w14:textId="77777777" w:rsidR="005C34AD" w:rsidRPr="00677CE8" w:rsidRDefault="005C34AD" w:rsidP="005C34AD">
            <w:pPr>
              <w:jc w:val="center"/>
              <w:rPr>
                <w:color w:val="FFFFFF" w:themeColor="background1"/>
                <w:sz w:val="19"/>
                <w:szCs w:val="19"/>
              </w:rPr>
            </w:pPr>
          </w:p>
        </w:tc>
        <w:tc>
          <w:tcPr>
            <w:tcW w:w="3297" w:type="dxa"/>
            <w:gridSpan w:val="3"/>
            <w:tcBorders>
              <w:top w:val="nil"/>
              <w:left w:val="nil"/>
              <w:bottom w:val="single" w:sz="12" w:space="0" w:color="auto"/>
              <w:right w:val="single" w:sz="12" w:space="0" w:color="auto"/>
            </w:tcBorders>
          </w:tcPr>
          <w:p w14:paraId="7552EF5D" w14:textId="32722CA0" w:rsidR="005C34AD" w:rsidRPr="00677CE8" w:rsidRDefault="005C34AD" w:rsidP="005C34AD">
            <w:pPr>
              <w:jc w:val="center"/>
              <w:rPr>
                <w:color w:val="FFFFFF" w:themeColor="background1"/>
                <w:sz w:val="19"/>
                <w:szCs w:val="19"/>
              </w:rPr>
            </w:pPr>
          </w:p>
        </w:tc>
        <w:tc>
          <w:tcPr>
            <w:tcW w:w="3816" w:type="dxa"/>
            <w:tcBorders>
              <w:top w:val="nil"/>
              <w:left w:val="single" w:sz="12" w:space="0" w:color="auto"/>
              <w:bottom w:val="nil"/>
              <w:right w:val="nil"/>
            </w:tcBorders>
          </w:tcPr>
          <w:p w14:paraId="09B5ACAA" w14:textId="4536540F" w:rsidR="005C34AD" w:rsidRPr="00677CE8" w:rsidRDefault="005C34AD" w:rsidP="005C34AD">
            <w:pPr>
              <w:rPr>
                <w:sz w:val="19"/>
                <w:szCs w:val="19"/>
              </w:rPr>
            </w:pPr>
            <w:r w:rsidRPr="00677CE8">
              <w:rPr>
                <w:sz w:val="19"/>
                <w:szCs w:val="19"/>
              </w:rPr>
              <w:t xml:space="preserve">    Texan*</w:t>
            </w:r>
          </w:p>
        </w:tc>
        <w:tc>
          <w:tcPr>
            <w:tcW w:w="1351" w:type="dxa"/>
            <w:tcBorders>
              <w:top w:val="nil"/>
              <w:left w:val="nil"/>
              <w:bottom w:val="nil"/>
              <w:right w:val="nil"/>
            </w:tcBorders>
          </w:tcPr>
          <w:p w14:paraId="19AD9C33" w14:textId="0FB8383B" w:rsidR="005C34AD" w:rsidRPr="00677CE8" w:rsidRDefault="005C34AD" w:rsidP="005C34AD">
            <w:pPr>
              <w:jc w:val="center"/>
              <w:rPr>
                <w:sz w:val="19"/>
                <w:szCs w:val="19"/>
              </w:rPr>
            </w:pPr>
            <w:r w:rsidRPr="00677CE8">
              <w:rPr>
                <w:sz w:val="19"/>
                <w:szCs w:val="19"/>
              </w:rPr>
              <w:t>884</w:t>
            </w:r>
          </w:p>
        </w:tc>
        <w:tc>
          <w:tcPr>
            <w:tcW w:w="977" w:type="dxa"/>
            <w:tcBorders>
              <w:top w:val="nil"/>
              <w:left w:val="nil"/>
              <w:bottom w:val="nil"/>
              <w:right w:val="nil"/>
            </w:tcBorders>
          </w:tcPr>
          <w:p w14:paraId="344E0AF9" w14:textId="5B836B6B" w:rsidR="005C34AD" w:rsidRPr="00677CE8" w:rsidRDefault="005C34AD" w:rsidP="005C34AD">
            <w:pPr>
              <w:jc w:val="center"/>
              <w:rPr>
                <w:sz w:val="19"/>
                <w:szCs w:val="19"/>
              </w:rPr>
            </w:pPr>
            <w:r w:rsidRPr="00677CE8">
              <w:rPr>
                <w:sz w:val="19"/>
                <w:szCs w:val="19"/>
              </w:rPr>
              <w:t>83.6%</w:t>
            </w:r>
          </w:p>
        </w:tc>
        <w:tc>
          <w:tcPr>
            <w:tcW w:w="1007" w:type="dxa"/>
            <w:tcBorders>
              <w:top w:val="nil"/>
              <w:left w:val="nil"/>
              <w:bottom w:val="nil"/>
              <w:right w:val="single" w:sz="12" w:space="0" w:color="auto"/>
            </w:tcBorders>
          </w:tcPr>
          <w:p w14:paraId="3107C002" w14:textId="050F926B" w:rsidR="005C34AD" w:rsidRPr="00677CE8" w:rsidRDefault="005C34AD" w:rsidP="005C34AD">
            <w:pPr>
              <w:jc w:val="center"/>
              <w:rPr>
                <w:sz w:val="19"/>
                <w:szCs w:val="19"/>
              </w:rPr>
            </w:pPr>
            <w:r w:rsidRPr="00677CE8">
              <w:rPr>
                <w:sz w:val="19"/>
                <w:szCs w:val="19"/>
              </w:rPr>
              <w:t>--</w:t>
            </w:r>
          </w:p>
        </w:tc>
      </w:tr>
      <w:tr w:rsidR="005C34AD" w:rsidRPr="00677CE8" w14:paraId="64C5DEDF" w14:textId="77777777" w:rsidTr="00007FF5">
        <w:trPr>
          <w:trHeight w:val="275"/>
        </w:trPr>
        <w:tc>
          <w:tcPr>
            <w:tcW w:w="3490" w:type="dxa"/>
            <w:tcBorders>
              <w:top w:val="single" w:sz="12" w:space="0" w:color="auto"/>
              <w:left w:val="single" w:sz="12" w:space="0" w:color="auto"/>
              <w:bottom w:val="single" w:sz="12" w:space="0" w:color="auto"/>
              <w:right w:val="nil"/>
            </w:tcBorders>
          </w:tcPr>
          <w:p w14:paraId="7878195E" w14:textId="6D6A4708" w:rsidR="005C34AD" w:rsidRPr="00677CE8" w:rsidRDefault="005C34AD" w:rsidP="005C34AD">
            <w:pPr>
              <w:rPr>
                <w:color w:val="FFFFFF" w:themeColor="background1"/>
                <w:sz w:val="19"/>
                <w:szCs w:val="19"/>
              </w:rPr>
            </w:pPr>
            <w:r w:rsidRPr="00677CE8">
              <w:rPr>
                <w:color w:val="000000" w:themeColor="text1"/>
                <w:sz w:val="19"/>
                <w:szCs w:val="19"/>
              </w:rPr>
              <w:t>*No ACS data available</w:t>
            </w:r>
          </w:p>
        </w:tc>
        <w:tc>
          <w:tcPr>
            <w:tcW w:w="3297" w:type="dxa"/>
            <w:gridSpan w:val="3"/>
            <w:tcBorders>
              <w:top w:val="single" w:sz="12" w:space="0" w:color="auto"/>
              <w:left w:val="nil"/>
              <w:bottom w:val="single" w:sz="12" w:space="0" w:color="auto"/>
              <w:right w:val="single" w:sz="12" w:space="0" w:color="auto"/>
            </w:tcBorders>
          </w:tcPr>
          <w:p w14:paraId="2D30445C" w14:textId="3AA8CAC7" w:rsidR="005C34AD" w:rsidRPr="00677CE8" w:rsidRDefault="005C34AD" w:rsidP="005C34AD">
            <w:pPr>
              <w:jc w:val="center"/>
              <w:rPr>
                <w:color w:val="FFFFFF" w:themeColor="background1"/>
                <w:sz w:val="19"/>
                <w:szCs w:val="19"/>
              </w:rPr>
            </w:pPr>
          </w:p>
        </w:tc>
        <w:tc>
          <w:tcPr>
            <w:tcW w:w="3816" w:type="dxa"/>
            <w:tcBorders>
              <w:top w:val="nil"/>
              <w:left w:val="single" w:sz="12" w:space="0" w:color="auto"/>
              <w:bottom w:val="single" w:sz="12" w:space="0" w:color="auto"/>
              <w:right w:val="nil"/>
            </w:tcBorders>
          </w:tcPr>
          <w:p w14:paraId="2FBB5790" w14:textId="50439798" w:rsidR="005C34AD" w:rsidRPr="00677CE8" w:rsidRDefault="005C34AD" w:rsidP="005C34AD">
            <w:pPr>
              <w:rPr>
                <w:sz w:val="19"/>
                <w:szCs w:val="19"/>
              </w:rPr>
            </w:pPr>
            <w:r w:rsidRPr="00677CE8">
              <w:rPr>
                <w:sz w:val="19"/>
                <w:szCs w:val="19"/>
              </w:rPr>
              <w:t xml:space="preserve">    Non-Texan*</w:t>
            </w:r>
          </w:p>
        </w:tc>
        <w:tc>
          <w:tcPr>
            <w:tcW w:w="1351" w:type="dxa"/>
            <w:tcBorders>
              <w:top w:val="nil"/>
              <w:left w:val="nil"/>
              <w:bottom w:val="single" w:sz="12" w:space="0" w:color="auto"/>
              <w:right w:val="nil"/>
            </w:tcBorders>
          </w:tcPr>
          <w:p w14:paraId="411AF67F" w14:textId="6E15B20B" w:rsidR="005C34AD" w:rsidRPr="00677CE8" w:rsidRDefault="005C34AD" w:rsidP="005C34AD">
            <w:pPr>
              <w:jc w:val="center"/>
              <w:rPr>
                <w:sz w:val="19"/>
                <w:szCs w:val="19"/>
              </w:rPr>
            </w:pPr>
            <w:r w:rsidRPr="00677CE8">
              <w:rPr>
                <w:sz w:val="19"/>
                <w:szCs w:val="19"/>
              </w:rPr>
              <w:t>173</w:t>
            </w:r>
          </w:p>
        </w:tc>
        <w:tc>
          <w:tcPr>
            <w:tcW w:w="977" w:type="dxa"/>
            <w:tcBorders>
              <w:top w:val="nil"/>
              <w:left w:val="nil"/>
              <w:bottom w:val="single" w:sz="12" w:space="0" w:color="auto"/>
              <w:right w:val="nil"/>
            </w:tcBorders>
          </w:tcPr>
          <w:p w14:paraId="426F2F0B" w14:textId="3EB3AF03" w:rsidR="005C34AD" w:rsidRPr="00677CE8" w:rsidRDefault="005C34AD" w:rsidP="005C34AD">
            <w:pPr>
              <w:jc w:val="center"/>
              <w:rPr>
                <w:sz w:val="19"/>
                <w:szCs w:val="19"/>
              </w:rPr>
            </w:pPr>
            <w:r w:rsidRPr="00677CE8">
              <w:rPr>
                <w:sz w:val="19"/>
                <w:szCs w:val="19"/>
              </w:rPr>
              <w:t>16.4%</w:t>
            </w:r>
          </w:p>
        </w:tc>
        <w:tc>
          <w:tcPr>
            <w:tcW w:w="1007" w:type="dxa"/>
            <w:tcBorders>
              <w:top w:val="nil"/>
              <w:left w:val="nil"/>
              <w:bottom w:val="single" w:sz="12" w:space="0" w:color="auto"/>
              <w:right w:val="single" w:sz="12" w:space="0" w:color="auto"/>
            </w:tcBorders>
          </w:tcPr>
          <w:p w14:paraId="3E6C88B8" w14:textId="1D06268F" w:rsidR="005C34AD" w:rsidRPr="00677CE8" w:rsidRDefault="005C34AD" w:rsidP="005C34AD">
            <w:pPr>
              <w:jc w:val="center"/>
              <w:rPr>
                <w:sz w:val="19"/>
                <w:szCs w:val="19"/>
              </w:rPr>
            </w:pPr>
            <w:r w:rsidRPr="00677CE8">
              <w:rPr>
                <w:sz w:val="19"/>
                <w:szCs w:val="19"/>
              </w:rPr>
              <w:t>--</w:t>
            </w:r>
          </w:p>
        </w:tc>
      </w:tr>
    </w:tbl>
    <w:p w14:paraId="5DA3692D" w14:textId="77777777" w:rsidR="001D2F2B" w:rsidRPr="00677CE8" w:rsidRDefault="001D2F2B" w:rsidP="007B293E">
      <w:pPr>
        <w:spacing w:line="240" w:lineRule="auto"/>
        <w:ind w:right="-720"/>
        <w:sectPr w:rsidR="001D2F2B" w:rsidRPr="00677CE8" w:rsidSect="003F6A6B">
          <w:pgSz w:w="15840" w:h="12240" w:orient="landscape"/>
          <w:pgMar w:top="1440" w:right="1440" w:bottom="1440" w:left="1440" w:header="720" w:footer="720" w:gutter="0"/>
          <w:cols w:space="720"/>
          <w:docGrid w:linePitch="360"/>
        </w:sectPr>
      </w:pPr>
    </w:p>
    <w:p w14:paraId="65DDF95A" w14:textId="16F4F8B9" w:rsidR="001D2F2B" w:rsidRPr="00677CE8" w:rsidRDefault="001D2F2B" w:rsidP="00096BF5">
      <w:pPr>
        <w:pStyle w:val="Heading2"/>
        <w:spacing w:after="0" w:line="240" w:lineRule="auto"/>
        <w:jc w:val="both"/>
      </w:pPr>
      <w:r w:rsidRPr="00677CE8">
        <w:lastRenderedPageBreak/>
        <w:t xml:space="preserve">Table </w:t>
      </w:r>
      <w:r w:rsidR="0011393A" w:rsidRPr="00677CE8">
        <w:t>4</w:t>
      </w:r>
      <w:r w:rsidRPr="00677CE8">
        <w:t>: Distribution of Modal Alternatives Rankings</w:t>
      </w:r>
    </w:p>
    <w:tbl>
      <w:tblPr>
        <w:tblpPr w:leftFromText="180" w:rightFromText="180" w:vertAnchor="text" w:horzAnchor="margin" w:tblpY="152"/>
        <w:tblW w:w="93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2145"/>
        <w:gridCol w:w="1440"/>
        <w:gridCol w:w="1440"/>
        <w:gridCol w:w="1440"/>
        <w:gridCol w:w="1440"/>
        <w:gridCol w:w="1440"/>
      </w:tblGrid>
      <w:tr w:rsidR="001D2F2B" w:rsidRPr="00677CE8" w14:paraId="770AFC77" w14:textId="77777777" w:rsidTr="00E83B07">
        <w:trPr>
          <w:trHeight w:val="259"/>
        </w:trPr>
        <w:tc>
          <w:tcPr>
            <w:tcW w:w="2145" w:type="dxa"/>
            <w:tcBorders>
              <w:top w:val="single" w:sz="12" w:space="0" w:color="auto"/>
              <w:bottom w:val="nil"/>
              <w:right w:val="single" w:sz="12" w:space="0" w:color="auto"/>
            </w:tcBorders>
            <w:noWrap/>
            <w:vAlign w:val="bottom"/>
          </w:tcPr>
          <w:p w14:paraId="0FB3D3A1" w14:textId="77777777" w:rsidR="001D2F2B" w:rsidRPr="004A4A47" w:rsidRDefault="001D2F2B" w:rsidP="00096BF5">
            <w:pPr>
              <w:spacing w:after="0" w:line="240" w:lineRule="auto"/>
              <w:jc w:val="both"/>
              <w:rPr>
                <w:rFonts w:eastAsia="Times New Roman"/>
                <w:b/>
                <w:bCs/>
                <w:color w:val="000000"/>
                <w:kern w:val="0"/>
                <w:sz w:val="18"/>
                <w:szCs w:val="18"/>
                <w14:ligatures w14:val="none"/>
              </w:rPr>
            </w:pPr>
            <w:r w:rsidRPr="004A4A47">
              <w:rPr>
                <w:rFonts w:eastAsia="Times New Roman"/>
                <w:b/>
                <w:bCs/>
                <w:color w:val="000000"/>
                <w:kern w:val="0"/>
                <w:sz w:val="18"/>
                <w:szCs w:val="18"/>
                <w14:ligatures w14:val="none"/>
              </w:rPr>
              <w:t>Mode/Rank</w:t>
            </w:r>
          </w:p>
        </w:tc>
        <w:tc>
          <w:tcPr>
            <w:tcW w:w="1440" w:type="dxa"/>
            <w:tcBorders>
              <w:top w:val="single" w:sz="12" w:space="0" w:color="auto"/>
              <w:left w:val="single" w:sz="12" w:space="0" w:color="auto"/>
            </w:tcBorders>
            <w:noWrap/>
            <w:vAlign w:val="bottom"/>
          </w:tcPr>
          <w:p w14:paraId="00CA8A7A" w14:textId="77777777" w:rsidR="001D2F2B" w:rsidRPr="004A4A47" w:rsidRDefault="001D2F2B" w:rsidP="00096BF5">
            <w:pPr>
              <w:spacing w:after="0" w:line="240" w:lineRule="auto"/>
              <w:jc w:val="both"/>
              <w:rPr>
                <w:rFonts w:eastAsia="Times New Roman"/>
                <w:b/>
                <w:bCs/>
                <w:color w:val="000000"/>
                <w:kern w:val="0"/>
                <w:sz w:val="18"/>
                <w:szCs w:val="18"/>
                <w14:ligatures w14:val="none"/>
              </w:rPr>
            </w:pPr>
            <w:r w:rsidRPr="004A4A47">
              <w:rPr>
                <w:rFonts w:eastAsia="Times New Roman"/>
                <w:b/>
                <w:bCs/>
                <w:color w:val="000000"/>
                <w:kern w:val="0"/>
                <w:sz w:val="18"/>
                <w:szCs w:val="18"/>
                <w14:ligatures w14:val="none"/>
              </w:rPr>
              <w:t>First Rank</w:t>
            </w:r>
          </w:p>
        </w:tc>
        <w:tc>
          <w:tcPr>
            <w:tcW w:w="1440" w:type="dxa"/>
            <w:tcBorders>
              <w:top w:val="single" w:sz="12" w:space="0" w:color="auto"/>
            </w:tcBorders>
            <w:noWrap/>
            <w:vAlign w:val="bottom"/>
          </w:tcPr>
          <w:p w14:paraId="752F2CA1" w14:textId="77777777" w:rsidR="001D2F2B" w:rsidRPr="004A4A47" w:rsidRDefault="001D2F2B" w:rsidP="00096BF5">
            <w:pPr>
              <w:spacing w:after="0" w:line="240" w:lineRule="auto"/>
              <w:jc w:val="both"/>
              <w:rPr>
                <w:rFonts w:eastAsia="Times New Roman"/>
                <w:b/>
                <w:bCs/>
                <w:color w:val="000000"/>
                <w:kern w:val="0"/>
                <w:sz w:val="18"/>
                <w:szCs w:val="18"/>
                <w14:ligatures w14:val="none"/>
              </w:rPr>
            </w:pPr>
            <w:r w:rsidRPr="004A4A47">
              <w:rPr>
                <w:rFonts w:eastAsia="Times New Roman"/>
                <w:b/>
                <w:bCs/>
                <w:color w:val="000000"/>
                <w:kern w:val="0"/>
                <w:sz w:val="18"/>
                <w:szCs w:val="18"/>
                <w14:ligatures w14:val="none"/>
              </w:rPr>
              <w:t>Second Rank</w:t>
            </w:r>
          </w:p>
        </w:tc>
        <w:tc>
          <w:tcPr>
            <w:tcW w:w="1440" w:type="dxa"/>
            <w:tcBorders>
              <w:top w:val="single" w:sz="12" w:space="0" w:color="auto"/>
            </w:tcBorders>
            <w:noWrap/>
            <w:vAlign w:val="bottom"/>
          </w:tcPr>
          <w:p w14:paraId="2DD0132D" w14:textId="77777777" w:rsidR="001D2F2B" w:rsidRPr="004A4A47" w:rsidRDefault="001D2F2B" w:rsidP="00096BF5">
            <w:pPr>
              <w:spacing w:after="0" w:line="240" w:lineRule="auto"/>
              <w:jc w:val="both"/>
              <w:rPr>
                <w:rFonts w:eastAsia="Times New Roman"/>
                <w:b/>
                <w:bCs/>
                <w:color w:val="000000"/>
                <w:kern w:val="0"/>
                <w:sz w:val="18"/>
                <w:szCs w:val="18"/>
                <w14:ligatures w14:val="none"/>
              </w:rPr>
            </w:pPr>
            <w:r w:rsidRPr="004A4A47">
              <w:rPr>
                <w:rFonts w:eastAsia="Times New Roman"/>
                <w:b/>
                <w:bCs/>
                <w:color w:val="000000"/>
                <w:kern w:val="0"/>
                <w:sz w:val="18"/>
                <w:szCs w:val="18"/>
                <w14:ligatures w14:val="none"/>
              </w:rPr>
              <w:t>Third Rank</w:t>
            </w:r>
          </w:p>
        </w:tc>
        <w:tc>
          <w:tcPr>
            <w:tcW w:w="1440" w:type="dxa"/>
            <w:tcBorders>
              <w:top w:val="single" w:sz="12" w:space="0" w:color="auto"/>
            </w:tcBorders>
            <w:noWrap/>
            <w:vAlign w:val="bottom"/>
          </w:tcPr>
          <w:p w14:paraId="227C7FF0" w14:textId="77777777" w:rsidR="001D2F2B" w:rsidRPr="004A4A47" w:rsidRDefault="001D2F2B" w:rsidP="00096BF5">
            <w:pPr>
              <w:spacing w:after="0" w:line="240" w:lineRule="auto"/>
              <w:jc w:val="both"/>
              <w:rPr>
                <w:rFonts w:eastAsia="Times New Roman"/>
                <w:b/>
                <w:bCs/>
                <w:color w:val="000000"/>
                <w:kern w:val="0"/>
                <w:sz w:val="18"/>
                <w:szCs w:val="18"/>
                <w14:ligatures w14:val="none"/>
              </w:rPr>
            </w:pPr>
            <w:r w:rsidRPr="004A4A47">
              <w:rPr>
                <w:rFonts w:eastAsia="Times New Roman"/>
                <w:b/>
                <w:bCs/>
                <w:color w:val="000000"/>
                <w:kern w:val="0"/>
                <w:sz w:val="18"/>
                <w:szCs w:val="18"/>
                <w14:ligatures w14:val="none"/>
              </w:rPr>
              <w:t>Fourth Rank</w:t>
            </w:r>
          </w:p>
        </w:tc>
        <w:tc>
          <w:tcPr>
            <w:tcW w:w="1440" w:type="dxa"/>
            <w:tcBorders>
              <w:top w:val="single" w:sz="12" w:space="0" w:color="auto"/>
            </w:tcBorders>
            <w:noWrap/>
            <w:vAlign w:val="bottom"/>
          </w:tcPr>
          <w:p w14:paraId="1D44E4D2" w14:textId="77777777" w:rsidR="001D2F2B" w:rsidRPr="004A4A47" w:rsidRDefault="001D2F2B" w:rsidP="00096BF5">
            <w:pPr>
              <w:spacing w:after="0" w:line="240" w:lineRule="auto"/>
              <w:jc w:val="both"/>
              <w:rPr>
                <w:rFonts w:eastAsia="Times New Roman"/>
                <w:b/>
                <w:bCs/>
                <w:color w:val="000000"/>
                <w:kern w:val="0"/>
                <w:sz w:val="18"/>
                <w:szCs w:val="18"/>
                <w14:ligatures w14:val="none"/>
              </w:rPr>
            </w:pPr>
            <w:r w:rsidRPr="004A4A47">
              <w:rPr>
                <w:rFonts w:eastAsia="Times New Roman"/>
                <w:b/>
                <w:bCs/>
                <w:color w:val="000000"/>
                <w:kern w:val="0"/>
                <w:sz w:val="18"/>
                <w:szCs w:val="18"/>
                <w14:ligatures w14:val="none"/>
              </w:rPr>
              <w:t>Fifth Rank</w:t>
            </w:r>
          </w:p>
        </w:tc>
      </w:tr>
      <w:tr w:rsidR="001D2F2B" w:rsidRPr="00677CE8" w14:paraId="7980490C" w14:textId="77777777" w:rsidTr="00E83B07">
        <w:trPr>
          <w:trHeight w:val="259"/>
        </w:trPr>
        <w:tc>
          <w:tcPr>
            <w:tcW w:w="2145" w:type="dxa"/>
            <w:tcBorders>
              <w:top w:val="single" w:sz="12" w:space="0" w:color="auto"/>
              <w:bottom w:val="nil"/>
              <w:right w:val="single" w:sz="12" w:space="0" w:color="auto"/>
            </w:tcBorders>
            <w:noWrap/>
            <w:vAlign w:val="bottom"/>
            <w:hideMark/>
          </w:tcPr>
          <w:p w14:paraId="7B845990" w14:textId="77777777" w:rsidR="001D2F2B" w:rsidRPr="004A4A47" w:rsidRDefault="001D2F2B" w:rsidP="00096BF5">
            <w:pPr>
              <w:spacing w:after="0" w:line="240" w:lineRule="auto"/>
              <w:jc w:val="both"/>
              <w:rPr>
                <w:rFonts w:eastAsia="Times New Roman"/>
                <w:b/>
                <w:bCs/>
                <w:color w:val="000000"/>
                <w:kern w:val="0"/>
                <w:sz w:val="18"/>
                <w:szCs w:val="18"/>
                <w14:ligatures w14:val="none"/>
              </w:rPr>
            </w:pPr>
            <w:r w:rsidRPr="004A4A47">
              <w:rPr>
                <w:rFonts w:eastAsia="Times New Roman"/>
                <w:b/>
                <w:bCs/>
                <w:color w:val="000000"/>
                <w:kern w:val="0"/>
                <w:sz w:val="18"/>
                <w:szCs w:val="18"/>
                <w14:ligatures w14:val="none"/>
              </w:rPr>
              <w:t>Air Taxi</w:t>
            </w:r>
          </w:p>
        </w:tc>
        <w:tc>
          <w:tcPr>
            <w:tcW w:w="1440" w:type="dxa"/>
            <w:tcBorders>
              <w:top w:val="single" w:sz="12" w:space="0" w:color="auto"/>
              <w:left w:val="single" w:sz="12" w:space="0" w:color="auto"/>
            </w:tcBorders>
            <w:noWrap/>
            <w:vAlign w:val="bottom"/>
            <w:hideMark/>
          </w:tcPr>
          <w:p w14:paraId="1F6CDEBA" w14:textId="77777777" w:rsidR="001D2F2B" w:rsidRPr="004A4A47" w:rsidRDefault="001D2F2B" w:rsidP="00096BF5">
            <w:pPr>
              <w:spacing w:after="0" w:line="240" w:lineRule="auto"/>
              <w:jc w:val="both"/>
              <w:rPr>
                <w:rFonts w:eastAsia="Times New Roman"/>
                <w:color w:val="000000"/>
                <w:kern w:val="0"/>
                <w:sz w:val="18"/>
                <w:szCs w:val="18"/>
                <w14:ligatures w14:val="none"/>
              </w:rPr>
            </w:pPr>
            <w:r w:rsidRPr="004A4A47">
              <w:rPr>
                <w:rFonts w:eastAsia="Times New Roman"/>
                <w:color w:val="FFFFFF" w:themeColor="background1"/>
                <w:kern w:val="0"/>
                <w:sz w:val="18"/>
                <w:szCs w:val="18"/>
                <w14:ligatures w14:val="none"/>
              </w:rPr>
              <w:t>0</w:t>
            </w:r>
            <w:r w:rsidRPr="004A4A47">
              <w:rPr>
                <w:rFonts w:eastAsia="Times New Roman"/>
                <w:color w:val="000000"/>
                <w:kern w:val="0"/>
                <w:sz w:val="18"/>
                <w:szCs w:val="18"/>
                <w14:ligatures w14:val="none"/>
              </w:rPr>
              <w:t>469 (22.2%)</w:t>
            </w:r>
          </w:p>
        </w:tc>
        <w:tc>
          <w:tcPr>
            <w:tcW w:w="1440" w:type="dxa"/>
            <w:tcBorders>
              <w:top w:val="single" w:sz="12" w:space="0" w:color="auto"/>
            </w:tcBorders>
            <w:noWrap/>
            <w:vAlign w:val="bottom"/>
            <w:hideMark/>
          </w:tcPr>
          <w:p w14:paraId="2EA95153" w14:textId="77777777" w:rsidR="001D2F2B" w:rsidRPr="004A4A47" w:rsidRDefault="001D2F2B" w:rsidP="00096BF5">
            <w:pPr>
              <w:spacing w:after="0" w:line="240" w:lineRule="auto"/>
              <w:jc w:val="both"/>
              <w:rPr>
                <w:rFonts w:eastAsia="Times New Roman"/>
                <w:color w:val="000000"/>
                <w:kern w:val="0"/>
                <w:sz w:val="18"/>
                <w:szCs w:val="18"/>
                <w14:ligatures w14:val="none"/>
              </w:rPr>
            </w:pPr>
            <w:r w:rsidRPr="004A4A47">
              <w:rPr>
                <w:rFonts w:eastAsia="Times New Roman"/>
                <w:color w:val="000000"/>
                <w:kern w:val="0"/>
                <w:sz w:val="18"/>
                <w:szCs w:val="18"/>
                <w14:ligatures w14:val="none"/>
              </w:rPr>
              <w:t>427 (20.2%)</w:t>
            </w:r>
          </w:p>
        </w:tc>
        <w:tc>
          <w:tcPr>
            <w:tcW w:w="1440" w:type="dxa"/>
            <w:tcBorders>
              <w:top w:val="single" w:sz="12" w:space="0" w:color="auto"/>
            </w:tcBorders>
            <w:noWrap/>
            <w:vAlign w:val="bottom"/>
            <w:hideMark/>
          </w:tcPr>
          <w:p w14:paraId="30A1A922" w14:textId="77777777" w:rsidR="001D2F2B" w:rsidRPr="004A4A47" w:rsidRDefault="001D2F2B" w:rsidP="00096BF5">
            <w:pPr>
              <w:spacing w:after="0" w:line="240" w:lineRule="auto"/>
              <w:jc w:val="both"/>
              <w:rPr>
                <w:rFonts w:eastAsia="Times New Roman"/>
                <w:color w:val="000000"/>
                <w:kern w:val="0"/>
                <w:sz w:val="18"/>
                <w:szCs w:val="18"/>
                <w14:ligatures w14:val="none"/>
              </w:rPr>
            </w:pPr>
            <w:r w:rsidRPr="004A4A47">
              <w:rPr>
                <w:rFonts w:eastAsia="Times New Roman"/>
                <w:color w:val="000000"/>
                <w:kern w:val="0"/>
                <w:sz w:val="18"/>
                <w:szCs w:val="18"/>
                <w14:ligatures w14:val="none"/>
              </w:rPr>
              <w:t>326 (15.4%)</w:t>
            </w:r>
          </w:p>
        </w:tc>
        <w:tc>
          <w:tcPr>
            <w:tcW w:w="1440" w:type="dxa"/>
            <w:tcBorders>
              <w:top w:val="single" w:sz="12" w:space="0" w:color="auto"/>
            </w:tcBorders>
            <w:noWrap/>
            <w:vAlign w:val="bottom"/>
            <w:hideMark/>
          </w:tcPr>
          <w:p w14:paraId="44E237DF" w14:textId="77777777" w:rsidR="001D2F2B" w:rsidRPr="004A4A47" w:rsidRDefault="001D2F2B" w:rsidP="00096BF5">
            <w:pPr>
              <w:spacing w:after="0" w:line="240" w:lineRule="auto"/>
              <w:jc w:val="both"/>
              <w:rPr>
                <w:rFonts w:eastAsia="Times New Roman"/>
                <w:color w:val="000000"/>
                <w:kern w:val="0"/>
                <w:sz w:val="18"/>
                <w:szCs w:val="18"/>
                <w14:ligatures w14:val="none"/>
              </w:rPr>
            </w:pPr>
            <w:r w:rsidRPr="004A4A47">
              <w:rPr>
                <w:rFonts w:eastAsia="Times New Roman"/>
                <w:color w:val="000000"/>
                <w:kern w:val="0"/>
                <w:sz w:val="18"/>
                <w:szCs w:val="18"/>
                <w14:ligatures w14:val="none"/>
              </w:rPr>
              <w:t>442 (20.9%)</w:t>
            </w:r>
          </w:p>
        </w:tc>
        <w:tc>
          <w:tcPr>
            <w:tcW w:w="1440" w:type="dxa"/>
            <w:tcBorders>
              <w:top w:val="single" w:sz="12" w:space="0" w:color="auto"/>
            </w:tcBorders>
            <w:noWrap/>
            <w:vAlign w:val="bottom"/>
            <w:hideMark/>
          </w:tcPr>
          <w:p w14:paraId="35863A88" w14:textId="77777777" w:rsidR="001D2F2B" w:rsidRPr="004A4A47" w:rsidRDefault="001D2F2B" w:rsidP="00096BF5">
            <w:pPr>
              <w:spacing w:after="0" w:line="240" w:lineRule="auto"/>
              <w:jc w:val="both"/>
              <w:rPr>
                <w:rFonts w:eastAsia="Times New Roman"/>
                <w:color w:val="000000"/>
                <w:kern w:val="0"/>
                <w:sz w:val="18"/>
                <w:szCs w:val="18"/>
                <w14:ligatures w14:val="none"/>
              </w:rPr>
            </w:pPr>
            <w:r w:rsidRPr="004A4A47">
              <w:rPr>
                <w:rFonts w:eastAsia="Times New Roman"/>
                <w:color w:val="000000"/>
                <w:kern w:val="0"/>
                <w:sz w:val="18"/>
                <w:szCs w:val="18"/>
                <w14:ligatures w14:val="none"/>
              </w:rPr>
              <w:t>450 (21.3%)</w:t>
            </w:r>
          </w:p>
        </w:tc>
      </w:tr>
      <w:tr w:rsidR="001D2F2B" w:rsidRPr="00677CE8" w14:paraId="452BA6B1" w14:textId="77777777" w:rsidTr="00E83B07">
        <w:trPr>
          <w:trHeight w:val="259"/>
        </w:trPr>
        <w:tc>
          <w:tcPr>
            <w:tcW w:w="2145" w:type="dxa"/>
            <w:tcBorders>
              <w:top w:val="nil"/>
              <w:bottom w:val="nil"/>
              <w:right w:val="single" w:sz="12" w:space="0" w:color="auto"/>
            </w:tcBorders>
            <w:noWrap/>
            <w:vAlign w:val="bottom"/>
            <w:hideMark/>
          </w:tcPr>
          <w:p w14:paraId="497F42CD" w14:textId="77777777" w:rsidR="001D2F2B" w:rsidRPr="004A4A47" w:rsidRDefault="001D2F2B" w:rsidP="00096BF5">
            <w:pPr>
              <w:spacing w:after="0" w:line="240" w:lineRule="auto"/>
              <w:jc w:val="both"/>
              <w:rPr>
                <w:rFonts w:eastAsia="Times New Roman"/>
                <w:b/>
                <w:bCs/>
                <w:color w:val="000000"/>
                <w:kern w:val="0"/>
                <w:sz w:val="18"/>
                <w:szCs w:val="18"/>
                <w14:ligatures w14:val="none"/>
              </w:rPr>
            </w:pPr>
            <w:r w:rsidRPr="004A4A47">
              <w:rPr>
                <w:rFonts w:eastAsia="Times New Roman"/>
                <w:b/>
                <w:bCs/>
                <w:color w:val="000000"/>
                <w:kern w:val="0"/>
                <w:sz w:val="18"/>
                <w:szCs w:val="18"/>
                <w14:ligatures w14:val="none"/>
              </w:rPr>
              <w:t xml:space="preserve">Air Metro </w:t>
            </w:r>
          </w:p>
        </w:tc>
        <w:tc>
          <w:tcPr>
            <w:tcW w:w="1440" w:type="dxa"/>
            <w:tcBorders>
              <w:left w:val="single" w:sz="12" w:space="0" w:color="auto"/>
            </w:tcBorders>
            <w:noWrap/>
            <w:vAlign w:val="bottom"/>
            <w:hideMark/>
          </w:tcPr>
          <w:p w14:paraId="32328C9D" w14:textId="77777777" w:rsidR="001D2F2B" w:rsidRPr="004A4A47" w:rsidRDefault="001D2F2B" w:rsidP="00096BF5">
            <w:pPr>
              <w:spacing w:after="0" w:line="240" w:lineRule="auto"/>
              <w:jc w:val="both"/>
              <w:rPr>
                <w:rFonts w:eastAsia="Times New Roman"/>
                <w:color w:val="000000"/>
                <w:kern w:val="0"/>
                <w:sz w:val="18"/>
                <w:szCs w:val="18"/>
                <w14:ligatures w14:val="none"/>
              </w:rPr>
            </w:pPr>
            <w:r w:rsidRPr="004A4A47">
              <w:rPr>
                <w:rFonts w:eastAsia="Times New Roman"/>
                <w:color w:val="FFFFFF" w:themeColor="background1"/>
                <w:kern w:val="0"/>
                <w:sz w:val="18"/>
                <w:szCs w:val="18"/>
                <w14:ligatures w14:val="none"/>
              </w:rPr>
              <w:t>0</w:t>
            </w:r>
            <w:r w:rsidRPr="004A4A47">
              <w:rPr>
                <w:rFonts w:eastAsia="Times New Roman"/>
                <w:color w:val="000000"/>
                <w:kern w:val="0"/>
                <w:sz w:val="18"/>
                <w:szCs w:val="18"/>
                <w14:ligatures w14:val="none"/>
              </w:rPr>
              <w:t>263 (12.4%)</w:t>
            </w:r>
          </w:p>
        </w:tc>
        <w:tc>
          <w:tcPr>
            <w:tcW w:w="1440" w:type="dxa"/>
            <w:noWrap/>
            <w:vAlign w:val="bottom"/>
            <w:hideMark/>
          </w:tcPr>
          <w:p w14:paraId="58492A37" w14:textId="77777777" w:rsidR="001D2F2B" w:rsidRPr="004A4A47" w:rsidRDefault="001D2F2B" w:rsidP="00096BF5">
            <w:pPr>
              <w:spacing w:after="0" w:line="240" w:lineRule="auto"/>
              <w:jc w:val="both"/>
              <w:rPr>
                <w:rFonts w:eastAsia="Times New Roman"/>
                <w:color w:val="000000"/>
                <w:kern w:val="0"/>
                <w:sz w:val="18"/>
                <w:szCs w:val="18"/>
                <w14:ligatures w14:val="none"/>
              </w:rPr>
            </w:pPr>
            <w:r w:rsidRPr="004A4A47">
              <w:rPr>
                <w:rFonts w:eastAsia="Times New Roman"/>
                <w:color w:val="000000"/>
                <w:kern w:val="0"/>
                <w:sz w:val="18"/>
                <w:szCs w:val="18"/>
                <w14:ligatures w14:val="none"/>
              </w:rPr>
              <w:t>530 (25.1%)</w:t>
            </w:r>
          </w:p>
        </w:tc>
        <w:tc>
          <w:tcPr>
            <w:tcW w:w="1440" w:type="dxa"/>
            <w:noWrap/>
            <w:vAlign w:val="bottom"/>
            <w:hideMark/>
          </w:tcPr>
          <w:p w14:paraId="09E56F41" w14:textId="77777777" w:rsidR="001D2F2B" w:rsidRPr="004A4A47" w:rsidRDefault="001D2F2B" w:rsidP="00096BF5">
            <w:pPr>
              <w:spacing w:after="0" w:line="240" w:lineRule="auto"/>
              <w:jc w:val="both"/>
              <w:rPr>
                <w:rFonts w:eastAsia="Times New Roman"/>
                <w:color w:val="000000"/>
                <w:kern w:val="0"/>
                <w:sz w:val="18"/>
                <w:szCs w:val="18"/>
                <w14:ligatures w14:val="none"/>
              </w:rPr>
            </w:pPr>
            <w:r w:rsidRPr="004A4A47">
              <w:rPr>
                <w:rFonts w:eastAsia="Times New Roman"/>
                <w:color w:val="000000"/>
                <w:kern w:val="0"/>
                <w:sz w:val="18"/>
                <w:szCs w:val="18"/>
                <w14:ligatures w14:val="none"/>
              </w:rPr>
              <w:t>514 (24.3%)</w:t>
            </w:r>
          </w:p>
        </w:tc>
        <w:tc>
          <w:tcPr>
            <w:tcW w:w="1440" w:type="dxa"/>
            <w:noWrap/>
            <w:vAlign w:val="bottom"/>
            <w:hideMark/>
          </w:tcPr>
          <w:p w14:paraId="41E9B9F9" w14:textId="77777777" w:rsidR="001D2F2B" w:rsidRPr="004A4A47" w:rsidRDefault="001D2F2B" w:rsidP="00096BF5">
            <w:pPr>
              <w:spacing w:after="0" w:line="240" w:lineRule="auto"/>
              <w:jc w:val="both"/>
              <w:rPr>
                <w:rFonts w:eastAsia="Times New Roman"/>
                <w:color w:val="000000"/>
                <w:kern w:val="0"/>
                <w:sz w:val="18"/>
                <w:szCs w:val="18"/>
                <w14:ligatures w14:val="none"/>
              </w:rPr>
            </w:pPr>
            <w:r w:rsidRPr="004A4A47">
              <w:rPr>
                <w:rFonts w:eastAsia="Times New Roman"/>
                <w:color w:val="000000"/>
                <w:kern w:val="0"/>
                <w:sz w:val="18"/>
                <w:szCs w:val="18"/>
                <w14:ligatures w14:val="none"/>
              </w:rPr>
              <w:t>520 (24.6%)</w:t>
            </w:r>
          </w:p>
        </w:tc>
        <w:tc>
          <w:tcPr>
            <w:tcW w:w="1440" w:type="dxa"/>
            <w:noWrap/>
            <w:vAlign w:val="bottom"/>
            <w:hideMark/>
          </w:tcPr>
          <w:p w14:paraId="3E90697D" w14:textId="77777777" w:rsidR="001D2F2B" w:rsidRPr="004A4A47" w:rsidRDefault="001D2F2B" w:rsidP="00096BF5">
            <w:pPr>
              <w:spacing w:after="0" w:line="240" w:lineRule="auto"/>
              <w:jc w:val="both"/>
              <w:rPr>
                <w:rFonts w:eastAsia="Times New Roman"/>
                <w:color w:val="000000"/>
                <w:kern w:val="0"/>
                <w:sz w:val="18"/>
                <w:szCs w:val="18"/>
                <w14:ligatures w14:val="none"/>
              </w:rPr>
            </w:pPr>
            <w:r w:rsidRPr="004A4A47">
              <w:rPr>
                <w:rFonts w:eastAsia="Times New Roman"/>
                <w:color w:val="000000"/>
                <w:kern w:val="0"/>
                <w:sz w:val="18"/>
                <w:szCs w:val="18"/>
                <w14:ligatures w14:val="none"/>
              </w:rPr>
              <w:t>287 (13.6%)</w:t>
            </w:r>
          </w:p>
        </w:tc>
      </w:tr>
      <w:tr w:rsidR="001D2F2B" w:rsidRPr="00677CE8" w14:paraId="3A91BB82" w14:textId="77777777" w:rsidTr="00E83B07">
        <w:trPr>
          <w:trHeight w:val="259"/>
        </w:trPr>
        <w:tc>
          <w:tcPr>
            <w:tcW w:w="2145" w:type="dxa"/>
            <w:tcBorders>
              <w:top w:val="nil"/>
              <w:bottom w:val="nil"/>
              <w:right w:val="single" w:sz="12" w:space="0" w:color="auto"/>
            </w:tcBorders>
            <w:noWrap/>
            <w:vAlign w:val="bottom"/>
            <w:hideMark/>
          </w:tcPr>
          <w:p w14:paraId="36A6BCAD" w14:textId="77777777" w:rsidR="001D2F2B" w:rsidRPr="004A4A47" w:rsidRDefault="001D2F2B" w:rsidP="00096BF5">
            <w:pPr>
              <w:spacing w:after="0" w:line="240" w:lineRule="auto"/>
              <w:jc w:val="both"/>
              <w:rPr>
                <w:rFonts w:eastAsia="Times New Roman"/>
                <w:b/>
                <w:bCs/>
                <w:color w:val="000000"/>
                <w:kern w:val="0"/>
                <w:sz w:val="18"/>
                <w:szCs w:val="18"/>
                <w14:ligatures w14:val="none"/>
              </w:rPr>
            </w:pPr>
            <w:proofErr w:type="spellStart"/>
            <w:r w:rsidRPr="004A4A47">
              <w:rPr>
                <w:rFonts w:eastAsia="Times New Roman"/>
                <w:b/>
                <w:bCs/>
                <w:color w:val="000000"/>
                <w:kern w:val="0"/>
                <w:sz w:val="18"/>
                <w:szCs w:val="18"/>
                <w14:ligatures w14:val="none"/>
              </w:rPr>
              <w:t>Ridehailing</w:t>
            </w:r>
            <w:proofErr w:type="spellEnd"/>
          </w:p>
        </w:tc>
        <w:tc>
          <w:tcPr>
            <w:tcW w:w="1440" w:type="dxa"/>
            <w:tcBorders>
              <w:left w:val="single" w:sz="12" w:space="0" w:color="auto"/>
            </w:tcBorders>
            <w:noWrap/>
            <w:vAlign w:val="bottom"/>
            <w:hideMark/>
          </w:tcPr>
          <w:p w14:paraId="35A113A9" w14:textId="77777777" w:rsidR="001D2F2B" w:rsidRPr="004A4A47" w:rsidRDefault="001D2F2B" w:rsidP="00096BF5">
            <w:pPr>
              <w:spacing w:after="0" w:line="240" w:lineRule="auto"/>
              <w:jc w:val="both"/>
              <w:rPr>
                <w:rFonts w:eastAsia="Times New Roman"/>
                <w:color w:val="000000"/>
                <w:kern w:val="0"/>
                <w:sz w:val="18"/>
                <w:szCs w:val="18"/>
                <w14:ligatures w14:val="none"/>
              </w:rPr>
            </w:pPr>
            <w:r w:rsidRPr="004A4A47">
              <w:rPr>
                <w:rFonts w:eastAsia="Times New Roman"/>
                <w:color w:val="FFFFFF" w:themeColor="background1"/>
                <w:kern w:val="0"/>
                <w:sz w:val="18"/>
                <w:szCs w:val="18"/>
                <w14:ligatures w14:val="none"/>
              </w:rPr>
              <w:t>00</w:t>
            </w:r>
            <w:r w:rsidRPr="004A4A47">
              <w:rPr>
                <w:rFonts w:eastAsia="Times New Roman"/>
                <w:color w:val="000000"/>
                <w:kern w:val="0"/>
                <w:sz w:val="18"/>
                <w:szCs w:val="18"/>
                <w14:ligatures w14:val="none"/>
              </w:rPr>
              <w:t>84</w:t>
            </w:r>
            <w:proofErr w:type="gramStart"/>
            <w:r w:rsidRPr="004A4A47">
              <w:rPr>
                <w:rFonts w:eastAsia="Times New Roman"/>
                <w:color w:val="000000"/>
                <w:kern w:val="0"/>
                <w:sz w:val="18"/>
                <w:szCs w:val="18"/>
                <w14:ligatures w14:val="none"/>
              </w:rPr>
              <w:t xml:space="preserve">   (</w:t>
            </w:r>
            <w:proofErr w:type="gramEnd"/>
            <w:r w:rsidRPr="004A4A47">
              <w:rPr>
                <w:rFonts w:eastAsia="Times New Roman"/>
                <w:color w:val="000000"/>
                <w:kern w:val="0"/>
                <w:sz w:val="18"/>
                <w:szCs w:val="18"/>
                <w14:ligatures w14:val="none"/>
              </w:rPr>
              <w:t>4.0%)</w:t>
            </w:r>
          </w:p>
        </w:tc>
        <w:tc>
          <w:tcPr>
            <w:tcW w:w="1440" w:type="dxa"/>
            <w:noWrap/>
            <w:vAlign w:val="bottom"/>
            <w:hideMark/>
          </w:tcPr>
          <w:p w14:paraId="7F7C19ED" w14:textId="02353F04" w:rsidR="001D2F2B" w:rsidRPr="004A4A47" w:rsidRDefault="001D2F2B" w:rsidP="00096BF5">
            <w:pPr>
              <w:spacing w:after="0" w:line="240" w:lineRule="auto"/>
              <w:jc w:val="both"/>
              <w:rPr>
                <w:rFonts w:eastAsia="Times New Roman"/>
                <w:color w:val="000000"/>
                <w:kern w:val="0"/>
                <w:sz w:val="18"/>
                <w:szCs w:val="18"/>
                <w14:ligatures w14:val="none"/>
              </w:rPr>
            </w:pPr>
            <w:r w:rsidRPr="004A4A47">
              <w:rPr>
                <w:rFonts w:eastAsia="Times New Roman"/>
                <w:color w:val="000000"/>
                <w:kern w:val="0"/>
                <w:sz w:val="18"/>
                <w:szCs w:val="18"/>
                <w14:ligatures w14:val="none"/>
              </w:rPr>
              <w:t>451 (2</w:t>
            </w:r>
            <w:r w:rsidR="004A4A47" w:rsidRPr="004A4A47">
              <w:rPr>
                <w:rFonts w:eastAsia="Times New Roman"/>
                <w:color w:val="000000"/>
                <w:kern w:val="0"/>
                <w:sz w:val="18"/>
                <w:szCs w:val="18"/>
                <w14:ligatures w14:val="none"/>
              </w:rPr>
              <w:t>1</w:t>
            </w:r>
            <w:r w:rsidRPr="004A4A47">
              <w:rPr>
                <w:rFonts w:eastAsia="Times New Roman"/>
                <w:color w:val="000000"/>
                <w:kern w:val="0"/>
                <w:sz w:val="18"/>
                <w:szCs w:val="18"/>
                <w14:ligatures w14:val="none"/>
              </w:rPr>
              <w:t>.</w:t>
            </w:r>
            <w:r w:rsidR="004A4A47" w:rsidRPr="004A4A47">
              <w:rPr>
                <w:rFonts w:eastAsia="Times New Roman"/>
                <w:color w:val="000000"/>
                <w:kern w:val="0"/>
                <w:sz w:val="18"/>
                <w:szCs w:val="18"/>
                <w14:ligatures w14:val="none"/>
              </w:rPr>
              <w:t>3</w:t>
            </w:r>
            <w:r w:rsidRPr="004A4A47">
              <w:rPr>
                <w:rFonts w:eastAsia="Times New Roman"/>
                <w:color w:val="000000"/>
                <w:kern w:val="0"/>
                <w:sz w:val="18"/>
                <w:szCs w:val="18"/>
                <w14:ligatures w14:val="none"/>
              </w:rPr>
              <w:t>%)</w:t>
            </w:r>
          </w:p>
        </w:tc>
        <w:tc>
          <w:tcPr>
            <w:tcW w:w="1440" w:type="dxa"/>
            <w:noWrap/>
            <w:vAlign w:val="bottom"/>
            <w:hideMark/>
          </w:tcPr>
          <w:p w14:paraId="56FB89A4" w14:textId="77777777" w:rsidR="001D2F2B" w:rsidRPr="004A4A47" w:rsidRDefault="001D2F2B" w:rsidP="00096BF5">
            <w:pPr>
              <w:spacing w:after="0" w:line="240" w:lineRule="auto"/>
              <w:jc w:val="both"/>
              <w:rPr>
                <w:rFonts w:eastAsia="Times New Roman"/>
                <w:color w:val="000000"/>
                <w:kern w:val="0"/>
                <w:sz w:val="18"/>
                <w:szCs w:val="18"/>
                <w14:ligatures w14:val="none"/>
              </w:rPr>
            </w:pPr>
            <w:r w:rsidRPr="004A4A47">
              <w:rPr>
                <w:rFonts w:eastAsia="Times New Roman"/>
                <w:color w:val="000000"/>
                <w:kern w:val="0"/>
                <w:sz w:val="18"/>
                <w:szCs w:val="18"/>
                <w14:ligatures w14:val="none"/>
              </w:rPr>
              <w:t>581 (27.5%)</w:t>
            </w:r>
          </w:p>
        </w:tc>
        <w:tc>
          <w:tcPr>
            <w:tcW w:w="1440" w:type="dxa"/>
            <w:noWrap/>
            <w:vAlign w:val="bottom"/>
            <w:hideMark/>
          </w:tcPr>
          <w:p w14:paraId="0ADC2BD4" w14:textId="77777777" w:rsidR="001D2F2B" w:rsidRPr="004A4A47" w:rsidRDefault="001D2F2B" w:rsidP="00096BF5">
            <w:pPr>
              <w:spacing w:after="0" w:line="240" w:lineRule="auto"/>
              <w:jc w:val="both"/>
              <w:rPr>
                <w:rFonts w:eastAsia="Times New Roman"/>
                <w:color w:val="000000"/>
                <w:kern w:val="0"/>
                <w:sz w:val="18"/>
                <w:szCs w:val="18"/>
                <w14:ligatures w14:val="none"/>
              </w:rPr>
            </w:pPr>
            <w:r w:rsidRPr="004A4A47">
              <w:rPr>
                <w:rFonts w:eastAsia="Times New Roman"/>
                <w:color w:val="000000"/>
                <w:kern w:val="0"/>
                <w:sz w:val="18"/>
                <w:szCs w:val="18"/>
                <w14:ligatures w14:val="none"/>
              </w:rPr>
              <w:t>642 (30.4%)</w:t>
            </w:r>
          </w:p>
        </w:tc>
        <w:tc>
          <w:tcPr>
            <w:tcW w:w="1440" w:type="dxa"/>
            <w:noWrap/>
            <w:vAlign w:val="bottom"/>
            <w:hideMark/>
          </w:tcPr>
          <w:p w14:paraId="3B8A0FED" w14:textId="77777777" w:rsidR="001D2F2B" w:rsidRPr="004A4A47" w:rsidRDefault="001D2F2B" w:rsidP="00096BF5">
            <w:pPr>
              <w:spacing w:after="0" w:line="240" w:lineRule="auto"/>
              <w:jc w:val="both"/>
              <w:rPr>
                <w:rFonts w:eastAsia="Times New Roman"/>
                <w:color w:val="000000"/>
                <w:kern w:val="0"/>
                <w:sz w:val="18"/>
                <w:szCs w:val="18"/>
                <w14:ligatures w14:val="none"/>
              </w:rPr>
            </w:pPr>
            <w:r w:rsidRPr="004A4A47">
              <w:rPr>
                <w:rFonts w:eastAsia="Times New Roman"/>
                <w:color w:val="000000"/>
                <w:kern w:val="0"/>
                <w:sz w:val="18"/>
                <w:szCs w:val="18"/>
                <w14:ligatures w14:val="none"/>
              </w:rPr>
              <w:t>356 (16.8%)</w:t>
            </w:r>
          </w:p>
        </w:tc>
      </w:tr>
      <w:tr w:rsidR="001D2F2B" w:rsidRPr="00677CE8" w14:paraId="33DD3116" w14:textId="77777777" w:rsidTr="00E83B07">
        <w:trPr>
          <w:trHeight w:val="259"/>
        </w:trPr>
        <w:tc>
          <w:tcPr>
            <w:tcW w:w="2145" w:type="dxa"/>
            <w:tcBorders>
              <w:top w:val="nil"/>
              <w:bottom w:val="nil"/>
              <w:right w:val="single" w:sz="12" w:space="0" w:color="auto"/>
            </w:tcBorders>
            <w:noWrap/>
            <w:vAlign w:val="bottom"/>
            <w:hideMark/>
          </w:tcPr>
          <w:p w14:paraId="03D33DDA" w14:textId="77777777" w:rsidR="001D2F2B" w:rsidRPr="004A4A47" w:rsidRDefault="001D2F2B" w:rsidP="00096BF5">
            <w:pPr>
              <w:spacing w:after="0" w:line="240" w:lineRule="auto"/>
              <w:jc w:val="both"/>
              <w:rPr>
                <w:rFonts w:eastAsia="Times New Roman"/>
                <w:b/>
                <w:bCs/>
                <w:color w:val="000000"/>
                <w:kern w:val="0"/>
                <w:sz w:val="18"/>
                <w:szCs w:val="18"/>
                <w14:ligatures w14:val="none"/>
              </w:rPr>
            </w:pPr>
            <w:r w:rsidRPr="004A4A47">
              <w:rPr>
                <w:rFonts w:eastAsia="Times New Roman"/>
                <w:b/>
                <w:bCs/>
                <w:color w:val="000000"/>
                <w:kern w:val="0"/>
                <w:sz w:val="18"/>
                <w:szCs w:val="18"/>
                <w14:ligatures w14:val="none"/>
              </w:rPr>
              <w:t>Public Transportation</w:t>
            </w:r>
          </w:p>
        </w:tc>
        <w:tc>
          <w:tcPr>
            <w:tcW w:w="1440" w:type="dxa"/>
            <w:tcBorders>
              <w:left w:val="single" w:sz="12" w:space="0" w:color="auto"/>
            </w:tcBorders>
            <w:noWrap/>
            <w:vAlign w:val="bottom"/>
            <w:hideMark/>
          </w:tcPr>
          <w:p w14:paraId="59F87C95" w14:textId="77777777" w:rsidR="001D2F2B" w:rsidRPr="004A4A47" w:rsidRDefault="001D2F2B" w:rsidP="00096BF5">
            <w:pPr>
              <w:spacing w:after="0" w:line="240" w:lineRule="auto"/>
              <w:jc w:val="both"/>
              <w:rPr>
                <w:rFonts w:eastAsia="Times New Roman"/>
                <w:color w:val="000000"/>
                <w:kern w:val="0"/>
                <w:sz w:val="18"/>
                <w:szCs w:val="18"/>
                <w14:ligatures w14:val="none"/>
              </w:rPr>
            </w:pPr>
            <w:r w:rsidRPr="004A4A47">
              <w:rPr>
                <w:rFonts w:eastAsia="Times New Roman"/>
                <w:color w:val="FFFFFF" w:themeColor="background1"/>
                <w:kern w:val="0"/>
                <w:sz w:val="18"/>
                <w:szCs w:val="18"/>
                <w14:ligatures w14:val="none"/>
              </w:rPr>
              <w:t>0</w:t>
            </w:r>
            <w:r w:rsidRPr="004A4A47">
              <w:rPr>
                <w:rFonts w:eastAsia="Times New Roman"/>
                <w:color w:val="000000"/>
                <w:kern w:val="0"/>
                <w:sz w:val="18"/>
                <w:szCs w:val="18"/>
                <w14:ligatures w14:val="none"/>
              </w:rPr>
              <w:t>215 (10.2%)</w:t>
            </w:r>
          </w:p>
        </w:tc>
        <w:tc>
          <w:tcPr>
            <w:tcW w:w="1440" w:type="dxa"/>
            <w:noWrap/>
            <w:vAlign w:val="bottom"/>
            <w:hideMark/>
          </w:tcPr>
          <w:p w14:paraId="2CD0364C" w14:textId="77777777" w:rsidR="001D2F2B" w:rsidRPr="004A4A47" w:rsidRDefault="001D2F2B" w:rsidP="00096BF5">
            <w:pPr>
              <w:spacing w:after="0" w:line="240" w:lineRule="auto"/>
              <w:jc w:val="both"/>
              <w:rPr>
                <w:rFonts w:eastAsia="Times New Roman"/>
                <w:color w:val="000000"/>
                <w:kern w:val="0"/>
                <w:sz w:val="18"/>
                <w:szCs w:val="18"/>
                <w14:ligatures w14:val="none"/>
              </w:rPr>
            </w:pPr>
            <w:r w:rsidRPr="004A4A47">
              <w:rPr>
                <w:rFonts w:eastAsia="Times New Roman"/>
                <w:color w:val="000000"/>
                <w:kern w:val="0"/>
                <w:sz w:val="18"/>
                <w:szCs w:val="18"/>
                <w14:ligatures w14:val="none"/>
              </w:rPr>
              <w:t>339 (16.0%)</w:t>
            </w:r>
          </w:p>
        </w:tc>
        <w:tc>
          <w:tcPr>
            <w:tcW w:w="1440" w:type="dxa"/>
            <w:noWrap/>
            <w:vAlign w:val="bottom"/>
            <w:hideMark/>
          </w:tcPr>
          <w:p w14:paraId="4ABFD71A" w14:textId="77777777" w:rsidR="001D2F2B" w:rsidRPr="004A4A47" w:rsidRDefault="001D2F2B" w:rsidP="00096BF5">
            <w:pPr>
              <w:spacing w:after="0" w:line="240" w:lineRule="auto"/>
              <w:jc w:val="both"/>
              <w:rPr>
                <w:rFonts w:eastAsia="Times New Roman"/>
                <w:color w:val="000000"/>
                <w:kern w:val="0"/>
                <w:sz w:val="18"/>
                <w:szCs w:val="18"/>
                <w14:ligatures w14:val="none"/>
              </w:rPr>
            </w:pPr>
            <w:r w:rsidRPr="004A4A47">
              <w:rPr>
                <w:rFonts w:eastAsia="Times New Roman"/>
                <w:color w:val="000000"/>
                <w:kern w:val="0"/>
                <w:sz w:val="18"/>
                <w:szCs w:val="18"/>
                <w14:ligatures w14:val="none"/>
              </w:rPr>
              <w:t>340 (16.1%)</w:t>
            </w:r>
          </w:p>
        </w:tc>
        <w:tc>
          <w:tcPr>
            <w:tcW w:w="1440" w:type="dxa"/>
            <w:noWrap/>
            <w:vAlign w:val="bottom"/>
            <w:hideMark/>
          </w:tcPr>
          <w:p w14:paraId="3CABE3F3" w14:textId="77777777" w:rsidR="001D2F2B" w:rsidRPr="004A4A47" w:rsidRDefault="001D2F2B" w:rsidP="00096BF5">
            <w:pPr>
              <w:spacing w:after="0" w:line="240" w:lineRule="auto"/>
              <w:jc w:val="both"/>
              <w:rPr>
                <w:rFonts w:eastAsia="Times New Roman"/>
                <w:color w:val="000000"/>
                <w:kern w:val="0"/>
                <w:sz w:val="18"/>
                <w:szCs w:val="18"/>
                <w14:ligatures w14:val="none"/>
              </w:rPr>
            </w:pPr>
            <w:r w:rsidRPr="004A4A47">
              <w:rPr>
                <w:rFonts w:eastAsia="Times New Roman"/>
                <w:color w:val="000000"/>
                <w:kern w:val="0"/>
                <w:sz w:val="18"/>
                <w:szCs w:val="18"/>
                <w14:ligatures w14:val="none"/>
              </w:rPr>
              <w:t>417 (19.7%)</w:t>
            </w:r>
          </w:p>
        </w:tc>
        <w:tc>
          <w:tcPr>
            <w:tcW w:w="1440" w:type="dxa"/>
            <w:noWrap/>
            <w:vAlign w:val="bottom"/>
            <w:hideMark/>
          </w:tcPr>
          <w:p w14:paraId="2954C383" w14:textId="77777777" w:rsidR="001D2F2B" w:rsidRPr="004A4A47" w:rsidRDefault="001D2F2B" w:rsidP="00096BF5">
            <w:pPr>
              <w:spacing w:after="0" w:line="240" w:lineRule="auto"/>
              <w:jc w:val="both"/>
              <w:rPr>
                <w:rFonts w:eastAsia="Times New Roman"/>
                <w:color w:val="000000"/>
                <w:kern w:val="0"/>
                <w:sz w:val="18"/>
                <w:szCs w:val="18"/>
                <w14:ligatures w14:val="none"/>
              </w:rPr>
            </w:pPr>
            <w:r w:rsidRPr="004A4A47">
              <w:rPr>
                <w:rFonts w:eastAsia="Times New Roman"/>
                <w:color w:val="000000"/>
                <w:kern w:val="0"/>
                <w:sz w:val="18"/>
                <w:szCs w:val="18"/>
                <w14:ligatures w14:val="none"/>
              </w:rPr>
              <w:t>803 (38.0%)</w:t>
            </w:r>
          </w:p>
        </w:tc>
      </w:tr>
      <w:tr w:rsidR="001D2F2B" w:rsidRPr="00677CE8" w14:paraId="42484BA6" w14:textId="77777777" w:rsidTr="00E83B07">
        <w:trPr>
          <w:trHeight w:val="259"/>
        </w:trPr>
        <w:tc>
          <w:tcPr>
            <w:tcW w:w="2145" w:type="dxa"/>
            <w:tcBorders>
              <w:top w:val="nil"/>
              <w:bottom w:val="single" w:sz="12" w:space="0" w:color="auto"/>
              <w:right w:val="single" w:sz="12" w:space="0" w:color="auto"/>
            </w:tcBorders>
            <w:noWrap/>
            <w:vAlign w:val="bottom"/>
            <w:hideMark/>
          </w:tcPr>
          <w:p w14:paraId="47B0F12F" w14:textId="77777777" w:rsidR="001D2F2B" w:rsidRPr="004A4A47" w:rsidRDefault="001D2F2B" w:rsidP="00096BF5">
            <w:pPr>
              <w:spacing w:after="0" w:line="240" w:lineRule="auto"/>
              <w:jc w:val="both"/>
              <w:rPr>
                <w:rFonts w:eastAsia="Times New Roman"/>
                <w:b/>
                <w:bCs/>
                <w:color w:val="000000"/>
                <w:kern w:val="0"/>
                <w:sz w:val="18"/>
                <w:szCs w:val="18"/>
                <w14:ligatures w14:val="none"/>
              </w:rPr>
            </w:pPr>
            <w:r w:rsidRPr="004A4A47">
              <w:rPr>
                <w:rFonts w:eastAsia="Times New Roman"/>
                <w:b/>
                <w:bCs/>
                <w:color w:val="000000"/>
                <w:kern w:val="0"/>
                <w:sz w:val="18"/>
                <w:szCs w:val="18"/>
                <w14:ligatures w14:val="none"/>
              </w:rPr>
              <w:t>Private Vehicle</w:t>
            </w:r>
          </w:p>
        </w:tc>
        <w:tc>
          <w:tcPr>
            <w:tcW w:w="1440" w:type="dxa"/>
            <w:tcBorders>
              <w:left w:val="single" w:sz="12" w:space="0" w:color="auto"/>
            </w:tcBorders>
            <w:noWrap/>
            <w:vAlign w:val="bottom"/>
            <w:hideMark/>
          </w:tcPr>
          <w:p w14:paraId="6A2169E5" w14:textId="77777777" w:rsidR="001D2F2B" w:rsidRPr="004A4A47" w:rsidRDefault="001D2F2B" w:rsidP="00096BF5">
            <w:pPr>
              <w:spacing w:after="0" w:line="240" w:lineRule="auto"/>
              <w:jc w:val="both"/>
              <w:rPr>
                <w:rFonts w:eastAsia="Times New Roman"/>
                <w:color w:val="000000"/>
                <w:kern w:val="0"/>
                <w:sz w:val="18"/>
                <w:szCs w:val="18"/>
                <w14:ligatures w14:val="none"/>
              </w:rPr>
            </w:pPr>
            <w:r w:rsidRPr="004A4A47">
              <w:rPr>
                <w:rFonts w:eastAsia="Times New Roman"/>
                <w:color w:val="000000"/>
                <w:kern w:val="0"/>
                <w:sz w:val="18"/>
                <w:szCs w:val="18"/>
                <w14:ligatures w14:val="none"/>
              </w:rPr>
              <w:t>1083 (51.2%)</w:t>
            </w:r>
          </w:p>
        </w:tc>
        <w:tc>
          <w:tcPr>
            <w:tcW w:w="1440" w:type="dxa"/>
            <w:noWrap/>
            <w:vAlign w:val="bottom"/>
            <w:hideMark/>
          </w:tcPr>
          <w:p w14:paraId="1EE85D85" w14:textId="77777777" w:rsidR="001D2F2B" w:rsidRPr="004A4A47" w:rsidRDefault="001D2F2B" w:rsidP="00096BF5">
            <w:pPr>
              <w:spacing w:after="0" w:line="240" w:lineRule="auto"/>
              <w:jc w:val="both"/>
              <w:rPr>
                <w:rFonts w:eastAsia="Times New Roman"/>
                <w:color w:val="000000"/>
                <w:kern w:val="0"/>
                <w:sz w:val="18"/>
                <w:szCs w:val="18"/>
                <w14:ligatures w14:val="none"/>
              </w:rPr>
            </w:pPr>
            <w:r w:rsidRPr="004A4A47">
              <w:rPr>
                <w:rFonts w:eastAsia="Times New Roman"/>
                <w:color w:val="000000"/>
                <w:kern w:val="0"/>
                <w:sz w:val="18"/>
                <w:szCs w:val="18"/>
                <w14:ligatures w14:val="none"/>
              </w:rPr>
              <w:t>367 (17.4%)</w:t>
            </w:r>
          </w:p>
        </w:tc>
        <w:tc>
          <w:tcPr>
            <w:tcW w:w="1440" w:type="dxa"/>
            <w:noWrap/>
            <w:vAlign w:val="bottom"/>
            <w:hideMark/>
          </w:tcPr>
          <w:p w14:paraId="53587D4C" w14:textId="77777777" w:rsidR="001D2F2B" w:rsidRPr="004A4A47" w:rsidRDefault="001D2F2B" w:rsidP="00096BF5">
            <w:pPr>
              <w:spacing w:after="0" w:line="240" w:lineRule="auto"/>
              <w:jc w:val="both"/>
              <w:rPr>
                <w:rFonts w:eastAsia="Times New Roman"/>
                <w:color w:val="000000"/>
                <w:kern w:val="0"/>
                <w:sz w:val="18"/>
                <w:szCs w:val="18"/>
                <w14:ligatures w14:val="none"/>
              </w:rPr>
            </w:pPr>
            <w:r w:rsidRPr="004A4A47">
              <w:rPr>
                <w:rFonts w:eastAsia="Times New Roman"/>
                <w:color w:val="000000"/>
                <w:kern w:val="0"/>
                <w:sz w:val="18"/>
                <w:szCs w:val="18"/>
                <w14:ligatures w14:val="none"/>
              </w:rPr>
              <w:t>353 (16.7%)</w:t>
            </w:r>
          </w:p>
        </w:tc>
        <w:tc>
          <w:tcPr>
            <w:tcW w:w="1440" w:type="dxa"/>
            <w:noWrap/>
            <w:vAlign w:val="bottom"/>
            <w:hideMark/>
          </w:tcPr>
          <w:p w14:paraId="04CBBF7A" w14:textId="77777777" w:rsidR="001D2F2B" w:rsidRPr="004A4A47" w:rsidRDefault="001D2F2B" w:rsidP="00096BF5">
            <w:pPr>
              <w:spacing w:after="0" w:line="240" w:lineRule="auto"/>
              <w:jc w:val="both"/>
              <w:rPr>
                <w:rFonts w:eastAsia="Times New Roman"/>
                <w:color w:val="000000"/>
                <w:kern w:val="0"/>
                <w:sz w:val="18"/>
                <w:szCs w:val="18"/>
                <w14:ligatures w14:val="none"/>
              </w:rPr>
            </w:pPr>
            <w:r w:rsidRPr="004A4A47">
              <w:rPr>
                <w:rFonts w:eastAsia="Times New Roman"/>
                <w:color w:val="FFFFFF" w:themeColor="background1"/>
                <w:kern w:val="0"/>
                <w:sz w:val="18"/>
                <w:szCs w:val="18"/>
                <w14:ligatures w14:val="none"/>
              </w:rPr>
              <w:t>0</w:t>
            </w:r>
            <w:r w:rsidRPr="004A4A47">
              <w:rPr>
                <w:rFonts w:eastAsia="Times New Roman"/>
                <w:color w:val="000000"/>
                <w:kern w:val="0"/>
                <w:sz w:val="18"/>
                <w:szCs w:val="18"/>
                <w14:ligatures w14:val="none"/>
              </w:rPr>
              <w:t>93</w:t>
            </w:r>
            <w:proofErr w:type="gramStart"/>
            <w:r w:rsidRPr="004A4A47">
              <w:rPr>
                <w:rFonts w:eastAsia="Times New Roman"/>
                <w:color w:val="000000"/>
                <w:kern w:val="0"/>
                <w:sz w:val="18"/>
                <w:szCs w:val="18"/>
                <w14:ligatures w14:val="none"/>
              </w:rPr>
              <w:t xml:space="preserve">   (</w:t>
            </w:r>
            <w:proofErr w:type="gramEnd"/>
            <w:r w:rsidRPr="004A4A47">
              <w:rPr>
                <w:rFonts w:eastAsia="Times New Roman"/>
                <w:color w:val="000000"/>
                <w:kern w:val="0"/>
                <w:sz w:val="18"/>
                <w:szCs w:val="18"/>
                <w14:ligatures w14:val="none"/>
              </w:rPr>
              <w:t>4.4%)</w:t>
            </w:r>
          </w:p>
        </w:tc>
        <w:tc>
          <w:tcPr>
            <w:tcW w:w="1440" w:type="dxa"/>
            <w:noWrap/>
            <w:vAlign w:val="bottom"/>
            <w:hideMark/>
          </w:tcPr>
          <w:p w14:paraId="177D7042" w14:textId="77777777" w:rsidR="001D2F2B" w:rsidRPr="004A4A47" w:rsidRDefault="001D2F2B" w:rsidP="00096BF5">
            <w:pPr>
              <w:spacing w:after="0" w:line="240" w:lineRule="auto"/>
              <w:jc w:val="both"/>
              <w:rPr>
                <w:rFonts w:eastAsia="Times New Roman"/>
                <w:color w:val="000000"/>
                <w:kern w:val="0"/>
                <w:sz w:val="18"/>
                <w:szCs w:val="18"/>
                <w14:ligatures w14:val="none"/>
              </w:rPr>
            </w:pPr>
            <w:r w:rsidRPr="004A4A47">
              <w:rPr>
                <w:rFonts w:eastAsia="Times New Roman"/>
                <w:color w:val="000000"/>
                <w:kern w:val="0"/>
                <w:sz w:val="18"/>
                <w:szCs w:val="18"/>
                <w14:ligatures w14:val="none"/>
              </w:rPr>
              <w:t>218 (10.3%)</w:t>
            </w:r>
          </w:p>
        </w:tc>
      </w:tr>
    </w:tbl>
    <w:p w14:paraId="64C25149" w14:textId="7592009F" w:rsidR="0011393A" w:rsidRDefault="0011393A" w:rsidP="002F26E5">
      <w:pPr>
        <w:spacing w:after="0" w:line="240" w:lineRule="auto"/>
      </w:pPr>
    </w:p>
    <w:p w14:paraId="7D2EC726" w14:textId="77777777" w:rsidR="00007FF5" w:rsidRPr="00677CE8" w:rsidRDefault="00007FF5" w:rsidP="002F26E5">
      <w:pPr>
        <w:spacing w:after="0" w:line="240" w:lineRule="auto"/>
      </w:pPr>
    </w:p>
    <w:p w14:paraId="05F27DDE" w14:textId="14F0BC2E" w:rsidR="00307660" w:rsidRPr="00677CE8" w:rsidRDefault="005968E3" w:rsidP="00096BF5">
      <w:pPr>
        <w:pStyle w:val="Heading2"/>
        <w:spacing w:after="0" w:line="240" w:lineRule="auto"/>
        <w:jc w:val="both"/>
      </w:pPr>
      <w:r w:rsidRPr="00677CE8">
        <w:t>Table 5: Determinants of Latent Variables</w:t>
      </w:r>
    </w:p>
    <w:tbl>
      <w:tblPr>
        <w:tblStyle w:val="TableGrid"/>
        <w:tblpPr w:leftFromText="180" w:rightFromText="180" w:vertAnchor="text" w:horzAnchor="margin" w:tblpXSpec="center" w:tblpY="104"/>
        <w:tblW w:w="10027"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4305"/>
        <w:gridCol w:w="991"/>
        <w:gridCol w:w="88"/>
        <w:gridCol w:w="904"/>
        <w:gridCol w:w="7"/>
        <w:gridCol w:w="938"/>
        <w:gridCol w:w="45"/>
        <w:gridCol w:w="900"/>
        <w:gridCol w:w="7"/>
        <w:gridCol w:w="921"/>
        <w:gridCol w:w="14"/>
        <w:gridCol w:w="900"/>
        <w:gridCol w:w="7"/>
      </w:tblGrid>
      <w:tr w:rsidR="00637BC0" w:rsidRPr="00677CE8" w14:paraId="6AFC5127" w14:textId="77777777" w:rsidTr="00E83B07">
        <w:trPr>
          <w:gridAfter w:val="1"/>
          <w:wAfter w:w="7" w:type="dxa"/>
          <w:trHeight w:val="20"/>
        </w:trPr>
        <w:tc>
          <w:tcPr>
            <w:tcW w:w="4305" w:type="dxa"/>
            <w:vMerge w:val="restart"/>
            <w:tcBorders>
              <w:top w:val="single" w:sz="12" w:space="0" w:color="auto"/>
              <w:left w:val="single" w:sz="12" w:space="0" w:color="auto"/>
              <w:right w:val="single" w:sz="12" w:space="0" w:color="auto"/>
            </w:tcBorders>
            <w:vAlign w:val="center"/>
          </w:tcPr>
          <w:p w14:paraId="237A72E0" w14:textId="72A310EE" w:rsidR="00637BC0" w:rsidRPr="004A4A47" w:rsidRDefault="00637BC0" w:rsidP="00637BC0">
            <w:pPr>
              <w:rPr>
                <w:b/>
                <w:bCs/>
                <w:sz w:val="18"/>
                <w:szCs w:val="18"/>
              </w:rPr>
            </w:pPr>
            <w:r w:rsidRPr="004A4A47">
              <w:rPr>
                <w:b/>
                <w:bCs/>
                <w:sz w:val="18"/>
                <w:szCs w:val="18"/>
              </w:rPr>
              <w:t>Latent Variable Measurement Equation Model</w:t>
            </w:r>
          </w:p>
        </w:tc>
        <w:tc>
          <w:tcPr>
            <w:tcW w:w="1983" w:type="dxa"/>
            <w:gridSpan w:val="3"/>
            <w:tcBorders>
              <w:top w:val="single" w:sz="12" w:space="0" w:color="auto"/>
              <w:left w:val="single" w:sz="12" w:space="0" w:color="auto"/>
              <w:bottom w:val="single" w:sz="12" w:space="0" w:color="auto"/>
              <w:right w:val="nil"/>
            </w:tcBorders>
            <w:vAlign w:val="center"/>
          </w:tcPr>
          <w:p w14:paraId="2C4A05DD" w14:textId="1C2688ED" w:rsidR="00637BC0" w:rsidRPr="004A4A47" w:rsidRDefault="00637BC0" w:rsidP="00637BC0">
            <w:pPr>
              <w:jc w:val="center"/>
              <w:rPr>
                <w:b/>
                <w:bCs/>
                <w:sz w:val="18"/>
                <w:szCs w:val="18"/>
              </w:rPr>
            </w:pPr>
            <w:r w:rsidRPr="004A4A47">
              <w:rPr>
                <w:b/>
                <w:bCs/>
                <w:sz w:val="18"/>
                <w:szCs w:val="18"/>
              </w:rPr>
              <w:t>Tech-Savviness</w:t>
            </w:r>
          </w:p>
        </w:tc>
        <w:tc>
          <w:tcPr>
            <w:tcW w:w="1890" w:type="dxa"/>
            <w:gridSpan w:val="4"/>
            <w:tcBorders>
              <w:top w:val="single" w:sz="12" w:space="0" w:color="auto"/>
              <w:left w:val="nil"/>
              <w:bottom w:val="single" w:sz="12" w:space="0" w:color="auto"/>
              <w:right w:val="nil"/>
            </w:tcBorders>
            <w:vAlign w:val="center"/>
          </w:tcPr>
          <w:p w14:paraId="721EFC6B" w14:textId="0D5FB3E2" w:rsidR="00637BC0" w:rsidRPr="004A4A47" w:rsidRDefault="00637BC0" w:rsidP="00637BC0">
            <w:pPr>
              <w:jc w:val="center"/>
              <w:rPr>
                <w:b/>
                <w:bCs/>
                <w:sz w:val="18"/>
                <w:szCs w:val="18"/>
              </w:rPr>
            </w:pPr>
            <w:r w:rsidRPr="004A4A47">
              <w:rPr>
                <w:b/>
                <w:bCs/>
                <w:sz w:val="18"/>
                <w:szCs w:val="18"/>
              </w:rPr>
              <w:t>UAM Noise Sensitivity</w:t>
            </w:r>
          </w:p>
        </w:tc>
        <w:tc>
          <w:tcPr>
            <w:tcW w:w="1842" w:type="dxa"/>
            <w:gridSpan w:val="4"/>
            <w:tcBorders>
              <w:top w:val="single" w:sz="12" w:space="0" w:color="auto"/>
              <w:left w:val="nil"/>
              <w:bottom w:val="single" w:sz="12" w:space="0" w:color="auto"/>
              <w:right w:val="single" w:sz="12" w:space="0" w:color="auto"/>
            </w:tcBorders>
            <w:vAlign w:val="center"/>
          </w:tcPr>
          <w:p w14:paraId="4085E057" w14:textId="2B849907" w:rsidR="00637BC0" w:rsidRPr="004A4A47" w:rsidRDefault="00637BC0" w:rsidP="00637BC0">
            <w:pPr>
              <w:jc w:val="center"/>
              <w:rPr>
                <w:b/>
                <w:bCs/>
                <w:sz w:val="18"/>
                <w:szCs w:val="18"/>
              </w:rPr>
            </w:pPr>
            <w:r w:rsidRPr="004A4A47">
              <w:rPr>
                <w:b/>
                <w:bCs/>
                <w:sz w:val="18"/>
                <w:szCs w:val="18"/>
              </w:rPr>
              <w:t>Positive Travel Perceptions</w:t>
            </w:r>
          </w:p>
        </w:tc>
      </w:tr>
      <w:tr w:rsidR="00637BC0" w:rsidRPr="00677CE8" w14:paraId="5C29D7E4" w14:textId="77777777" w:rsidTr="00E83B07">
        <w:trPr>
          <w:gridAfter w:val="1"/>
          <w:wAfter w:w="7" w:type="dxa"/>
          <w:trHeight w:val="20"/>
        </w:trPr>
        <w:tc>
          <w:tcPr>
            <w:tcW w:w="4305" w:type="dxa"/>
            <w:vMerge/>
            <w:tcBorders>
              <w:left w:val="single" w:sz="12" w:space="0" w:color="auto"/>
              <w:bottom w:val="single" w:sz="12" w:space="0" w:color="auto"/>
              <w:right w:val="single" w:sz="12" w:space="0" w:color="auto"/>
            </w:tcBorders>
          </w:tcPr>
          <w:p w14:paraId="497E2663" w14:textId="426D3550" w:rsidR="00637BC0" w:rsidRPr="004A4A47" w:rsidRDefault="00637BC0" w:rsidP="00637BC0">
            <w:pPr>
              <w:rPr>
                <w:b/>
                <w:bCs/>
                <w:sz w:val="18"/>
                <w:szCs w:val="18"/>
              </w:rPr>
            </w:pPr>
          </w:p>
        </w:tc>
        <w:tc>
          <w:tcPr>
            <w:tcW w:w="991" w:type="dxa"/>
            <w:tcBorders>
              <w:top w:val="single" w:sz="12" w:space="0" w:color="auto"/>
              <w:left w:val="single" w:sz="12" w:space="0" w:color="auto"/>
              <w:bottom w:val="single" w:sz="12" w:space="0" w:color="auto"/>
              <w:right w:val="nil"/>
            </w:tcBorders>
          </w:tcPr>
          <w:p w14:paraId="07937228" w14:textId="3EE88E03" w:rsidR="00637BC0" w:rsidRPr="004A4A47" w:rsidRDefault="00637BC0" w:rsidP="00637BC0">
            <w:pPr>
              <w:jc w:val="center"/>
              <w:rPr>
                <w:b/>
                <w:bCs/>
                <w:sz w:val="18"/>
                <w:szCs w:val="18"/>
              </w:rPr>
            </w:pPr>
            <w:r w:rsidRPr="004A4A47">
              <w:rPr>
                <w:b/>
                <w:bCs/>
                <w:sz w:val="18"/>
                <w:szCs w:val="18"/>
              </w:rPr>
              <w:t>Loading</w:t>
            </w:r>
          </w:p>
        </w:tc>
        <w:tc>
          <w:tcPr>
            <w:tcW w:w="992" w:type="dxa"/>
            <w:gridSpan w:val="2"/>
            <w:tcBorders>
              <w:top w:val="single" w:sz="12" w:space="0" w:color="auto"/>
              <w:left w:val="nil"/>
              <w:bottom w:val="single" w:sz="12" w:space="0" w:color="auto"/>
              <w:right w:val="nil"/>
            </w:tcBorders>
          </w:tcPr>
          <w:p w14:paraId="3E8F1D95" w14:textId="7A9CD12B" w:rsidR="00637BC0" w:rsidRPr="004A4A47" w:rsidRDefault="00637BC0" w:rsidP="00637BC0">
            <w:pPr>
              <w:jc w:val="center"/>
              <w:rPr>
                <w:b/>
                <w:bCs/>
                <w:sz w:val="18"/>
                <w:szCs w:val="18"/>
              </w:rPr>
            </w:pPr>
            <w:r w:rsidRPr="004A4A47">
              <w:rPr>
                <w:b/>
                <w:bCs/>
                <w:sz w:val="18"/>
                <w:szCs w:val="18"/>
              </w:rPr>
              <w:t>t-stat</w:t>
            </w:r>
          </w:p>
        </w:tc>
        <w:tc>
          <w:tcPr>
            <w:tcW w:w="945" w:type="dxa"/>
            <w:gridSpan w:val="2"/>
            <w:tcBorders>
              <w:top w:val="single" w:sz="12" w:space="0" w:color="auto"/>
              <w:left w:val="nil"/>
              <w:bottom w:val="single" w:sz="12" w:space="0" w:color="auto"/>
              <w:right w:val="nil"/>
            </w:tcBorders>
          </w:tcPr>
          <w:p w14:paraId="136EA7B0" w14:textId="6D1154C8" w:rsidR="00637BC0" w:rsidRPr="004A4A47" w:rsidRDefault="00637BC0" w:rsidP="00637BC0">
            <w:pPr>
              <w:jc w:val="center"/>
              <w:rPr>
                <w:b/>
                <w:bCs/>
                <w:sz w:val="18"/>
                <w:szCs w:val="18"/>
              </w:rPr>
            </w:pPr>
            <w:r w:rsidRPr="004A4A47">
              <w:rPr>
                <w:b/>
                <w:bCs/>
                <w:sz w:val="18"/>
                <w:szCs w:val="18"/>
              </w:rPr>
              <w:t>Loading</w:t>
            </w:r>
          </w:p>
        </w:tc>
        <w:tc>
          <w:tcPr>
            <w:tcW w:w="945" w:type="dxa"/>
            <w:gridSpan w:val="2"/>
            <w:tcBorders>
              <w:top w:val="single" w:sz="12" w:space="0" w:color="auto"/>
              <w:left w:val="nil"/>
              <w:bottom w:val="single" w:sz="12" w:space="0" w:color="auto"/>
              <w:right w:val="nil"/>
            </w:tcBorders>
          </w:tcPr>
          <w:p w14:paraId="1723B427" w14:textId="4CEE67BA" w:rsidR="00637BC0" w:rsidRPr="004A4A47" w:rsidRDefault="00637BC0" w:rsidP="00637BC0">
            <w:pPr>
              <w:jc w:val="center"/>
              <w:rPr>
                <w:b/>
                <w:bCs/>
                <w:sz w:val="18"/>
                <w:szCs w:val="18"/>
              </w:rPr>
            </w:pPr>
            <w:r w:rsidRPr="004A4A47">
              <w:rPr>
                <w:b/>
                <w:bCs/>
                <w:sz w:val="18"/>
                <w:szCs w:val="18"/>
              </w:rPr>
              <w:t>t-stat</w:t>
            </w:r>
          </w:p>
        </w:tc>
        <w:tc>
          <w:tcPr>
            <w:tcW w:w="928" w:type="dxa"/>
            <w:gridSpan w:val="2"/>
            <w:tcBorders>
              <w:top w:val="single" w:sz="12" w:space="0" w:color="auto"/>
              <w:left w:val="nil"/>
              <w:bottom w:val="single" w:sz="12" w:space="0" w:color="auto"/>
              <w:right w:val="nil"/>
            </w:tcBorders>
          </w:tcPr>
          <w:p w14:paraId="4FC2EBE6" w14:textId="710E3A23" w:rsidR="00637BC0" w:rsidRPr="004A4A47" w:rsidRDefault="00637BC0" w:rsidP="00637BC0">
            <w:pPr>
              <w:jc w:val="center"/>
              <w:rPr>
                <w:b/>
                <w:bCs/>
                <w:sz w:val="18"/>
                <w:szCs w:val="18"/>
              </w:rPr>
            </w:pPr>
            <w:r w:rsidRPr="004A4A47">
              <w:rPr>
                <w:b/>
                <w:bCs/>
                <w:sz w:val="18"/>
                <w:szCs w:val="18"/>
              </w:rPr>
              <w:t>Loading</w:t>
            </w:r>
          </w:p>
        </w:tc>
        <w:tc>
          <w:tcPr>
            <w:tcW w:w="914" w:type="dxa"/>
            <w:gridSpan w:val="2"/>
            <w:tcBorders>
              <w:top w:val="single" w:sz="12" w:space="0" w:color="auto"/>
              <w:left w:val="nil"/>
              <w:bottom w:val="single" w:sz="12" w:space="0" w:color="auto"/>
              <w:right w:val="single" w:sz="12" w:space="0" w:color="auto"/>
            </w:tcBorders>
          </w:tcPr>
          <w:p w14:paraId="03E0A515" w14:textId="49D93C50" w:rsidR="00637BC0" w:rsidRPr="004A4A47" w:rsidRDefault="00637BC0" w:rsidP="00637BC0">
            <w:pPr>
              <w:jc w:val="center"/>
              <w:rPr>
                <w:b/>
                <w:bCs/>
                <w:sz w:val="18"/>
                <w:szCs w:val="18"/>
              </w:rPr>
            </w:pPr>
            <w:r w:rsidRPr="004A4A47">
              <w:rPr>
                <w:b/>
                <w:bCs/>
                <w:sz w:val="18"/>
                <w:szCs w:val="18"/>
              </w:rPr>
              <w:t>t-stat</w:t>
            </w:r>
          </w:p>
        </w:tc>
      </w:tr>
      <w:tr w:rsidR="00637BC0" w:rsidRPr="00677CE8" w14:paraId="354E2269" w14:textId="77777777" w:rsidTr="00E83B07">
        <w:trPr>
          <w:gridAfter w:val="1"/>
          <w:wAfter w:w="7" w:type="dxa"/>
          <w:trHeight w:val="20"/>
        </w:trPr>
        <w:tc>
          <w:tcPr>
            <w:tcW w:w="4305" w:type="dxa"/>
            <w:tcBorders>
              <w:top w:val="single" w:sz="12" w:space="0" w:color="auto"/>
              <w:left w:val="single" w:sz="12" w:space="0" w:color="auto"/>
              <w:bottom w:val="nil"/>
              <w:right w:val="nil"/>
            </w:tcBorders>
          </w:tcPr>
          <w:p w14:paraId="4C4C27AF" w14:textId="2DEB9C9C" w:rsidR="00637BC0" w:rsidRPr="004A4A47" w:rsidRDefault="00637BC0" w:rsidP="00E83B07">
            <w:pPr>
              <w:ind w:left="150" w:hanging="150"/>
              <w:rPr>
                <w:b/>
                <w:bCs/>
                <w:sz w:val="18"/>
                <w:szCs w:val="18"/>
              </w:rPr>
            </w:pPr>
            <w:r w:rsidRPr="004A4A47">
              <w:rPr>
                <w:color w:val="000000"/>
                <w:sz w:val="18"/>
                <w:szCs w:val="18"/>
              </w:rPr>
              <w:t>If available to me today, I would feel comfortable riding in a self-driving vehicle.</w:t>
            </w:r>
          </w:p>
        </w:tc>
        <w:tc>
          <w:tcPr>
            <w:tcW w:w="991" w:type="dxa"/>
            <w:tcBorders>
              <w:top w:val="single" w:sz="12" w:space="0" w:color="auto"/>
              <w:left w:val="nil"/>
              <w:bottom w:val="nil"/>
              <w:right w:val="nil"/>
            </w:tcBorders>
            <w:vAlign w:val="center"/>
          </w:tcPr>
          <w:p w14:paraId="209B46F5" w14:textId="42E3D474" w:rsidR="00637BC0" w:rsidRPr="004A4A47" w:rsidRDefault="00637BC0" w:rsidP="00637BC0">
            <w:pPr>
              <w:jc w:val="center"/>
              <w:rPr>
                <w:b/>
                <w:bCs/>
                <w:sz w:val="18"/>
                <w:szCs w:val="18"/>
              </w:rPr>
            </w:pPr>
            <w:r w:rsidRPr="004A4A47">
              <w:rPr>
                <w:sz w:val="18"/>
                <w:szCs w:val="18"/>
              </w:rPr>
              <w:t>1.480</w:t>
            </w:r>
          </w:p>
        </w:tc>
        <w:tc>
          <w:tcPr>
            <w:tcW w:w="992" w:type="dxa"/>
            <w:gridSpan w:val="2"/>
            <w:tcBorders>
              <w:top w:val="single" w:sz="12" w:space="0" w:color="auto"/>
              <w:left w:val="nil"/>
              <w:bottom w:val="nil"/>
              <w:right w:val="nil"/>
            </w:tcBorders>
            <w:vAlign w:val="center"/>
          </w:tcPr>
          <w:p w14:paraId="7FFDEB6F" w14:textId="395A406E" w:rsidR="00637BC0" w:rsidRPr="004A4A47" w:rsidRDefault="00637BC0" w:rsidP="00637BC0">
            <w:pPr>
              <w:jc w:val="center"/>
              <w:rPr>
                <w:b/>
                <w:bCs/>
                <w:sz w:val="18"/>
                <w:szCs w:val="18"/>
              </w:rPr>
            </w:pPr>
            <w:r w:rsidRPr="004A4A47">
              <w:rPr>
                <w:sz w:val="18"/>
                <w:szCs w:val="18"/>
              </w:rPr>
              <w:t>17.954</w:t>
            </w:r>
          </w:p>
        </w:tc>
        <w:tc>
          <w:tcPr>
            <w:tcW w:w="945" w:type="dxa"/>
            <w:gridSpan w:val="2"/>
            <w:tcBorders>
              <w:top w:val="single" w:sz="12" w:space="0" w:color="auto"/>
              <w:left w:val="nil"/>
              <w:bottom w:val="nil"/>
              <w:right w:val="nil"/>
            </w:tcBorders>
            <w:vAlign w:val="center"/>
          </w:tcPr>
          <w:p w14:paraId="4B3DF7A3" w14:textId="56669114" w:rsidR="00637BC0" w:rsidRPr="004A4A47" w:rsidRDefault="00637BC0" w:rsidP="00637BC0">
            <w:pPr>
              <w:jc w:val="center"/>
              <w:rPr>
                <w:b/>
                <w:bCs/>
                <w:sz w:val="18"/>
                <w:szCs w:val="18"/>
              </w:rPr>
            </w:pPr>
            <w:r w:rsidRPr="004A4A47">
              <w:rPr>
                <w:sz w:val="18"/>
                <w:szCs w:val="18"/>
              </w:rPr>
              <w:t>--</w:t>
            </w:r>
          </w:p>
        </w:tc>
        <w:tc>
          <w:tcPr>
            <w:tcW w:w="945" w:type="dxa"/>
            <w:gridSpan w:val="2"/>
            <w:tcBorders>
              <w:top w:val="single" w:sz="12" w:space="0" w:color="auto"/>
              <w:left w:val="nil"/>
              <w:bottom w:val="nil"/>
              <w:right w:val="nil"/>
            </w:tcBorders>
            <w:vAlign w:val="center"/>
          </w:tcPr>
          <w:p w14:paraId="2351FADD" w14:textId="77777777" w:rsidR="00637BC0" w:rsidRPr="004A4A47" w:rsidRDefault="00637BC0" w:rsidP="00637BC0">
            <w:pPr>
              <w:jc w:val="center"/>
              <w:rPr>
                <w:b/>
                <w:bCs/>
                <w:sz w:val="18"/>
                <w:szCs w:val="18"/>
              </w:rPr>
            </w:pPr>
          </w:p>
        </w:tc>
        <w:tc>
          <w:tcPr>
            <w:tcW w:w="928" w:type="dxa"/>
            <w:gridSpan w:val="2"/>
            <w:tcBorders>
              <w:top w:val="single" w:sz="12" w:space="0" w:color="auto"/>
              <w:left w:val="nil"/>
              <w:bottom w:val="nil"/>
              <w:right w:val="nil"/>
            </w:tcBorders>
            <w:vAlign w:val="center"/>
          </w:tcPr>
          <w:p w14:paraId="1B11B12D" w14:textId="37D8934B" w:rsidR="00637BC0" w:rsidRPr="004A4A47" w:rsidRDefault="00637BC0" w:rsidP="00637BC0">
            <w:pPr>
              <w:jc w:val="center"/>
              <w:rPr>
                <w:b/>
                <w:bCs/>
                <w:sz w:val="18"/>
                <w:szCs w:val="18"/>
              </w:rPr>
            </w:pPr>
            <w:r w:rsidRPr="004A4A47">
              <w:rPr>
                <w:sz w:val="18"/>
                <w:szCs w:val="18"/>
              </w:rPr>
              <w:t>--</w:t>
            </w:r>
          </w:p>
        </w:tc>
        <w:tc>
          <w:tcPr>
            <w:tcW w:w="914" w:type="dxa"/>
            <w:gridSpan w:val="2"/>
            <w:tcBorders>
              <w:top w:val="single" w:sz="12" w:space="0" w:color="auto"/>
              <w:left w:val="nil"/>
              <w:bottom w:val="nil"/>
              <w:right w:val="single" w:sz="12" w:space="0" w:color="auto"/>
            </w:tcBorders>
            <w:vAlign w:val="center"/>
          </w:tcPr>
          <w:p w14:paraId="10C6CA5E" w14:textId="77777777" w:rsidR="00637BC0" w:rsidRPr="004A4A47" w:rsidRDefault="00637BC0" w:rsidP="00637BC0">
            <w:pPr>
              <w:jc w:val="center"/>
              <w:rPr>
                <w:b/>
                <w:bCs/>
                <w:sz w:val="18"/>
                <w:szCs w:val="18"/>
              </w:rPr>
            </w:pPr>
          </w:p>
        </w:tc>
      </w:tr>
      <w:tr w:rsidR="00637BC0" w:rsidRPr="00677CE8" w14:paraId="3F00CAFE" w14:textId="77777777" w:rsidTr="00E83B07">
        <w:trPr>
          <w:gridAfter w:val="1"/>
          <w:wAfter w:w="7" w:type="dxa"/>
          <w:trHeight w:val="20"/>
        </w:trPr>
        <w:tc>
          <w:tcPr>
            <w:tcW w:w="4305" w:type="dxa"/>
            <w:tcBorders>
              <w:top w:val="nil"/>
              <w:left w:val="single" w:sz="12" w:space="0" w:color="auto"/>
              <w:bottom w:val="nil"/>
              <w:right w:val="nil"/>
            </w:tcBorders>
          </w:tcPr>
          <w:p w14:paraId="118ADAB5" w14:textId="0A9774B9" w:rsidR="00637BC0" w:rsidRPr="004A4A47" w:rsidRDefault="00637BC0" w:rsidP="00E83B07">
            <w:pPr>
              <w:ind w:left="150" w:hanging="150"/>
              <w:rPr>
                <w:b/>
                <w:bCs/>
                <w:sz w:val="18"/>
                <w:szCs w:val="18"/>
              </w:rPr>
            </w:pPr>
            <w:r w:rsidRPr="004A4A47">
              <w:rPr>
                <w:color w:val="000000"/>
                <w:sz w:val="18"/>
                <w:szCs w:val="18"/>
              </w:rPr>
              <w:t>I like to be among the first to have the latest technology.</w:t>
            </w:r>
          </w:p>
        </w:tc>
        <w:tc>
          <w:tcPr>
            <w:tcW w:w="991" w:type="dxa"/>
            <w:tcBorders>
              <w:top w:val="nil"/>
              <w:left w:val="nil"/>
              <w:bottom w:val="nil"/>
              <w:right w:val="nil"/>
            </w:tcBorders>
            <w:vAlign w:val="center"/>
          </w:tcPr>
          <w:p w14:paraId="16F50CF3" w14:textId="6F6593D4" w:rsidR="00637BC0" w:rsidRPr="004A4A47" w:rsidRDefault="00637BC0" w:rsidP="00637BC0">
            <w:pPr>
              <w:jc w:val="center"/>
              <w:rPr>
                <w:b/>
                <w:bCs/>
                <w:sz w:val="18"/>
                <w:szCs w:val="18"/>
              </w:rPr>
            </w:pPr>
            <w:r w:rsidRPr="004A4A47">
              <w:rPr>
                <w:sz w:val="18"/>
                <w:szCs w:val="18"/>
              </w:rPr>
              <w:t>1.259</w:t>
            </w:r>
          </w:p>
        </w:tc>
        <w:tc>
          <w:tcPr>
            <w:tcW w:w="992" w:type="dxa"/>
            <w:gridSpan w:val="2"/>
            <w:tcBorders>
              <w:top w:val="nil"/>
              <w:left w:val="nil"/>
              <w:bottom w:val="nil"/>
              <w:right w:val="nil"/>
            </w:tcBorders>
            <w:vAlign w:val="center"/>
          </w:tcPr>
          <w:p w14:paraId="51FE8CC9" w14:textId="26E515D1" w:rsidR="00637BC0" w:rsidRPr="004A4A47" w:rsidRDefault="00637BC0" w:rsidP="00637BC0">
            <w:pPr>
              <w:jc w:val="center"/>
              <w:rPr>
                <w:b/>
                <w:bCs/>
                <w:sz w:val="18"/>
                <w:szCs w:val="18"/>
              </w:rPr>
            </w:pPr>
            <w:r w:rsidRPr="004A4A47">
              <w:rPr>
                <w:sz w:val="18"/>
                <w:szCs w:val="18"/>
              </w:rPr>
              <w:t>17.509</w:t>
            </w:r>
          </w:p>
        </w:tc>
        <w:tc>
          <w:tcPr>
            <w:tcW w:w="945" w:type="dxa"/>
            <w:gridSpan w:val="2"/>
            <w:tcBorders>
              <w:top w:val="nil"/>
              <w:left w:val="nil"/>
              <w:bottom w:val="nil"/>
              <w:right w:val="nil"/>
            </w:tcBorders>
            <w:vAlign w:val="center"/>
          </w:tcPr>
          <w:p w14:paraId="2D6BD1F0" w14:textId="3D82B8AF" w:rsidR="00637BC0" w:rsidRPr="004A4A47" w:rsidRDefault="00637BC0" w:rsidP="00637BC0">
            <w:pPr>
              <w:jc w:val="center"/>
              <w:rPr>
                <w:b/>
                <w:bCs/>
                <w:sz w:val="18"/>
                <w:szCs w:val="18"/>
              </w:rPr>
            </w:pPr>
            <w:r w:rsidRPr="004A4A47">
              <w:rPr>
                <w:sz w:val="18"/>
                <w:szCs w:val="18"/>
              </w:rPr>
              <w:t>--</w:t>
            </w:r>
          </w:p>
        </w:tc>
        <w:tc>
          <w:tcPr>
            <w:tcW w:w="945" w:type="dxa"/>
            <w:gridSpan w:val="2"/>
            <w:tcBorders>
              <w:top w:val="nil"/>
              <w:left w:val="nil"/>
              <w:bottom w:val="nil"/>
              <w:right w:val="nil"/>
            </w:tcBorders>
            <w:vAlign w:val="center"/>
          </w:tcPr>
          <w:p w14:paraId="1C61B2A4" w14:textId="77777777" w:rsidR="00637BC0" w:rsidRPr="004A4A47" w:rsidRDefault="00637BC0" w:rsidP="00637BC0">
            <w:pPr>
              <w:jc w:val="center"/>
              <w:rPr>
                <w:b/>
                <w:bCs/>
                <w:sz w:val="18"/>
                <w:szCs w:val="18"/>
              </w:rPr>
            </w:pPr>
          </w:p>
        </w:tc>
        <w:tc>
          <w:tcPr>
            <w:tcW w:w="928" w:type="dxa"/>
            <w:gridSpan w:val="2"/>
            <w:tcBorders>
              <w:top w:val="nil"/>
              <w:left w:val="nil"/>
              <w:bottom w:val="nil"/>
              <w:right w:val="nil"/>
            </w:tcBorders>
            <w:vAlign w:val="center"/>
          </w:tcPr>
          <w:p w14:paraId="6B0EF7DF" w14:textId="5AF3EF88" w:rsidR="00637BC0" w:rsidRPr="004A4A47" w:rsidRDefault="00637BC0" w:rsidP="00637BC0">
            <w:pPr>
              <w:jc w:val="center"/>
              <w:rPr>
                <w:b/>
                <w:bCs/>
                <w:sz w:val="18"/>
                <w:szCs w:val="18"/>
              </w:rPr>
            </w:pPr>
            <w:r w:rsidRPr="004A4A47">
              <w:rPr>
                <w:sz w:val="18"/>
                <w:szCs w:val="18"/>
              </w:rPr>
              <w:t>--</w:t>
            </w:r>
          </w:p>
        </w:tc>
        <w:tc>
          <w:tcPr>
            <w:tcW w:w="914" w:type="dxa"/>
            <w:gridSpan w:val="2"/>
            <w:tcBorders>
              <w:top w:val="nil"/>
              <w:left w:val="nil"/>
              <w:bottom w:val="nil"/>
              <w:right w:val="single" w:sz="12" w:space="0" w:color="auto"/>
            </w:tcBorders>
            <w:vAlign w:val="center"/>
          </w:tcPr>
          <w:p w14:paraId="38480BFD" w14:textId="77777777" w:rsidR="00637BC0" w:rsidRPr="004A4A47" w:rsidRDefault="00637BC0" w:rsidP="00637BC0">
            <w:pPr>
              <w:jc w:val="center"/>
              <w:rPr>
                <w:b/>
                <w:bCs/>
                <w:sz w:val="18"/>
                <w:szCs w:val="18"/>
              </w:rPr>
            </w:pPr>
          </w:p>
        </w:tc>
      </w:tr>
      <w:tr w:rsidR="00637BC0" w:rsidRPr="00677CE8" w14:paraId="004C9063" w14:textId="77777777" w:rsidTr="00E83B07">
        <w:trPr>
          <w:gridAfter w:val="1"/>
          <w:wAfter w:w="7" w:type="dxa"/>
          <w:trHeight w:val="20"/>
        </w:trPr>
        <w:tc>
          <w:tcPr>
            <w:tcW w:w="4305" w:type="dxa"/>
            <w:tcBorders>
              <w:top w:val="nil"/>
              <w:left w:val="single" w:sz="12" w:space="0" w:color="auto"/>
              <w:bottom w:val="single" w:sz="2" w:space="0" w:color="auto"/>
              <w:right w:val="nil"/>
            </w:tcBorders>
          </w:tcPr>
          <w:p w14:paraId="3D274238" w14:textId="5B392C11" w:rsidR="00637BC0" w:rsidRPr="004A4A47" w:rsidRDefault="00637BC0" w:rsidP="00E83B07">
            <w:pPr>
              <w:ind w:left="150" w:hanging="150"/>
              <w:rPr>
                <w:b/>
                <w:bCs/>
                <w:sz w:val="18"/>
                <w:szCs w:val="18"/>
              </w:rPr>
            </w:pPr>
            <w:r w:rsidRPr="004A4A47">
              <w:rPr>
                <w:color w:val="000000"/>
                <w:sz w:val="18"/>
                <w:szCs w:val="18"/>
              </w:rPr>
              <w:t>I would be comfortable flying in a self-flying vehicle.</w:t>
            </w:r>
          </w:p>
        </w:tc>
        <w:tc>
          <w:tcPr>
            <w:tcW w:w="991" w:type="dxa"/>
            <w:tcBorders>
              <w:top w:val="nil"/>
              <w:left w:val="nil"/>
              <w:bottom w:val="single" w:sz="2" w:space="0" w:color="auto"/>
              <w:right w:val="nil"/>
            </w:tcBorders>
            <w:vAlign w:val="center"/>
          </w:tcPr>
          <w:p w14:paraId="26242680" w14:textId="3B5C6516" w:rsidR="00637BC0" w:rsidRPr="004A4A47" w:rsidRDefault="00637BC0" w:rsidP="00637BC0">
            <w:pPr>
              <w:jc w:val="center"/>
              <w:rPr>
                <w:b/>
                <w:bCs/>
                <w:sz w:val="18"/>
                <w:szCs w:val="18"/>
              </w:rPr>
            </w:pPr>
            <w:r w:rsidRPr="004A4A47">
              <w:rPr>
                <w:sz w:val="18"/>
                <w:szCs w:val="18"/>
              </w:rPr>
              <w:t>1.241</w:t>
            </w:r>
          </w:p>
        </w:tc>
        <w:tc>
          <w:tcPr>
            <w:tcW w:w="992" w:type="dxa"/>
            <w:gridSpan w:val="2"/>
            <w:tcBorders>
              <w:top w:val="nil"/>
              <w:left w:val="nil"/>
              <w:bottom w:val="single" w:sz="2" w:space="0" w:color="auto"/>
              <w:right w:val="nil"/>
            </w:tcBorders>
            <w:vAlign w:val="center"/>
          </w:tcPr>
          <w:p w14:paraId="53E5D344" w14:textId="629EDFD2" w:rsidR="00637BC0" w:rsidRPr="004A4A47" w:rsidRDefault="00637BC0" w:rsidP="00637BC0">
            <w:pPr>
              <w:jc w:val="center"/>
              <w:rPr>
                <w:b/>
                <w:bCs/>
                <w:sz w:val="18"/>
                <w:szCs w:val="18"/>
              </w:rPr>
            </w:pPr>
            <w:r w:rsidRPr="004A4A47">
              <w:rPr>
                <w:sz w:val="18"/>
                <w:szCs w:val="18"/>
              </w:rPr>
              <w:t>18.361</w:t>
            </w:r>
          </w:p>
        </w:tc>
        <w:tc>
          <w:tcPr>
            <w:tcW w:w="945" w:type="dxa"/>
            <w:gridSpan w:val="2"/>
            <w:tcBorders>
              <w:top w:val="nil"/>
              <w:left w:val="nil"/>
              <w:bottom w:val="single" w:sz="2" w:space="0" w:color="auto"/>
              <w:right w:val="nil"/>
            </w:tcBorders>
            <w:vAlign w:val="center"/>
          </w:tcPr>
          <w:p w14:paraId="32E6BE95" w14:textId="03FD6B89" w:rsidR="00637BC0" w:rsidRPr="004A4A47" w:rsidRDefault="00637BC0" w:rsidP="00637BC0">
            <w:pPr>
              <w:jc w:val="center"/>
              <w:rPr>
                <w:b/>
                <w:bCs/>
                <w:sz w:val="18"/>
                <w:szCs w:val="18"/>
              </w:rPr>
            </w:pPr>
            <w:r w:rsidRPr="004A4A47">
              <w:rPr>
                <w:sz w:val="18"/>
                <w:szCs w:val="18"/>
              </w:rPr>
              <w:t>--</w:t>
            </w:r>
          </w:p>
        </w:tc>
        <w:tc>
          <w:tcPr>
            <w:tcW w:w="945" w:type="dxa"/>
            <w:gridSpan w:val="2"/>
            <w:tcBorders>
              <w:top w:val="nil"/>
              <w:left w:val="nil"/>
              <w:bottom w:val="single" w:sz="2" w:space="0" w:color="auto"/>
              <w:right w:val="nil"/>
            </w:tcBorders>
            <w:vAlign w:val="center"/>
          </w:tcPr>
          <w:p w14:paraId="592A1CAA" w14:textId="77777777" w:rsidR="00637BC0" w:rsidRPr="004A4A47" w:rsidRDefault="00637BC0" w:rsidP="00637BC0">
            <w:pPr>
              <w:jc w:val="center"/>
              <w:rPr>
                <w:b/>
                <w:bCs/>
                <w:sz w:val="18"/>
                <w:szCs w:val="18"/>
              </w:rPr>
            </w:pPr>
          </w:p>
        </w:tc>
        <w:tc>
          <w:tcPr>
            <w:tcW w:w="928" w:type="dxa"/>
            <w:gridSpan w:val="2"/>
            <w:tcBorders>
              <w:top w:val="nil"/>
              <w:left w:val="nil"/>
              <w:bottom w:val="single" w:sz="2" w:space="0" w:color="auto"/>
              <w:right w:val="nil"/>
            </w:tcBorders>
            <w:vAlign w:val="center"/>
          </w:tcPr>
          <w:p w14:paraId="3F9A8AFC" w14:textId="2C131DFE" w:rsidR="00637BC0" w:rsidRPr="004A4A47" w:rsidRDefault="00637BC0" w:rsidP="00637BC0">
            <w:pPr>
              <w:jc w:val="center"/>
              <w:rPr>
                <w:b/>
                <w:bCs/>
                <w:sz w:val="18"/>
                <w:szCs w:val="18"/>
              </w:rPr>
            </w:pPr>
            <w:r w:rsidRPr="004A4A47">
              <w:rPr>
                <w:sz w:val="18"/>
                <w:szCs w:val="18"/>
              </w:rPr>
              <w:t>--</w:t>
            </w:r>
          </w:p>
        </w:tc>
        <w:tc>
          <w:tcPr>
            <w:tcW w:w="914" w:type="dxa"/>
            <w:gridSpan w:val="2"/>
            <w:tcBorders>
              <w:top w:val="nil"/>
              <w:left w:val="nil"/>
              <w:bottom w:val="single" w:sz="2" w:space="0" w:color="auto"/>
              <w:right w:val="single" w:sz="12" w:space="0" w:color="auto"/>
            </w:tcBorders>
            <w:vAlign w:val="center"/>
          </w:tcPr>
          <w:p w14:paraId="26D2CE99" w14:textId="77777777" w:rsidR="00637BC0" w:rsidRPr="004A4A47" w:rsidRDefault="00637BC0" w:rsidP="00637BC0">
            <w:pPr>
              <w:jc w:val="center"/>
              <w:rPr>
                <w:b/>
                <w:bCs/>
                <w:sz w:val="18"/>
                <w:szCs w:val="18"/>
              </w:rPr>
            </w:pPr>
          </w:p>
        </w:tc>
      </w:tr>
      <w:tr w:rsidR="00637BC0" w:rsidRPr="00677CE8" w14:paraId="3EB587AD" w14:textId="77777777" w:rsidTr="00E83B07">
        <w:trPr>
          <w:gridAfter w:val="1"/>
          <w:wAfter w:w="7" w:type="dxa"/>
          <w:trHeight w:val="20"/>
        </w:trPr>
        <w:tc>
          <w:tcPr>
            <w:tcW w:w="4305" w:type="dxa"/>
            <w:tcBorders>
              <w:top w:val="single" w:sz="2" w:space="0" w:color="auto"/>
              <w:left w:val="single" w:sz="12" w:space="0" w:color="auto"/>
              <w:bottom w:val="nil"/>
              <w:right w:val="nil"/>
            </w:tcBorders>
          </w:tcPr>
          <w:p w14:paraId="144BE069" w14:textId="74726E17" w:rsidR="00637BC0" w:rsidRPr="004A4A47" w:rsidRDefault="00637BC0" w:rsidP="00E83B07">
            <w:pPr>
              <w:ind w:left="150" w:hanging="150"/>
              <w:rPr>
                <w:b/>
                <w:bCs/>
                <w:sz w:val="18"/>
                <w:szCs w:val="18"/>
              </w:rPr>
            </w:pPr>
            <w:r w:rsidRPr="004A4A47">
              <w:rPr>
                <w:color w:val="000000"/>
                <w:sz w:val="18"/>
                <w:szCs w:val="18"/>
              </w:rPr>
              <w:t>I am concerned about UAM making too much noise in residential areas.</w:t>
            </w:r>
          </w:p>
        </w:tc>
        <w:tc>
          <w:tcPr>
            <w:tcW w:w="991" w:type="dxa"/>
            <w:tcBorders>
              <w:top w:val="single" w:sz="2" w:space="0" w:color="auto"/>
              <w:left w:val="nil"/>
              <w:bottom w:val="nil"/>
              <w:right w:val="nil"/>
            </w:tcBorders>
            <w:vAlign w:val="center"/>
          </w:tcPr>
          <w:p w14:paraId="3DECE9B2" w14:textId="64F659DF" w:rsidR="00637BC0" w:rsidRPr="004A4A47" w:rsidRDefault="00637BC0" w:rsidP="00637BC0">
            <w:pPr>
              <w:jc w:val="center"/>
              <w:rPr>
                <w:b/>
                <w:bCs/>
                <w:sz w:val="18"/>
                <w:szCs w:val="18"/>
              </w:rPr>
            </w:pPr>
            <w:r w:rsidRPr="004A4A47">
              <w:rPr>
                <w:sz w:val="18"/>
                <w:szCs w:val="18"/>
              </w:rPr>
              <w:t>--</w:t>
            </w:r>
          </w:p>
        </w:tc>
        <w:tc>
          <w:tcPr>
            <w:tcW w:w="992" w:type="dxa"/>
            <w:gridSpan w:val="2"/>
            <w:tcBorders>
              <w:top w:val="single" w:sz="2" w:space="0" w:color="auto"/>
              <w:left w:val="nil"/>
              <w:bottom w:val="nil"/>
              <w:right w:val="nil"/>
            </w:tcBorders>
            <w:vAlign w:val="center"/>
          </w:tcPr>
          <w:p w14:paraId="44CE39CC" w14:textId="77777777" w:rsidR="00637BC0" w:rsidRPr="004A4A47" w:rsidRDefault="00637BC0" w:rsidP="00637BC0">
            <w:pPr>
              <w:jc w:val="center"/>
              <w:rPr>
                <w:b/>
                <w:bCs/>
                <w:sz w:val="18"/>
                <w:szCs w:val="18"/>
              </w:rPr>
            </w:pPr>
          </w:p>
        </w:tc>
        <w:tc>
          <w:tcPr>
            <w:tcW w:w="945" w:type="dxa"/>
            <w:gridSpan w:val="2"/>
            <w:tcBorders>
              <w:top w:val="single" w:sz="2" w:space="0" w:color="auto"/>
              <w:left w:val="nil"/>
              <w:bottom w:val="nil"/>
              <w:right w:val="nil"/>
            </w:tcBorders>
            <w:vAlign w:val="center"/>
          </w:tcPr>
          <w:p w14:paraId="368C14E3" w14:textId="59E2A10B" w:rsidR="00637BC0" w:rsidRPr="004A4A47" w:rsidRDefault="00637BC0" w:rsidP="00637BC0">
            <w:pPr>
              <w:jc w:val="center"/>
              <w:rPr>
                <w:b/>
                <w:bCs/>
                <w:sz w:val="18"/>
                <w:szCs w:val="18"/>
              </w:rPr>
            </w:pPr>
            <w:r w:rsidRPr="004A4A47">
              <w:rPr>
                <w:sz w:val="18"/>
                <w:szCs w:val="18"/>
              </w:rPr>
              <w:t>1.156</w:t>
            </w:r>
          </w:p>
        </w:tc>
        <w:tc>
          <w:tcPr>
            <w:tcW w:w="945" w:type="dxa"/>
            <w:gridSpan w:val="2"/>
            <w:tcBorders>
              <w:top w:val="single" w:sz="2" w:space="0" w:color="auto"/>
              <w:left w:val="nil"/>
              <w:bottom w:val="nil"/>
              <w:right w:val="nil"/>
            </w:tcBorders>
            <w:vAlign w:val="center"/>
          </w:tcPr>
          <w:p w14:paraId="370A10C6" w14:textId="66490573" w:rsidR="00637BC0" w:rsidRPr="004A4A47" w:rsidRDefault="00637BC0" w:rsidP="00637BC0">
            <w:pPr>
              <w:jc w:val="center"/>
              <w:rPr>
                <w:b/>
                <w:bCs/>
                <w:sz w:val="18"/>
                <w:szCs w:val="18"/>
              </w:rPr>
            </w:pPr>
            <w:r w:rsidRPr="004A4A47">
              <w:rPr>
                <w:sz w:val="18"/>
                <w:szCs w:val="18"/>
              </w:rPr>
              <w:t>15.426</w:t>
            </w:r>
          </w:p>
        </w:tc>
        <w:tc>
          <w:tcPr>
            <w:tcW w:w="928" w:type="dxa"/>
            <w:gridSpan w:val="2"/>
            <w:tcBorders>
              <w:top w:val="single" w:sz="2" w:space="0" w:color="auto"/>
              <w:left w:val="nil"/>
              <w:bottom w:val="nil"/>
              <w:right w:val="nil"/>
            </w:tcBorders>
            <w:vAlign w:val="center"/>
          </w:tcPr>
          <w:p w14:paraId="18323A46" w14:textId="1A63008B" w:rsidR="00637BC0" w:rsidRPr="004A4A47" w:rsidRDefault="00637BC0" w:rsidP="00637BC0">
            <w:pPr>
              <w:jc w:val="center"/>
              <w:rPr>
                <w:b/>
                <w:bCs/>
                <w:sz w:val="18"/>
                <w:szCs w:val="18"/>
              </w:rPr>
            </w:pPr>
            <w:r w:rsidRPr="004A4A47">
              <w:rPr>
                <w:sz w:val="18"/>
                <w:szCs w:val="18"/>
              </w:rPr>
              <w:t>--</w:t>
            </w:r>
          </w:p>
        </w:tc>
        <w:tc>
          <w:tcPr>
            <w:tcW w:w="914" w:type="dxa"/>
            <w:gridSpan w:val="2"/>
            <w:tcBorders>
              <w:top w:val="single" w:sz="2" w:space="0" w:color="auto"/>
              <w:left w:val="nil"/>
              <w:bottom w:val="nil"/>
              <w:right w:val="single" w:sz="12" w:space="0" w:color="auto"/>
            </w:tcBorders>
            <w:vAlign w:val="center"/>
          </w:tcPr>
          <w:p w14:paraId="59F247B3" w14:textId="77777777" w:rsidR="00637BC0" w:rsidRPr="004A4A47" w:rsidRDefault="00637BC0" w:rsidP="00637BC0">
            <w:pPr>
              <w:jc w:val="center"/>
              <w:rPr>
                <w:b/>
                <w:bCs/>
                <w:sz w:val="18"/>
                <w:szCs w:val="18"/>
              </w:rPr>
            </w:pPr>
          </w:p>
        </w:tc>
      </w:tr>
      <w:tr w:rsidR="00637BC0" w:rsidRPr="00677CE8" w14:paraId="1E0DDE63" w14:textId="77777777" w:rsidTr="00E83B07">
        <w:trPr>
          <w:gridAfter w:val="1"/>
          <w:wAfter w:w="7" w:type="dxa"/>
          <w:trHeight w:val="20"/>
        </w:trPr>
        <w:tc>
          <w:tcPr>
            <w:tcW w:w="4305" w:type="dxa"/>
            <w:tcBorders>
              <w:top w:val="nil"/>
              <w:left w:val="single" w:sz="12" w:space="0" w:color="auto"/>
              <w:bottom w:val="single" w:sz="2" w:space="0" w:color="auto"/>
              <w:right w:val="nil"/>
            </w:tcBorders>
          </w:tcPr>
          <w:p w14:paraId="5522D608" w14:textId="6318A052" w:rsidR="00637BC0" w:rsidRPr="004A4A47" w:rsidRDefault="00637BC0" w:rsidP="00E83B07">
            <w:pPr>
              <w:ind w:left="150" w:hanging="150"/>
              <w:rPr>
                <w:b/>
                <w:bCs/>
                <w:sz w:val="18"/>
                <w:szCs w:val="18"/>
              </w:rPr>
            </w:pPr>
            <w:r w:rsidRPr="004A4A47">
              <w:rPr>
                <w:color w:val="000000"/>
                <w:sz w:val="18"/>
                <w:szCs w:val="18"/>
              </w:rPr>
              <w:t>I would not want to hear UAM noises near my home at night.</w:t>
            </w:r>
          </w:p>
        </w:tc>
        <w:tc>
          <w:tcPr>
            <w:tcW w:w="991" w:type="dxa"/>
            <w:tcBorders>
              <w:top w:val="nil"/>
              <w:left w:val="nil"/>
              <w:bottom w:val="single" w:sz="2" w:space="0" w:color="auto"/>
              <w:right w:val="nil"/>
            </w:tcBorders>
            <w:vAlign w:val="center"/>
          </w:tcPr>
          <w:p w14:paraId="3479D71C" w14:textId="42CB6319" w:rsidR="00637BC0" w:rsidRPr="004A4A47" w:rsidRDefault="00637BC0" w:rsidP="00637BC0">
            <w:pPr>
              <w:jc w:val="center"/>
              <w:rPr>
                <w:b/>
                <w:bCs/>
                <w:sz w:val="18"/>
                <w:szCs w:val="18"/>
              </w:rPr>
            </w:pPr>
            <w:r w:rsidRPr="004A4A47">
              <w:rPr>
                <w:sz w:val="18"/>
                <w:szCs w:val="18"/>
              </w:rPr>
              <w:t>--</w:t>
            </w:r>
          </w:p>
        </w:tc>
        <w:tc>
          <w:tcPr>
            <w:tcW w:w="992" w:type="dxa"/>
            <w:gridSpan w:val="2"/>
            <w:tcBorders>
              <w:top w:val="nil"/>
              <w:left w:val="nil"/>
              <w:bottom w:val="single" w:sz="2" w:space="0" w:color="auto"/>
              <w:right w:val="nil"/>
            </w:tcBorders>
            <w:vAlign w:val="center"/>
          </w:tcPr>
          <w:p w14:paraId="413E1DB8" w14:textId="77777777" w:rsidR="00637BC0" w:rsidRPr="004A4A47" w:rsidRDefault="00637BC0" w:rsidP="00637BC0">
            <w:pPr>
              <w:jc w:val="center"/>
              <w:rPr>
                <w:b/>
                <w:bCs/>
                <w:sz w:val="18"/>
                <w:szCs w:val="18"/>
              </w:rPr>
            </w:pPr>
          </w:p>
        </w:tc>
        <w:tc>
          <w:tcPr>
            <w:tcW w:w="945" w:type="dxa"/>
            <w:gridSpan w:val="2"/>
            <w:tcBorders>
              <w:top w:val="nil"/>
              <w:left w:val="nil"/>
              <w:bottom w:val="single" w:sz="2" w:space="0" w:color="auto"/>
              <w:right w:val="nil"/>
            </w:tcBorders>
            <w:vAlign w:val="center"/>
          </w:tcPr>
          <w:p w14:paraId="0706FFCD" w14:textId="0FA592D9" w:rsidR="00637BC0" w:rsidRPr="004A4A47" w:rsidRDefault="00637BC0" w:rsidP="00637BC0">
            <w:pPr>
              <w:jc w:val="center"/>
              <w:rPr>
                <w:b/>
                <w:bCs/>
                <w:sz w:val="18"/>
                <w:szCs w:val="18"/>
              </w:rPr>
            </w:pPr>
            <w:r w:rsidRPr="004A4A47">
              <w:rPr>
                <w:sz w:val="18"/>
                <w:szCs w:val="18"/>
              </w:rPr>
              <w:t>1.197</w:t>
            </w:r>
          </w:p>
        </w:tc>
        <w:tc>
          <w:tcPr>
            <w:tcW w:w="945" w:type="dxa"/>
            <w:gridSpan w:val="2"/>
            <w:tcBorders>
              <w:top w:val="nil"/>
              <w:left w:val="nil"/>
              <w:bottom w:val="single" w:sz="2" w:space="0" w:color="auto"/>
              <w:right w:val="nil"/>
            </w:tcBorders>
            <w:vAlign w:val="center"/>
          </w:tcPr>
          <w:p w14:paraId="32901ACA" w14:textId="5DFF3D5C" w:rsidR="00637BC0" w:rsidRPr="004A4A47" w:rsidRDefault="00637BC0" w:rsidP="00637BC0">
            <w:pPr>
              <w:jc w:val="center"/>
              <w:rPr>
                <w:b/>
                <w:bCs/>
                <w:sz w:val="18"/>
                <w:szCs w:val="18"/>
              </w:rPr>
            </w:pPr>
            <w:r w:rsidRPr="004A4A47">
              <w:rPr>
                <w:sz w:val="18"/>
                <w:szCs w:val="18"/>
              </w:rPr>
              <w:t>9.586</w:t>
            </w:r>
          </w:p>
        </w:tc>
        <w:tc>
          <w:tcPr>
            <w:tcW w:w="928" w:type="dxa"/>
            <w:gridSpan w:val="2"/>
            <w:tcBorders>
              <w:top w:val="nil"/>
              <w:left w:val="nil"/>
              <w:bottom w:val="single" w:sz="2" w:space="0" w:color="auto"/>
              <w:right w:val="nil"/>
            </w:tcBorders>
            <w:vAlign w:val="center"/>
          </w:tcPr>
          <w:p w14:paraId="5D607D84" w14:textId="23E1EAE9" w:rsidR="00637BC0" w:rsidRPr="004A4A47" w:rsidRDefault="00637BC0" w:rsidP="00637BC0">
            <w:pPr>
              <w:jc w:val="center"/>
              <w:rPr>
                <w:b/>
                <w:bCs/>
                <w:sz w:val="18"/>
                <w:szCs w:val="18"/>
              </w:rPr>
            </w:pPr>
            <w:r w:rsidRPr="004A4A47">
              <w:rPr>
                <w:sz w:val="18"/>
                <w:szCs w:val="18"/>
              </w:rPr>
              <w:t>--</w:t>
            </w:r>
          </w:p>
        </w:tc>
        <w:tc>
          <w:tcPr>
            <w:tcW w:w="914" w:type="dxa"/>
            <w:gridSpan w:val="2"/>
            <w:tcBorders>
              <w:top w:val="nil"/>
              <w:left w:val="nil"/>
              <w:bottom w:val="single" w:sz="2" w:space="0" w:color="auto"/>
              <w:right w:val="single" w:sz="12" w:space="0" w:color="auto"/>
            </w:tcBorders>
            <w:vAlign w:val="center"/>
          </w:tcPr>
          <w:p w14:paraId="59BC0B64" w14:textId="77777777" w:rsidR="00637BC0" w:rsidRPr="004A4A47" w:rsidRDefault="00637BC0" w:rsidP="00637BC0">
            <w:pPr>
              <w:jc w:val="center"/>
              <w:rPr>
                <w:b/>
                <w:bCs/>
                <w:sz w:val="18"/>
                <w:szCs w:val="18"/>
              </w:rPr>
            </w:pPr>
          </w:p>
        </w:tc>
      </w:tr>
      <w:tr w:rsidR="00637BC0" w:rsidRPr="00677CE8" w14:paraId="757CCE09" w14:textId="77777777" w:rsidTr="00E83B07">
        <w:trPr>
          <w:gridAfter w:val="1"/>
          <w:wAfter w:w="7" w:type="dxa"/>
          <w:trHeight w:val="20"/>
        </w:trPr>
        <w:tc>
          <w:tcPr>
            <w:tcW w:w="4305" w:type="dxa"/>
            <w:tcBorders>
              <w:top w:val="single" w:sz="2" w:space="0" w:color="auto"/>
              <w:left w:val="single" w:sz="12" w:space="0" w:color="auto"/>
              <w:bottom w:val="nil"/>
              <w:right w:val="nil"/>
            </w:tcBorders>
          </w:tcPr>
          <w:p w14:paraId="7340E353" w14:textId="2CFDA31E" w:rsidR="00637BC0" w:rsidRPr="004A4A47" w:rsidRDefault="00637BC0" w:rsidP="00E83B07">
            <w:pPr>
              <w:ind w:left="150" w:hanging="150"/>
              <w:rPr>
                <w:b/>
                <w:bCs/>
                <w:sz w:val="18"/>
                <w:szCs w:val="18"/>
              </w:rPr>
            </w:pPr>
            <w:r w:rsidRPr="004A4A47">
              <w:rPr>
                <w:color w:val="000000"/>
                <w:sz w:val="18"/>
                <w:szCs w:val="18"/>
              </w:rPr>
              <w:t>The time I spend traveling to places provides a useful transition between activities.</w:t>
            </w:r>
          </w:p>
        </w:tc>
        <w:tc>
          <w:tcPr>
            <w:tcW w:w="991" w:type="dxa"/>
            <w:tcBorders>
              <w:top w:val="single" w:sz="2" w:space="0" w:color="auto"/>
              <w:left w:val="nil"/>
              <w:bottom w:val="nil"/>
              <w:right w:val="nil"/>
            </w:tcBorders>
            <w:vAlign w:val="center"/>
          </w:tcPr>
          <w:p w14:paraId="1B5DD3CD" w14:textId="196791C3" w:rsidR="00637BC0" w:rsidRPr="004A4A47" w:rsidRDefault="00637BC0" w:rsidP="00637BC0">
            <w:pPr>
              <w:jc w:val="center"/>
              <w:rPr>
                <w:b/>
                <w:bCs/>
                <w:sz w:val="18"/>
                <w:szCs w:val="18"/>
              </w:rPr>
            </w:pPr>
            <w:r w:rsidRPr="004A4A47">
              <w:rPr>
                <w:sz w:val="18"/>
                <w:szCs w:val="18"/>
              </w:rPr>
              <w:t>--</w:t>
            </w:r>
          </w:p>
        </w:tc>
        <w:tc>
          <w:tcPr>
            <w:tcW w:w="992" w:type="dxa"/>
            <w:gridSpan w:val="2"/>
            <w:tcBorders>
              <w:top w:val="single" w:sz="2" w:space="0" w:color="auto"/>
              <w:left w:val="nil"/>
              <w:bottom w:val="nil"/>
              <w:right w:val="nil"/>
            </w:tcBorders>
            <w:vAlign w:val="center"/>
          </w:tcPr>
          <w:p w14:paraId="799321A2" w14:textId="77777777" w:rsidR="00637BC0" w:rsidRPr="004A4A47" w:rsidRDefault="00637BC0" w:rsidP="00637BC0">
            <w:pPr>
              <w:jc w:val="center"/>
              <w:rPr>
                <w:b/>
                <w:bCs/>
                <w:sz w:val="18"/>
                <w:szCs w:val="18"/>
              </w:rPr>
            </w:pPr>
          </w:p>
        </w:tc>
        <w:tc>
          <w:tcPr>
            <w:tcW w:w="945" w:type="dxa"/>
            <w:gridSpan w:val="2"/>
            <w:tcBorders>
              <w:top w:val="single" w:sz="2" w:space="0" w:color="auto"/>
              <w:left w:val="nil"/>
              <w:bottom w:val="nil"/>
              <w:right w:val="nil"/>
            </w:tcBorders>
            <w:vAlign w:val="center"/>
          </w:tcPr>
          <w:p w14:paraId="1C7E2C9B" w14:textId="354FB3D7" w:rsidR="00637BC0" w:rsidRPr="004A4A47" w:rsidRDefault="00637BC0" w:rsidP="00637BC0">
            <w:pPr>
              <w:jc w:val="center"/>
              <w:rPr>
                <w:b/>
                <w:bCs/>
                <w:sz w:val="18"/>
                <w:szCs w:val="18"/>
              </w:rPr>
            </w:pPr>
            <w:r w:rsidRPr="004A4A47">
              <w:rPr>
                <w:sz w:val="18"/>
                <w:szCs w:val="18"/>
              </w:rPr>
              <w:t>--</w:t>
            </w:r>
          </w:p>
        </w:tc>
        <w:tc>
          <w:tcPr>
            <w:tcW w:w="945" w:type="dxa"/>
            <w:gridSpan w:val="2"/>
            <w:tcBorders>
              <w:top w:val="single" w:sz="2" w:space="0" w:color="auto"/>
              <w:left w:val="nil"/>
              <w:bottom w:val="nil"/>
              <w:right w:val="nil"/>
            </w:tcBorders>
            <w:vAlign w:val="center"/>
          </w:tcPr>
          <w:p w14:paraId="2F81E763" w14:textId="77777777" w:rsidR="00637BC0" w:rsidRPr="004A4A47" w:rsidRDefault="00637BC0" w:rsidP="00637BC0">
            <w:pPr>
              <w:jc w:val="center"/>
              <w:rPr>
                <w:b/>
                <w:bCs/>
                <w:sz w:val="18"/>
                <w:szCs w:val="18"/>
              </w:rPr>
            </w:pPr>
          </w:p>
        </w:tc>
        <w:tc>
          <w:tcPr>
            <w:tcW w:w="928" w:type="dxa"/>
            <w:gridSpan w:val="2"/>
            <w:tcBorders>
              <w:top w:val="single" w:sz="2" w:space="0" w:color="auto"/>
              <w:left w:val="nil"/>
              <w:bottom w:val="nil"/>
              <w:right w:val="nil"/>
            </w:tcBorders>
            <w:vAlign w:val="center"/>
          </w:tcPr>
          <w:p w14:paraId="259699D5" w14:textId="4DB31C51" w:rsidR="00637BC0" w:rsidRPr="004A4A47" w:rsidRDefault="00637BC0" w:rsidP="00637BC0">
            <w:pPr>
              <w:jc w:val="center"/>
              <w:rPr>
                <w:b/>
                <w:bCs/>
                <w:sz w:val="18"/>
                <w:szCs w:val="18"/>
              </w:rPr>
            </w:pPr>
            <w:r w:rsidRPr="004A4A47">
              <w:rPr>
                <w:sz w:val="18"/>
                <w:szCs w:val="18"/>
              </w:rPr>
              <w:t>0.944</w:t>
            </w:r>
          </w:p>
        </w:tc>
        <w:tc>
          <w:tcPr>
            <w:tcW w:w="914" w:type="dxa"/>
            <w:gridSpan w:val="2"/>
            <w:tcBorders>
              <w:top w:val="single" w:sz="2" w:space="0" w:color="auto"/>
              <w:left w:val="nil"/>
              <w:bottom w:val="nil"/>
              <w:right w:val="single" w:sz="12" w:space="0" w:color="auto"/>
            </w:tcBorders>
            <w:vAlign w:val="center"/>
          </w:tcPr>
          <w:p w14:paraId="1D984431" w14:textId="6B5227C4" w:rsidR="00637BC0" w:rsidRPr="004A4A47" w:rsidRDefault="00637BC0" w:rsidP="00637BC0">
            <w:pPr>
              <w:jc w:val="center"/>
              <w:rPr>
                <w:b/>
                <w:bCs/>
                <w:sz w:val="18"/>
                <w:szCs w:val="18"/>
              </w:rPr>
            </w:pPr>
            <w:r w:rsidRPr="004A4A47">
              <w:rPr>
                <w:sz w:val="18"/>
                <w:szCs w:val="18"/>
              </w:rPr>
              <w:t>10.401</w:t>
            </w:r>
          </w:p>
        </w:tc>
      </w:tr>
      <w:tr w:rsidR="00637BC0" w:rsidRPr="00677CE8" w14:paraId="662399E7" w14:textId="77777777" w:rsidTr="00E83B07">
        <w:trPr>
          <w:gridAfter w:val="1"/>
          <w:wAfter w:w="7" w:type="dxa"/>
          <w:trHeight w:val="20"/>
        </w:trPr>
        <w:tc>
          <w:tcPr>
            <w:tcW w:w="4305" w:type="dxa"/>
            <w:tcBorders>
              <w:top w:val="nil"/>
              <w:left w:val="single" w:sz="12" w:space="0" w:color="auto"/>
              <w:bottom w:val="single" w:sz="12" w:space="0" w:color="auto"/>
              <w:right w:val="nil"/>
            </w:tcBorders>
          </w:tcPr>
          <w:p w14:paraId="4FF91EFD" w14:textId="49CC69F6" w:rsidR="00637BC0" w:rsidRPr="004A4A47" w:rsidRDefault="00637BC0" w:rsidP="00637BC0">
            <w:pPr>
              <w:rPr>
                <w:b/>
                <w:bCs/>
                <w:sz w:val="18"/>
                <w:szCs w:val="18"/>
              </w:rPr>
            </w:pPr>
            <w:r w:rsidRPr="004A4A47">
              <w:rPr>
                <w:color w:val="000000"/>
                <w:sz w:val="18"/>
                <w:szCs w:val="18"/>
              </w:rPr>
              <w:t>I make good use of the time I spend traveling.</w:t>
            </w:r>
          </w:p>
        </w:tc>
        <w:tc>
          <w:tcPr>
            <w:tcW w:w="991" w:type="dxa"/>
            <w:tcBorders>
              <w:top w:val="nil"/>
              <w:left w:val="nil"/>
              <w:bottom w:val="single" w:sz="12" w:space="0" w:color="auto"/>
              <w:right w:val="nil"/>
            </w:tcBorders>
            <w:vAlign w:val="center"/>
          </w:tcPr>
          <w:p w14:paraId="2326A328" w14:textId="4209E19A" w:rsidR="00637BC0" w:rsidRPr="004A4A47" w:rsidRDefault="00637BC0" w:rsidP="00637BC0">
            <w:pPr>
              <w:jc w:val="center"/>
              <w:rPr>
                <w:b/>
                <w:bCs/>
                <w:sz w:val="18"/>
                <w:szCs w:val="18"/>
              </w:rPr>
            </w:pPr>
            <w:r w:rsidRPr="004A4A47">
              <w:rPr>
                <w:sz w:val="18"/>
                <w:szCs w:val="18"/>
              </w:rPr>
              <w:t>--</w:t>
            </w:r>
          </w:p>
        </w:tc>
        <w:tc>
          <w:tcPr>
            <w:tcW w:w="992" w:type="dxa"/>
            <w:gridSpan w:val="2"/>
            <w:tcBorders>
              <w:top w:val="nil"/>
              <w:left w:val="nil"/>
              <w:bottom w:val="single" w:sz="12" w:space="0" w:color="auto"/>
              <w:right w:val="nil"/>
            </w:tcBorders>
            <w:vAlign w:val="center"/>
          </w:tcPr>
          <w:p w14:paraId="1C4E07CE" w14:textId="77777777" w:rsidR="00637BC0" w:rsidRPr="004A4A47" w:rsidRDefault="00637BC0" w:rsidP="00637BC0">
            <w:pPr>
              <w:jc w:val="center"/>
              <w:rPr>
                <w:b/>
                <w:bCs/>
                <w:sz w:val="18"/>
                <w:szCs w:val="18"/>
              </w:rPr>
            </w:pPr>
          </w:p>
        </w:tc>
        <w:tc>
          <w:tcPr>
            <w:tcW w:w="945" w:type="dxa"/>
            <w:gridSpan w:val="2"/>
            <w:tcBorders>
              <w:top w:val="nil"/>
              <w:left w:val="nil"/>
              <w:bottom w:val="single" w:sz="12" w:space="0" w:color="auto"/>
              <w:right w:val="nil"/>
            </w:tcBorders>
            <w:vAlign w:val="center"/>
          </w:tcPr>
          <w:p w14:paraId="788E2E3E" w14:textId="1020A59E" w:rsidR="00637BC0" w:rsidRPr="004A4A47" w:rsidRDefault="00637BC0" w:rsidP="00637BC0">
            <w:pPr>
              <w:jc w:val="center"/>
              <w:rPr>
                <w:b/>
                <w:bCs/>
                <w:sz w:val="18"/>
                <w:szCs w:val="18"/>
              </w:rPr>
            </w:pPr>
            <w:r w:rsidRPr="004A4A47">
              <w:rPr>
                <w:sz w:val="18"/>
                <w:szCs w:val="18"/>
              </w:rPr>
              <w:t>--</w:t>
            </w:r>
          </w:p>
        </w:tc>
        <w:tc>
          <w:tcPr>
            <w:tcW w:w="945" w:type="dxa"/>
            <w:gridSpan w:val="2"/>
            <w:tcBorders>
              <w:top w:val="nil"/>
              <w:left w:val="nil"/>
              <w:bottom w:val="single" w:sz="12" w:space="0" w:color="auto"/>
              <w:right w:val="nil"/>
            </w:tcBorders>
            <w:vAlign w:val="center"/>
          </w:tcPr>
          <w:p w14:paraId="0190FA83" w14:textId="77777777" w:rsidR="00637BC0" w:rsidRPr="004A4A47" w:rsidRDefault="00637BC0" w:rsidP="00637BC0">
            <w:pPr>
              <w:jc w:val="center"/>
              <w:rPr>
                <w:b/>
                <w:bCs/>
                <w:sz w:val="18"/>
                <w:szCs w:val="18"/>
              </w:rPr>
            </w:pPr>
          </w:p>
        </w:tc>
        <w:tc>
          <w:tcPr>
            <w:tcW w:w="928" w:type="dxa"/>
            <w:gridSpan w:val="2"/>
            <w:tcBorders>
              <w:top w:val="nil"/>
              <w:left w:val="nil"/>
              <w:bottom w:val="single" w:sz="12" w:space="0" w:color="auto"/>
              <w:right w:val="nil"/>
            </w:tcBorders>
            <w:vAlign w:val="center"/>
          </w:tcPr>
          <w:p w14:paraId="31E71BFA" w14:textId="4F7E5B9D" w:rsidR="00637BC0" w:rsidRPr="004A4A47" w:rsidRDefault="00637BC0" w:rsidP="00637BC0">
            <w:pPr>
              <w:jc w:val="center"/>
              <w:rPr>
                <w:b/>
                <w:bCs/>
                <w:sz w:val="18"/>
                <w:szCs w:val="18"/>
              </w:rPr>
            </w:pPr>
            <w:r w:rsidRPr="004A4A47">
              <w:rPr>
                <w:sz w:val="18"/>
                <w:szCs w:val="18"/>
              </w:rPr>
              <w:t>0.696</w:t>
            </w:r>
          </w:p>
        </w:tc>
        <w:tc>
          <w:tcPr>
            <w:tcW w:w="914" w:type="dxa"/>
            <w:gridSpan w:val="2"/>
            <w:tcBorders>
              <w:top w:val="nil"/>
              <w:left w:val="nil"/>
              <w:bottom w:val="single" w:sz="12" w:space="0" w:color="auto"/>
              <w:right w:val="single" w:sz="12" w:space="0" w:color="auto"/>
            </w:tcBorders>
            <w:vAlign w:val="center"/>
          </w:tcPr>
          <w:p w14:paraId="0A291BFE" w14:textId="3D8D7F3C" w:rsidR="00637BC0" w:rsidRPr="004A4A47" w:rsidRDefault="00637BC0" w:rsidP="00637BC0">
            <w:pPr>
              <w:jc w:val="center"/>
              <w:rPr>
                <w:b/>
                <w:bCs/>
                <w:sz w:val="18"/>
                <w:szCs w:val="18"/>
              </w:rPr>
            </w:pPr>
            <w:r w:rsidRPr="004A4A47">
              <w:rPr>
                <w:sz w:val="18"/>
                <w:szCs w:val="18"/>
              </w:rPr>
              <w:t>7.250</w:t>
            </w:r>
          </w:p>
        </w:tc>
      </w:tr>
      <w:tr w:rsidR="00637BC0" w:rsidRPr="00677CE8" w14:paraId="20A7F8E4" w14:textId="77777777" w:rsidTr="00E83B07">
        <w:trPr>
          <w:gridAfter w:val="1"/>
          <w:wAfter w:w="7" w:type="dxa"/>
          <w:trHeight w:val="20"/>
        </w:trPr>
        <w:tc>
          <w:tcPr>
            <w:tcW w:w="4305" w:type="dxa"/>
            <w:tcBorders>
              <w:top w:val="single" w:sz="12" w:space="0" w:color="auto"/>
              <w:left w:val="single" w:sz="12" w:space="0" w:color="auto"/>
              <w:bottom w:val="single" w:sz="12" w:space="0" w:color="auto"/>
              <w:right w:val="single" w:sz="12" w:space="0" w:color="auto"/>
            </w:tcBorders>
          </w:tcPr>
          <w:p w14:paraId="6DEBE928" w14:textId="2D321824" w:rsidR="00637BC0" w:rsidRPr="004A4A47" w:rsidRDefault="00637BC0" w:rsidP="00637BC0">
            <w:pPr>
              <w:rPr>
                <w:b/>
                <w:bCs/>
                <w:sz w:val="18"/>
                <w:szCs w:val="18"/>
              </w:rPr>
            </w:pPr>
            <w:r w:rsidRPr="004A4A47">
              <w:rPr>
                <w:b/>
                <w:bCs/>
                <w:sz w:val="18"/>
                <w:szCs w:val="18"/>
              </w:rPr>
              <w:t>Correlations Between Latent Variables</w:t>
            </w:r>
          </w:p>
        </w:tc>
        <w:tc>
          <w:tcPr>
            <w:tcW w:w="991" w:type="dxa"/>
            <w:tcBorders>
              <w:top w:val="single" w:sz="12" w:space="0" w:color="auto"/>
              <w:left w:val="single" w:sz="12" w:space="0" w:color="auto"/>
              <w:bottom w:val="single" w:sz="12" w:space="0" w:color="auto"/>
              <w:right w:val="nil"/>
            </w:tcBorders>
          </w:tcPr>
          <w:p w14:paraId="0E5CA6E2" w14:textId="63F75DC7" w:rsidR="00637BC0" w:rsidRPr="004A4A47" w:rsidRDefault="00637BC0" w:rsidP="00637BC0">
            <w:pPr>
              <w:jc w:val="center"/>
              <w:rPr>
                <w:b/>
                <w:bCs/>
                <w:sz w:val="18"/>
                <w:szCs w:val="18"/>
              </w:rPr>
            </w:pPr>
            <w:r w:rsidRPr="004A4A47">
              <w:rPr>
                <w:b/>
                <w:bCs/>
                <w:sz w:val="18"/>
                <w:szCs w:val="18"/>
              </w:rPr>
              <w:t>Coeff.</w:t>
            </w:r>
          </w:p>
        </w:tc>
        <w:tc>
          <w:tcPr>
            <w:tcW w:w="992" w:type="dxa"/>
            <w:gridSpan w:val="2"/>
            <w:tcBorders>
              <w:top w:val="single" w:sz="12" w:space="0" w:color="auto"/>
              <w:left w:val="nil"/>
              <w:bottom w:val="single" w:sz="12" w:space="0" w:color="auto"/>
              <w:right w:val="nil"/>
            </w:tcBorders>
          </w:tcPr>
          <w:p w14:paraId="137AEF9D" w14:textId="23D58B63" w:rsidR="00637BC0" w:rsidRPr="004A4A47" w:rsidRDefault="00637BC0" w:rsidP="00637BC0">
            <w:pPr>
              <w:jc w:val="center"/>
              <w:rPr>
                <w:b/>
                <w:bCs/>
                <w:sz w:val="18"/>
                <w:szCs w:val="18"/>
              </w:rPr>
            </w:pPr>
            <w:r w:rsidRPr="004A4A47">
              <w:rPr>
                <w:b/>
                <w:bCs/>
                <w:sz w:val="18"/>
                <w:szCs w:val="18"/>
              </w:rPr>
              <w:t>t-stat</w:t>
            </w:r>
          </w:p>
        </w:tc>
        <w:tc>
          <w:tcPr>
            <w:tcW w:w="945" w:type="dxa"/>
            <w:gridSpan w:val="2"/>
            <w:tcBorders>
              <w:top w:val="single" w:sz="12" w:space="0" w:color="auto"/>
              <w:left w:val="nil"/>
              <w:bottom w:val="single" w:sz="12" w:space="0" w:color="auto"/>
              <w:right w:val="nil"/>
            </w:tcBorders>
          </w:tcPr>
          <w:p w14:paraId="6E4726C2" w14:textId="75D4F08C" w:rsidR="00637BC0" w:rsidRPr="004A4A47" w:rsidRDefault="00637BC0" w:rsidP="00637BC0">
            <w:pPr>
              <w:jc w:val="center"/>
              <w:rPr>
                <w:b/>
                <w:bCs/>
                <w:sz w:val="18"/>
                <w:szCs w:val="18"/>
              </w:rPr>
            </w:pPr>
            <w:r w:rsidRPr="004A4A47">
              <w:rPr>
                <w:b/>
                <w:bCs/>
                <w:sz w:val="18"/>
                <w:szCs w:val="18"/>
              </w:rPr>
              <w:t>Coeff.</w:t>
            </w:r>
          </w:p>
        </w:tc>
        <w:tc>
          <w:tcPr>
            <w:tcW w:w="945" w:type="dxa"/>
            <w:gridSpan w:val="2"/>
            <w:tcBorders>
              <w:top w:val="single" w:sz="12" w:space="0" w:color="auto"/>
              <w:left w:val="nil"/>
              <w:bottom w:val="single" w:sz="12" w:space="0" w:color="auto"/>
              <w:right w:val="nil"/>
            </w:tcBorders>
          </w:tcPr>
          <w:p w14:paraId="3AA6E0AE" w14:textId="051D120A" w:rsidR="00637BC0" w:rsidRPr="004A4A47" w:rsidRDefault="00637BC0" w:rsidP="00637BC0">
            <w:pPr>
              <w:jc w:val="center"/>
              <w:rPr>
                <w:b/>
                <w:bCs/>
                <w:sz w:val="18"/>
                <w:szCs w:val="18"/>
              </w:rPr>
            </w:pPr>
            <w:r w:rsidRPr="004A4A47">
              <w:rPr>
                <w:b/>
                <w:bCs/>
                <w:sz w:val="18"/>
                <w:szCs w:val="18"/>
              </w:rPr>
              <w:t>t-stat</w:t>
            </w:r>
          </w:p>
        </w:tc>
        <w:tc>
          <w:tcPr>
            <w:tcW w:w="928" w:type="dxa"/>
            <w:gridSpan w:val="2"/>
            <w:tcBorders>
              <w:top w:val="single" w:sz="12" w:space="0" w:color="auto"/>
              <w:left w:val="nil"/>
              <w:bottom w:val="single" w:sz="12" w:space="0" w:color="auto"/>
              <w:right w:val="nil"/>
            </w:tcBorders>
          </w:tcPr>
          <w:p w14:paraId="2F0644F6" w14:textId="4749C1C1" w:rsidR="00637BC0" w:rsidRPr="004A4A47" w:rsidRDefault="00637BC0" w:rsidP="00637BC0">
            <w:pPr>
              <w:jc w:val="center"/>
              <w:rPr>
                <w:b/>
                <w:bCs/>
                <w:sz w:val="18"/>
                <w:szCs w:val="18"/>
              </w:rPr>
            </w:pPr>
            <w:r w:rsidRPr="004A4A47">
              <w:rPr>
                <w:b/>
                <w:bCs/>
                <w:sz w:val="18"/>
                <w:szCs w:val="18"/>
              </w:rPr>
              <w:t>Coeff.</w:t>
            </w:r>
          </w:p>
        </w:tc>
        <w:tc>
          <w:tcPr>
            <w:tcW w:w="914" w:type="dxa"/>
            <w:gridSpan w:val="2"/>
            <w:tcBorders>
              <w:top w:val="single" w:sz="12" w:space="0" w:color="auto"/>
              <w:left w:val="nil"/>
              <w:bottom w:val="single" w:sz="12" w:space="0" w:color="auto"/>
              <w:right w:val="single" w:sz="12" w:space="0" w:color="auto"/>
            </w:tcBorders>
          </w:tcPr>
          <w:p w14:paraId="1E904B5D" w14:textId="739AE4D3" w:rsidR="00637BC0" w:rsidRPr="004A4A47" w:rsidRDefault="00637BC0" w:rsidP="00637BC0">
            <w:pPr>
              <w:jc w:val="center"/>
              <w:rPr>
                <w:b/>
                <w:bCs/>
                <w:sz w:val="18"/>
                <w:szCs w:val="18"/>
              </w:rPr>
            </w:pPr>
            <w:r w:rsidRPr="004A4A47">
              <w:rPr>
                <w:b/>
                <w:bCs/>
                <w:sz w:val="18"/>
                <w:szCs w:val="18"/>
              </w:rPr>
              <w:t>t-stat</w:t>
            </w:r>
          </w:p>
        </w:tc>
      </w:tr>
      <w:tr w:rsidR="00637BC0" w:rsidRPr="00677CE8" w14:paraId="226AAF82" w14:textId="77777777" w:rsidTr="00E83B07">
        <w:trPr>
          <w:gridAfter w:val="1"/>
          <w:wAfter w:w="7" w:type="dxa"/>
          <w:trHeight w:val="20"/>
        </w:trPr>
        <w:tc>
          <w:tcPr>
            <w:tcW w:w="4305" w:type="dxa"/>
            <w:tcBorders>
              <w:top w:val="single" w:sz="12" w:space="0" w:color="auto"/>
              <w:left w:val="single" w:sz="12" w:space="0" w:color="auto"/>
              <w:bottom w:val="nil"/>
              <w:right w:val="nil"/>
            </w:tcBorders>
          </w:tcPr>
          <w:p w14:paraId="67040EF4" w14:textId="18495915" w:rsidR="00637BC0" w:rsidRPr="004A4A47" w:rsidRDefault="00637BC0" w:rsidP="00637BC0">
            <w:pPr>
              <w:rPr>
                <w:b/>
                <w:bCs/>
                <w:sz w:val="18"/>
                <w:szCs w:val="18"/>
              </w:rPr>
            </w:pPr>
            <w:r w:rsidRPr="004A4A47">
              <w:rPr>
                <w:sz w:val="18"/>
                <w:szCs w:val="18"/>
              </w:rPr>
              <w:t>Tech-Savviness</w:t>
            </w:r>
          </w:p>
        </w:tc>
        <w:tc>
          <w:tcPr>
            <w:tcW w:w="991" w:type="dxa"/>
            <w:tcBorders>
              <w:top w:val="single" w:sz="12" w:space="0" w:color="auto"/>
              <w:left w:val="nil"/>
              <w:bottom w:val="nil"/>
              <w:right w:val="nil"/>
            </w:tcBorders>
            <w:vAlign w:val="center"/>
          </w:tcPr>
          <w:p w14:paraId="21BE9576" w14:textId="50EB39CB" w:rsidR="00637BC0" w:rsidRPr="004A4A47" w:rsidRDefault="00637BC0" w:rsidP="00637BC0">
            <w:pPr>
              <w:jc w:val="center"/>
              <w:rPr>
                <w:b/>
                <w:bCs/>
                <w:sz w:val="18"/>
                <w:szCs w:val="18"/>
              </w:rPr>
            </w:pPr>
            <w:r w:rsidRPr="004A4A47">
              <w:rPr>
                <w:sz w:val="18"/>
                <w:szCs w:val="18"/>
              </w:rPr>
              <w:t>1.000</w:t>
            </w:r>
          </w:p>
        </w:tc>
        <w:tc>
          <w:tcPr>
            <w:tcW w:w="992" w:type="dxa"/>
            <w:gridSpan w:val="2"/>
            <w:tcBorders>
              <w:top w:val="single" w:sz="12" w:space="0" w:color="auto"/>
              <w:left w:val="nil"/>
              <w:bottom w:val="nil"/>
              <w:right w:val="nil"/>
            </w:tcBorders>
            <w:vAlign w:val="center"/>
          </w:tcPr>
          <w:p w14:paraId="27789C25" w14:textId="6B14FF4E" w:rsidR="00637BC0" w:rsidRPr="004A4A47" w:rsidRDefault="00637BC0" w:rsidP="00637BC0">
            <w:pPr>
              <w:jc w:val="center"/>
              <w:rPr>
                <w:b/>
                <w:bCs/>
                <w:sz w:val="18"/>
                <w:szCs w:val="18"/>
              </w:rPr>
            </w:pPr>
            <w:r w:rsidRPr="004A4A47">
              <w:rPr>
                <w:sz w:val="18"/>
                <w:szCs w:val="18"/>
              </w:rPr>
              <w:t>--</w:t>
            </w:r>
          </w:p>
        </w:tc>
        <w:tc>
          <w:tcPr>
            <w:tcW w:w="945" w:type="dxa"/>
            <w:gridSpan w:val="2"/>
            <w:tcBorders>
              <w:top w:val="single" w:sz="12" w:space="0" w:color="auto"/>
              <w:left w:val="nil"/>
              <w:bottom w:val="nil"/>
              <w:right w:val="nil"/>
            </w:tcBorders>
            <w:vAlign w:val="center"/>
          </w:tcPr>
          <w:p w14:paraId="590B0DD5" w14:textId="1F933605" w:rsidR="00637BC0" w:rsidRPr="004A4A47" w:rsidRDefault="00637BC0" w:rsidP="00637BC0">
            <w:pPr>
              <w:jc w:val="center"/>
              <w:rPr>
                <w:b/>
                <w:bCs/>
                <w:sz w:val="18"/>
                <w:szCs w:val="18"/>
              </w:rPr>
            </w:pPr>
            <w:r w:rsidRPr="004A4A47">
              <w:rPr>
                <w:sz w:val="18"/>
                <w:szCs w:val="18"/>
              </w:rPr>
              <w:t>-0.310</w:t>
            </w:r>
          </w:p>
        </w:tc>
        <w:tc>
          <w:tcPr>
            <w:tcW w:w="945" w:type="dxa"/>
            <w:gridSpan w:val="2"/>
            <w:tcBorders>
              <w:top w:val="single" w:sz="12" w:space="0" w:color="auto"/>
              <w:left w:val="nil"/>
              <w:bottom w:val="nil"/>
              <w:right w:val="nil"/>
            </w:tcBorders>
            <w:vAlign w:val="center"/>
          </w:tcPr>
          <w:p w14:paraId="181E8EC8" w14:textId="6D8C19D5" w:rsidR="00637BC0" w:rsidRPr="004A4A47" w:rsidRDefault="00637BC0" w:rsidP="00637BC0">
            <w:pPr>
              <w:jc w:val="center"/>
              <w:rPr>
                <w:b/>
                <w:bCs/>
                <w:sz w:val="18"/>
                <w:szCs w:val="18"/>
              </w:rPr>
            </w:pPr>
            <w:r w:rsidRPr="004A4A47">
              <w:rPr>
                <w:sz w:val="18"/>
                <w:szCs w:val="18"/>
              </w:rPr>
              <w:t>-3.314</w:t>
            </w:r>
          </w:p>
        </w:tc>
        <w:tc>
          <w:tcPr>
            <w:tcW w:w="928" w:type="dxa"/>
            <w:gridSpan w:val="2"/>
            <w:tcBorders>
              <w:top w:val="single" w:sz="12" w:space="0" w:color="auto"/>
              <w:left w:val="nil"/>
              <w:bottom w:val="nil"/>
              <w:right w:val="nil"/>
            </w:tcBorders>
            <w:vAlign w:val="center"/>
          </w:tcPr>
          <w:p w14:paraId="67583F6F" w14:textId="32C7ED2D" w:rsidR="00637BC0" w:rsidRPr="004A4A47" w:rsidRDefault="00637BC0" w:rsidP="00637BC0">
            <w:pPr>
              <w:jc w:val="center"/>
              <w:rPr>
                <w:b/>
                <w:bCs/>
                <w:sz w:val="18"/>
                <w:szCs w:val="18"/>
              </w:rPr>
            </w:pPr>
            <w:r w:rsidRPr="004A4A47">
              <w:rPr>
                <w:sz w:val="18"/>
                <w:szCs w:val="18"/>
              </w:rPr>
              <w:t>0.379</w:t>
            </w:r>
          </w:p>
        </w:tc>
        <w:tc>
          <w:tcPr>
            <w:tcW w:w="914" w:type="dxa"/>
            <w:gridSpan w:val="2"/>
            <w:tcBorders>
              <w:top w:val="single" w:sz="12" w:space="0" w:color="auto"/>
              <w:left w:val="nil"/>
              <w:bottom w:val="nil"/>
              <w:right w:val="single" w:sz="12" w:space="0" w:color="auto"/>
            </w:tcBorders>
            <w:vAlign w:val="center"/>
          </w:tcPr>
          <w:p w14:paraId="3F8668AE" w14:textId="3AE2A74C" w:rsidR="00637BC0" w:rsidRPr="004A4A47" w:rsidRDefault="00637BC0" w:rsidP="00637BC0">
            <w:pPr>
              <w:jc w:val="center"/>
              <w:rPr>
                <w:b/>
                <w:bCs/>
                <w:sz w:val="18"/>
                <w:szCs w:val="18"/>
              </w:rPr>
            </w:pPr>
            <w:r w:rsidRPr="004A4A47">
              <w:rPr>
                <w:sz w:val="18"/>
                <w:szCs w:val="18"/>
              </w:rPr>
              <w:t>6.027</w:t>
            </w:r>
          </w:p>
        </w:tc>
      </w:tr>
      <w:tr w:rsidR="00637BC0" w:rsidRPr="00677CE8" w14:paraId="5DFA6F77" w14:textId="77777777" w:rsidTr="00E83B07">
        <w:trPr>
          <w:gridAfter w:val="1"/>
          <w:wAfter w:w="7" w:type="dxa"/>
          <w:trHeight w:val="20"/>
        </w:trPr>
        <w:tc>
          <w:tcPr>
            <w:tcW w:w="4305" w:type="dxa"/>
            <w:tcBorders>
              <w:top w:val="nil"/>
              <w:left w:val="single" w:sz="12" w:space="0" w:color="auto"/>
              <w:bottom w:val="nil"/>
              <w:right w:val="nil"/>
            </w:tcBorders>
          </w:tcPr>
          <w:p w14:paraId="71DBCEF6" w14:textId="2438E12F" w:rsidR="00637BC0" w:rsidRPr="004A4A47" w:rsidRDefault="00637BC0" w:rsidP="00637BC0">
            <w:pPr>
              <w:rPr>
                <w:b/>
                <w:bCs/>
                <w:sz w:val="18"/>
                <w:szCs w:val="18"/>
              </w:rPr>
            </w:pPr>
            <w:r w:rsidRPr="004A4A47">
              <w:rPr>
                <w:sz w:val="18"/>
                <w:szCs w:val="18"/>
              </w:rPr>
              <w:t>UAM Noise Sensitivity</w:t>
            </w:r>
          </w:p>
        </w:tc>
        <w:tc>
          <w:tcPr>
            <w:tcW w:w="991" w:type="dxa"/>
            <w:tcBorders>
              <w:top w:val="nil"/>
              <w:left w:val="nil"/>
              <w:bottom w:val="nil"/>
              <w:right w:val="nil"/>
            </w:tcBorders>
            <w:vAlign w:val="center"/>
          </w:tcPr>
          <w:p w14:paraId="189FB12D" w14:textId="352381FF" w:rsidR="00637BC0" w:rsidRPr="004A4A47" w:rsidRDefault="00637BC0" w:rsidP="00637BC0">
            <w:pPr>
              <w:jc w:val="center"/>
              <w:rPr>
                <w:b/>
                <w:bCs/>
                <w:sz w:val="18"/>
                <w:szCs w:val="18"/>
              </w:rPr>
            </w:pPr>
            <w:r w:rsidRPr="004A4A47">
              <w:rPr>
                <w:sz w:val="18"/>
                <w:szCs w:val="18"/>
              </w:rPr>
              <w:t>--</w:t>
            </w:r>
          </w:p>
        </w:tc>
        <w:tc>
          <w:tcPr>
            <w:tcW w:w="992" w:type="dxa"/>
            <w:gridSpan w:val="2"/>
            <w:tcBorders>
              <w:top w:val="nil"/>
              <w:left w:val="nil"/>
              <w:bottom w:val="nil"/>
              <w:right w:val="nil"/>
            </w:tcBorders>
            <w:vAlign w:val="center"/>
          </w:tcPr>
          <w:p w14:paraId="415CBDED" w14:textId="2E3ED6C6" w:rsidR="00637BC0" w:rsidRPr="004A4A47" w:rsidRDefault="00637BC0" w:rsidP="00637BC0">
            <w:pPr>
              <w:jc w:val="center"/>
              <w:rPr>
                <w:b/>
                <w:bCs/>
                <w:sz w:val="18"/>
                <w:szCs w:val="18"/>
              </w:rPr>
            </w:pPr>
            <w:r w:rsidRPr="004A4A47">
              <w:rPr>
                <w:sz w:val="18"/>
                <w:szCs w:val="18"/>
              </w:rPr>
              <w:t>--</w:t>
            </w:r>
          </w:p>
        </w:tc>
        <w:tc>
          <w:tcPr>
            <w:tcW w:w="945" w:type="dxa"/>
            <w:gridSpan w:val="2"/>
            <w:tcBorders>
              <w:top w:val="nil"/>
              <w:left w:val="nil"/>
              <w:bottom w:val="nil"/>
              <w:right w:val="nil"/>
            </w:tcBorders>
            <w:vAlign w:val="center"/>
          </w:tcPr>
          <w:p w14:paraId="1DEEF7E1" w14:textId="3BC23A2E" w:rsidR="00637BC0" w:rsidRPr="004A4A47" w:rsidRDefault="00637BC0" w:rsidP="00637BC0">
            <w:pPr>
              <w:jc w:val="center"/>
              <w:rPr>
                <w:b/>
                <w:bCs/>
                <w:sz w:val="18"/>
                <w:szCs w:val="18"/>
              </w:rPr>
            </w:pPr>
            <w:r w:rsidRPr="004A4A47">
              <w:rPr>
                <w:color w:val="FFFFFF" w:themeColor="background1"/>
                <w:sz w:val="18"/>
                <w:szCs w:val="18"/>
              </w:rPr>
              <w:t>!</w:t>
            </w:r>
            <w:r w:rsidRPr="004A4A47">
              <w:rPr>
                <w:sz w:val="18"/>
                <w:szCs w:val="18"/>
              </w:rPr>
              <w:t>1.000</w:t>
            </w:r>
          </w:p>
        </w:tc>
        <w:tc>
          <w:tcPr>
            <w:tcW w:w="945" w:type="dxa"/>
            <w:gridSpan w:val="2"/>
            <w:tcBorders>
              <w:top w:val="nil"/>
              <w:left w:val="nil"/>
              <w:bottom w:val="nil"/>
              <w:right w:val="nil"/>
            </w:tcBorders>
            <w:vAlign w:val="center"/>
          </w:tcPr>
          <w:p w14:paraId="73A830DA" w14:textId="253EBECB" w:rsidR="00637BC0" w:rsidRPr="004A4A47" w:rsidRDefault="00637BC0" w:rsidP="00637BC0">
            <w:pPr>
              <w:jc w:val="center"/>
              <w:rPr>
                <w:b/>
                <w:bCs/>
                <w:sz w:val="18"/>
                <w:szCs w:val="18"/>
              </w:rPr>
            </w:pPr>
            <w:r w:rsidRPr="004A4A47">
              <w:rPr>
                <w:sz w:val="18"/>
                <w:szCs w:val="18"/>
              </w:rPr>
              <w:t>--</w:t>
            </w:r>
          </w:p>
        </w:tc>
        <w:tc>
          <w:tcPr>
            <w:tcW w:w="928" w:type="dxa"/>
            <w:gridSpan w:val="2"/>
            <w:tcBorders>
              <w:top w:val="nil"/>
              <w:left w:val="nil"/>
              <w:bottom w:val="nil"/>
              <w:right w:val="nil"/>
            </w:tcBorders>
            <w:vAlign w:val="center"/>
          </w:tcPr>
          <w:p w14:paraId="16670B4A" w14:textId="732A418B" w:rsidR="00637BC0" w:rsidRPr="004A4A47" w:rsidRDefault="00637BC0" w:rsidP="00637BC0">
            <w:pPr>
              <w:jc w:val="center"/>
              <w:rPr>
                <w:b/>
                <w:bCs/>
                <w:sz w:val="18"/>
                <w:szCs w:val="18"/>
              </w:rPr>
            </w:pPr>
            <w:r w:rsidRPr="004A4A47">
              <w:rPr>
                <w:sz w:val="18"/>
                <w:szCs w:val="18"/>
              </w:rPr>
              <w:t>-0.011</w:t>
            </w:r>
          </w:p>
        </w:tc>
        <w:tc>
          <w:tcPr>
            <w:tcW w:w="914" w:type="dxa"/>
            <w:gridSpan w:val="2"/>
            <w:tcBorders>
              <w:top w:val="nil"/>
              <w:left w:val="nil"/>
              <w:bottom w:val="nil"/>
              <w:right w:val="single" w:sz="12" w:space="0" w:color="auto"/>
            </w:tcBorders>
            <w:vAlign w:val="center"/>
          </w:tcPr>
          <w:p w14:paraId="0A28E589" w14:textId="37215C7F" w:rsidR="00637BC0" w:rsidRPr="004A4A47" w:rsidRDefault="00637BC0" w:rsidP="00637BC0">
            <w:pPr>
              <w:jc w:val="center"/>
              <w:rPr>
                <w:b/>
                <w:bCs/>
                <w:sz w:val="18"/>
                <w:szCs w:val="18"/>
              </w:rPr>
            </w:pPr>
            <w:r w:rsidRPr="004A4A47">
              <w:rPr>
                <w:sz w:val="18"/>
                <w:szCs w:val="18"/>
              </w:rPr>
              <w:t>-0.145</w:t>
            </w:r>
          </w:p>
        </w:tc>
      </w:tr>
      <w:tr w:rsidR="00637BC0" w:rsidRPr="00677CE8" w14:paraId="2E5FA4F8" w14:textId="77777777" w:rsidTr="00E83B07">
        <w:trPr>
          <w:gridAfter w:val="1"/>
          <w:wAfter w:w="7" w:type="dxa"/>
          <w:trHeight w:val="20"/>
        </w:trPr>
        <w:tc>
          <w:tcPr>
            <w:tcW w:w="4305" w:type="dxa"/>
            <w:tcBorders>
              <w:top w:val="nil"/>
              <w:left w:val="single" w:sz="12" w:space="0" w:color="auto"/>
              <w:bottom w:val="single" w:sz="12" w:space="0" w:color="auto"/>
              <w:right w:val="nil"/>
            </w:tcBorders>
            <w:vAlign w:val="center"/>
          </w:tcPr>
          <w:p w14:paraId="6B9318FF" w14:textId="15E6364D" w:rsidR="00637BC0" w:rsidRPr="004A4A47" w:rsidRDefault="00637BC0" w:rsidP="00637BC0">
            <w:pPr>
              <w:rPr>
                <w:b/>
                <w:bCs/>
                <w:sz w:val="18"/>
                <w:szCs w:val="18"/>
              </w:rPr>
            </w:pPr>
            <w:r w:rsidRPr="004A4A47">
              <w:rPr>
                <w:color w:val="000000"/>
                <w:sz w:val="18"/>
                <w:szCs w:val="18"/>
              </w:rPr>
              <w:t>Positive Travel Perceptions</w:t>
            </w:r>
          </w:p>
        </w:tc>
        <w:tc>
          <w:tcPr>
            <w:tcW w:w="991" w:type="dxa"/>
            <w:tcBorders>
              <w:top w:val="nil"/>
              <w:left w:val="nil"/>
              <w:bottom w:val="single" w:sz="12" w:space="0" w:color="auto"/>
              <w:right w:val="nil"/>
            </w:tcBorders>
            <w:vAlign w:val="center"/>
          </w:tcPr>
          <w:p w14:paraId="0532D6A4" w14:textId="3BBDEA5C" w:rsidR="00637BC0" w:rsidRPr="004A4A47" w:rsidRDefault="00637BC0" w:rsidP="00637BC0">
            <w:pPr>
              <w:jc w:val="center"/>
              <w:rPr>
                <w:b/>
                <w:bCs/>
                <w:sz w:val="18"/>
                <w:szCs w:val="18"/>
              </w:rPr>
            </w:pPr>
            <w:r w:rsidRPr="004A4A47">
              <w:rPr>
                <w:sz w:val="18"/>
                <w:szCs w:val="18"/>
              </w:rPr>
              <w:t>--</w:t>
            </w:r>
          </w:p>
        </w:tc>
        <w:tc>
          <w:tcPr>
            <w:tcW w:w="992" w:type="dxa"/>
            <w:gridSpan w:val="2"/>
            <w:tcBorders>
              <w:top w:val="nil"/>
              <w:left w:val="nil"/>
              <w:bottom w:val="single" w:sz="12" w:space="0" w:color="auto"/>
              <w:right w:val="nil"/>
            </w:tcBorders>
            <w:vAlign w:val="center"/>
          </w:tcPr>
          <w:p w14:paraId="0A61098E" w14:textId="7FD4A2B6" w:rsidR="00637BC0" w:rsidRPr="004A4A47" w:rsidRDefault="00637BC0" w:rsidP="00637BC0">
            <w:pPr>
              <w:jc w:val="center"/>
              <w:rPr>
                <w:b/>
                <w:bCs/>
                <w:sz w:val="18"/>
                <w:szCs w:val="18"/>
              </w:rPr>
            </w:pPr>
            <w:r w:rsidRPr="004A4A47">
              <w:rPr>
                <w:sz w:val="18"/>
                <w:szCs w:val="18"/>
              </w:rPr>
              <w:t>--</w:t>
            </w:r>
          </w:p>
        </w:tc>
        <w:tc>
          <w:tcPr>
            <w:tcW w:w="945" w:type="dxa"/>
            <w:gridSpan w:val="2"/>
            <w:tcBorders>
              <w:top w:val="nil"/>
              <w:left w:val="nil"/>
              <w:bottom w:val="single" w:sz="12" w:space="0" w:color="auto"/>
              <w:right w:val="nil"/>
            </w:tcBorders>
            <w:vAlign w:val="center"/>
          </w:tcPr>
          <w:p w14:paraId="47B83400" w14:textId="1B731169" w:rsidR="00637BC0" w:rsidRPr="004A4A47" w:rsidRDefault="00637BC0" w:rsidP="00637BC0">
            <w:pPr>
              <w:jc w:val="center"/>
              <w:rPr>
                <w:b/>
                <w:bCs/>
                <w:sz w:val="18"/>
                <w:szCs w:val="18"/>
              </w:rPr>
            </w:pPr>
            <w:r w:rsidRPr="004A4A47">
              <w:rPr>
                <w:sz w:val="18"/>
                <w:szCs w:val="18"/>
              </w:rPr>
              <w:t>--</w:t>
            </w:r>
          </w:p>
        </w:tc>
        <w:tc>
          <w:tcPr>
            <w:tcW w:w="945" w:type="dxa"/>
            <w:gridSpan w:val="2"/>
            <w:tcBorders>
              <w:top w:val="nil"/>
              <w:left w:val="nil"/>
              <w:bottom w:val="single" w:sz="12" w:space="0" w:color="auto"/>
              <w:right w:val="nil"/>
            </w:tcBorders>
            <w:vAlign w:val="center"/>
          </w:tcPr>
          <w:p w14:paraId="00AFAC4F" w14:textId="286FB533" w:rsidR="00637BC0" w:rsidRPr="004A4A47" w:rsidRDefault="00637BC0" w:rsidP="00637BC0">
            <w:pPr>
              <w:jc w:val="center"/>
              <w:rPr>
                <w:b/>
                <w:bCs/>
                <w:sz w:val="18"/>
                <w:szCs w:val="18"/>
              </w:rPr>
            </w:pPr>
            <w:r w:rsidRPr="004A4A47">
              <w:rPr>
                <w:sz w:val="18"/>
                <w:szCs w:val="18"/>
              </w:rPr>
              <w:t>--</w:t>
            </w:r>
          </w:p>
        </w:tc>
        <w:tc>
          <w:tcPr>
            <w:tcW w:w="928" w:type="dxa"/>
            <w:gridSpan w:val="2"/>
            <w:tcBorders>
              <w:top w:val="nil"/>
              <w:left w:val="nil"/>
              <w:bottom w:val="single" w:sz="12" w:space="0" w:color="auto"/>
              <w:right w:val="nil"/>
            </w:tcBorders>
            <w:vAlign w:val="center"/>
          </w:tcPr>
          <w:p w14:paraId="6E721109" w14:textId="60872703" w:rsidR="00637BC0" w:rsidRPr="004A4A47" w:rsidRDefault="00637BC0" w:rsidP="00637BC0">
            <w:pPr>
              <w:jc w:val="center"/>
              <w:rPr>
                <w:b/>
                <w:bCs/>
                <w:sz w:val="18"/>
                <w:szCs w:val="18"/>
              </w:rPr>
            </w:pPr>
            <w:r w:rsidRPr="004A4A47">
              <w:rPr>
                <w:sz w:val="18"/>
                <w:szCs w:val="18"/>
              </w:rPr>
              <w:t>1.000</w:t>
            </w:r>
          </w:p>
        </w:tc>
        <w:tc>
          <w:tcPr>
            <w:tcW w:w="914" w:type="dxa"/>
            <w:gridSpan w:val="2"/>
            <w:tcBorders>
              <w:top w:val="nil"/>
              <w:left w:val="nil"/>
              <w:bottom w:val="single" w:sz="12" w:space="0" w:color="auto"/>
              <w:right w:val="single" w:sz="12" w:space="0" w:color="auto"/>
            </w:tcBorders>
            <w:vAlign w:val="center"/>
          </w:tcPr>
          <w:p w14:paraId="29048B45" w14:textId="3BF094DA" w:rsidR="00637BC0" w:rsidRPr="004A4A47" w:rsidRDefault="00637BC0" w:rsidP="00637BC0">
            <w:pPr>
              <w:jc w:val="center"/>
              <w:rPr>
                <w:b/>
                <w:bCs/>
                <w:sz w:val="18"/>
                <w:szCs w:val="18"/>
              </w:rPr>
            </w:pPr>
            <w:r w:rsidRPr="004A4A47">
              <w:rPr>
                <w:sz w:val="18"/>
                <w:szCs w:val="18"/>
              </w:rPr>
              <w:t>--</w:t>
            </w:r>
          </w:p>
        </w:tc>
      </w:tr>
      <w:tr w:rsidR="00637BC0" w:rsidRPr="00677CE8" w14:paraId="71A7283E" w14:textId="77777777" w:rsidTr="00E83B07">
        <w:trPr>
          <w:gridAfter w:val="1"/>
          <w:wAfter w:w="7" w:type="dxa"/>
          <w:trHeight w:val="20"/>
        </w:trPr>
        <w:tc>
          <w:tcPr>
            <w:tcW w:w="4305" w:type="dxa"/>
            <w:tcBorders>
              <w:top w:val="single" w:sz="12" w:space="0" w:color="auto"/>
              <w:bottom w:val="single" w:sz="12" w:space="0" w:color="auto"/>
              <w:right w:val="single" w:sz="12" w:space="0" w:color="auto"/>
            </w:tcBorders>
            <w:vAlign w:val="center"/>
          </w:tcPr>
          <w:p w14:paraId="79FFA90C" w14:textId="2521660A" w:rsidR="00637BC0" w:rsidRPr="004A4A47" w:rsidRDefault="00637BC0" w:rsidP="00637BC0">
            <w:pPr>
              <w:rPr>
                <w:b/>
                <w:bCs/>
                <w:sz w:val="18"/>
                <w:szCs w:val="18"/>
              </w:rPr>
            </w:pPr>
            <w:r w:rsidRPr="004A4A47">
              <w:rPr>
                <w:b/>
                <w:bCs/>
                <w:sz w:val="18"/>
                <w:szCs w:val="18"/>
              </w:rPr>
              <w:t>Variable (base category)</w:t>
            </w:r>
          </w:p>
        </w:tc>
        <w:tc>
          <w:tcPr>
            <w:tcW w:w="1079" w:type="dxa"/>
            <w:gridSpan w:val="2"/>
            <w:tcBorders>
              <w:top w:val="single" w:sz="12" w:space="0" w:color="auto"/>
              <w:left w:val="single" w:sz="12" w:space="0" w:color="auto"/>
              <w:bottom w:val="single" w:sz="12" w:space="0" w:color="auto"/>
              <w:right w:val="nil"/>
            </w:tcBorders>
            <w:vAlign w:val="center"/>
          </w:tcPr>
          <w:p w14:paraId="600536F4" w14:textId="77777777" w:rsidR="00637BC0" w:rsidRPr="004A4A47" w:rsidRDefault="00637BC0" w:rsidP="00637BC0">
            <w:pPr>
              <w:jc w:val="center"/>
              <w:rPr>
                <w:b/>
                <w:bCs/>
                <w:sz w:val="18"/>
                <w:szCs w:val="18"/>
              </w:rPr>
            </w:pPr>
            <w:r w:rsidRPr="004A4A47">
              <w:rPr>
                <w:b/>
                <w:bCs/>
                <w:sz w:val="18"/>
                <w:szCs w:val="18"/>
              </w:rPr>
              <w:t>Coeff.</w:t>
            </w:r>
          </w:p>
        </w:tc>
        <w:tc>
          <w:tcPr>
            <w:tcW w:w="904" w:type="dxa"/>
            <w:tcBorders>
              <w:top w:val="single" w:sz="12" w:space="0" w:color="auto"/>
              <w:left w:val="nil"/>
              <w:bottom w:val="single" w:sz="12" w:space="0" w:color="auto"/>
              <w:right w:val="nil"/>
            </w:tcBorders>
            <w:vAlign w:val="center"/>
          </w:tcPr>
          <w:p w14:paraId="431A29BF" w14:textId="77777777" w:rsidR="00637BC0" w:rsidRPr="004A4A47" w:rsidRDefault="00637BC0" w:rsidP="00637BC0">
            <w:pPr>
              <w:jc w:val="center"/>
              <w:rPr>
                <w:b/>
                <w:bCs/>
                <w:sz w:val="18"/>
                <w:szCs w:val="18"/>
              </w:rPr>
            </w:pPr>
            <w:r w:rsidRPr="004A4A47">
              <w:rPr>
                <w:b/>
                <w:bCs/>
                <w:sz w:val="18"/>
                <w:szCs w:val="18"/>
              </w:rPr>
              <w:t>t-stat</w:t>
            </w:r>
          </w:p>
        </w:tc>
        <w:tc>
          <w:tcPr>
            <w:tcW w:w="990" w:type="dxa"/>
            <w:gridSpan w:val="3"/>
            <w:tcBorders>
              <w:top w:val="single" w:sz="12" w:space="0" w:color="auto"/>
              <w:left w:val="nil"/>
              <w:bottom w:val="single" w:sz="12" w:space="0" w:color="auto"/>
              <w:right w:val="nil"/>
            </w:tcBorders>
            <w:vAlign w:val="center"/>
          </w:tcPr>
          <w:p w14:paraId="5DC06EEF" w14:textId="77777777" w:rsidR="00637BC0" w:rsidRPr="004A4A47" w:rsidRDefault="00637BC0" w:rsidP="00637BC0">
            <w:pPr>
              <w:jc w:val="center"/>
              <w:rPr>
                <w:b/>
                <w:bCs/>
                <w:sz w:val="18"/>
                <w:szCs w:val="18"/>
              </w:rPr>
            </w:pPr>
            <w:r w:rsidRPr="004A4A47">
              <w:rPr>
                <w:b/>
                <w:bCs/>
                <w:sz w:val="18"/>
                <w:szCs w:val="18"/>
              </w:rPr>
              <w:t>Coeff.</w:t>
            </w:r>
          </w:p>
        </w:tc>
        <w:tc>
          <w:tcPr>
            <w:tcW w:w="900" w:type="dxa"/>
            <w:tcBorders>
              <w:top w:val="single" w:sz="12" w:space="0" w:color="auto"/>
              <w:left w:val="nil"/>
              <w:bottom w:val="single" w:sz="12" w:space="0" w:color="auto"/>
              <w:right w:val="nil"/>
            </w:tcBorders>
            <w:vAlign w:val="center"/>
          </w:tcPr>
          <w:p w14:paraId="3A6CABE7" w14:textId="77777777" w:rsidR="00637BC0" w:rsidRPr="004A4A47" w:rsidRDefault="00637BC0" w:rsidP="00637BC0">
            <w:pPr>
              <w:jc w:val="center"/>
              <w:rPr>
                <w:b/>
                <w:bCs/>
                <w:sz w:val="18"/>
                <w:szCs w:val="18"/>
              </w:rPr>
            </w:pPr>
            <w:r w:rsidRPr="004A4A47">
              <w:rPr>
                <w:b/>
                <w:bCs/>
                <w:sz w:val="18"/>
                <w:szCs w:val="18"/>
              </w:rPr>
              <w:t>t-stat</w:t>
            </w:r>
          </w:p>
        </w:tc>
        <w:tc>
          <w:tcPr>
            <w:tcW w:w="942" w:type="dxa"/>
            <w:gridSpan w:val="3"/>
            <w:tcBorders>
              <w:top w:val="single" w:sz="12" w:space="0" w:color="auto"/>
              <w:left w:val="nil"/>
              <w:bottom w:val="single" w:sz="12" w:space="0" w:color="auto"/>
              <w:right w:val="nil"/>
            </w:tcBorders>
            <w:vAlign w:val="center"/>
          </w:tcPr>
          <w:p w14:paraId="2AA62D69" w14:textId="77777777" w:rsidR="00637BC0" w:rsidRPr="004A4A47" w:rsidRDefault="00637BC0" w:rsidP="00637BC0">
            <w:pPr>
              <w:jc w:val="center"/>
              <w:rPr>
                <w:b/>
                <w:bCs/>
                <w:sz w:val="18"/>
                <w:szCs w:val="18"/>
              </w:rPr>
            </w:pPr>
            <w:r w:rsidRPr="004A4A47">
              <w:rPr>
                <w:b/>
                <w:bCs/>
                <w:sz w:val="18"/>
                <w:szCs w:val="18"/>
              </w:rPr>
              <w:t>Coeff.</w:t>
            </w:r>
          </w:p>
        </w:tc>
        <w:tc>
          <w:tcPr>
            <w:tcW w:w="900" w:type="dxa"/>
            <w:tcBorders>
              <w:top w:val="single" w:sz="12" w:space="0" w:color="auto"/>
              <w:left w:val="nil"/>
              <w:bottom w:val="single" w:sz="12" w:space="0" w:color="auto"/>
              <w:right w:val="single" w:sz="12" w:space="0" w:color="auto"/>
            </w:tcBorders>
            <w:vAlign w:val="center"/>
          </w:tcPr>
          <w:p w14:paraId="4428F0B5" w14:textId="77777777" w:rsidR="00637BC0" w:rsidRPr="004A4A47" w:rsidRDefault="00637BC0" w:rsidP="00637BC0">
            <w:pPr>
              <w:jc w:val="center"/>
              <w:rPr>
                <w:b/>
                <w:bCs/>
                <w:sz w:val="18"/>
                <w:szCs w:val="18"/>
              </w:rPr>
            </w:pPr>
            <w:r w:rsidRPr="004A4A47">
              <w:rPr>
                <w:b/>
                <w:bCs/>
                <w:sz w:val="18"/>
                <w:szCs w:val="18"/>
              </w:rPr>
              <w:t>t-stat</w:t>
            </w:r>
          </w:p>
        </w:tc>
      </w:tr>
      <w:tr w:rsidR="004A4A47" w:rsidRPr="00677CE8" w14:paraId="1B0D6AA8" w14:textId="77777777" w:rsidTr="00E83B07">
        <w:trPr>
          <w:trHeight w:val="20"/>
        </w:trPr>
        <w:tc>
          <w:tcPr>
            <w:tcW w:w="6295" w:type="dxa"/>
            <w:gridSpan w:val="5"/>
            <w:tcBorders>
              <w:top w:val="single" w:sz="12" w:space="0" w:color="auto"/>
              <w:left w:val="single" w:sz="12" w:space="0" w:color="auto"/>
              <w:bottom w:val="single" w:sz="12" w:space="0" w:color="auto"/>
              <w:right w:val="nil"/>
            </w:tcBorders>
          </w:tcPr>
          <w:p w14:paraId="3D7EE094" w14:textId="0BB722E6" w:rsidR="004A4A47" w:rsidRPr="004A4A47" w:rsidRDefault="004A4A47" w:rsidP="00637BC0">
            <w:pPr>
              <w:rPr>
                <w:b/>
                <w:bCs/>
                <w:i/>
                <w:iCs/>
                <w:sz w:val="18"/>
                <w:szCs w:val="18"/>
              </w:rPr>
            </w:pPr>
            <w:r w:rsidRPr="004A4A47">
              <w:rPr>
                <w:b/>
                <w:bCs/>
                <w:i/>
                <w:iCs/>
                <w:sz w:val="18"/>
                <w:szCs w:val="18"/>
              </w:rPr>
              <w:t>Individual-level</w:t>
            </w:r>
          </w:p>
        </w:tc>
        <w:tc>
          <w:tcPr>
            <w:tcW w:w="1890" w:type="dxa"/>
            <w:gridSpan w:val="4"/>
            <w:tcBorders>
              <w:top w:val="single" w:sz="12" w:space="0" w:color="auto"/>
              <w:left w:val="nil"/>
              <w:bottom w:val="single" w:sz="12" w:space="0" w:color="auto"/>
              <w:right w:val="nil"/>
            </w:tcBorders>
          </w:tcPr>
          <w:p w14:paraId="477A6FC6" w14:textId="77777777" w:rsidR="004A4A47" w:rsidRPr="004A4A47" w:rsidRDefault="004A4A47" w:rsidP="00637BC0">
            <w:pPr>
              <w:rPr>
                <w:b/>
                <w:bCs/>
                <w:sz w:val="18"/>
                <w:szCs w:val="18"/>
              </w:rPr>
            </w:pPr>
          </w:p>
        </w:tc>
        <w:tc>
          <w:tcPr>
            <w:tcW w:w="1842" w:type="dxa"/>
            <w:gridSpan w:val="4"/>
            <w:tcBorders>
              <w:top w:val="single" w:sz="12" w:space="0" w:color="auto"/>
              <w:left w:val="nil"/>
              <w:bottom w:val="single" w:sz="12" w:space="0" w:color="auto"/>
              <w:right w:val="single" w:sz="12" w:space="0" w:color="auto"/>
            </w:tcBorders>
          </w:tcPr>
          <w:p w14:paraId="3F1EC8E2" w14:textId="77777777" w:rsidR="004A4A47" w:rsidRPr="004A4A47" w:rsidRDefault="004A4A47" w:rsidP="00637BC0">
            <w:pPr>
              <w:rPr>
                <w:b/>
                <w:bCs/>
                <w:sz w:val="18"/>
                <w:szCs w:val="18"/>
              </w:rPr>
            </w:pPr>
          </w:p>
        </w:tc>
      </w:tr>
      <w:tr w:rsidR="00637BC0" w:rsidRPr="00677CE8" w14:paraId="1DC86269" w14:textId="77777777" w:rsidTr="00E83B07">
        <w:trPr>
          <w:trHeight w:val="20"/>
        </w:trPr>
        <w:tc>
          <w:tcPr>
            <w:tcW w:w="6295" w:type="dxa"/>
            <w:gridSpan w:val="5"/>
            <w:tcBorders>
              <w:top w:val="single" w:sz="12" w:space="0" w:color="auto"/>
              <w:left w:val="single" w:sz="12" w:space="0" w:color="auto"/>
              <w:bottom w:val="nil"/>
              <w:right w:val="nil"/>
            </w:tcBorders>
          </w:tcPr>
          <w:p w14:paraId="34BFC038" w14:textId="66E76E08" w:rsidR="00637BC0" w:rsidRPr="004A4A47" w:rsidRDefault="004A4A47" w:rsidP="00637BC0">
            <w:pPr>
              <w:rPr>
                <w:b/>
                <w:bCs/>
                <w:sz w:val="18"/>
                <w:szCs w:val="18"/>
              </w:rPr>
            </w:pPr>
            <w:r w:rsidRPr="004A4A47">
              <w:rPr>
                <w:b/>
                <w:bCs/>
                <w:sz w:val="18"/>
                <w:szCs w:val="18"/>
              </w:rPr>
              <w:t xml:space="preserve">  </w:t>
            </w:r>
            <w:r w:rsidR="00637BC0" w:rsidRPr="004A4A47">
              <w:rPr>
                <w:b/>
                <w:bCs/>
                <w:sz w:val="18"/>
                <w:szCs w:val="18"/>
              </w:rPr>
              <w:t xml:space="preserve">Gender </w:t>
            </w:r>
            <w:r w:rsidR="00637BC0" w:rsidRPr="004A4A47">
              <w:rPr>
                <w:sz w:val="18"/>
                <w:szCs w:val="18"/>
              </w:rPr>
              <w:t>(Women, Other gender)</w:t>
            </w:r>
          </w:p>
        </w:tc>
        <w:tc>
          <w:tcPr>
            <w:tcW w:w="1890" w:type="dxa"/>
            <w:gridSpan w:val="4"/>
            <w:tcBorders>
              <w:top w:val="single" w:sz="12" w:space="0" w:color="auto"/>
              <w:left w:val="nil"/>
              <w:bottom w:val="nil"/>
              <w:right w:val="nil"/>
            </w:tcBorders>
          </w:tcPr>
          <w:p w14:paraId="3B3DFB30" w14:textId="77777777" w:rsidR="00637BC0" w:rsidRPr="004A4A47" w:rsidRDefault="00637BC0" w:rsidP="00637BC0">
            <w:pPr>
              <w:rPr>
                <w:b/>
                <w:bCs/>
                <w:sz w:val="18"/>
                <w:szCs w:val="18"/>
              </w:rPr>
            </w:pPr>
          </w:p>
        </w:tc>
        <w:tc>
          <w:tcPr>
            <w:tcW w:w="1842" w:type="dxa"/>
            <w:gridSpan w:val="4"/>
            <w:tcBorders>
              <w:top w:val="single" w:sz="12" w:space="0" w:color="auto"/>
              <w:left w:val="nil"/>
              <w:bottom w:val="nil"/>
              <w:right w:val="single" w:sz="12" w:space="0" w:color="auto"/>
            </w:tcBorders>
          </w:tcPr>
          <w:p w14:paraId="733A4726" w14:textId="77777777" w:rsidR="00637BC0" w:rsidRPr="004A4A47" w:rsidRDefault="00637BC0" w:rsidP="00637BC0">
            <w:pPr>
              <w:rPr>
                <w:b/>
                <w:bCs/>
                <w:sz w:val="18"/>
                <w:szCs w:val="18"/>
              </w:rPr>
            </w:pPr>
          </w:p>
        </w:tc>
      </w:tr>
      <w:tr w:rsidR="00637BC0" w:rsidRPr="00677CE8" w14:paraId="2D83097A" w14:textId="77777777" w:rsidTr="00E83B07">
        <w:trPr>
          <w:gridAfter w:val="1"/>
          <w:wAfter w:w="7" w:type="dxa"/>
          <w:trHeight w:val="20"/>
        </w:trPr>
        <w:tc>
          <w:tcPr>
            <w:tcW w:w="4305" w:type="dxa"/>
            <w:tcBorders>
              <w:top w:val="nil"/>
              <w:left w:val="single" w:sz="12" w:space="0" w:color="auto"/>
              <w:bottom w:val="nil"/>
              <w:right w:val="nil"/>
            </w:tcBorders>
          </w:tcPr>
          <w:p w14:paraId="2B741550" w14:textId="610F1683" w:rsidR="00637BC0" w:rsidRPr="004A4A47" w:rsidRDefault="004A4A47" w:rsidP="00637BC0">
            <w:pPr>
              <w:ind w:left="216"/>
              <w:rPr>
                <w:sz w:val="18"/>
                <w:szCs w:val="18"/>
              </w:rPr>
            </w:pPr>
            <w:r w:rsidRPr="004A4A47">
              <w:rPr>
                <w:sz w:val="18"/>
                <w:szCs w:val="18"/>
              </w:rPr>
              <w:t xml:space="preserve">  </w:t>
            </w:r>
            <w:r w:rsidR="00637BC0" w:rsidRPr="004A4A47">
              <w:rPr>
                <w:sz w:val="18"/>
                <w:szCs w:val="18"/>
              </w:rPr>
              <w:t>Men</w:t>
            </w:r>
          </w:p>
        </w:tc>
        <w:tc>
          <w:tcPr>
            <w:tcW w:w="1079" w:type="dxa"/>
            <w:gridSpan w:val="2"/>
            <w:tcBorders>
              <w:top w:val="nil"/>
              <w:left w:val="nil"/>
              <w:bottom w:val="nil"/>
              <w:right w:val="nil"/>
            </w:tcBorders>
          </w:tcPr>
          <w:p w14:paraId="1F625643" w14:textId="53A987FD" w:rsidR="00637BC0" w:rsidRPr="004A4A47" w:rsidRDefault="00637BC0" w:rsidP="00637BC0">
            <w:pPr>
              <w:tabs>
                <w:tab w:val="decimal" w:pos="0"/>
              </w:tabs>
              <w:jc w:val="center"/>
              <w:rPr>
                <w:sz w:val="18"/>
                <w:szCs w:val="18"/>
              </w:rPr>
            </w:pPr>
            <w:r w:rsidRPr="004A4A47">
              <w:rPr>
                <w:sz w:val="18"/>
                <w:szCs w:val="18"/>
              </w:rPr>
              <w:t>0.752</w:t>
            </w:r>
          </w:p>
        </w:tc>
        <w:tc>
          <w:tcPr>
            <w:tcW w:w="904" w:type="dxa"/>
            <w:tcBorders>
              <w:top w:val="nil"/>
              <w:left w:val="nil"/>
              <w:bottom w:val="nil"/>
              <w:right w:val="nil"/>
            </w:tcBorders>
          </w:tcPr>
          <w:p w14:paraId="1A9404A9" w14:textId="18B607B2" w:rsidR="00637BC0" w:rsidRPr="004A4A47" w:rsidRDefault="00637BC0" w:rsidP="00637BC0">
            <w:pPr>
              <w:tabs>
                <w:tab w:val="decimal" w:pos="243"/>
              </w:tabs>
              <w:jc w:val="center"/>
              <w:rPr>
                <w:sz w:val="18"/>
                <w:szCs w:val="18"/>
              </w:rPr>
            </w:pPr>
            <w:r w:rsidRPr="004A4A47">
              <w:rPr>
                <w:sz w:val="18"/>
                <w:szCs w:val="18"/>
              </w:rPr>
              <w:t>6.918</w:t>
            </w:r>
          </w:p>
        </w:tc>
        <w:tc>
          <w:tcPr>
            <w:tcW w:w="990" w:type="dxa"/>
            <w:gridSpan w:val="3"/>
            <w:tcBorders>
              <w:top w:val="nil"/>
              <w:left w:val="nil"/>
              <w:bottom w:val="nil"/>
              <w:right w:val="nil"/>
            </w:tcBorders>
          </w:tcPr>
          <w:p w14:paraId="3B838356" w14:textId="6C02C94A" w:rsidR="00637BC0" w:rsidRPr="004A4A47" w:rsidRDefault="00637BC0" w:rsidP="00637BC0">
            <w:pPr>
              <w:tabs>
                <w:tab w:val="decimal" w:pos="308"/>
              </w:tabs>
              <w:jc w:val="center"/>
              <w:rPr>
                <w:sz w:val="18"/>
                <w:szCs w:val="18"/>
              </w:rPr>
            </w:pPr>
            <w:r w:rsidRPr="004A4A47">
              <w:rPr>
                <w:sz w:val="18"/>
                <w:szCs w:val="18"/>
              </w:rPr>
              <w:t>-0.252</w:t>
            </w:r>
          </w:p>
        </w:tc>
        <w:tc>
          <w:tcPr>
            <w:tcW w:w="900" w:type="dxa"/>
            <w:tcBorders>
              <w:top w:val="nil"/>
              <w:left w:val="nil"/>
              <w:bottom w:val="nil"/>
              <w:right w:val="nil"/>
            </w:tcBorders>
          </w:tcPr>
          <w:p w14:paraId="3F526012" w14:textId="6D224146" w:rsidR="00637BC0" w:rsidRPr="004A4A47" w:rsidRDefault="00637BC0" w:rsidP="00637BC0">
            <w:pPr>
              <w:tabs>
                <w:tab w:val="decimal" w:pos="270"/>
              </w:tabs>
              <w:jc w:val="center"/>
              <w:rPr>
                <w:sz w:val="18"/>
                <w:szCs w:val="18"/>
              </w:rPr>
            </w:pPr>
            <w:r w:rsidRPr="004A4A47">
              <w:rPr>
                <w:sz w:val="18"/>
                <w:szCs w:val="18"/>
              </w:rPr>
              <w:t>-2.042</w:t>
            </w:r>
          </w:p>
        </w:tc>
        <w:tc>
          <w:tcPr>
            <w:tcW w:w="942" w:type="dxa"/>
            <w:gridSpan w:val="3"/>
            <w:tcBorders>
              <w:top w:val="nil"/>
              <w:left w:val="nil"/>
              <w:bottom w:val="nil"/>
              <w:right w:val="nil"/>
            </w:tcBorders>
          </w:tcPr>
          <w:p w14:paraId="3D7A6874" w14:textId="77777777" w:rsidR="00637BC0" w:rsidRPr="004A4A47" w:rsidRDefault="00637BC0" w:rsidP="00637BC0">
            <w:pPr>
              <w:jc w:val="center"/>
              <w:rPr>
                <w:sz w:val="18"/>
                <w:szCs w:val="18"/>
              </w:rPr>
            </w:pPr>
            <w:r w:rsidRPr="004A4A47">
              <w:rPr>
                <w:sz w:val="18"/>
                <w:szCs w:val="18"/>
              </w:rPr>
              <w:t>--</w:t>
            </w:r>
          </w:p>
        </w:tc>
        <w:tc>
          <w:tcPr>
            <w:tcW w:w="900" w:type="dxa"/>
            <w:tcBorders>
              <w:top w:val="nil"/>
              <w:left w:val="nil"/>
              <w:bottom w:val="nil"/>
              <w:right w:val="single" w:sz="12" w:space="0" w:color="auto"/>
            </w:tcBorders>
          </w:tcPr>
          <w:p w14:paraId="1C0601E2" w14:textId="77777777" w:rsidR="00637BC0" w:rsidRPr="004A4A47" w:rsidRDefault="00637BC0" w:rsidP="00637BC0">
            <w:pPr>
              <w:jc w:val="center"/>
              <w:rPr>
                <w:sz w:val="18"/>
                <w:szCs w:val="18"/>
              </w:rPr>
            </w:pPr>
          </w:p>
        </w:tc>
      </w:tr>
      <w:tr w:rsidR="00637BC0" w:rsidRPr="00677CE8" w14:paraId="7C720C25" w14:textId="77777777" w:rsidTr="00E83B07">
        <w:trPr>
          <w:gridAfter w:val="1"/>
          <w:wAfter w:w="7" w:type="dxa"/>
          <w:trHeight w:val="20"/>
        </w:trPr>
        <w:tc>
          <w:tcPr>
            <w:tcW w:w="4305" w:type="dxa"/>
            <w:tcBorders>
              <w:top w:val="nil"/>
              <w:left w:val="single" w:sz="12" w:space="0" w:color="auto"/>
              <w:bottom w:val="nil"/>
              <w:right w:val="nil"/>
            </w:tcBorders>
          </w:tcPr>
          <w:p w14:paraId="170F6703" w14:textId="425E23DF" w:rsidR="00637BC0" w:rsidRPr="004A4A47" w:rsidRDefault="004A4A47" w:rsidP="00637BC0">
            <w:pPr>
              <w:rPr>
                <w:b/>
                <w:bCs/>
                <w:sz w:val="18"/>
                <w:szCs w:val="18"/>
              </w:rPr>
            </w:pPr>
            <w:r w:rsidRPr="004A4A47">
              <w:rPr>
                <w:b/>
                <w:bCs/>
                <w:sz w:val="18"/>
                <w:szCs w:val="18"/>
              </w:rPr>
              <w:t xml:space="preserve">  </w:t>
            </w:r>
            <w:r w:rsidR="00637BC0" w:rsidRPr="004A4A47">
              <w:rPr>
                <w:b/>
                <w:bCs/>
                <w:sz w:val="18"/>
                <w:szCs w:val="18"/>
              </w:rPr>
              <w:t>Age (18-44)</w:t>
            </w:r>
          </w:p>
        </w:tc>
        <w:tc>
          <w:tcPr>
            <w:tcW w:w="1983" w:type="dxa"/>
            <w:gridSpan w:val="3"/>
            <w:tcBorders>
              <w:top w:val="nil"/>
              <w:left w:val="nil"/>
              <w:bottom w:val="nil"/>
              <w:right w:val="nil"/>
            </w:tcBorders>
          </w:tcPr>
          <w:p w14:paraId="44EFA1D3" w14:textId="77777777" w:rsidR="00637BC0" w:rsidRPr="004A4A47" w:rsidRDefault="00637BC0" w:rsidP="00637BC0">
            <w:pPr>
              <w:tabs>
                <w:tab w:val="decimal" w:pos="0"/>
                <w:tab w:val="decimal" w:pos="243"/>
              </w:tabs>
              <w:rPr>
                <w:b/>
                <w:bCs/>
                <w:sz w:val="18"/>
                <w:szCs w:val="18"/>
              </w:rPr>
            </w:pPr>
          </w:p>
        </w:tc>
        <w:tc>
          <w:tcPr>
            <w:tcW w:w="1890" w:type="dxa"/>
            <w:gridSpan w:val="4"/>
            <w:tcBorders>
              <w:top w:val="nil"/>
              <w:left w:val="nil"/>
              <w:bottom w:val="nil"/>
              <w:right w:val="nil"/>
            </w:tcBorders>
          </w:tcPr>
          <w:p w14:paraId="381FFD49" w14:textId="77777777" w:rsidR="00637BC0" w:rsidRPr="004A4A47" w:rsidRDefault="00637BC0" w:rsidP="00637BC0">
            <w:pPr>
              <w:tabs>
                <w:tab w:val="decimal" w:pos="270"/>
                <w:tab w:val="decimal" w:pos="308"/>
              </w:tabs>
              <w:rPr>
                <w:b/>
                <w:bCs/>
                <w:sz w:val="18"/>
                <w:szCs w:val="18"/>
              </w:rPr>
            </w:pPr>
          </w:p>
        </w:tc>
        <w:tc>
          <w:tcPr>
            <w:tcW w:w="1842" w:type="dxa"/>
            <w:gridSpan w:val="4"/>
            <w:tcBorders>
              <w:top w:val="nil"/>
              <w:left w:val="nil"/>
              <w:bottom w:val="nil"/>
              <w:right w:val="single" w:sz="12" w:space="0" w:color="auto"/>
            </w:tcBorders>
          </w:tcPr>
          <w:p w14:paraId="6AC7576E" w14:textId="77777777" w:rsidR="00637BC0" w:rsidRPr="004A4A47" w:rsidRDefault="00637BC0" w:rsidP="00637BC0">
            <w:pPr>
              <w:rPr>
                <w:b/>
                <w:bCs/>
                <w:sz w:val="18"/>
                <w:szCs w:val="18"/>
              </w:rPr>
            </w:pPr>
          </w:p>
        </w:tc>
      </w:tr>
      <w:tr w:rsidR="00637BC0" w:rsidRPr="00677CE8" w14:paraId="103C72F6" w14:textId="77777777" w:rsidTr="00E83B07">
        <w:trPr>
          <w:gridAfter w:val="1"/>
          <w:wAfter w:w="7" w:type="dxa"/>
          <w:trHeight w:val="20"/>
        </w:trPr>
        <w:tc>
          <w:tcPr>
            <w:tcW w:w="4305" w:type="dxa"/>
            <w:tcBorders>
              <w:top w:val="nil"/>
              <w:left w:val="single" w:sz="12" w:space="0" w:color="auto"/>
              <w:bottom w:val="nil"/>
              <w:right w:val="nil"/>
            </w:tcBorders>
          </w:tcPr>
          <w:p w14:paraId="3E48EAF1" w14:textId="0BBDB191" w:rsidR="00637BC0" w:rsidRPr="004A4A47" w:rsidRDefault="004A4A47" w:rsidP="00637BC0">
            <w:pPr>
              <w:ind w:left="216"/>
              <w:rPr>
                <w:sz w:val="18"/>
                <w:szCs w:val="18"/>
              </w:rPr>
            </w:pPr>
            <w:r w:rsidRPr="004A4A47">
              <w:rPr>
                <w:sz w:val="18"/>
                <w:szCs w:val="18"/>
              </w:rPr>
              <w:t xml:space="preserve">  </w:t>
            </w:r>
            <w:r w:rsidR="00637BC0" w:rsidRPr="004A4A47">
              <w:rPr>
                <w:sz w:val="18"/>
                <w:szCs w:val="18"/>
              </w:rPr>
              <w:t>Age 45-54</w:t>
            </w:r>
          </w:p>
        </w:tc>
        <w:tc>
          <w:tcPr>
            <w:tcW w:w="1079" w:type="dxa"/>
            <w:gridSpan w:val="2"/>
            <w:tcBorders>
              <w:top w:val="nil"/>
              <w:left w:val="nil"/>
              <w:bottom w:val="nil"/>
              <w:right w:val="nil"/>
            </w:tcBorders>
          </w:tcPr>
          <w:p w14:paraId="0E69F100" w14:textId="1A8F395E" w:rsidR="00637BC0" w:rsidRPr="004A4A47" w:rsidRDefault="00637BC0" w:rsidP="00637BC0">
            <w:pPr>
              <w:tabs>
                <w:tab w:val="decimal" w:pos="0"/>
              </w:tabs>
              <w:jc w:val="center"/>
              <w:rPr>
                <w:sz w:val="18"/>
                <w:szCs w:val="18"/>
              </w:rPr>
            </w:pPr>
            <w:r w:rsidRPr="004A4A47">
              <w:rPr>
                <w:sz w:val="18"/>
                <w:szCs w:val="18"/>
              </w:rPr>
              <w:t>-0.405</w:t>
            </w:r>
          </w:p>
        </w:tc>
        <w:tc>
          <w:tcPr>
            <w:tcW w:w="904" w:type="dxa"/>
            <w:tcBorders>
              <w:top w:val="nil"/>
              <w:left w:val="nil"/>
              <w:bottom w:val="nil"/>
              <w:right w:val="nil"/>
            </w:tcBorders>
          </w:tcPr>
          <w:p w14:paraId="114F517D" w14:textId="75114FBF" w:rsidR="00637BC0" w:rsidRPr="004A4A47" w:rsidRDefault="00637BC0" w:rsidP="00637BC0">
            <w:pPr>
              <w:tabs>
                <w:tab w:val="decimal" w:pos="243"/>
              </w:tabs>
              <w:jc w:val="center"/>
              <w:rPr>
                <w:sz w:val="18"/>
                <w:szCs w:val="18"/>
              </w:rPr>
            </w:pPr>
            <w:r w:rsidRPr="004A4A47">
              <w:rPr>
                <w:sz w:val="18"/>
                <w:szCs w:val="18"/>
              </w:rPr>
              <w:t>-2.966</w:t>
            </w:r>
          </w:p>
        </w:tc>
        <w:tc>
          <w:tcPr>
            <w:tcW w:w="990" w:type="dxa"/>
            <w:gridSpan w:val="3"/>
            <w:tcBorders>
              <w:top w:val="nil"/>
              <w:left w:val="nil"/>
              <w:bottom w:val="nil"/>
              <w:right w:val="nil"/>
            </w:tcBorders>
          </w:tcPr>
          <w:p w14:paraId="2AF5DCA3" w14:textId="77777777" w:rsidR="00637BC0" w:rsidRPr="004A4A47" w:rsidRDefault="00637BC0" w:rsidP="00637BC0">
            <w:pPr>
              <w:tabs>
                <w:tab w:val="decimal" w:pos="308"/>
              </w:tabs>
              <w:jc w:val="center"/>
              <w:rPr>
                <w:sz w:val="18"/>
                <w:szCs w:val="18"/>
              </w:rPr>
            </w:pPr>
            <w:r w:rsidRPr="004A4A47">
              <w:rPr>
                <w:sz w:val="18"/>
                <w:szCs w:val="18"/>
              </w:rPr>
              <w:t>--</w:t>
            </w:r>
          </w:p>
        </w:tc>
        <w:tc>
          <w:tcPr>
            <w:tcW w:w="900" w:type="dxa"/>
            <w:tcBorders>
              <w:top w:val="nil"/>
              <w:left w:val="nil"/>
              <w:bottom w:val="nil"/>
              <w:right w:val="nil"/>
            </w:tcBorders>
          </w:tcPr>
          <w:p w14:paraId="351E23D8" w14:textId="77777777" w:rsidR="00637BC0" w:rsidRPr="004A4A47" w:rsidRDefault="00637BC0" w:rsidP="00637BC0">
            <w:pPr>
              <w:tabs>
                <w:tab w:val="decimal" w:pos="270"/>
              </w:tabs>
              <w:jc w:val="center"/>
              <w:rPr>
                <w:sz w:val="18"/>
                <w:szCs w:val="18"/>
              </w:rPr>
            </w:pPr>
          </w:p>
        </w:tc>
        <w:tc>
          <w:tcPr>
            <w:tcW w:w="942" w:type="dxa"/>
            <w:gridSpan w:val="3"/>
            <w:tcBorders>
              <w:top w:val="nil"/>
              <w:left w:val="nil"/>
              <w:bottom w:val="nil"/>
              <w:right w:val="nil"/>
            </w:tcBorders>
          </w:tcPr>
          <w:p w14:paraId="16AD91B7" w14:textId="77777777" w:rsidR="00637BC0" w:rsidRPr="004A4A47" w:rsidRDefault="00637BC0" w:rsidP="00637BC0">
            <w:pPr>
              <w:jc w:val="center"/>
              <w:rPr>
                <w:sz w:val="18"/>
                <w:szCs w:val="18"/>
              </w:rPr>
            </w:pPr>
            <w:r w:rsidRPr="004A4A47">
              <w:rPr>
                <w:sz w:val="18"/>
                <w:szCs w:val="18"/>
              </w:rPr>
              <w:t>--</w:t>
            </w:r>
          </w:p>
        </w:tc>
        <w:tc>
          <w:tcPr>
            <w:tcW w:w="900" w:type="dxa"/>
            <w:tcBorders>
              <w:top w:val="nil"/>
              <w:left w:val="nil"/>
              <w:bottom w:val="nil"/>
              <w:right w:val="single" w:sz="12" w:space="0" w:color="auto"/>
            </w:tcBorders>
          </w:tcPr>
          <w:p w14:paraId="1BBBD739" w14:textId="77777777" w:rsidR="00637BC0" w:rsidRPr="004A4A47" w:rsidRDefault="00637BC0" w:rsidP="00637BC0">
            <w:pPr>
              <w:jc w:val="center"/>
              <w:rPr>
                <w:sz w:val="18"/>
                <w:szCs w:val="18"/>
              </w:rPr>
            </w:pPr>
          </w:p>
        </w:tc>
      </w:tr>
      <w:tr w:rsidR="00637BC0" w:rsidRPr="00677CE8" w14:paraId="47E1CD72" w14:textId="77777777" w:rsidTr="00E83B07">
        <w:trPr>
          <w:gridAfter w:val="1"/>
          <w:wAfter w:w="7" w:type="dxa"/>
          <w:trHeight w:val="20"/>
        </w:trPr>
        <w:tc>
          <w:tcPr>
            <w:tcW w:w="4305" w:type="dxa"/>
            <w:tcBorders>
              <w:top w:val="nil"/>
              <w:left w:val="single" w:sz="12" w:space="0" w:color="auto"/>
              <w:bottom w:val="nil"/>
              <w:right w:val="nil"/>
            </w:tcBorders>
          </w:tcPr>
          <w:p w14:paraId="7A130541" w14:textId="646BE583" w:rsidR="00637BC0" w:rsidRPr="004A4A47" w:rsidRDefault="004A4A47" w:rsidP="00637BC0">
            <w:pPr>
              <w:ind w:left="216"/>
              <w:rPr>
                <w:sz w:val="18"/>
                <w:szCs w:val="18"/>
              </w:rPr>
            </w:pPr>
            <w:r w:rsidRPr="004A4A47">
              <w:rPr>
                <w:sz w:val="18"/>
                <w:szCs w:val="18"/>
              </w:rPr>
              <w:t xml:space="preserve">  </w:t>
            </w:r>
            <w:r w:rsidR="00637BC0" w:rsidRPr="004A4A47">
              <w:rPr>
                <w:sz w:val="18"/>
                <w:szCs w:val="18"/>
              </w:rPr>
              <w:t>Age 55-64</w:t>
            </w:r>
          </w:p>
        </w:tc>
        <w:tc>
          <w:tcPr>
            <w:tcW w:w="1079" w:type="dxa"/>
            <w:gridSpan w:val="2"/>
            <w:tcBorders>
              <w:top w:val="nil"/>
              <w:left w:val="nil"/>
              <w:bottom w:val="nil"/>
              <w:right w:val="nil"/>
            </w:tcBorders>
          </w:tcPr>
          <w:p w14:paraId="46BD902A" w14:textId="26EADDEB" w:rsidR="00637BC0" w:rsidRPr="004A4A47" w:rsidRDefault="00637BC0" w:rsidP="00637BC0">
            <w:pPr>
              <w:tabs>
                <w:tab w:val="decimal" w:pos="0"/>
              </w:tabs>
              <w:jc w:val="center"/>
              <w:rPr>
                <w:sz w:val="18"/>
                <w:szCs w:val="18"/>
              </w:rPr>
            </w:pPr>
            <w:r w:rsidRPr="004A4A47">
              <w:rPr>
                <w:sz w:val="18"/>
                <w:szCs w:val="18"/>
              </w:rPr>
              <w:t>-0.787</w:t>
            </w:r>
          </w:p>
        </w:tc>
        <w:tc>
          <w:tcPr>
            <w:tcW w:w="904" w:type="dxa"/>
            <w:tcBorders>
              <w:top w:val="nil"/>
              <w:left w:val="nil"/>
              <w:bottom w:val="nil"/>
              <w:right w:val="nil"/>
            </w:tcBorders>
          </w:tcPr>
          <w:p w14:paraId="71507758" w14:textId="47CA25F0" w:rsidR="00637BC0" w:rsidRPr="004A4A47" w:rsidRDefault="00637BC0" w:rsidP="00637BC0">
            <w:pPr>
              <w:tabs>
                <w:tab w:val="decimal" w:pos="243"/>
              </w:tabs>
              <w:jc w:val="center"/>
              <w:rPr>
                <w:sz w:val="18"/>
                <w:szCs w:val="18"/>
              </w:rPr>
            </w:pPr>
            <w:r w:rsidRPr="004A4A47">
              <w:rPr>
                <w:sz w:val="18"/>
                <w:szCs w:val="18"/>
              </w:rPr>
              <w:t>-4.765</w:t>
            </w:r>
          </w:p>
        </w:tc>
        <w:tc>
          <w:tcPr>
            <w:tcW w:w="990" w:type="dxa"/>
            <w:gridSpan w:val="3"/>
            <w:tcBorders>
              <w:top w:val="nil"/>
              <w:left w:val="nil"/>
              <w:bottom w:val="nil"/>
              <w:right w:val="nil"/>
            </w:tcBorders>
          </w:tcPr>
          <w:p w14:paraId="36FF4DE0" w14:textId="77777777" w:rsidR="00637BC0" w:rsidRPr="004A4A47" w:rsidRDefault="00637BC0" w:rsidP="00637BC0">
            <w:pPr>
              <w:tabs>
                <w:tab w:val="decimal" w:pos="308"/>
              </w:tabs>
              <w:jc w:val="center"/>
              <w:rPr>
                <w:sz w:val="18"/>
                <w:szCs w:val="18"/>
              </w:rPr>
            </w:pPr>
            <w:r w:rsidRPr="004A4A47">
              <w:rPr>
                <w:sz w:val="18"/>
                <w:szCs w:val="18"/>
              </w:rPr>
              <w:t>--</w:t>
            </w:r>
          </w:p>
        </w:tc>
        <w:tc>
          <w:tcPr>
            <w:tcW w:w="900" w:type="dxa"/>
            <w:tcBorders>
              <w:top w:val="nil"/>
              <w:left w:val="nil"/>
              <w:bottom w:val="nil"/>
              <w:right w:val="nil"/>
            </w:tcBorders>
          </w:tcPr>
          <w:p w14:paraId="7B5B5B38" w14:textId="77777777" w:rsidR="00637BC0" w:rsidRPr="004A4A47" w:rsidRDefault="00637BC0" w:rsidP="00637BC0">
            <w:pPr>
              <w:tabs>
                <w:tab w:val="decimal" w:pos="270"/>
              </w:tabs>
              <w:jc w:val="center"/>
              <w:rPr>
                <w:sz w:val="18"/>
                <w:szCs w:val="18"/>
              </w:rPr>
            </w:pPr>
          </w:p>
        </w:tc>
        <w:tc>
          <w:tcPr>
            <w:tcW w:w="942" w:type="dxa"/>
            <w:gridSpan w:val="3"/>
            <w:tcBorders>
              <w:top w:val="nil"/>
              <w:left w:val="nil"/>
              <w:bottom w:val="nil"/>
              <w:right w:val="nil"/>
            </w:tcBorders>
          </w:tcPr>
          <w:p w14:paraId="46D65029" w14:textId="77777777" w:rsidR="00637BC0" w:rsidRPr="004A4A47" w:rsidRDefault="00637BC0" w:rsidP="00637BC0">
            <w:pPr>
              <w:jc w:val="center"/>
              <w:rPr>
                <w:sz w:val="18"/>
                <w:szCs w:val="18"/>
              </w:rPr>
            </w:pPr>
            <w:r w:rsidRPr="004A4A47">
              <w:rPr>
                <w:sz w:val="18"/>
                <w:szCs w:val="18"/>
              </w:rPr>
              <w:t>--</w:t>
            </w:r>
          </w:p>
        </w:tc>
        <w:tc>
          <w:tcPr>
            <w:tcW w:w="900" w:type="dxa"/>
            <w:tcBorders>
              <w:top w:val="nil"/>
              <w:left w:val="nil"/>
              <w:bottom w:val="nil"/>
              <w:right w:val="single" w:sz="12" w:space="0" w:color="auto"/>
            </w:tcBorders>
          </w:tcPr>
          <w:p w14:paraId="26CDFFF9" w14:textId="77777777" w:rsidR="00637BC0" w:rsidRPr="004A4A47" w:rsidRDefault="00637BC0" w:rsidP="00637BC0">
            <w:pPr>
              <w:jc w:val="center"/>
              <w:rPr>
                <w:sz w:val="18"/>
                <w:szCs w:val="18"/>
              </w:rPr>
            </w:pPr>
          </w:p>
        </w:tc>
      </w:tr>
      <w:tr w:rsidR="00637BC0" w:rsidRPr="00677CE8" w14:paraId="7436184F" w14:textId="77777777" w:rsidTr="00E83B07">
        <w:trPr>
          <w:gridAfter w:val="1"/>
          <w:wAfter w:w="7" w:type="dxa"/>
          <w:trHeight w:val="20"/>
        </w:trPr>
        <w:tc>
          <w:tcPr>
            <w:tcW w:w="4305" w:type="dxa"/>
            <w:tcBorders>
              <w:top w:val="nil"/>
              <w:left w:val="single" w:sz="12" w:space="0" w:color="auto"/>
              <w:bottom w:val="nil"/>
              <w:right w:val="nil"/>
            </w:tcBorders>
          </w:tcPr>
          <w:p w14:paraId="3C936E06" w14:textId="26EAA77E" w:rsidR="00637BC0" w:rsidRPr="004A4A47" w:rsidRDefault="004A4A47" w:rsidP="00637BC0">
            <w:pPr>
              <w:ind w:left="216"/>
              <w:rPr>
                <w:sz w:val="18"/>
                <w:szCs w:val="18"/>
              </w:rPr>
            </w:pPr>
            <w:r w:rsidRPr="004A4A47">
              <w:rPr>
                <w:sz w:val="18"/>
                <w:szCs w:val="18"/>
              </w:rPr>
              <w:t xml:space="preserve">  </w:t>
            </w:r>
            <w:r w:rsidR="00637BC0" w:rsidRPr="004A4A47">
              <w:rPr>
                <w:sz w:val="18"/>
                <w:szCs w:val="18"/>
              </w:rPr>
              <w:t>Age 65+</w:t>
            </w:r>
          </w:p>
        </w:tc>
        <w:tc>
          <w:tcPr>
            <w:tcW w:w="1079" w:type="dxa"/>
            <w:gridSpan w:val="2"/>
            <w:tcBorders>
              <w:top w:val="nil"/>
              <w:left w:val="nil"/>
              <w:bottom w:val="nil"/>
              <w:right w:val="nil"/>
            </w:tcBorders>
          </w:tcPr>
          <w:p w14:paraId="7EF0AD53" w14:textId="0CF80C7A" w:rsidR="00637BC0" w:rsidRPr="004A4A47" w:rsidRDefault="00637BC0" w:rsidP="00637BC0">
            <w:pPr>
              <w:tabs>
                <w:tab w:val="decimal" w:pos="0"/>
              </w:tabs>
              <w:jc w:val="center"/>
              <w:rPr>
                <w:sz w:val="18"/>
                <w:szCs w:val="18"/>
              </w:rPr>
            </w:pPr>
            <w:r w:rsidRPr="004A4A47">
              <w:rPr>
                <w:sz w:val="18"/>
                <w:szCs w:val="18"/>
              </w:rPr>
              <w:t>-0.846</w:t>
            </w:r>
          </w:p>
        </w:tc>
        <w:tc>
          <w:tcPr>
            <w:tcW w:w="904" w:type="dxa"/>
            <w:tcBorders>
              <w:top w:val="nil"/>
              <w:left w:val="nil"/>
              <w:bottom w:val="nil"/>
              <w:right w:val="nil"/>
            </w:tcBorders>
          </w:tcPr>
          <w:p w14:paraId="72363E7D" w14:textId="75AFE0BD" w:rsidR="00637BC0" w:rsidRPr="004A4A47" w:rsidRDefault="00637BC0" w:rsidP="00637BC0">
            <w:pPr>
              <w:tabs>
                <w:tab w:val="decimal" w:pos="243"/>
              </w:tabs>
              <w:jc w:val="center"/>
              <w:rPr>
                <w:sz w:val="18"/>
                <w:szCs w:val="18"/>
              </w:rPr>
            </w:pPr>
            <w:r w:rsidRPr="004A4A47">
              <w:rPr>
                <w:sz w:val="18"/>
                <w:szCs w:val="18"/>
              </w:rPr>
              <w:t>-5.656</w:t>
            </w:r>
          </w:p>
        </w:tc>
        <w:tc>
          <w:tcPr>
            <w:tcW w:w="990" w:type="dxa"/>
            <w:gridSpan w:val="3"/>
            <w:tcBorders>
              <w:top w:val="nil"/>
              <w:left w:val="nil"/>
              <w:bottom w:val="nil"/>
              <w:right w:val="nil"/>
            </w:tcBorders>
          </w:tcPr>
          <w:p w14:paraId="26082CA2" w14:textId="0480991E" w:rsidR="00637BC0" w:rsidRPr="004A4A47" w:rsidRDefault="00637BC0" w:rsidP="00637BC0">
            <w:pPr>
              <w:tabs>
                <w:tab w:val="decimal" w:pos="308"/>
              </w:tabs>
              <w:jc w:val="center"/>
              <w:rPr>
                <w:sz w:val="18"/>
                <w:szCs w:val="18"/>
              </w:rPr>
            </w:pPr>
            <w:r w:rsidRPr="004A4A47">
              <w:rPr>
                <w:sz w:val="18"/>
                <w:szCs w:val="18"/>
              </w:rPr>
              <w:t>-0.563</w:t>
            </w:r>
          </w:p>
        </w:tc>
        <w:tc>
          <w:tcPr>
            <w:tcW w:w="900" w:type="dxa"/>
            <w:tcBorders>
              <w:top w:val="nil"/>
              <w:left w:val="nil"/>
              <w:bottom w:val="nil"/>
              <w:right w:val="nil"/>
            </w:tcBorders>
          </w:tcPr>
          <w:p w14:paraId="22A519FF" w14:textId="43F6745C" w:rsidR="00637BC0" w:rsidRPr="004A4A47" w:rsidRDefault="00637BC0" w:rsidP="00637BC0">
            <w:pPr>
              <w:tabs>
                <w:tab w:val="decimal" w:pos="270"/>
              </w:tabs>
              <w:jc w:val="center"/>
              <w:rPr>
                <w:sz w:val="18"/>
                <w:szCs w:val="18"/>
              </w:rPr>
            </w:pPr>
            <w:r w:rsidRPr="004A4A47">
              <w:rPr>
                <w:sz w:val="18"/>
                <w:szCs w:val="18"/>
              </w:rPr>
              <w:t>-2.986</w:t>
            </w:r>
          </w:p>
        </w:tc>
        <w:tc>
          <w:tcPr>
            <w:tcW w:w="942" w:type="dxa"/>
            <w:gridSpan w:val="3"/>
            <w:tcBorders>
              <w:top w:val="nil"/>
              <w:left w:val="nil"/>
              <w:bottom w:val="nil"/>
              <w:right w:val="nil"/>
            </w:tcBorders>
          </w:tcPr>
          <w:p w14:paraId="7CF8CBC1" w14:textId="77777777" w:rsidR="00637BC0" w:rsidRPr="004A4A47" w:rsidRDefault="00637BC0" w:rsidP="00637BC0">
            <w:pPr>
              <w:jc w:val="center"/>
              <w:rPr>
                <w:sz w:val="18"/>
                <w:szCs w:val="18"/>
              </w:rPr>
            </w:pPr>
            <w:r w:rsidRPr="004A4A47">
              <w:rPr>
                <w:sz w:val="18"/>
                <w:szCs w:val="18"/>
              </w:rPr>
              <w:t>--</w:t>
            </w:r>
          </w:p>
        </w:tc>
        <w:tc>
          <w:tcPr>
            <w:tcW w:w="900" w:type="dxa"/>
            <w:tcBorders>
              <w:top w:val="nil"/>
              <w:left w:val="nil"/>
              <w:bottom w:val="nil"/>
              <w:right w:val="single" w:sz="12" w:space="0" w:color="auto"/>
            </w:tcBorders>
          </w:tcPr>
          <w:p w14:paraId="6FADA8EA" w14:textId="77777777" w:rsidR="00637BC0" w:rsidRPr="004A4A47" w:rsidRDefault="00637BC0" w:rsidP="00637BC0">
            <w:pPr>
              <w:jc w:val="center"/>
              <w:rPr>
                <w:sz w:val="18"/>
                <w:szCs w:val="18"/>
              </w:rPr>
            </w:pPr>
          </w:p>
        </w:tc>
      </w:tr>
      <w:tr w:rsidR="00637BC0" w:rsidRPr="00677CE8" w14:paraId="2BCAF8C5" w14:textId="77777777" w:rsidTr="00E83B07">
        <w:trPr>
          <w:trHeight w:val="20"/>
        </w:trPr>
        <w:tc>
          <w:tcPr>
            <w:tcW w:w="6295" w:type="dxa"/>
            <w:gridSpan w:val="5"/>
            <w:tcBorders>
              <w:top w:val="nil"/>
              <w:left w:val="single" w:sz="12" w:space="0" w:color="auto"/>
              <w:bottom w:val="nil"/>
              <w:right w:val="nil"/>
            </w:tcBorders>
          </w:tcPr>
          <w:p w14:paraId="5A4F7FEA" w14:textId="671F4FF6" w:rsidR="00637BC0" w:rsidRPr="004A4A47" w:rsidRDefault="004A4A47" w:rsidP="00637BC0">
            <w:pPr>
              <w:tabs>
                <w:tab w:val="decimal" w:pos="94"/>
                <w:tab w:val="decimal" w:pos="243"/>
                <w:tab w:val="decimal" w:pos="276"/>
              </w:tabs>
              <w:rPr>
                <w:b/>
                <w:bCs/>
                <w:sz w:val="18"/>
                <w:szCs w:val="18"/>
              </w:rPr>
            </w:pPr>
            <w:r w:rsidRPr="004A4A47">
              <w:rPr>
                <w:b/>
                <w:bCs/>
                <w:sz w:val="18"/>
                <w:szCs w:val="18"/>
              </w:rPr>
              <w:t xml:space="preserve">  </w:t>
            </w:r>
            <w:r w:rsidR="00637BC0" w:rsidRPr="004A4A47">
              <w:rPr>
                <w:b/>
                <w:bCs/>
                <w:sz w:val="18"/>
                <w:szCs w:val="18"/>
              </w:rPr>
              <w:t xml:space="preserve">Education </w:t>
            </w:r>
            <w:r w:rsidR="00637BC0" w:rsidRPr="004A4A47">
              <w:rPr>
                <w:sz w:val="18"/>
                <w:szCs w:val="18"/>
              </w:rPr>
              <w:t xml:space="preserve">(less than a </w:t>
            </w:r>
            <w:r w:rsidR="00B61852">
              <w:rPr>
                <w:sz w:val="18"/>
                <w:szCs w:val="18"/>
              </w:rPr>
              <w:t>b</w:t>
            </w:r>
            <w:r w:rsidR="00637BC0" w:rsidRPr="004A4A47">
              <w:rPr>
                <w:sz w:val="18"/>
                <w:szCs w:val="18"/>
              </w:rPr>
              <w:t>achelor’s degree)</w:t>
            </w:r>
          </w:p>
        </w:tc>
        <w:tc>
          <w:tcPr>
            <w:tcW w:w="1890" w:type="dxa"/>
            <w:gridSpan w:val="4"/>
            <w:tcBorders>
              <w:top w:val="nil"/>
              <w:left w:val="nil"/>
              <w:bottom w:val="nil"/>
              <w:right w:val="nil"/>
            </w:tcBorders>
          </w:tcPr>
          <w:p w14:paraId="36EB1F88" w14:textId="77777777" w:rsidR="00637BC0" w:rsidRPr="004A4A47" w:rsidRDefault="00637BC0" w:rsidP="00637BC0">
            <w:pPr>
              <w:tabs>
                <w:tab w:val="decimal" w:pos="270"/>
                <w:tab w:val="decimal" w:pos="308"/>
              </w:tabs>
              <w:rPr>
                <w:b/>
                <w:bCs/>
                <w:sz w:val="18"/>
                <w:szCs w:val="18"/>
              </w:rPr>
            </w:pPr>
          </w:p>
        </w:tc>
        <w:tc>
          <w:tcPr>
            <w:tcW w:w="1842" w:type="dxa"/>
            <w:gridSpan w:val="4"/>
            <w:tcBorders>
              <w:top w:val="nil"/>
              <w:left w:val="nil"/>
              <w:bottom w:val="nil"/>
              <w:right w:val="single" w:sz="12" w:space="0" w:color="auto"/>
            </w:tcBorders>
          </w:tcPr>
          <w:p w14:paraId="386C3F73" w14:textId="77777777" w:rsidR="00637BC0" w:rsidRPr="004A4A47" w:rsidRDefault="00637BC0" w:rsidP="00637BC0">
            <w:pPr>
              <w:rPr>
                <w:b/>
                <w:bCs/>
                <w:sz w:val="18"/>
                <w:szCs w:val="18"/>
              </w:rPr>
            </w:pPr>
          </w:p>
        </w:tc>
      </w:tr>
      <w:tr w:rsidR="00637BC0" w:rsidRPr="00677CE8" w14:paraId="2DBA2C02" w14:textId="77777777" w:rsidTr="00E83B07">
        <w:trPr>
          <w:gridAfter w:val="1"/>
          <w:wAfter w:w="7" w:type="dxa"/>
          <w:trHeight w:val="20"/>
        </w:trPr>
        <w:tc>
          <w:tcPr>
            <w:tcW w:w="4305" w:type="dxa"/>
            <w:tcBorders>
              <w:top w:val="nil"/>
              <w:left w:val="single" w:sz="12" w:space="0" w:color="auto"/>
              <w:bottom w:val="nil"/>
              <w:right w:val="nil"/>
            </w:tcBorders>
          </w:tcPr>
          <w:p w14:paraId="24B656D0" w14:textId="0DD33F48" w:rsidR="00637BC0" w:rsidRPr="004A4A47" w:rsidRDefault="004A4A47" w:rsidP="00637BC0">
            <w:pPr>
              <w:ind w:left="216"/>
              <w:rPr>
                <w:sz w:val="18"/>
                <w:szCs w:val="18"/>
              </w:rPr>
            </w:pPr>
            <w:r w:rsidRPr="004A4A47">
              <w:rPr>
                <w:sz w:val="18"/>
                <w:szCs w:val="18"/>
              </w:rPr>
              <w:t xml:space="preserve">  </w:t>
            </w:r>
            <w:r w:rsidR="00637BC0" w:rsidRPr="004A4A47">
              <w:rPr>
                <w:sz w:val="18"/>
                <w:szCs w:val="18"/>
              </w:rPr>
              <w:t>Bachelor’s degree or higher</w:t>
            </w:r>
          </w:p>
        </w:tc>
        <w:tc>
          <w:tcPr>
            <w:tcW w:w="1079" w:type="dxa"/>
            <w:gridSpan w:val="2"/>
            <w:tcBorders>
              <w:top w:val="nil"/>
              <w:left w:val="nil"/>
              <w:bottom w:val="nil"/>
              <w:right w:val="nil"/>
            </w:tcBorders>
          </w:tcPr>
          <w:p w14:paraId="022D3AB7" w14:textId="4E76DB65" w:rsidR="00637BC0" w:rsidRPr="004A4A47" w:rsidRDefault="00637BC0" w:rsidP="00637BC0">
            <w:pPr>
              <w:tabs>
                <w:tab w:val="decimal" w:pos="94"/>
                <w:tab w:val="decimal" w:pos="244"/>
                <w:tab w:val="decimal" w:pos="276"/>
              </w:tabs>
              <w:jc w:val="center"/>
              <w:rPr>
                <w:sz w:val="18"/>
                <w:szCs w:val="18"/>
              </w:rPr>
            </w:pPr>
            <w:r w:rsidRPr="004A4A47">
              <w:rPr>
                <w:sz w:val="18"/>
                <w:szCs w:val="18"/>
              </w:rPr>
              <w:t>0.199</w:t>
            </w:r>
          </w:p>
        </w:tc>
        <w:tc>
          <w:tcPr>
            <w:tcW w:w="904" w:type="dxa"/>
            <w:tcBorders>
              <w:top w:val="nil"/>
              <w:left w:val="nil"/>
              <w:bottom w:val="nil"/>
              <w:right w:val="nil"/>
            </w:tcBorders>
          </w:tcPr>
          <w:p w14:paraId="1C322718" w14:textId="7A46B766" w:rsidR="00637BC0" w:rsidRPr="004A4A47" w:rsidRDefault="00637BC0" w:rsidP="00637BC0">
            <w:pPr>
              <w:tabs>
                <w:tab w:val="decimal" w:pos="243"/>
              </w:tabs>
              <w:jc w:val="center"/>
              <w:rPr>
                <w:sz w:val="18"/>
                <w:szCs w:val="18"/>
              </w:rPr>
            </w:pPr>
            <w:r w:rsidRPr="004A4A47">
              <w:rPr>
                <w:sz w:val="18"/>
                <w:szCs w:val="18"/>
              </w:rPr>
              <w:t>1.712</w:t>
            </w:r>
          </w:p>
        </w:tc>
        <w:tc>
          <w:tcPr>
            <w:tcW w:w="990" w:type="dxa"/>
            <w:gridSpan w:val="3"/>
            <w:tcBorders>
              <w:top w:val="nil"/>
              <w:left w:val="nil"/>
              <w:bottom w:val="nil"/>
              <w:right w:val="nil"/>
            </w:tcBorders>
          </w:tcPr>
          <w:p w14:paraId="4B12886E" w14:textId="77777777" w:rsidR="00637BC0" w:rsidRPr="004A4A47" w:rsidRDefault="00637BC0" w:rsidP="00637BC0">
            <w:pPr>
              <w:tabs>
                <w:tab w:val="decimal" w:pos="308"/>
              </w:tabs>
              <w:jc w:val="center"/>
              <w:rPr>
                <w:sz w:val="18"/>
                <w:szCs w:val="18"/>
              </w:rPr>
            </w:pPr>
            <w:r w:rsidRPr="004A4A47">
              <w:rPr>
                <w:sz w:val="18"/>
                <w:szCs w:val="18"/>
              </w:rPr>
              <w:t>--</w:t>
            </w:r>
          </w:p>
        </w:tc>
        <w:tc>
          <w:tcPr>
            <w:tcW w:w="900" w:type="dxa"/>
            <w:tcBorders>
              <w:top w:val="nil"/>
              <w:left w:val="nil"/>
              <w:bottom w:val="nil"/>
              <w:right w:val="nil"/>
            </w:tcBorders>
          </w:tcPr>
          <w:p w14:paraId="2108C419" w14:textId="77777777" w:rsidR="00637BC0" w:rsidRPr="004A4A47" w:rsidRDefault="00637BC0" w:rsidP="00637BC0">
            <w:pPr>
              <w:tabs>
                <w:tab w:val="decimal" w:pos="270"/>
              </w:tabs>
              <w:jc w:val="center"/>
              <w:rPr>
                <w:sz w:val="18"/>
                <w:szCs w:val="18"/>
              </w:rPr>
            </w:pPr>
          </w:p>
        </w:tc>
        <w:tc>
          <w:tcPr>
            <w:tcW w:w="942" w:type="dxa"/>
            <w:gridSpan w:val="3"/>
            <w:tcBorders>
              <w:top w:val="nil"/>
              <w:left w:val="nil"/>
              <w:bottom w:val="nil"/>
              <w:right w:val="nil"/>
            </w:tcBorders>
          </w:tcPr>
          <w:p w14:paraId="70A269A2" w14:textId="7B5712E9" w:rsidR="00637BC0" w:rsidRPr="004A4A47" w:rsidRDefault="00637BC0" w:rsidP="00637BC0">
            <w:pPr>
              <w:tabs>
                <w:tab w:val="decimal" w:pos="165"/>
              </w:tabs>
              <w:jc w:val="center"/>
              <w:rPr>
                <w:sz w:val="18"/>
                <w:szCs w:val="18"/>
              </w:rPr>
            </w:pPr>
            <w:r w:rsidRPr="004A4A47">
              <w:rPr>
                <w:sz w:val="18"/>
                <w:szCs w:val="18"/>
              </w:rPr>
              <w:t>0.213</w:t>
            </w:r>
          </w:p>
        </w:tc>
        <w:tc>
          <w:tcPr>
            <w:tcW w:w="900" w:type="dxa"/>
            <w:tcBorders>
              <w:top w:val="nil"/>
              <w:left w:val="nil"/>
              <w:bottom w:val="nil"/>
              <w:right w:val="single" w:sz="12" w:space="0" w:color="auto"/>
            </w:tcBorders>
          </w:tcPr>
          <w:p w14:paraId="21BB690F" w14:textId="32E14E55" w:rsidR="00637BC0" w:rsidRPr="004A4A47" w:rsidRDefault="00637BC0" w:rsidP="00637BC0">
            <w:pPr>
              <w:tabs>
                <w:tab w:val="decimal" w:pos="296"/>
              </w:tabs>
              <w:jc w:val="center"/>
              <w:rPr>
                <w:sz w:val="18"/>
                <w:szCs w:val="18"/>
              </w:rPr>
            </w:pPr>
            <w:r w:rsidRPr="004A4A47">
              <w:rPr>
                <w:sz w:val="18"/>
                <w:szCs w:val="18"/>
              </w:rPr>
              <w:t>2.312</w:t>
            </w:r>
          </w:p>
        </w:tc>
      </w:tr>
      <w:tr w:rsidR="00637BC0" w:rsidRPr="00677CE8" w14:paraId="175A3258" w14:textId="77777777" w:rsidTr="00E83B07">
        <w:trPr>
          <w:trHeight w:val="20"/>
        </w:trPr>
        <w:tc>
          <w:tcPr>
            <w:tcW w:w="6295" w:type="dxa"/>
            <w:gridSpan w:val="5"/>
            <w:tcBorders>
              <w:top w:val="nil"/>
              <w:left w:val="single" w:sz="12" w:space="0" w:color="auto"/>
              <w:bottom w:val="nil"/>
              <w:right w:val="nil"/>
            </w:tcBorders>
          </w:tcPr>
          <w:p w14:paraId="5A370E1C" w14:textId="508EF47B" w:rsidR="00637BC0" w:rsidRPr="004A4A47" w:rsidRDefault="004A4A47" w:rsidP="00637BC0">
            <w:pPr>
              <w:tabs>
                <w:tab w:val="decimal" w:pos="94"/>
                <w:tab w:val="decimal" w:pos="243"/>
                <w:tab w:val="decimal" w:pos="276"/>
              </w:tabs>
              <w:rPr>
                <w:b/>
                <w:bCs/>
                <w:sz w:val="18"/>
                <w:szCs w:val="18"/>
              </w:rPr>
            </w:pPr>
            <w:r w:rsidRPr="004A4A47">
              <w:rPr>
                <w:b/>
                <w:bCs/>
                <w:sz w:val="18"/>
                <w:szCs w:val="18"/>
              </w:rPr>
              <w:t xml:space="preserve">  </w:t>
            </w:r>
            <w:r w:rsidR="00637BC0" w:rsidRPr="004A4A47">
              <w:rPr>
                <w:b/>
                <w:bCs/>
                <w:sz w:val="18"/>
                <w:szCs w:val="18"/>
              </w:rPr>
              <w:t xml:space="preserve">Race </w:t>
            </w:r>
            <w:r w:rsidR="00637BC0" w:rsidRPr="004A4A47">
              <w:rPr>
                <w:sz w:val="18"/>
                <w:szCs w:val="18"/>
              </w:rPr>
              <w:t>(White</w:t>
            </w:r>
            <w:r w:rsidR="00D62FC7" w:rsidRPr="004A4A47">
              <w:rPr>
                <w:sz w:val="18"/>
                <w:szCs w:val="18"/>
              </w:rPr>
              <w:t>, Asian</w:t>
            </w:r>
            <w:r w:rsidR="00637BC0" w:rsidRPr="004A4A47">
              <w:rPr>
                <w:sz w:val="18"/>
                <w:szCs w:val="18"/>
              </w:rPr>
              <w:t>)</w:t>
            </w:r>
          </w:p>
        </w:tc>
        <w:tc>
          <w:tcPr>
            <w:tcW w:w="1890" w:type="dxa"/>
            <w:gridSpan w:val="4"/>
            <w:tcBorders>
              <w:top w:val="nil"/>
              <w:left w:val="nil"/>
              <w:bottom w:val="nil"/>
              <w:right w:val="nil"/>
            </w:tcBorders>
          </w:tcPr>
          <w:p w14:paraId="0D2529A8" w14:textId="77777777" w:rsidR="00637BC0" w:rsidRPr="004A4A47" w:rsidRDefault="00637BC0" w:rsidP="00637BC0">
            <w:pPr>
              <w:tabs>
                <w:tab w:val="decimal" w:pos="270"/>
                <w:tab w:val="decimal" w:pos="308"/>
              </w:tabs>
              <w:rPr>
                <w:b/>
                <w:bCs/>
                <w:sz w:val="18"/>
                <w:szCs w:val="18"/>
              </w:rPr>
            </w:pPr>
          </w:p>
        </w:tc>
        <w:tc>
          <w:tcPr>
            <w:tcW w:w="1842" w:type="dxa"/>
            <w:gridSpan w:val="4"/>
            <w:tcBorders>
              <w:top w:val="nil"/>
              <w:left w:val="nil"/>
              <w:bottom w:val="nil"/>
              <w:right w:val="single" w:sz="12" w:space="0" w:color="auto"/>
            </w:tcBorders>
          </w:tcPr>
          <w:p w14:paraId="7163A913" w14:textId="77777777" w:rsidR="00637BC0" w:rsidRPr="004A4A47" w:rsidRDefault="00637BC0" w:rsidP="00637BC0">
            <w:pPr>
              <w:tabs>
                <w:tab w:val="decimal" w:pos="165"/>
                <w:tab w:val="decimal" w:pos="296"/>
              </w:tabs>
              <w:rPr>
                <w:b/>
                <w:bCs/>
                <w:sz w:val="18"/>
                <w:szCs w:val="18"/>
              </w:rPr>
            </w:pPr>
          </w:p>
        </w:tc>
      </w:tr>
      <w:tr w:rsidR="00637BC0" w:rsidRPr="00677CE8" w14:paraId="1A01817D" w14:textId="77777777" w:rsidTr="00E83B07">
        <w:trPr>
          <w:gridAfter w:val="1"/>
          <w:wAfter w:w="7" w:type="dxa"/>
          <w:trHeight w:val="20"/>
        </w:trPr>
        <w:tc>
          <w:tcPr>
            <w:tcW w:w="4305" w:type="dxa"/>
            <w:tcBorders>
              <w:top w:val="nil"/>
              <w:left w:val="single" w:sz="12" w:space="0" w:color="auto"/>
              <w:bottom w:val="nil"/>
              <w:right w:val="nil"/>
            </w:tcBorders>
          </w:tcPr>
          <w:p w14:paraId="7A4A17EE" w14:textId="42E55E24" w:rsidR="00637BC0" w:rsidRPr="004A4A47" w:rsidRDefault="004A4A47" w:rsidP="00637BC0">
            <w:pPr>
              <w:ind w:left="216"/>
              <w:rPr>
                <w:sz w:val="18"/>
                <w:szCs w:val="18"/>
              </w:rPr>
            </w:pPr>
            <w:r w:rsidRPr="004A4A47">
              <w:rPr>
                <w:sz w:val="18"/>
                <w:szCs w:val="18"/>
              </w:rPr>
              <w:t xml:space="preserve">  </w:t>
            </w:r>
            <w:r w:rsidR="00637BC0" w:rsidRPr="004A4A47">
              <w:rPr>
                <w:sz w:val="18"/>
                <w:szCs w:val="18"/>
              </w:rPr>
              <w:t>Black</w:t>
            </w:r>
          </w:p>
        </w:tc>
        <w:tc>
          <w:tcPr>
            <w:tcW w:w="1079" w:type="dxa"/>
            <w:gridSpan w:val="2"/>
            <w:tcBorders>
              <w:top w:val="nil"/>
              <w:left w:val="nil"/>
              <w:bottom w:val="nil"/>
              <w:right w:val="nil"/>
            </w:tcBorders>
          </w:tcPr>
          <w:p w14:paraId="07850DFC" w14:textId="6FA1613D" w:rsidR="00637BC0" w:rsidRPr="004A4A47" w:rsidRDefault="00637BC0" w:rsidP="00637BC0">
            <w:pPr>
              <w:tabs>
                <w:tab w:val="decimal" w:pos="94"/>
                <w:tab w:val="decimal" w:pos="244"/>
                <w:tab w:val="decimal" w:pos="276"/>
              </w:tabs>
              <w:jc w:val="center"/>
              <w:rPr>
                <w:sz w:val="18"/>
                <w:szCs w:val="18"/>
              </w:rPr>
            </w:pPr>
            <w:r w:rsidRPr="004A4A47">
              <w:rPr>
                <w:sz w:val="18"/>
                <w:szCs w:val="18"/>
              </w:rPr>
              <w:t>0.642</w:t>
            </w:r>
          </w:p>
        </w:tc>
        <w:tc>
          <w:tcPr>
            <w:tcW w:w="904" w:type="dxa"/>
            <w:tcBorders>
              <w:top w:val="nil"/>
              <w:left w:val="nil"/>
              <w:bottom w:val="nil"/>
              <w:right w:val="nil"/>
            </w:tcBorders>
          </w:tcPr>
          <w:p w14:paraId="16762E3A" w14:textId="6D5896C8" w:rsidR="00637BC0" w:rsidRPr="004A4A47" w:rsidRDefault="00637BC0" w:rsidP="00637BC0">
            <w:pPr>
              <w:tabs>
                <w:tab w:val="decimal" w:pos="243"/>
              </w:tabs>
              <w:jc w:val="center"/>
              <w:rPr>
                <w:sz w:val="18"/>
                <w:szCs w:val="18"/>
              </w:rPr>
            </w:pPr>
            <w:r w:rsidRPr="004A4A47">
              <w:rPr>
                <w:sz w:val="18"/>
                <w:szCs w:val="18"/>
              </w:rPr>
              <w:t>4.347</w:t>
            </w:r>
          </w:p>
        </w:tc>
        <w:tc>
          <w:tcPr>
            <w:tcW w:w="990" w:type="dxa"/>
            <w:gridSpan w:val="3"/>
            <w:tcBorders>
              <w:top w:val="nil"/>
              <w:left w:val="nil"/>
              <w:bottom w:val="nil"/>
              <w:right w:val="nil"/>
            </w:tcBorders>
          </w:tcPr>
          <w:p w14:paraId="4ED82AF4" w14:textId="77777777" w:rsidR="00637BC0" w:rsidRPr="004A4A47" w:rsidRDefault="00637BC0" w:rsidP="00637BC0">
            <w:pPr>
              <w:tabs>
                <w:tab w:val="decimal" w:pos="308"/>
              </w:tabs>
              <w:jc w:val="center"/>
              <w:rPr>
                <w:sz w:val="18"/>
                <w:szCs w:val="18"/>
              </w:rPr>
            </w:pPr>
            <w:r w:rsidRPr="004A4A47">
              <w:rPr>
                <w:sz w:val="18"/>
                <w:szCs w:val="18"/>
              </w:rPr>
              <w:t>--</w:t>
            </w:r>
          </w:p>
        </w:tc>
        <w:tc>
          <w:tcPr>
            <w:tcW w:w="900" w:type="dxa"/>
            <w:tcBorders>
              <w:top w:val="nil"/>
              <w:left w:val="nil"/>
              <w:bottom w:val="nil"/>
              <w:right w:val="nil"/>
            </w:tcBorders>
          </w:tcPr>
          <w:p w14:paraId="55F4C235" w14:textId="77777777" w:rsidR="00637BC0" w:rsidRPr="004A4A47" w:rsidRDefault="00637BC0" w:rsidP="00637BC0">
            <w:pPr>
              <w:tabs>
                <w:tab w:val="decimal" w:pos="270"/>
              </w:tabs>
              <w:jc w:val="center"/>
              <w:rPr>
                <w:sz w:val="18"/>
                <w:szCs w:val="18"/>
              </w:rPr>
            </w:pPr>
          </w:p>
        </w:tc>
        <w:tc>
          <w:tcPr>
            <w:tcW w:w="942" w:type="dxa"/>
            <w:gridSpan w:val="3"/>
            <w:tcBorders>
              <w:top w:val="nil"/>
              <w:left w:val="nil"/>
              <w:bottom w:val="nil"/>
              <w:right w:val="nil"/>
            </w:tcBorders>
          </w:tcPr>
          <w:p w14:paraId="54888CCE" w14:textId="283B57C3" w:rsidR="00637BC0" w:rsidRPr="004A4A47" w:rsidRDefault="00637BC0" w:rsidP="00637BC0">
            <w:pPr>
              <w:tabs>
                <w:tab w:val="decimal" w:pos="165"/>
              </w:tabs>
              <w:jc w:val="center"/>
              <w:rPr>
                <w:sz w:val="18"/>
                <w:szCs w:val="18"/>
              </w:rPr>
            </w:pPr>
            <w:r w:rsidRPr="004A4A47">
              <w:rPr>
                <w:sz w:val="18"/>
                <w:szCs w:val="18"/>
              </w:rPr>
              <w:t>0.322</w:t>
            </w:r>
          </w:p>
        </w:tc>
        <w:tc>
          <w:tcPr>
            <w:tcW w:w="900" w:type="dxa"/>
            <w:tcBorders>
              <w:top w:val="nil"/>
              <w:left w:val="nil"/>
              <w:bottom w:val="nil"/>
              <w:right w:val="single" w:sz="12" w:space="0" w:color="auto"/>
            </w:tcBorders>
          </w:tcPr>
          <w:p w14:paraId="158E9547" w14:textId="55B89527" w:rsidR="00637BC0" w:rsidRPr="004A4A47" w:rsidRDefault="00637BC0" w:rsidP="00637BC0">
            <w:pPr>
              <w:tabs>
                <w:tab w:val="decimal" w:pos="296"/>
              </w:tabs>
              <w:jc w:val="center"/>
              <w:rPr>
                <w:sz w:val="18"/>
                <w:szCs w:val="18"/>
              </w:rPr>
            </w:pPr>
            <w:r w:rsidRPr="004A4A47">
              <w:rPr>
                <w:sz w:val="18"/>
                <w:szCs w:val="18"/>
              </w:rPr>
              <w:t>2.592</w:t>
            </w:r>
          </w:p>
        </w:tc>
      </w:tr>
      <w:tr w:rsidR="00637BC0" w:rsidRPr="00677CE8" w14:paraId="39962557" w14:textId="77777777" w:rsidTr="00E83B07">
        <w:trPr>
          <w:gridAfter w:val="1"/>
          <w:wAfter w:w="7" w:type="dxa"/>
          <w:trHeight w:val="20"/>
        </w:trPr>
        <w:tc>
          <w:tcPr>
            <w:tcW w:w="4305" w:type="dxa"/>
            <w:tcBorders>
              <w:top w:val="nil"/>
              <w:left w:val="single" w:sz="12" w:space="0" w:color="auto"/>
              <w:bottom w:val="nil"/>
              <w:right w:val="nil"/>
            </w:tcBorders>
          </w:tcPr>
          <w:p w14:paraId="295F31A5" w14:textId="24F457DF" w:rsidR="00637BC0" w:rsidRPr="004A4A47" w:rsidRDefault="004A4A47" w:rsidP="00637BC0">
            <w:pPr>
              <w:ind w:left="216"/>
              <w:rPr>
                <w:sz w:val="18"/>
                <w:szCs w:val="18"/>
              </w:rPr>
            </w:pPr>
            <w:r w:rsidRPr="004A4A47">
              <w:rPr>
                <w:sz w:val="18"/>
                <w:szCs w:val="18"/>
              </w:rPr>
              <w:t xml:space="preserve">  </w:t>
            </w:r>
            <w:proofErr w:type="gramStart"/>
            <w:r w:rsidR="00637BC0" w:rsidRPr="004A4A47">
              <w:rPr>
                <w:sz w:val="18"/>
                <w:szCs w:val="18"/>
              </w:rPr>
              <w:t>Other</w:t>
            </w:r>
            <w:proofErr w:type="gramEnd"/>
            <w:r w:rsidR="00637BC0" w:rsidRPr="004A4A47">
              <w:rPr>
                <w:sz w:val="18"/>
                <w:szCs w:val="18"/>
              </w:rPr>
              <w:t xml:space="preserve"> race</w:t>
            </w:r>
          </w:p>
        </w:tc>
        <w:tc>
          <w:tcPr>
            <w:tcW w:w="1079" w:type="dxa"/>
            <w:gridSpan w:val="2"/>
            <w:tcBorders>
              <w:top w:val="nil"/>
              <w:left w:val="nil"/>
              <w:bottom w:val="nil"/>
              <w:right w:val="nil"/>
            </w:tcBorders>
          </w:tcPr>
          <w:p w14:paraId="4400553E" w14:textId="0D3719DA" w:rsidR="00637BC0" w:rsidRPr="004A4A47" w:rsidRDefault="00637BC0" w:rsidP="00637BC0">
            <w:pPr>
              <w:tabs>
                <w:tab w:val="decimal" w:pos="94"/>
                <w:tab w:val="decimal" w:pos="244"/>
                <w:tab w:val="decimal" w:pos="276"/>
              </w:tabs>
              <w:jc w:val="center"/>
              <w:rPr>
                <w:sz w:val="18"/>
                <w:szCs w:val="18"/>
              </w:rPr>
            </w:pPr>
            <w:r w:rsidRPr="004A4A47">
              <w:rPr>
                <w:sz w:val="18"/>
                <w:szCs w:val="18"/>
              </w:rPr>
              <w:t>0.406</w:t>
            </w:r>
          </w:p>
        </w:tc>
        <w:tc>
          <w:tcPr>
            <w:tcW w:w="904" w:type="dxa"/>
            <w:tcBorders>
              <w:top w:val="nil"/>
              <w:left w:val="nil"/>
              <w:bottom w:val="nil"/>
              <w:right w:val="nil"/>
            </w:tcBorders>
          </w:tcPr>
          <w:p w14:paraId="5BD2FE3E" w14:textId="1BEAE2F0" w:rsidR="00637BC0" w:rsidRPr="004A4A47" w:rsidRDefault="00637BC0" w:rsidP="00637BC0">
            <w:pPr>
              <w:tabs>
                <w:tab w:val="decimal" w:pos="243"/>
              </w:tabs>
              <w:jc w:val="center"/>
              <w:rPr>
                <w:sz w:val="18"/>
                <w:szCs w:val="18"/>
              </w:rPr>
            </w:pPr>
            <w:r w:rsidRPr="004A4A47">
              <w:rPr>
                <w:sz w:val="18"/>
                <w:szCs w:val="18"/>
              </w:rPr>
              <w:t>2.642</w:t>
            </w:r>
          </w:p>
        </w:tc>
        <w:tc>
          <w:tcPr>
            <w:tcW w:w="990" w:type="dxa"/>
            <w:gridSpan w:val="3"/>
            <w:tcBorders>
              <w:top w:val="nil"/>
              <w:left w:val="nil"/>
              <w:bottom w:val="nil"/>
              <w:right w:val="nil"/>
            </w:tcBorders>
          </w:tcPr>
          <w:p w14:paraId="48707EBE" w14:textId="77777777" w:rsidR="00637BC0" w:rsidRPr="004A4A47" w:rsidRDefault="00637BC0" w:rsidP="00637BC0">
            <w:pPr>
              <w:tabs>
                <w:tab w:val="decimal" w:pos="308"/>
              </w:tabs>
              <w:jc w:val="center"/>
              <w:rPr>
                <w:sz w:val="18"/>
                <w:szCs w:val="18"/>
              </w:rPr>
            </w:pPr>
            <w:r w:rsidRPr="004A4A47">
              <w:rPr>
                <w:sz w:val="18"/>
                <w:szCs w:val="18"/>
              </w:rPr>
              <w:t>--</w:t>
            </w:r>
          </w:p>
        </w:tc>
        <w:tc>
          <w:tcPr>
            <w:tcW w:w="900" w:type="dxa"/>
            <w:tcBorders>
              <w:top w:val="nil"/>
              <w:left w:val="nil"/>
              <w:bottom w:val="nil"/>
              <w:right w:val="nil"/>
            </w:tcBorders>
          </w:tcPr>
          <w:p w14:paraId="1EBB2048" w14:textId="77777777" w:rsidR="00637BC0" w:rsidRPr="004A4A47" w:rsidRDefault="00637BC0" w:rsidP="00637BC0">
            <w:pPr>
              <w:tabs>
                <w:tab w:val="decimal" w:pos="270"/>
              </w:tabs>
              <w:jc w:val="center"/>
              <w:rPr>
                <w:sz w:val="18"/>
                <w:szCs w:val="18"/>
              </w:rPr>
            </w:pPr>
          </w:p>
        </w:tc>
        <w:tc>
          <w:tcPr>
            <w:tcW w:w="942" w:type="dxa"/>
            <w:gridSpan w:val="3"/>
            <w:tcBorders>
              <w:top w:val="nil"/>
              <w:left w:val="nil"/>
              <w:bottom w:val="nil"/>
              <w:right w:val="nil"/>
            </w:tcBorders>
          </w:tcPr>
          <w:p w14:paraId="3BEB63FE" w14:textId="7449499E" w:rsidR="00637BC0" w:rsidRPr="004A4A47" w:rsidRDefault="00637BC0" w:rsidP="00637BC0">
            <w:pPr>
              <w:tabs>
                <w:tab w:val="decimal" w:pos="165"/>
              </w:tabs>
              <w:jc w:val="center"/>
              <w:rPr>
                <w:sz w:val="18"/>
                <w:szCs w:val="18"/>
              </w:rPr>
            </w:pPr>
            <w:r w:rsidRPr="004A4A47">
              <w:rPr>
                <w:sz w:val="18"/>
                <w:szCs w:val="18"/>
              </w:rPr>
              <w:t>--</w:t>
            </w:r>
          </w:p>
        </w:tc>
        <w:tc>
          <w:tcPr>
            <w:tcW w:w="900" w:type="dxa"/>
            <w:tcBorders>
              <w:top w:val="nil"/>
              <w:left w:val="nil"/>
              <w:bottom w:val="nil"/>
              <w:right w:val="single" w:sz="12" w:space="0" w:color="auto"/>
            </w:tcBorders>
          </w:tcPr>
          <w:p w14:paraId="5067CFA7" w14:textId="19C2624A" w:rsidR="00637BC0" w:rsidRPr="004A4A47" w:rsidRDefault="00637BC0" w:rsidP="00637BC0">
            <w:pPr>
              <w:tabs>
                <w:tab w:val="decimal" w:pos="296"/>
              </w:tabs>
              <w:jc w:val="center"/>
              <w:rPr>
                <w:sz w:val="18"/>
                <w:szCs w:val="18"/>
              </w:rPr>
            </w:pPr>
          </w:p>
        </w:tc>
      </w:tr>
      <w:tr w:rsidR="00637BC0" w:rsidRPr="00677CE8" w14:paraId="29CAD43E" w14:textId="77777777" w:rsidTr="00E83B07">
        <w:trPr>
          <w:gridAfter w:val="1"/>
          <w:wAfter w:w="7" w:type="dxa"/>
          <w:trHeight w:val="20"/>
        </w:trPr>
        <w:tc>
          <w:tcPr>
            <w:tcW w:w="4305" w:type="dxa"/>
            <w:tcBorders>
              <w:top w:val="nil"/>
              <w:left w:val="single" w:sz="12" w:space="0" w:color="auto"/>
              <w:bottom w:val="nil"/>
              <w:right w:val="nil"/>
            </w:tcBorders>
          </w:tcPr>
          <w:p w14:paraId="5023551E" w14:textId="707003C5" w:rsidR="00637BC0" w:rsidRPr="004A4A47" w:rsidRDefault="004A4A47" w:rsidP="00637BC0">
            <w:pPr>
              <w:rPr>
                <w:sz w:val="18"/>
                <w:szCs w:val="18"/>
              </w:rPr>
            </w:pPr>
            <w:r w:rsidRPr="004A4A47">
              <w:rPr>
                <w:b/>
                <w:bCs/>
                <w:sz w:val="18"/>
                <w:szCs w:val="18"/>
              </w:rPr>
              <w:t xml:space="preserve">  </w:t>
            </w:r>
            <w:r w:rsidR="00637BC0" w:rsidRPr="004A4A47">
              <w:rPr>
                <w:b/>
                <w:bCs/>
                <w:sz w:val="18"/>
                <w:szCs w:val="18"/>
              </w:rPr>
              <w:t>Ethnicity</w:t>
            </w:r>
            <w:r w:rsidR="00637BC0" w:rsidRPr="004A4A47">
              <w:rPr>
                <w:sz w:val="18"/>
                <w:szCs w:val="18"/>
              </w:rPr>
              <w:t xml:space="preserve"> (</w:t>
            </w:r>
            <w:proofErr w:type="gramStart"/>
            <w:r w:rsidR="00637BC0" w:rsidRPr="004A4A47">
              <w:rPr>
                <w:sz w:val="18"/>
                <w:szCs w:val="18"/>
              </w:rPr>
              <w:t>Non-Hispanic</w:t>
            </w:r>
            <w:proofErr w:type="gramEnd"/>
            <w:r w:rsidR="00637BC0" w:rsidRPr="004A4A47">
              <w:rPr>
                <w:sz w:val="18"/>
                <w:szCs w:val="18"/>
              </w:rPr>
              <w:t>)</w:t>
            </w:r>
          </w:p>
        </w:tc>
        <w:tc>
          <w:tcPr>
            <w:tcW w:w="1079" w:type="dxa"/>
            <w:gridSpan w:val="2"/>
            <w:tcBorders>
              <w:top w:val="nil"/>
              <w:left w:val="nil"/>
              <w:bottom w:val="nil"/>
              <w:right w:val="nil"/>
            </w:tcBorders>
          </w:tcPr>
          <w:p w14:paraId="768549EB" w14:textId="77777777" w:rsidR="00637BC0" w:rsidRPr="004A4A47" w:rsidRDefault="00637BC0" w:rsidP="00637BC0">
            <w:pPr>
              <w:tabs>
                <w:tab w:val="decimal" w:pos="94"/>
                <w:tab w:val="decimal" w:pos="244"/>
                <w:tab w:val="decimal" w:pos="276"/>
              </w:tabs>
              <w:jc w:val="center"/>
              <w:rPr>
                <w:sz w:val="18"/>
                <w:szCs w:val="18"/>
              </w:rPr>
            </w:pPr>
          </w:p>
        </w:tc>
        <w:tc>
          <w:tcPr>
            <w:tcW w:w="904" w:type="dxa"/>
            <w:tcBorders>
              <w:top w:val="nil"/>
              <w:left w:val="nil"/>
              <w:bottom w:val="nil"/>
              <w:right w:val="nil"/>
            </w:tcBorders>
          </w:tcPr>
          <w:p w14:paraId="7271BD65" w14:textId="77777777" w:rsidR="00637BC0" w:rsidRPr="004A4A47" w:rsidRDefault="00637BC0" w:rsidP="00637BC0">
            <w:pPr>
              <w:jc w:val="center"/>
              <w:rPr>
                <w:sz w:val="18"/>
                <w:szCs w:val="18"/>
              </w:rPr>
            </w:pPr>
          </w:p>
        </w:tc>
        <w:tc>
          <w:tcPr>
            <w:tcW w:w="990" w:type="dxa"/>
            <w:gridSpan w:val="3"/>
            <w:tcBorders>
              <w:top w:val="nil"/>
              <w:left w:val="nil"/>
              <w:bottom w:val="nil"/>
              <w:right w:val="nil"/>
            </w:tcBorders>
          </w:tcPr>
          <w:p w14:paraId="107BC3CE" w14:textId="77777777" w:rsidR="00637BC0" w:rsidRPr="004A4A47" w:rsidRDefault="00637BC0" w:rsidP="00637BC0">
            <w:pPr>
              <w:tabs>
                <w:tab w:val="decimal" w:pos="308"/>
              </w:tabs>
              <w:jc w:val="center"/>
              <w:rPr>
                <w:sz w:val="18"/>
                <w:szCs w:val="18"/>
              </w:rPr>
            </w:pPr>
          </w:p>
        </w:tc>
        <w:tc>
          <w:tcPr>
            <w:tcW w:w="900" w:type="dxa"/>
            <w:tcBorders>
              <w:top w:val="nil"/>
              <w:left w:val="nil"/>
              <w:bottom w:val="nil"/>
              <w:right w:val="nil"/>
            </w:tcBorders>
          </w:tcPr>
          <w:p w14:paraId="77136FE7" w14:textId="77777777" w:rsidR="00637BC0" w:rsidRPr="004A4A47" w:rsidRDefault="00637BC0" w:rsidP="00637BC0">
            <w:pPr>
              <w:tabs>
                <w:tab w:val="decimal" w:pos="270"/>
              </w:tabs>
              <w:jc w:val="center"/>
              <w:rPr>
                <w:sz w:val="18"/>
                <w:szCs w:val="18"/>
              </w:rPr>
            </w:pPr>
          </w:p>
        </w:tc>
        <w:tc>
          <w:tcPr>
            <w:tcW w:w="942" w:type="dxa"/>
            <w:gridSpan w:val="3"/>
            <w:tcBorders>
              <w:top w:val="nil"/>
              <w:left w:val="nil"/>
              <w:bottom w:val="nil"/>
              <w:right w:val="nil"/>
            </w:tcBorders>
          </w:tcPr>
          <w:p w14:paraId="03061BC0" w14:textId="77777777" w:rsidR="00637BC0" w:rsidRPr="004A4A47" w:rsidRDefault="00637BC0" w:rsidP="00637BC0">
            <w:pPr>
              <w:tabs>
                <w:tab w:val="decimal" w:pos="165"/>
              </w:tabs>
              <w:jc w:val="center"/>
              <w:rPr>
                <w:color w:val="FFFFFF" w:themeColor="background1"/>
                <w:sz w:val="18"/>
                <w:szCs w:val="18"/>
              </w:rPr>
            </w:pPr>
          </w:p>
        </w:tc>
        <w:tc>
          <w:tcPr>
            <w:tcW w:w="900" w:type="dxa"/>
            <w:tcBorders>
              <w:top w:val="nil"/>
              <w:left w:val="nil"/>
              <w:bottom w:val="nil"/>
              <w:right w:val="single" w:sz="12" w:space="0" w:color="auto"/>
            </w:tcBorders>
          </w:tcPr>
          <w:p w14:paraId="1C635544" w14:textId="77777777" w:rsidR="00637BC0" w:rsidRPr="004A4A47" w:rsidRDefault="00637BC0" w:rsidP="00637BC0">
            <w:pPr>
              <w:tabs>
                <w:tab w:val="decimal" w:pos="296"/>
              </w:tabs>
              <w:jc w:val="center"/>
              <w:rPr>
                <w:color w:val="FFFFFF" w:themeColor="background1"/>
                <w:sz w:val="18"/>
                <w:szCs w:val="18"/>
              </w:rPr>
            </w:pPr>
          </w:p>
        </w:tc>
      </w:tr>
      <w:tr w:rsidR="00637BC0" w:rsidRPr="00677CE8" w14:paraId="3A7C3D18" w14:textId="77777777" w:rsidTr="00E83B07">
        <w:trPr>
          <w:gridAfter w:val="1"/>
          <w:wAfter w:w="7" w:type="dxa"/>
          <w:trHeight w:val="20"/>
        </w:trPr>
        <w:tc>
          <w:tcPr>
            <w:tcW w:w="4305" w:type="dxa"/>
            <w:tcBorders>
              <w:top w:val="nil"/>
              <w:left w:val="single" w:sz="12" w:space="0" w:color="auto"/>
              <w:bottom w:val="nil"/>
              <w:right w:val="nil"/>
            </w:tcBorders>
          </w:tcPr>
          <w:p w14:paraId="653D2464" w14:textId="2867140B" w:rsidR="00637BC0" w:rsidRPr="004A4A47" w:rsidRDefault="004A4A47" w:rsidP="00637BC0">
            <w:pPr>
              <w:ind w:left="216"/>
              <w:rPr>
                <w:sz w:val="18"/>
                <w:szCs w:val="18"/>
              </w:rPr>
            </w:pPr>
            <w:r w:rsidRPr="004A4A47">
              <w:rPr>
                <w:sz w:val="18"/>
                <w:szCs w:val="18"/>
              </w:rPr>
              <w:t xml:space="preserve">  </w:t>
            </w:r>
            <w:r w:rsidR="00637BC0" w:rsidRPr="004A4A47">
              <w:rPr>
                <w:sz w:val="18"/>
                <w:szCs w:val="18"/>
              </w:rPr>
              <w:t>Hispanic</w:t>
            </w:r>
          </w:p>
        </w:tc>
        <w:tc>
          <w:tcPr>
            <w:tcW w:w="1079" w:type="dxa"/>
            <w:gridSpan w:val="2"/>
            <w:tcBorders>
              <w:top w:val="nil"/>
              <w:left w:val="nil"/>
              <w:bottom w:val="nil"/>
              <w:right w:val="nil"/>
            </w:tcBorders>
          </w:tcPr>
          <w:p w14:paraId="75A9F04F" w14:textId="77777777" w:rsidR="00637BC0" w:rsidRPr="004A4A47" w:rsidRDefault="00637BC0" w:rsidP="00637BC0">
            <w:pPr>
              <w:tabs>
                <w:tab w:val="decimal" w:pos="94"/>
                <w:tab w:val="decimal" w:pos="244"/>
                <w:tab w:val="decimal" w:pos="276"/>
              </w:tabs>
              <w:jc w:val="center"/>
              <w:rPr>
                <w:sz w:val="18"/>
                <w:szCs w:val="18"/>
              </w:rPr>
            </w:pPr>
            <w:r w:rsidRPr="004A4A47">
              <w:rPr>
                <w:sz w:val="18"/>
                <w:szCs w:val="18"/>
              </w:rPr>
              <w:t>--</w:t>
            </w:r>
          </w:p>
        </w:tc>
        <w:tc>
          <w:tcPr>
            <w:tcW w:w="904" w:type="dxa"/>
            <w:tcBorders>
              <w:top w:val="nil"/>
              <w:left w:val="nil"/>
              <w:bottom w:val="nil"/>
              <w:right w:val="nil"/>
            </w:tcBorders>
          </w:tcPr>
          <w:p w14:paraId="1374FAB1" w14:textId="77777777" w:rsidR="00637BC0" w:rsidRPr="004A4A47" w:rsidRDefault="00637BC0" w:rsidP="00637BC0">
            <w:pPr>
              <w:jc w:val="center"/>
              <w:rPr>
                <w:sz w:val="18"/>
                <w:szCs w:val="18"/>
              </w:rPr>
            </w:pPr>
          </w:p>
        </w:tc>
        <w:tc>
          <w:tcPr>
            <w:tcW w:w="990" w:type="dxa"/>
            <w:gridSpan w:val="3"/>
            <w:tcBorders>
              <w:top w:val="nil"/>
              <w:left w:val="nil"/>
              <w:bottom w:val="nil"/>
              <w:right w:val="nil"/>
            </w:tcBorders>
          </w:tcPr>
          <w:p w14:paraId="09C212AC" w14:textId="77777777" w:rsidR="00637BC0" w:rsidRPr="004A4A47" w:rsidRDefault="00637BC0" w:rsidP="00637BC0">
            <w:pPr>
              <w:tabs>
                <w:tab w:val="decimal" w:pos="308"/>
              </w:tabs>
              <w:jc w:val="center"/>
              <w:rPr>
                <w:sz w:val="18"/>
                <w:szCs w:val="18"/>
              </w:rPr>
            </w:pPr>
            <w:r w:rsidRPr="004A4A47">
              <w:rPr>
                <w:sz w:val="18"/>
                <w:szCs w:val="18"/>
              </w:rPr>
              <w:t>--</w:t>
            </w:r>
          </w:p>
        </w:tc>
        <w:tc>
          <w:tcPr>
            <w:tcW w:w="900" w:type="dxa"/>
            <w:tcBorders>
              <w:top w:val="nil"/>
              <w:left w:val="nil"/>
              <w:bottom w:val="nil"/>
              <w:right w:val="nil"/>
            </w:tcBorders>
          </w:tcPr>
          <w:p w14:paraId="75531710" w14:textId="77777777" w:rsidR="00637BC0" w:rsidRPr="004A4A47" w:rsidRDefault="00637BC0" w:rsidP="00637BC0">
            <w:pPr>
              <w:tabs>
                <w:tab w:val="decimal" w:pos="270"/>
              </w:tabs>
              <w:jc w:val="center"/>
              <w:rPr>
                <w:sz w:val="18"/>
                <w:szCs w:val="18"/>
              </w:rPr>
            </w:pPr>
          </w:p>
        </w:tc>
        <w:tc>
          <w:tcPr>
            <w:tcW w:w="942" w:type="dxa"/>
            <w:gridSpan w:val="3"/>
            <w:tcBorders>
              <w:top w:val="nil"/>
              <w:left w:val="nil"/>
              <w:bottom w:val="nil"/>
              <w:right w:val="nil"/>
            </w:tcBorders>
          </w:tcPr>
          <w:p w14:paraId="10AD42FC" w14:textId="64E7492D" w:rsidR="00637BC0" w:rsidRPr="004A4A47" w:rsidRDefault="00637BC0" w:rsidP="00637BC0">
            <w:pPr>
              <w:tabs>
                <w:tab w:val="decimal" w:pos="165"/>
              </w:tabs>
              <w:jc w:val="center"/>
              <w:rPr>
                <w:sz w:val="18"/>
                <w:szCs w:val="18"/>
              </w:rPr>
            </w:pPr>
            <w:r w:rsidRPr="004A4A47">
              <w:rPr>
                <w:sz w:val="18"/>
                <w:szCs w:val="18"/>
              </w:rPr>
              <w:t>0.287</w:t>
            </w:r>
          </w:p>
        </w:tc>
        <w:tc>
          <w:tcPr>
            <w:tcW w:w="900" w:type="dxa"/>
            <w:tcBorders>
              <w:top w:val="nil"/>
              <w:left w:val="nil"/>
              <w:bottom w:val="nil"/>
              <w:right w:val="single" w:sz="12" w:space="0" w:color="auto"/>
            </w:tcBorders>
          </w:tcPr>
          <w:p w14:paraId="61EF7584" w14:textId="181EF2BF" w:rsidR="00637BC0" w:rsidRPr="004A4A47" w:rsidRDefault="00637BC0" w:rsidP="00637BC0">
            <w:pPr>
              <w:tabs>
                <w:tab w:val="decimal" w:pos="296"/>
              </w:tabs>
              <w:jc w:val="center"/>
              <w:rPr>
                <w:sz w:val="18"/>
                <w:szCs w:val="18"/>
              </w:rPr>
            </w:pPr>
            <w:r w:rsidRPr="004A4A47">
              <w:rPr>
                <w:sz w:val="18"/>
                <w:szCs w:val="18"/>
              </w:rPr>
              <w:t>2.801</w:t>
            </w:r>
          </w:p>
        </w:tc>
      </w:tr>
      <w:tr w:rsidR="00637BC0" w:rsidRPr="00677CE8" w14:paraId="2F13ADF2" w14:textId="77777777" w:rsidTr="00E83B07">
        <w:trPr>
          <w:trHeight w:val="20"/>
        </w:trPr>
        <w:tc>
          <w:tcPr>
            <w:tcW w:w="8185" w:type="dxa"/>
            <w:gridSpan w:val="9"/>
            <w:tcBorders>
              <w:top w:val="nil"/>
              <w:left w:val="single" w:sz="12" w:space="0" w:color="auto"/>
              <w:bottom w:val="nil"/>
              <w:right w:val="nil"/>
            </w:tcBorders>
          </w:tcPr>
          <w:p w14:paraId="4B408A06" w14:textId="017E1824" w:rsidR="00637BC0" w:rsidRPr="004A4A47" w:rsidRDefault="004A4A47" w:rsidP="00637BC0">
            <w:pPr>
              <w:tabs>
                <w:tab w:val="decimal" w:pos="94"/>
                <w:tab w:val="decimal" w:pos="244"/>
                <w:tab w:val="decimal" w:pos="270"/>
                <w:tab w:val="decimal" w:pos="308"/>
              </w:tabs>
              <w:rPr>
                <w:b/>
                <w:bCs/>
                <w:sz w:val="18"/>
                <w:szCs w:val="18"/>
              </w:rPr>
            </w:pPr>
            <w:r w:rsidRPr="004A4A47">
              <w:rPr>
                <w:b/>
                <w:bCs/>
                <w:sz w:val="18"/>
                <w:szCs w:val="18"/>
              </w:rPr>
              <w:t xml:space="preserve">  </w:t>
            </w:r>
            <w:r w:rsidR="00637BC0" w:rsidRPr="004A4A47">
              <w:rPr>
                <w:b/>
                <w:bCs/>
                <w:sz w:val="18"/>
                <w:szCs w:val="18"/>
              </w:rPr>
              <w:t xml:space="preserve">Employment Status </w:t>
            </w:r>
            <w:r w:rsidR="00637BC0" w:rsidRPr="004A4A47">
              <w:rPr>
                <w:sz w:val="18"/>
                <w:szCs w:val="18"/>
              </w:rPr>
              <w:t>(Part-time, Student, Retired, Other employment)</w:t>
            </w:r>
          </w:p>
        </w:tc>
        <w:tc>
          <w:tcPr>
            <w:tcW w:w="1842" w:type="dxa"/>
            <w:gridSpan w:val="4"/>
            <w:tcBorders>
              <w:top w:val="nil"/>
              <w:left w:val="nil"/>
              <w:bottom w:val="nil"/>
              <w:right w:val="single" w:sz="12" w:space="0" w:color="auto"/>
            </w:tcBorders>
          </w:tcPr>
          <w:p w14:paraId="2CBB78BD" w14:textId="77777777" w:rsidR="00637BC0" w:rsidRPr="004A4A47" w:rsidRDefault="00637BC0" w:rsidP="00637BC0">
            <w:pPr>
              <w:tabs>
                <w:tab w:val="decimal" w:pos="165"/>
                <w:tab w:val="decimal" w:pos="296"/>
              </w:tabs>
              <w:rPr>
                <w:b/>
                <w:bCs/>
                <w:sz w:val="18"/>
                <w:szCs w:val="18"/>
              </w:rPr>
            </w:pPr>
          </w:p>
        </w:tc>
      </w:tr>
      <w:tr w:rsidR="00637BC0" w:rsidRPr="00677CE8" w14:paraId="03E4BC7E" w14:textId="77777777" w:rsidTr="00E83B07">
        <w:trPr>
          <w:gridAfter w:val="1"/>
          <w:wAfter w:w="7" w:type="dxa"/>
          <w:trHeight w:val="20"/>
        </w:trPr>
        <w:tc>
          <w:tcPr>
            <w:tcW w:w="4305" w:type="dxa"/>
            <w:tcBorders>
              <w:top w:val="nil"/>
              <w:left w:val="single" w:sz="12" w:space="0" w:color="auto"/>
              <w:bottom w:val="single" w:sz="12" w:space="0" w:color="auto"/>
              <w:right w:val="nil"/>
            </w:tcBorders>
          </w:tcPr>
          <w:p w14:paraId="2104FB1A" w14:textId="53880B3A" w:rsidR="00637BC0" w:rsidRPr="004A4A47" w:rsidRDefault="00637BC0" w:rsidP="00637BC0">
            <w:pPr>
              <w:rPr>
                <w:sz w:val="18"/>
                <w:szCs w:val="18"/>
              </w:rPr>
            </w:pPr>
            <w:r w:rsidRPr="004A4A47">
              <w:rPr>
                <w:sz w:val="18"/>
                <w:szCs w:val="18"/>
              </w:rPr>
              <w:t xml:space="preserve">    </w:t>
            </w:r>
            <w:r w:rsidR="004A4A47" w:rsidRPr="004A4A47">
              <w:rPr>
                <w:sz w:val="18"/>
                <w:szCs w:val="18"/>
              </w:rPr>
              <w:t xml:space="preserve">  </w:t>
            </w:r>
            <w:r w:rsidRPr="004A4A47">
              <w:rPr>
                <w:sz w:val="18"/>
                <w:szCs w:val="18"/>
              </w:rPr>
              <w:t>Full-time</w:t>
            </w:r>
          </w:p>
        </w:tc>
        <w:tc>
          <w:tcPr>
            <w:tcW w:w="1079" w:type="dxa"/>
            <w:gridSpan w:val="2"/>
            <w:tcBorders>
              <w:top w:val="nil"/>
              <w:left w:val="nil"/>
              <w:bottom w:val="single" w:sz="12" w:space="0" w:color="auto"/>
              <w:right w:val="nil"/>
            </w:tcBorders>
          </w:tcPr>
          <w:p w14:paraId="5721D448" w14:textId="77777777" w:rsidR="00637BC0" w:rsidRPr="004A4A47" w:rsidRDefault="00637BC0" w:rsidP="00637BC0">
            <w:pPr>
              <w:tabs>
                <w:tab w:val="decimal" w:pos="94"/>
                <w:tab w:val="decimal" w:pos="244"/>
                <w:tab w:val="decimal" w:pos="276"/>
              </w:tabs>
              <w:jc w:val="center"/>
              <w:rPr>
                <w:sz w:val="18"/>
                <w:szCs w:val="18"/>
              </w:rPr>
            </w:pPr>
            <w:r w:rsidRPr="004A4A47">
              <w:rPr>
                <w:sz w:val="18"/>
                <w:szCs w:val="18"/>
              </w:rPr>
              <w:t>--</w:t>
            </w:r>
          </w:p>
        </w:tc>
        <w:tc>
          <w:tcPr>
            <w:tcW w:w="904" w:type="dxa"/>
            <w:tcBorders>
              <w:top w:val="nil"/>
              <w:left w:val="nil"/>
              <w:bottom w:val="single" w:sz="12" w:space="0" w:color="auto"/>
              <w:right w:val="nil"/>
            </w:tcBorders>
          </w:tcPr>
          <w:p w14:paraId="47D9C511" w14:textId="77777777" w:rsidR="00637BC0" w:rsidRPr="004A4A47" w:rsidRDefault="00637BC0" w:rsidP="00637BC0">
            <w:pPr>
              <w:jc w:val="center"/>
              <w:rPr>
                <w:sz w:val="18"/>
                <w:szCs w:val="18"/>
              </w:rPr>
            </w:pPr>
          </w:p>
        </w:tc>
        <w:tc>
          <w:tcPr>
            <w:tcW w:w="990" w:type="dxa"/>
            <w:gridSpan w:val="3"/>
            <w:tcBorders>
              <w:top w:val="nil"/>
              <w:left w:val="nil"/>
              <w:bottom w:val="single" w:sz="12" w:space="0" w:color="auto"/>
              <w:right w:val="nil"/>
            </w:tcBorders>
          </w:tcPr>
          <w:p w14:paraId="086A0122" w14:textId="79F441F1" w:rsidR="00637BC0" w:rsidRPr="004A4A47" w:rsidRDefault="00637BC0" w:rsidP="00637BC0">
            <w:pPr>
              <w:tabs>
                <w:tab w:val="decimal" w:pos="308"/>
              </w:tabs>
              <w:jc w:val="center"/>
              <w:rPr>
                <w:sz w:val="18"/>
                <w:szCs w:val="18"/>
              </w:rPr>
            </w:pPr>
            <w:r w:rsidRPr="004A4A47">
              <w:rPr>
                <w:sz w:val="18"/>
                <w:szCs w:val="18"/>
              </w:rPr>
              <w:t>-0.319</w:t>
            </w:r>
          </w:p>
        </w:tc>
        <w:tc>
          <w:tcPr>
            <w:tcW w:w="900" w:type="dxa"/>
            <w:tcBorders>
              <w:top w:val="nil"/>
              <w:left w:val="nil"/>
              <w:bottom w:val="single" w:sz="12" w:space="0" w:color="auto"/>
              <w:right w:val="nil"/>
            </w:tcBorders>
          </w:tcPr>
          <w:p w14:paraId="65BA34AA" w14:textId="53D9B31D" w:rsidR="00637BC0" w:rsidRPr="004A4A47" w:rsidRDefault="00637BC0" w:rsidP="00637BC0">
            <w:pPr>
              <w:tabs>
                <w:tab w:val="decimal" w:pos="270"/>
              </w:tabs>
              <w:jc w:val="center"/>
              <w:rPr>
                <w:sz w:val="18"/>
                <w:szCs w:val="18"/>
              </w:rPr>
            </w:pPr>
            <w:r w:rsidRPr="004A4A47">
              <w:rPr>
                <w:sz w:val="18"/>
                <w:szCs w:val="18"/>
              </w:rPr>
              <w:t>-2.314</w:t>
            </w:r>
          </w:p>
        </w:tc>
        <w:tc>
          <w:tcPr>
            <w:tcW w:w="942" w:type="dxa"/>
            <w:gridSpan w:val="3"/>
            <w:tcBorders>
              <w:top w:val="nil"/>
              <w:left w:val="nil"/>
              <w:bottom w:val="single" w:sz="12" w:space="0" w:color="auto"/>
              <w:right w:val="nil"/>
            </w:tcBorders>
          </w:tcPr>
          <w:p w14:paraId="628B27C7" w14:textId="77777777" w:rsidR="00637BC0" w:rsidRPr="004A4A47" w:rsidRDefault="00637BC0" w:rsidP="00637BC0">
            <w:pPr>
              <w:tabs>
                <w:tab w:val="decimal" w:pos="165"/>
              </w:tabs>
              <w:jc w:val="center"/>
              <w:rPr>
                <w:sz w:val="18"/>
                <w:szCs w:val="18"/>
              </w:rPr>
            </w:pPr>
            <w:r w:rsidRPr="004A4A47">
              <w:rPr>
                <w:sz w:val="18"/>
                <w:szCs w:val="18"/>
              </w:rPr>
              <w:t>--</w:t>
            </w:r>
          </w:p>
        </w:tc>
        <w:tc>
          <w:tcPr>
            <w:tcW w:w="900" w:type="dxa"/>
            <w:tcBorders>
              <w:top w:val="nil"/>
              <w:left w:val="nil"/>
              <w:bottom w:val="single" w:sz="12" w:space="0" w:color="auto"/>
              <w:right w:val="single" w:sz="12" w:space="0" w:color="auto"/>
            </w:tcBorders>
          </w:tcPr>
          <w:p w14:paraId="0F81DC15" w14:textId="77777777" w:rsidR="00637BC0" w:rsidRPr="004A4A47" w:rsidRDefault="00637BC0" w:rsidP="00637BC0">
            <w:pPr>
              <w:tabs>
                <w:tab w:val="decimal" w:pos="296"/>
              </w:tabs>
              <w:jc w:val="center"/>
              <w:rPr>
                <w:sz w:val="18"/>
                <w:szCs w:val="18"/>
              </w:rPr>
            </w:pPr>
          </w:p>
        </w:tc>
      </w:tr>
      <w:tr w:rsidR="004A4A47" w:rsidRPr="00677CE8" w14:paraId="31E6032E" w14:textId="77777777" w:rsidTr="00E83B07">
        <w:trPr>
          <w:trHeight w:val="20"/>
        </w:trPr>
        <w:tc>
          <w:tcPr>
            <w:tcW w:w="6295" w:type="dxa"/>
            <w:gridSpan w:val="5"/>
            <w:tcBorders>
              <w:top w:val="single" w:sz="12" w:space="0" w:color="auto"/>
              <w:left w:val="single" w:sz="12" w:space="0" w:color="auto"/>
              <w:bottom w:val="single" w:sz="12" w:space="0" w:color="auto"/>
              <w:right w:val="nil"/>
            </w:tcBorders>
          </w:tcPr>
          <w:p w14:paraId="5A51E738" w14:textId="7FDFDE3F" w:rsidR="004A4A47" w:rsidRPr="004A4A47" w:rsidRDefault="004A4A47" w:rsidP="00637BC0">
            <w:pPr>
              <w:tabs>
                <w:tab w:val="decimal" w:pos="94"/>
                <w:tab w:val="decimal" w:pos="244"/>
                <w:tab w:val="decimal" w:pos="276"/>
              </w:tabs>
              <w:rPr>
                <w:b/>
                <w:bCs/>
                <w:i/>
                <w:iCs/>
                <w:sz w:val="18"/>
                <w:szCs w:val="18"/>
              </w:rPr>
            </w:pPr>
            <w:r w:rsidRPr="004A4A47">
              <w:rPr>
                <w:b/>
                <w:bCs/>
                <w:i/>
                <w:iCs/>
                <w:sz w:val="18"/>
                <w:szCs w:val="18"/>
              </w:rPr>
              <w:t>Household-level</w:t>
            </w:r>
          </w:p>
        </w:tc>
        <w:tc>
          <w:tcPr>
            <w:tcW w:w="1890" w:type="dxa"/>
            <w:gridSpan w:val="4"/>
            <w:tcBorders>
              <w:top w:val="single" w:sz="12" w:space="0" w:color="auto"/>
              <w:left w:val="nil"/>
              <w:bottom w:val="single" w:sz="12" w:space="0" w:color="auto"/>
              <w:right w:val="nil"/>
            </w:tcBorders>
          </w:tcPr>
          <w:p w14:paraId="132022BE" w14:textId="77777777" w:rsidR="004A4A47" w:rsidRPr="004A4A47" w:rsidRDefault="004A4A47" w:rsidP="00637BC0">
            <w:pPr>
              <w:tabs>
                <w:tab w:val="decimal" w:pos="270"/>
                <w:tab w:val="decimal" w:pos="308"/>
              </w:tabs>
              <w:rPr>
                <w:b/>
                <w:bCs/>
                <w:sz w:val="18"/>
                <w:szCs w:val="18"/>
              </w:rPr>
            </w:pPr>
          </w:p>
        </w:tc>
        <w:tc>
          <w:tcPr>
            <w:tcW w:w="1842" w:type="dxa"/>
            <w:gridSpan w:val="4"/>
            <w:tcBorders>
              <w:top w:val="single" w:sz="12" w:space="0" w:color="auto"/>
              <w:left w:val="nil"/>
              <w:bottom w:val="single" w:sz="12" w:space="0" w:color="auto"/>
              <w:right w:val="single" w:sz="12" w:space="0" w:color="auto"/>
            </w:tcBorders>
          </w:tcPr>
          <w:p w14:paraId="52E18CDE" w14:textId="77777777" w:rsidR="004A4A47" w:rsidRPr="004A4A47" w:rsidRDefault="004A4A47" w:rsidP="00637BC0">
            <w:pPr>
              <w:tabs>
                <w:tab w:val="decimal" w:pos="165"/>
                <w:tab w:val="decimal" w:pos="296"/>
              </w:tabs>
              <w:rPr>
                <w:b/>
                <w:bCs/>
                <w:sz w:val="18"/>
                <w:szCs w:val="18"/>
              </w:rPr>
            </w:pPr>
          </w:p>
        </w:tc>
      </w:tr>
      <w:tr w:rsidR="00637BC0" w:rsidRPr="00677CE8" w14:paraId="22DD088B" w14:textId="77777777" w:rsidTr="00E83B07">
        <w:trPr>
          <w:trHeight w:val="20"/>
        </w:trPr>
        <w:tc>
          <w:tcPr>
            <w:tcW w:w="6295" w:type="dxa"/>
            <w:gridSpan w:val="5"/>
            <w:tcBorders>
              <w:top w:val="single" w:sz="12" w:space="0" w:color="auto"/>
              <w:left w:val="single" w:sz="12" w:space="0" w:color="auto"/>
              <w:bottom w:val="nil"/>
              <w:right w:val="nil"/>
            </w:tcBorders>
          </w:tcPr>
          <w:p w14:paraId="791FDD5A" w14:textId="64F6FB31" w:rsidR="00637BC0" w:rsidRPr="004A4A47" w:rsidRDefault="004A4A47" w:rsidP="00637BC0">
            <w:pPr>
              <w:tabs>
                <w:tab w:val="decimal" w:pos="94"/>
                <w:tab w:val="decimal" w:pos="244"/>
                <w:tab w:val="decimal" w:pos="276"/>
              </w:tabs>
              <w:rPr>
                <w:b/>
                <w:bCs/>
                <w:sz w:val="18"/>
                <w:szCs w:val="18"/>
              </w:rPr>
            </w:pPr>
            <w:r w:rsidRPr="004A4A47">
              <w:rPr>
                <w:b/>
                <w:bCs/>
                <w:sz w:val="18"/>
                <w:szCs w:val="18"/>
              </w:rPr>
              <w:t xml:space="preserve">  </w:t>
            </w:r>
            <w:r w:rsidR="00637BC0" w:rsidRPr="004A4A47">
              <w:rPr>
                <w:b/>
                <w:bCs/>
                <w:sz w:val="18"/>
                <w:szCs w:val="18"/>
              </w:rPr>
              <w:t xml:space="preserve">Household Income </w:t>
            </w:r>
            <w:r w:rsidR="00637BC0" w:rsidRPr="004A4A47">
              <w:rPr>
                <w:sz w:val="18"/>
                <w:szCs w:val="18"/>
              </w:rPr>
              <w:t>(High income, more than $100,000)</w:t>
            </w:r>
          </w:p>
        </w:tc>
        <w:tc>
          <w:tcPr>
            <w:tcW w:w="1890" w:type="dxa"/>
            <w:gridSpan w:val="4"/>
            <w:tcBorders>
              <w:top w:val="single" w:sz="12" w:space="0" w:color="auto"/>
              <w:left w:val="nil"/>
              <w:bottom w:val="nil"/>
              <w:right w:val="nil"/>
            </w:tcBorders>
          </w:tcPr>
          <w:p w14:paraId="567BACA5" w14:textId="77777777" w:rsidR="00637BC0" w:rsidRPr="004A4A47" w:rsidRDefault="00637BC0" w:rsidP="00637BC0">
            <w:pPr>
              <w:tabs>
                <w:tab w:val="decimal" w:pos="270"/>
                <w:tab w:val="decimal" w:pos="308"/>
              </w:tabs>
              <w:rPr>
                <w:b/>
                <w:bCs/>
                <w:sz w:val="18"/>
                <w:szCs w:val="18"/>
              </w:rPr>
            </w:pPr>
          </w:p>
        </w:tc>
        <w:tc>
          <w:tcPr>
            <w:tcW w:w="1842" w:type="dxa"/>
            <w:gridSpan w:val="4"/>
            <w:tcBorders>
              <w:top w:val="single" w:sz="12" w:space="0" w:color="auto"/>
              <w:left w:val="nil"/>
              <w:bottom w:val="nil"/>
              <w:right w:val="single" w:sz="12" w:space="0" w:color="auto"/>
            </w:tcBorders>
          </w:tcPr>
          <w:p w14:paraId="180C170D" w14:textId="77777777" w:rsidR="00637BC0" w:rsidRPr="004A4A47" w:rsidRDefault="00637BC0" w:rsidP="00637BC0">
            <w:pPr>
              <w:tabs>
                <w:tab w:val="decimal" w:pos="165"/>
                <w:tab w:val="decimal" w:pos="296"/>
              </w:tabs>
              <w:rPr>
                <w:b/>
                <w:bCs/>
                <w:sz w:val="18"/>
                <w:szCs w:val="18"/>
              </w:rPr>
            </w:pPr>
          </w:p>
        </w:tc>
      </w:tr>
      <w:tr w:rsidR="00637BC0" w:rsidRPr="00677CE8" w14:paraId="17D214DF" w14:textId="77777777" w:rsidTr="00E83B07">
        <w:trPr>
          <w:gridAfter w:val="1"/>
          <w:wAfter w:w="7" w:type="dxa"/>
          <w:trHeight w:val="20"/>
        </w:trPr>
        <w:tc>
          <w:tcPr>
            <w:tcW w:w="4305" w:type="dxa"/>
            <w:tcBorders>
              <w:top w:val="nil"/>
              <w:left w:val="single" w:sz="12" w:space="0" w:color="auto"/>
              <w:bottom w:val="nil"/>
              <w:right w:val="nil"/>
            </w:tcBorders>
            <w:vAlign w:val="center"/>
          </w:tcPr>
          <w:p w14:paraId="149D8687" w14:textId="5F29846B" w:rsidR="00637BC0" w:rsidRPr="004A4A47" w:rsidRDefault="00637BC0" w:rsidP="00637BC0">
            <w:pPr>
              <w:rPr>
                <w:b/>
                <w:bCs/>
                <w:sz w:val="18"/>
                <w:szCs w:val="18"/>
              </w:rPr>
            </w:pPr>
            <w:r w:rsidRPr="004A4A47">
              <w:rPr>
                <w:color w:val="000000"/>
                <w:sz w:val="18"/>
                <w:szCs w:val="18"/>
              </w:rPr>
              <w:t xml:space="preserve">    </w:t>
            </w:r>
            <w:r w:rsidR="004A4A47" w:rsidRPr="004A4A47">
              <w:rPr>
                <w:color w:val="000000"/>
                <w:sz w:val="18"/>
                <w:szCs w:val="18"/>
              </w:rPr>
              <w:t xml:space="preserve">  </w:t>
            </w:r>
            <w:r w:rsidRPr="004A4A47">
              <w:rPr>
                <w:color w:val="000000"/>
                <w:sz w:val="18"/>
                <w:szCs w:val="18"/>
              </w:rPr>
              <w:t>Medium income ($35,000-$100,000)</w:t>
            </w:r>
          </w:p>
        </w:tc>
        <w:tc>
          <w:tcPr>
            <w:tcW w:w="1079" w:type="dxa"/>
            <w:gridSpan w:val="2"/>
            <w:tcBorders>
              <w:top w:val="nil"/>
              <w:left w:val="nil"/>
              <w:bottom w:val="nil"/>
              <w:right w:val="nil"/>
            </w:tcBorders>
            <w:vAlign w:val="center"/>
          </w:tcPr>
          <w:p w14:paraId="7A3EAE33" w14:textId="6BDADE63" w:rsidR="00637BC0" w:rsidRPr="004A4A47" w:rsidRDefault="00637BC0" w:rsidP="00637BC0">
            <w:pPr>
              <w:tabs>
                <w:tab w:val="decimal" w:pos="94"/>
                <w:tab w:val="decimal" w:pos="244"/>
                <w:tab w:val="decimal" w:pos="276"/>
              </w:tabs>
              <w:jc w:val="center"/>
              <w:rPr>
                <w:sz w:val="18"/>
                <w:szCs w:val="18"/>
              </w:rPr>
            </w:pPr>
            <w:r w:rsidRPr="004A4A47">
              <w:rPr>
                <w:sz w:val="18"/>
                <w:szCs w:val="18"/>
              </w:rPr>
              <w:t>-0.331</w:t>
            </w:r>
          </w:p>
        </w:tc>
        <w:tc>
          <w:tcPr>
            <w:tcW w:w="904" w:type="dxa"/>
            <w:tcBorders>
              <w:top w:val="nil"/>
              <w:left w:val="nil"/>
              <w:bottom w:val="nil"/>
              <w:right w:val="nil"/>
            </w:tcBorders>
            <w:vAlign w:val="center"/>
          </w:tcPr>
          <w:p w14:paraId="51ADCD77" w14:textId="53636EE2" w:rsidR="00637BC0" w:rsidRPr="004A4A47" w:rsidRDefault="00637BC0" w:rsidP="00637BC0">
            <w:pPr>
              <w:tabs>
                <w:tab w:val="decimal" w:pos="276"/>
              </w:tabs>
              <w:jc w:val="center"/>
              <w:rPr>
                <w:sz w:val="18"/>
                <w:szCs w:val="18"/>
              </w:rPr>
            </w:pPr>
            <w:r w:rsidRPr="004A4A47">
              <w:rPr>
                <w:sz w:val="18"/>
                <w:szCs w:val="18"/>
              </w:rPr>
              <w:t>-2.780</w:t>
            </w:r>
          </w:p>
        </w:tc>
        <w:tc>
          <w:tcPr>
            <w:tcW w:w="945" w:type="dxa"/>
            <w:gridSpan w:val="2"/>
            <w:tcBorders>
              <w:top w:val="nil"/>
              <w:left w:val="nil"/>
              <w:bottom w:val="nil"/>
              <w:right w:val="nil"/>
            </w:tcBorders>
            <w:vAlign w:val="center"/>
          </w:tcPr>
          <w:p w14:paraId="13B040A6" w14:textId="77777777" w:rsidR="00637BC0" w:rsidRPr="004A4A47" w:rsidRDefault="00637BC0" w:rsidP="00637BC0">
            <w:pPr>
              <w:tabs>
                <w:tab w:val="decimal" w:pos="308"/>
              </w:tabs>
              <w:jc w:val="center"/>
              <w:rPr>
                <w:b/>
                <w:bCs/>
                <w:sz w:val="18"/>
                <w:szCs w:val="18"/>
              </w:rPr>
            </w:pPr>
            <w:r w:rsidRPr="004A4A47">
              <w:rPr>
                <w:sz w:val="18"/>
                <w:szCs w:val="18"/>
              </w:rPr>
              <w:t>--</w:t>
            </w:r>
          </w:p>
        </w:tc>
        <w:tc>
          <w:tcPr>
            <w:tcW w:w="945" w:type="dxa"/>
            <w:gridSpan w:val="2"/>
            <w:tcBorders>
              <w:top w:val="nil"/>
              <w:left w:val="nil"/>
              <w:bottom w:val="nil"/>
              <w:right w:val="nil"/>
            </w:tcBorders>
            <w:vAlign w:val="center"/>
          </w:tcPr>
          <w:p w14:paraId="6BACE1CA" w14:textId="77777777" w:rsidR="00637BC0" w:rsidRPr="004A4A47" w:rsidRDefault="00637BC0" w:rsidP="00637BC0">
            <w:pPr>
              <w:tabs>
                <w:tab w:val="decimal" w:pos="270"/>
                <w:tab w:val="decimal" w:pos="308"/>
              </w:tabs>
              <w:jc w:val="center"/>
              <w:rPr>
                <w:b/>
                <w:bCs/>
                <w:sz w:val="18"/>
                <w:szCs w:val="18"/>
              </w:rPr>
            </w:pPr>
          </w:p>
        </w:tc>
        <w:tc>
          <w:tcPr>
            <w:tcW w:w="942" w:type="dxa"/>
            <w:gridSpan w:val="3"/>
            <w:tcBorders>
              <w:top w:val="nil"/>
              <w:left w:val="nil"/>
              <w:bottom w:val="nil"/>
              <w:right w:val="nil"/>
            </w:tcBorders>
            <w:vAlign w:val="center"/>
          </w:tcPr>
          <w:p w14:paraId="4C9B144B" w14:textId="77777777" w:rsidR="00637BC0" w:rsidRPr="004A4A47" w:rsidRDefault="00637BC0" w:rsidP="00637BC0">
            <w:pPr>
              <w:tabs>
                <w:tab w:val="decimal" w:pos="165"/>
              </w:tabs>
              <w:jc w:val="center"/>
              <w:rPr>
                <w:b/>
                <w:bCs/>
                <w:sz w:val="18"/>
                <w:szCs w:val="18"/>
              </w:rPr>
            </w:pPr>
            <w:r w:rsidRPr="004A4A47">
              <w:rPr>
                <w:sz w:val="18"/>
                <w:szCs w:val="18"/>
              </w:rPr>
              <w:t>--</w:t>
            </w:r>
          </w:p>
        </w:tc>
        <w:tc>
          <w:tcPr>
            <w:tcW w:w="900" w:type="dxa"/>
            <w:tcBorders>
              <w:top w:val="nil"/>
              <w:left w:val="nil"/>
              <w:bottom w:val="nil"/>
              <w:right w:val="single" w:sz="12" w:space="0" w:color="auto"/>
            </w:tcBorders>
            <w:vAlign w:val="center"/>
          </w:tcPr>
          <w:p w14:paraId="746668DE" w14:textId="77777777" w:rsidR="00637BC0" w:rsidRPr="004A4A47" w:rsidRDefault="00637BC0" w:rsidP="00637BC0">
            <w:pPr>
              <w:tabs>
                <w:tab w:val="decimal" w:pos="296"/>
              </w:tabs>
              <w:rPr>
                <w:b/>
                <w:bCs/>
                <w:sz w:val="18"/>
                <w:szCs w:val="18"/>
              </w:rPr>
            </w:pPr>
          </w:p>
        </w:tc>
      </w:tr>
      <w:tr w:rsidR="00637BC0" w:rsidRPr="00677CE8" w14:paraId="531FCAEC" w14:textId="77777777" w:rsidTr="00E83B07">
        <w:trPr>
          <w:gridAfter w:val="1"/>
          <w:wAfter w:w="7" w:type="dxa"/>
          <w:trHeight w:val="20"/>
        </w:trPr>
        <w:tc>
          <w:tcPr>
            <w:tcW w:w="4305" w:type="dxa"/>
            <w:tcBorders>
              <w:top w:val="nil"/>
              <w:left w:val="single" w:sz="12" w:space="0" w:color="auto"/>
              <w:bottom w:val="nil"/>
              <w:right w:val="nil"/>
            </w:tcBorders>
            <w:vAlign w:val="center"/>
          </w:tcPr>
          <w:p w14:paraId="71776B2D" w14:textId="1B807049" w:rsidR="00637BC0" w:rsidRPr="004A4A47" w:rsidRDefault="00637BC0" w:rsidP="00637BC0">
            <w:pPr>
              <w:rPr>
                <w:b/>
                <w:bCs/>
                <w:sz w:val="18"/>
                <w:szCs w:val="18"/>
              </w:rPr>
            </w:pPr>
            <w:r w:rsidRPr="004A4A47">
              <w:rPr>
                <w:color w:val="000000"/>
                <w:sz w:val="18"/>
                <w:szCs w:val="18"/>
              </w:rPr>
              <w:t xml:space="preserve">    </w:t>
            </w:r>
            <w:r w:rsidR="004A4A47" w:rsidRPr="004A4A47">
              <w:rPr>
                <w:color w:val="000000"/>
                <w:sz w:val="18"/>
                <w:szCs w:val="18"/>
              </w:rPr>
              <w:t xml:space="preserve">  </w:t>
            </w:r>
            <w:r w:rsidRPr="004A4A47">
              <w:rPr>
                <w:color w:val="000000"/>
                <w:sz w:val="18"/>
                <w:szCs w:val="18"/>
              </w:rPr>
              <w:t>Low income (less than $35,000)</w:t>
            </w:r>
          </w:p>
        </w:tc>
        <w:tc>
          <w:tcPr>
            <w:tcW w:w="1079" w:type="dxa"/>
            <w:gridSpan w:val="2"/>
            <w:tcBorders>
              <w:top w:val="nil"/>
              <w:left w:val="nil"/>
              <w:bottom w:val="nil"/>
              <w:right w:val="nil"/>
            </w:tcBorders>
            <w:vAlign w:val="center"/>
          </w:tcPr>
          <w:p w14:paraId="0D579815" w14:textId="51E2472F" w:rsidR="00637BC0" w:rsidRPr="004A4A47" w:rsidRDefault="00637BC0" w:rsidP="00637BC0">
            <w:pPr>
              <w:tabs>
                <w:tab w:val="decimal" w:pos="94"/>
                <w:tab w:val="decimal" w:pos="244"/>
                <w:tab w:val="decimal" w:pos="276"/>
              </w:tabs>
              <w:jc w:val="center"/>
              <w:rPr>
                <w:sz w:val="18"/>
                <w:szCs w:val="18"/>
              </w:rPr>
            </w:pPr>
            <w:r w:rsidRPr="004A4A47">
              <w:rPr>
                <w:sz w:val="18"/>
                <w:szCs w:val="18"/>
              </w:rPr>
              <w:t>-0.727</w:t>
            </w:r>
          </w:p>
        </w:tc>
        <w:tc>
          <w:tcPr>
            <w:tcW w:w="904" w:type="dxa"/>
            <w:tcBorders>
              <w:top w:val="nil"/>
              <w:left w:val="nil"/>
              <w:bottom w:val="nil"/>
              <w:right w:val="nil"/>
            </w:tcBorders>
            <w:vAlign w:val="center"/>
          </w:tcPr>
          <w:p w14:paraId="7472257B" w14:textId="6768D8E2" w:rsidR="00637BC0" w:rsidRPr="004A4A47" w:rsidRDefault="00637BC0" w:rsidP="00637BC0">
            <w:pPr>
              <w:tabs>
                <w:tab w:val="decimal" w:pos="276"/>
              </w:tabs>
              <w:jc w:val="center"/>
              <w:rPr>
                <w:sz w:val="18"/>
                <w:szCs w:val="18"/>
              </w:rPr>
            </w:pPr>
            <w:r w:rsidRPr="004A4A47">
              <w:rPr>
                <w:sz w:val="18"/>
                <w:szCs w:val="18"/>
              </w:rPr>
              <w:t>-4.666</w:t>
            </w:r>
          </w:p>
        </w:tc>
        <w:tc>
          <w:tcPr>
            <w:tcW w:w="945" w:type="dxa"/>
            <w:gridSpan w:val="2"/>
            <w:tcBorders>
              <w:top w:val="nil"/>
              <w:left w:val="nil"/>
              <w:bottom w:val="nil"/>
              <w:right w:val="nil"/>
            </w:tcBorders>
            <w:vAlign w:val="center"/>
          </w:tcPr>
          <w:p w14:paraId="5A14E74D" w14:textId="21A7D8DF" w:rsidR="00637BC0" w:rsidRPr="004A4A47" w:rsidRDefault="00637BC0" w:rsidP="00637BC0">
            <w:pPr>
              <w:tabs>
                <w:tab w:val="decimal" w:pos="308"/>
              </w:tabs>
              <w:jc w:val="center"/>
              <w:rPr>
                <w:sz w:val="18"/>
                <w:szCs w:val="18"/>
              </w:rPr>
            </w:pPr>
            <w:r w:rsidRPr="004A4A47">
              <w:rPr>
                <w:sz w:val="18"/>
                <w:szCs w:val="18"/>
              </w:rPr>
              <w:t>-0.356</w:t>
            </w:r>
          </w:p>
        </w:tc>
        <w:tc>
          <w:tcPr>
            <w:tcW w:w="945" w:type="dxa"/>
            <w:gridSpan w:val="2"/>
            <w:tcBorders>
              <w:top w:val="nil"/>
              <w:left w:val="nil"/>
              <w:bottom w:val="nil"/>
              <w:right w:val="nil"/>
            </w:tcBorders>
            <w:vAlign w:val="center"/>
          </w:tcPr>
          <w:p w14:paraId="6EFA6C7B" w14:textId="3847E9EC" w:rsidR="00637BC0" w:rsidRPr="004A4A47" w:rsidRDefault="00637BC0" w:rsidP="00637BC0">
            <w:pPr>
              <w:tabs>
                <w:tab w:val="decimal" w:pos="270"/>
                <w:tab w:val="decimal" w:pos="308"/>
              </w:tabs>
              <w:jc w:val="center"/>
              <w:rPr>
                <w:sz w:val="18"/>
                <w:szCs w:val="18"/>
              </w:rPr>
            </w:pPr>
            <w:r w:rsidRPr="004A4A47">
              <w:rPr>
                <w:sz w:val="18"/>
                <w:szCs w:val="18"/>
              </w:rPr>
              <w:t>-2.231</w:t>
            </w:r>
          </w:p>
        </w:tc>
        <w:tc>
          <w:tcPr>
            <w:tcW w:w="942" w:type="dxa"/>
            <w:gridSpan w:val="3"/>
            <w:tcBorders>
              <w:top w:val="nil"/>
              <w:left w:val="nil"/>
              <w:bottom w:val="nil"/>
              <w:right w:val="nil"/>
            </w:tcBorders>
            <w:vAlign w:val="center"/>
          </w:tcPr>
          <w:p w14:paraId="5E2515B3" w14:textId="77777777" w:rsidR="00637BC0" w:rsidRPr="000E7216" w:rsidRDefault="00637BC0" w:rsidP="00637BC0">
            <w:pPr>
              <w:tabs>
                <w:tab w:val="decimal" w:pos="165"/>
              </w:tabs>
              <w:jc w:val="center"/>
              <w:rPr>
                <w:sz w:val="18"/>
                <w:szCs w:val="18"/>
              </w:rPr>
            </w:pPr>
            <w:r w:rsidRPr="000E7216">
              <w:rPr>
                <w:sz w:val="18"/>
                <w:szCs w:val="18"/>
              </w:rPr>
              <w:t>--</w:t>
            </w:r>
          </w:p>
        </w:tc>
        <w:tc>
          <w:tcPr>
            <w:tcW w:w="900" w:type="dxa"/>
            <w:tcBorders>
              <w:top w:val="nil"/>
              <w:left w:val="nil"/>
              <w:bottom w:val="nil"/>
              <w:right w:val="single" w:sz="12" w:space="0" w:color="auto"/>
            </w:tcBorders>
          </w:tcPr>
          <w:p w14:paraId="4FBE506A" w14:textId="77777777" w:rsidR="00637BC0" w:rsidRPr="004A4A47" w:rsidRDefault="00637BC0" w:rsidP="00637BC0">
            <w:pPr>
              <w:tabs>
                <w:tab w:val="decimal" w:pos="296"/>
              </w:tabs>
              <w:rPr>
                <w:b/>
                <w:bCs/>
                <w:sz w:val="18"/>
                <w:szCs w:val="18"/>
              </w:rPr>
            </w:pPr>
          </w:p>
        </w:tc>
      </w:tr>
      <w:tr w:rsidR="00637BC0" w:rsidRPr="00677CE8" w14:paraId="49C4882D" w14:textId="77777777" w:rsidTr="00E83B07">
        <w:trPr>
          <w:trHeight w:val="20"/>
        </w:trPr>
        <w:tc>
          <w:tcPr>
            <w:tcW w:w="6295" w:type="dxa"/>
            <w:gridSpan w:val="5"/>
            <w:tcBorders>
              <w:top w:val="nil"/>
              <w:left w:val="single" w:sz="12" w:space="0" w:color="auto"/>
              <w:bottom w:val="nil"/>
              <w:right w:val="nil"/>
            </w:tcBorders>
          </w:tcPr>
          <w:p w14:paraId="05B8A677" w14:textId="58480835" w:rsidR="00637BC0" w:rsidRPr="004A4A47" w:rsidRDefault="004A4A47" w:rsidP="00637BC0">
            <w:pPr>
              <w:tabs>
                <w:tab w:val="decimal" w:pos="94"/>
                <w:tab w:val="decimal" w:pos="276"/>
              </w:tabs>
              <w:rPr>
                <w:b/>
                <w:bCs/>
                <w:sz w:val="18"/>
                <w:szCs w:val="18"/>
              </w:rPr>
            </w:pPr>
            <w:r w:rsidRPr="004A4A47">
              <w:rPr>
                <w:b/>
                <w:bCs/>
                <w:sz w:val="18"/>
                <w:szCs w:val="18"/>
              </w:rPr>
              <w:t xml:space="preserve">  </w:t>
            </w:r>
            <w:r w:rsidR="00637BC0" w:rsidRPr="004A4A47">
              <w:rPr>
                <w:b/>
                <w:bCs/>
                <w:sz w:val="18"/>
                <w:szCs w:val="18"/>
              </w:rPr>
              <w:t xml:space="preserve">Housing Tenure </w:t>
            </w:r>
            <w:r w:rsidR="00637BC0" w:rsidRPr="004A4A47">
              <w:rPr>
                <w:sz w:val="18"/>
                <w:szCs w:val="18"/>
              </w:rPr>
              <w:t>(Non-homeownership arrangements)</w:t>
            </w:r>
          </w:p>
        </w:tc>
        <w:tc>
          <w:tcPr>
            <w:tcW w:w="1890" w:type="dxa"/>
            <w:gridSpan w:val="4"/>
            <w:tcBorders>
              <w:top w:val="nil"/>
              <w:left w:val="nil"/>
              <w:bottom w:val="nil"/>
              <w:right w:val="nil"/>
            </w:tcBorders>
          </w:tcPr>
          <w:p w14:paraId="17D6D7D5" w14:textId="77777777" w:rsidR="00637BC0" w:rsidRPr="004A4A47" w:rsidRDefault="00637BC0" w:rsidP="00637BC0">
            <w:pPr>
              <w:tabs>
                <w:tab w:val="decimal" w:pos="270"/>
                <w:tab w:val="decimal" w:pos="308"/>
              </w:tabs>
              <w:rPr>
                <w:b/>
                <w:bCs/>
                <w:sz w:val="18"/>
                <w:szCs w:val="18"/>
              </w:rPr>
            </w:pPr>
          </w:p>
        </w:tc>
        <w:tc>
          <w:tcPr>
            <w:tcW w:w="1842" w:type="dxa"/>
            <w:gridSpan w:val="4"/>
            <w:tcBorders>
              <w:top w:val="nil"/>
              <w:left w:val="nil"/>
              <w:bottom w:val="nil"/>
              <w:right w:val="single" w:sz="12" w:space="0" w:color="auto"/>
            </w:tcBorders>
          </w:tcPr>
          <w:p w14:paraId="5A31F659" w14:textId="77777777" w:rsidR="00637BC0" w:rsidRPr="004A4A47" w:rsidRDefault="00637BC0" w:rsidP="00637BC0">
            <w:pPr>
              <w:tabs>
                <w:tab w:val="decimal" w:pos="165"/>
                <w:tab w:val="decimal" w:pos="296"/>
              </w:tabs>
              <w:rPr>
                <w:b/>
                <w:bCs/>
                <w:sz w:val="18"/>
                <w:szCs w:val="18"/>
              </w:rPr>
            </w:pPr>
          </w:p>
        </w:tc>
      </w:tr>
      <w:tr w:rsidR="00637BC0" w:rsidRPr="00677CE8" w14:paraId="4F498E64" w14:textId="77777777" w:rsidTr="00E83B07">
        <w:trPr>
          <w:gridAfter w:val="1"/>
          <w:wAfter w:w="7" w:type="dxa"/>
          <w:trHeight w:val="20"/>
        </w:trPr>
        <w:tc>
          <w:tcPr>
            <w:tcW w:w="4305" w:type="dxa"/>
            <w:tcBorders>
              <w:top w:val="nil"/>
              <w:left w:val="single" w:sz="12" w:space="0" w:color="auto"/>
              <w:bottom w:val="nil"/>
              <w:right w:val="nil"/>
            </w:tcBorders>
          </w:tcPr>
          <w:p w14:paraId="13A90A01" w14:textId="745177F4" w:rsidR="00637BC0" w:rsidRPr="004A4A47" w:rsidRDefault="004A4A47" w:rsidP="00637BC0">
            <w:pPr>
              <w:ind w:left="216"/>
              <w:rPr>
                <w:sz w:val="18"/>
                <w:szCs w:val="18"/>
              </w:rPr>
            </w:pPr>
            <w:r w:rsidRPr="004A4A47">
              <w:rPr>
                <w:sz w:val="18"/>
                <w:szCs w:val="18"/>
              </w:rPr>
              <w:t xml:space="preserve">  </w:t>
            </w:r>
            <w:r w:rsidR="00637BC0" w:rsidRPr="004A4A47">
              <w:rPr>
                <w:sz w:val="18"/>
                <w:szCs w:val="18"/>
              </w:rPr>
              <w:t>Homeowner</w:t>
            </w:r>
          </w:p>
        </w:tc>
        <w:tc>
          <w:tcPr>
            <w:tcW w:w="1079" w:type="dxa"/>
            <w:gridSpan w:val="2"/>
            <w:tcBorders>
              <w:top w:val="nil"/>
              <w:left w:val="nil"/>
              <w:bottom w:val="nil"/>
              <w:right w:val="nil"/>
            </w:tcBorders>
          </w:tcPr>
          <w:p w14:paraId="56F1922B" w14:textId="77777777" w:rsidR="00637BC0" w:rsidRPr="004A4A47" w:rsidRDefault="00637BC0" w:rsidP="00637BC0">
            <w:pPr>
              <w:tabs>
                <w:tab w:val="decimal" w:pos="94"/>
                <w:tab w:val="decimal" w:pos="276"/>
              </w:tabs>
              <w:jc w:val="center"/>
              <w:rPr>
                <w:sz w:val="18"/>
                <w:szCs w:val="18"/>
              </w:rPr>
            </w:pPr>
            <w:r w:rsidRPr="004A4A47">
              <w:rPr>
                <w:sz w:val="18"/>
                <w:szCs w:val="18"/>
              </w:rPr>
              <w:t>--</w:t>
            </w:r>
          </w:p>
        </w:tc>
        <w:tc>
          <w:tcPr>
            <w:tcW w:w="904" w:type="dxa"/>
            <w:tcBorders>
              <w:top w:val="nil"/>
              <w:left w:val="nil"/>
              <w:bottom w:val="nil"/>
              <w:right w:val="nil"/>
            </w:tcBorders>
          </w:tcPr>
          <w:p w14:paraId="0C81523E" w14:textId="77777777" w:rsidR="00637BC0" w:rsidRPr="004A4A47" w:rsidRDefault="00637BC0" w:rsidP="00637BC0">
            <w:pPr>
              <w:jc w:val="center"/>
              <w:rPr>
                <w:sz w:val="18"/>
                <w:szCs w:val="18"/>
              </w:rPr>
            </w:pPr>
          </w:p>
        </w:tc>
        <w:tc>
          <w:tcPr>
            <w:tcW w:w="990" w:type="dxa"/>
            <w:gridSpan w:val="3"/>
            <w:tcBorders>
              <w:top w:val="nil"/>
              <w:left w:val="nil"/>
              <w:bottom w:val="nil"/>
              <w:right w:val="nil"/>
            </w:tcBorders>
          </w:tcPr>
          <w:p w14:paraId="583CC719" w14:textId="77777777" w:rsidR="00637BC0" w:rsidRPr="004A4A47" w:rsidRDefault="00637BC0" w:rsidP="00637BC0">
            <w:pPr>
              <w:tabs>
                <w:tab w:val="decimal" w:pos="308"/>
              </w:tabs>
              <w:jc w:val="center"/>
              <w:rPr>
                <w:sz w:val="18"/>
                <w:szCs w:val="18"/>
              </w:rPr>
            </w:pPr>
            <w:r w:rsidRPr="004A4A47">
              <w:rPr>
                <w:sz w:val="18"/>
                <w:szCs w:val="18"/>
              </w:rPr>
              <w:t>--</w:t>
            </w:r>
          </w:p>
        </w:tc>
        <w:tc>
          <w:tcPr>
            <w:tcW w:w="900" w:type="dxa"/>
            <w:tcBorders>
              <w:top w:val="nil"/>
              <w:left w:val="nil"/>
              <w:bottom w:val="nil"/>
              <w:right w:val="nil"/>
            </w:tcBorders>
          </w:tcPr>
          <w:p w14:paraId="2EAEFB3A" w14:textId="77777777" w:rsidR="00637BC0" w:rsidRPr="004A4A47" w:rsidRDefault="00637BC0" w:rsidP="00637BC0">
            <w:pPr>
              <w:tabs>
                <w:tab w:val="decimal" w:pos="270"/>
              </w:tabs>
              <w:jc w:val="center"/>
              <w:rPr>
                <w:sz w:val="18"/>
                <w:szCs w:val="18"/>
              </w:rPr>
            </w:pPr>
          </w:p>
        </w:tc>
        <w:tc>
          <w:tcPr>
            <w:tcW w:w="942" w:type="dxa"/>
            <w:gridSpan w:val="3"/>
            <w:tcBorders>
              <w:top w:val="nil"/>
              <w:left w:val="nil"/>
              <w:bottom w:val="nil"/>
              <w:right w:val="nil"/>
            </w:tcBorders>
          </w:tcPr>
          <w:p w14:paraId="4EE17E45" w14:textId="4EF8B41C" w:rsidR="00637BC0" w:rsidRPr="004A4A47" w:rsidRDefault="00637BC0" w:rsidP="00637BC0">
            <w:pPr>
              <w:tabs>
                <w:tab w:val="decimal" w:pos="165"/>
              </w:tabs>
              <w:jc w:val="center"/>
              <w:rPr>
                <w:sz w:val="18"/>
                <w:szCs w:val="18"/>
              </w:rPr>
            </w:pPr>
            <w:r w:rsidRPr="004A4A47">
              <w:rPr>
                <w:sz w:val="18"/>
                <w:szCs w:val="18"/>
              </w:rPr>
              <w:t>0.219</w:t>
            </w:r>
          </w:p>
        </w:tc>
        <w:tc>
          <w:tcPr>
            <w:tcW w:w="900" w:type="dxa"/>
            <w:tcBorders>
              <w:top w:val="nil"/>
              <w:left w:val="nil"/>
              <w:bottom w:val="nil"/>
              <w:right w:val="single" w:sz="12" w:space="0" w:color="auto"/>
            </w:tcBorders>
          </w:tcPr>
          <w:p w14:paraId="3BB5FA21" w14:textId="7B1232B8" w:rsidR="00637BC0" w:rsidRPr="004A4A47" w:rsidRDefault="00637BC0" w:rsidP="00637BC0">
            <w:pPr>
              <w:tabs>
                <w:tab w:val="decimal" w:pos="296"/>
              </w:tabs>
              <w:jc w:val="center"/>
              <w:rPr>
                <w:sz w:val="18"/>
                <w:szCs w:val="18"/>
              </w:rPr>
            </w:pPr>
            <w:r w:rsidRPr="004A4A47">
              <w:rPr>
                <w:sz w:val="18"/>
                <w:szCs w:val="18"/>
              </w:rPr>
              <w:t>2.446</w:t>
            </w:r>
          </w:p>
        </w:tc>
      </w:tr>
      <w:tr w:rsidR="00637BC0" w:rsidRPr="00677CE8" w14:paraId="534C6531" w14:textId="77777777" w:rsidTr="00E83B07">
        <w:trPr>
          <w:gridAfter w:val="1"/>
          <w:wAfter w:w="7" w:type="dxa"/>
          <w:trHeight w:val="20"/>
        </w:trPr>
        <w:tc>
          <w:tcPr>
            <w:tcW w:w="4305" w:type="dxa"/>
            <w:tcBorders>
              <w:top w:val="nil"/>
              <w:left w:val="single" w:sz="12" w:space="0" w:color="auto"/>
              <w:bottom w:val="nil"/>
              <w:right w:val="nil"/>
            </w:tcBorders>
          </w:tcPr>
          <w:p w14:paraId="4212543E" w14:textId="172CD928" w:rsidR="00637BC0" w:rsidRPr="004A4A47" w:rsidRDefault="004A4A47" w:rsidP="00637BC0">
            <w:pPr>
              <w:rPr>
                <w:b/>
                <w:bCs/>
                <w:sz w:val="18"/>
                <w:szCs w:val="18"/>
              </w:rPr>
            </w:pPr>
            <w:r w:rsidRPr="004A4A47">
              <w:rPr>
                <w:b/>
                <w:bCs/>
                <w:sz w:val="18"/>
                <w:szCs w:val="18"/>
              </w:rPr>
              <w:t xml:space="preserve">  </w:t>
            </w:r>
            <w:r w:rsidR="00637BC0" w:rsidRPr="004A4A47">
              <w:rPr>
                <w:b/>
                <w:bCs/>
                <w:sz w:val="18"/>
                <w:szCs w:val="18"/>
              </w:rPr>
              <w:t>Household Composition</w:t>
            </w:r>
          </w:p>
        </w:tc>
        <w:tc>
          <w:tcPr>
            <w:tcW w:w="1983" w:type="dxa"/>
            <w:gridSpan w:val="3"/>
            <w:tcBorders>
              <w:top w:val="nil"/>
              <w:left w:val="nil"/>
              <w:bottom w:val="nil"/>
              <w:right w:val="nil"/>
            </w:tcBorders>
          </w:tcPr>
          <w:p w14:paraId="54369CE6" w14:textId="77777777" w:rsidR="00637BC0" w:rsidRPr="004A4A47" w:rsidRDefault="00637BC0" w:rsidP="00637BC0">
            <w:pPr>
              <w:tabs>
                <w:tab w:val="decimal" w:pos="94"/>
                <w:tab w:val="decimal" w:pos="276"/>
              </w:tabs>
              <w:rPr>
                <w:b/>
                <w:bCs/>
                <w:sz w:val="18"/>
                <w:szCs w:val="18"/>
              </w:rPr>
            </w:pPr>
          </w:p>
        </w:tc>
        <w:tc>
          <w:tcPr>
            <w:tcW w:w="1890" w:type="dxa"/>
            <w:gridSpan w:val="4"/>
            <w:tcBorders>
              <w:top w:val="nil"/>
              <w:left w:val="nil"/>
              <w:bottom w:val="nil"/>
              <w:right w:val="nil"/>
            </w:tcBorders>
          </w:tcPr>
          <w:p w14:paraId="4E2E08B5" w14:textId="77777777" w:rsidR="00637BC0" w:rsidRPr="004A4A47" w:rsidRDefault="00637BC0" w:rsidP="00637BC0">
            <w:pPr>
              <w:tabs>
                <w:tab w:val="decimal" w:pos="270"/>
                <w:tab w:val="decimal" w:pos="308"/>
              </w:tabs>
              <w:jc w:val="center"/>
              <w:rPr>
                <w:b/>
                <w:bCs/>
                <w:sz w:val="18"/>
                <w:szCs w:val="18"/>
              </w:rPr>
            </w:pPr>
          </w:p>
        </w:tc>
        <w:tc>
          <w:tcPr>
            <w:tcW w:w="1842" w:type="dxa"/>
            <w:gridSpan w:val="4"/>
            <w:tcBorders>
              <w:top w:val="nil"/>
              <w:left w:val="nil"/>
              <w:bottom w:val="nil"/>
              <w:right w:val="single" w:sz="12" w:space="0" w:color="auto"/>
            </w:tcBorders>
          </w:tcPr>
          <w:p w14:paraId="3EE787AA" w14:textId="77777777" w:rsidR="00637BC0" w:rsidRPr="004A4A47" w:rsidRDefault="00637BC0" w:rsidP="00637BC0">
            <w:pPr>
              <w:tabs>
                <w:tab w:val="decimal" w:pos="165"/>
                <w:tab w:val="decimal" w:pos="296"/>
              </w:tabs>
              <w:rPr>
                <w:b/>
                <w:bCs/>
                <w:sz w:val="18"/>
                <w:szCs w:val="18"/>
              </w:rPr>
            </w:pPr>
          </w:p>
        </w:tc>
      </w:tr>
      <w:tr w:rsidR="00637BC0" w:rsidRPr="00677CE8" w14:paraId="083FEB22" w14:textId="77777777" w:rsidTr="00E83B07">
        <w:trPr>
          <w:gridAfter w:val="1"/>
          <w:wAfter w:w="7" w:type="dxa"/>
          <w:trHeight w:val="20"/>
        </w:trPr>
        <w:tc>
          <w:tcPr>
            <w:tcW w:w="4305" w:type="dxa"/>
            <w:tcBorders>
              <w:top w:val="nil"/>
              <w:left w:val="single" w:sz="12" w:space="0" w:color="auto"/>
              <w:bottom w:val="nil"/>
              <w:right w:val="nil"/>
            </w:tcBorders>
          </w:tcPr>
          <w:p w14:paraId="34D2D9E0" w14:textId="19712E71" w:rsidR="00637BC0" w:rsidRPr="004A4A47" w:rsidRDefault="004A4A47" w:rsidP="00637BC0">
            <w:pPr>
              <w:ind w:left="216"/>
              <w:rPr>
                <w:sz w:val="18"/>
                <w:szCs w:val="18"/>
              </w:rPr>
            </w:pPr>
            <w:r w:rsidRPr="004A4A47">
              <w:rPr>
                <w:sz w:val="18"/>
                <w:szCs w:val="18"/>
              </w:rPr>
              <w:t xml:space="preserve">  </w:t>
            </w:r>
            <w:r w:rsidR="00637BC0" w:rsidRPr="004A4A47">
              <w:rPr>
                <w:sz w:val="18"/>
                <w:szCs w:val="18"/>
              </w:rPr>
              <w:t>Child(ren) under 13</w:t>
            </w:r>
          </w:p>
        </w:tc>
        <w:tc>
          <w:tcPr>
            <w:tcW w:w="1079" w:type="dxa"/>
            <w:gridSpan w:val="2"/>
            <w:tcBorders>
              <w:top w:val="nil"/>
              <w:left w:val="nil"/>
              <w:bottom w:val="nil"/>
              <w:right w:val="nil"/>
            </w:tcBorders>
          </w:tcPr>
          <w:p w14:paraId="17FD2E62" w14:textId="77777777" w:rsidR="00637BC0" w:rsidRPr="004A4A47" w:rsidRDefault="00637BC0" w:rsidP="00637BC0">
            <w:pPr>
              <w:tabs>
                <w:tab w:val="decimal" w:pos="94"/>
                <w:tab w:val="decimal" w:pos="276"/>
              </w:tabs>
              <w:jc w:val="center"/>
              <w:rPr>
                <w:sz w:val="18"/>
                <w:szCs w:val="18"/>
              </w:rPr>
            </w:pPr>
            <w:r w:rsidRPr="004A4A47">
              <w:rPr>
                <w:sz w:val="18"/>
                <w:szCs w:val="18"/>
              </w:rPr>
              <w:t>--</w:t>
            </w:r>
          </w:p>
        </w:tc>
        <w:tc>
          <w:tcPr>
            <w:tcW w:w="904" w:type="dxa"/>
            <w:tcBorders>
              <w:top w:val="nil"/>
              <w:left w:val="nil"/>
              <w:bottom w:val="nil"/>
              <w:right w:val="nil"/>
            </w:tcBorders>
          </w:tcPr>
          <w:p w14:paraId="66E92E6E" w14:textId="77777777" w:rsidR="00637BC0" w:rsidRPr="004A4A47" w:rsidRDefault="00637BC0" w:rsidP="00637BC0">
            <w:pPr>
              <w:jc w:val="center"/>
              <w:rPr>
                <w:sz w:val="18"/>
                <w:szCs w:val="18"/>
              </w:rPr>
            </w:pPr>
          </w:p>
        </w:tc>
        <w:tc>
          <w:tcPr>
            <w:tcW w:w="990" w:type="dxa"/>
            <w:gridSpan w:val="3"/>
            <w:tcBorders>
              <w:top w:val="nil"/>
              <w:left w:val="nil"/>
              <w:bottom w:val="nil"/>
              <w:right w:val="nil"/>
            </w:tcBorders>
          </w:tcPr>
          <w:p w14:paraId="1AA72115" w14:textId="77777777" w:rsidR="00637BC0" w:rsidRPr="004A4A47" w:rsidRDefault="00637BC0" w:rsidP="00637BC0">
            <w:pPr>
              <w:tabs>
                <w:tab w:val="decimal" w:pos="308"/>
              </w:tabs>
              <w:jc w:val="center"/>
              <w:rPr>
                <w:sz w:val="18"/>
                <w:szCs w:val="18"/>
              </w:rPr>
            </w:pPr>
            <w:r w:rsidRPr="004A4A47">
              <w:rPr>
                <w:sz w:val="18"/>
                <w:szCs w:val="18"/>
              </w:rPr>
              <w:t>--</w:t>
            </w:r>
          </w:p>
        </w:tc>
        <w:tc>
          <w:tcPr>
            <w:tcW w:w="900" w:type="dxa"/>
            <w:tcBorders>
              <w:top w:val="nil"/>
              <w:left w:val="nil"/>
              <w:bottom w:val="nil"/>
              <w:right w:val="nil"/>
            </w:tcBorders>
          </w:tcPr>
          <w:p w14:paraId="18ACE46B" w14:textId="77777777" w:rsidR="00637BC0" w:rsidRPr="004A4A47" w:rsidRDefault="00637BC0" w:rsidP="00637BC0">
            <w:pPr>
              <w:tabs>
                <w:tab w:val="decimal" w:pos="270"/>
              </w:tabs>
              <w:jc w:val="center"/>
              <w:rPr>
                <w:sz w:val="18"/>
                <w:szCs w:val="18"/>
              </w:rPr>
            </w:pPr>
          </w:p>
        </w:tc>
        <w:tc>
          <w:tcPr>
            <w:tcW w:w="942" w:type="dxa"/>
            <w:gridSpan w:val="3"/>
            <w:tcBorders>
              <w:top w:val="nil"/>
              <w:left w:val="nil"/>
              <w:bottom w:val="nil"/>
              <w:right w:val="nil"/>
            </w:tcBorders>
          </w:tcPr>
          <w:p w14:paraId="0B0358DC" w14:textId="0B911425" w:rsidR="00637BC0" w:rsidRPr="004A4A47" w:rsidRDefault="00637BC0" w:rsidP="00637BC0">
            <w:pPr>
              <w:tabs>
                <w:tab w:val="decimal" w:pos="165"/>
              </w:tabs>
              <w:jc w:val="center"/>
              <w:rPr>
                <w:sz w:val="18"/>
                <w:szCs w:val="18"/>
              </w:rPr>
            </w:pPr>
            <w:r w:rsidRPr="004A4A47">
              <w:rPr>
                <w:sz w:val="18"/>
                <w:szCs w:val="18"/>
              </w:rPr>
              <w:t>0.323</w:t>
            </w:r>
          </w:p>
        </w:tc>
        <w:tc>
          <w:tcPr>
            <w:tcW w:w="900" w:type="dxa"/>
            <w:tcBorders>
              <w:top w:val="nil"/>
              <w:left w:val="nil"/>
              <w:bottom w:val="nil"/>
              <w:right w:val="single" w:sz="12" w:space="0" w:color="auto"/>
            </w:tcBorders>
          </w:tcPr>
          <w:p w14:paraId="1A74A739" w14:textId="12A173C7" w:rsidR="00637BC0" w:rsidRPr="004A4A47" w:rsidRDefault="00637BC0" w:rsidP="00637BC0">
            <w:pPr>
              <w:tabs>
                <w:tab w:val="decimal" w:pos="296"/>
              </w:tabs>
              <w:jc w:val="center"/>
              <w:rPr>
                <w:sz w:val="18"/>
                <w:szCs w:val="18"/>
              </w:rPr>
            </w:pPr>
            <w:r w:rsidRPr="004A4A47">
              <w:rPr>
                <w:sz w:val="18"/>
                <w:szCs w:val="18"/>
              </w:rPr>
              <w:t>2.694</w:t>
            </w:r>
          </w:p>
        </w:tc>
      </w:tr>
      <w:tr w:rsidR="00637BC0" w:rsidRPr="00677CE8" w14:paraId="730E223A" w14:textId="77777777" w:rsidTr="00E83B07">
        <w:trPr>
          <w:gridAfter w:val="1"/>
          <w:wAfter w:w="7" w:type="dxa"/>
          <w:trHeight w:val="20"/>
        </w:trPr>
        <w:tc>
          <w:tcPr>
            <w:tcW w:w="4305" w:type="dxa"/>
            <w:tcBorders>
              <w:top w:val="nil"/>
              <w:left w:val="single" w:sz="12" w:space="0" w:color="auto"/>
              <w:bottom w:val="nil"/>
              <w:right w:val="nil"/>
            </w:tcBorders>
          </w:tcPr>
          <w:p w14:paraId="172C3E63" w14:textId="6DFF7A44" w:rsidR="00637BC0" w:rsidRPr="004A4A47" w:rsidRDefault="004A4A47" w:rsidP="00637BC0">
            <w:pPr>
              <w:rPr>
                <w:b/>
                <w:bCs/>
                <w:sz w:val="18"/>
                <w:szCs w:val="18"/>
              </w:rPr>
            </w:pPr>
            <w:r w:rsidRPr="004A4A47">
              <w:rPr>
                <w:b/>
                <w:bCs/>
                <w:sz w:val="18"/>
                <w:szCs w:val="18"/>
              </w:rPr>
              <w:t xml:space="preserve">  </w:t>
            </w:r>
            <w:r w:rsidR="00637BC0" w:rsidRPr="004A4A47">
              <w:rPr>
                <w:b/>
                <w:bCs/>
                <w:sz w:val="18"/>
                <w:szCs w:val="18"/>
              </w:rPr>
              <w:t>Household Size</w:t>
            </w:r>
          </w:p>
        </w:tc>
        <w:tc>
          <w:tcPr>
            <w:tcW w:w="1079" w:type="dxa"/>
            <w:gridSpan w:val="2"/>
            <w:tcBorders>
              <w:top w:val="nil"/>
              <w:left w:val="nil"/>
              <w:bottom w:val="nil"/>
              <w:right w:val="nil"/>
            </w:tcBorders>
          </w:tcPr>
          <w:p w14:paraId="176216F0" w14:textId="77777777" w:rsidR="00637BC0" w:rsidRPr="004A4A47" w:rsidRDefault="00637BC0" w:rsidP="00637BC0">
            <w:pPr>
              <w:tabs>
                <w:tab w:val="decimal" w:pos="94"/>
                <w:tab w:val="decimal" w:pos="276"/>
              </w:tabs>
              <w:jc w:val="center"/>
              <w:rPr>
                <w:sz w:val="18"/>
                <w:szCs w:val="18"/>
              </w:rPr>
            </w:pPr>
          </w:p>
        </w:tc>
        <w:tc>
          <w:tcPr>
            <w:tcW w:w="904" w:type="dxa"/>
            <w:tcBorders>
              <w:top w:val="nil"/>
              <w:left w:val="nil"/>
              <w:bottom w:val="nil"/>
              <w:right w:val="nil"/>
            </w:tcBorders>
          </w:tcPr>
          <w:p w14:paraId="2916A6CB" w14:textId="77777777" w:rsidR="00637BC0" w:rsidRPr="004A4A47" w:rsidRDefault="00637BC0" w:rsidP="00637BC0">
            <w:pPr>
              <w:jc w:val="center"/>
              <w:rPr>
                <w:sz w:val="18"/>
                <w:szCs w:val="18"/>
              </w:rPr>
            </w:pPr>
          </w:p>
        </w:tc>
        <w:tc>
          <w:tcPr>
            <w:tcW w:w="990" w:type="dxa"/>
            <w:gridSpan w:val="3"/>
            <w:tcBorders>
              <w:top w:val="nil"/>
              <w:left w:val="nil"/>
              <w:bottom w:val="nil"/>
              <w:right w:val="nil"/>
            </w:tcBorders>
          </w:tcPr>
          <w:p w14:paraId="650976A9" w14:textId="77777777" w:rsidR="00637BC0" w:rsidRPr="004A4A47" w:rsidRDefault="00637BC0" w:rsidP="00637BC0">
            <w:pPr>
              <w:tabs>
                <w:tab w:val="decimal" w:pos="308"/>
              </w:tabs>
              <w:jc w:val="center"/>
              <w:rPr>
                <w:sz w:val="18"/>
                <w:szCs w:val="18"/>
              </w:rPr>
            </w:pPr>
          </w:p>
        </w:tc>
        <w:tc>
          <w:tcPr>
            <w:tcW w:w="900" w:type="dxa"/>
            <w:tcBorders>
              <w:top w:val="nil"/>
              <w:left w:val="nil"/>
              <w:bottom w:val="nil"/>
              <w:right w:val="nil"/>
            </w:tcBorders>
          </w:tcPr>
          <w:p w14:paraId="371A2516" w14:textId="77777777" w:rsidR="00637BC0" w:rsidRPr="004A4A47" w:rsidRDefault="00637BC0" w:rsidP="00637BC0">
            <w:pPr>
              <w:tabs>
                <w:tab w:val="decimal" w:pos="270"/>
              </w:tabs>
              <w:jc w:val="center"/>
              <w:rPr>
                <w:sz w:val="18"/>
                <w:szCs w:val="18"/>
              </w:rPr>
            </w:pPr>
          </w:p>
        </w:tc>
        <w:tc>
          <w:tcPr>
            <w:tcW w:w="942" w:type="dxa"/>
            <w:gridSpan w:val="3"/>
            <w:tcBorders>
              <w:top w:val="nil"/>
              <w:left w:val="nil"/>
              <w:bottom w:val="nil"/>
              <w:right w:val="nil"/>
            </w:tcBorders>
          </w:tcPr>
          <w:p w14:paraId="46C269BA" w14:textId="77777777" w:rsidR="00637BC0" w:rsidRPr="004A4A47" w:rsidRDefault="00637BC0" w:rsidP="00637BC0">
            <w:pPr>
              <w:tabs>
                <w:tab w:val="decimal" w:pos="165"/>
              </w:tabs>
              <w:jc w:val="center"/>
              <w:rPr>
                <w:color w:val="FFFFFF" w:themeColor="background1"/>
                <w:sz w:val="18"/>
                <w:szCs w:val="18"/>
              </w:rPr>
            </w:pPr>
          </w:p>
        </w:tc>
        <w:tc>
          <w:tcPr>
            <w:tcW w:w="900" w:type="dxa"/>
            <w:tcBorders>
              <w:top w:val="nil"/>
              <w:left w:val="nil"/>
              <w:bottom w:val="nil"/>
              <w:right w:val="single" w:sz="12" w:space="0" w:color="auto"/>
            </w:tcBorders>
          </w:tcPr>
          <w:p w14:paraId="2B5EE89A" w14:textId="77777777" w:rsidR="00637BC0" w:rsidRPr="004A4A47" w:rsidRDefault="00637BC0" w:rsidP="00637BC0">
            <w:pPr>
              <w:tabs>
                <w:tab w:val="decimal" w:pos="296"/>
              </w:tabs>
              <w:jc w:val="center"/>
              <w:rPr>
                <w:color w:val="FFFFFF" w:themeColor="background1"/>
                <w:sz w:val="18"/>
                <w:szCs w:val="18"/>
              </w:rPr>
            </w:pPr>
          </w:p>
        </w:tc>
      </w:tr>
      <w:tr w:rsidR="00637BC0" w:rsidRPr="00677CE8" w14:paraId="19734A14" w14:textId="77777777" w:rsidTr="00E83B07">
        <w:trPr>
          <w:gridAfter w:val="1"/>
          <w:wAfter w:w="7" w:type="dxa"/>
          <w:trHeight w:val="20"/>
        </w:trPr>
        <w:tc>
          <w:tcPr>
            <w:tcW w:w="4305" w:type="dxa"/>
            <w:tcBorders>
              <w:top w:val="nil"/>
              <w:left w:val="single" w:sz="12" w:space="0" w:color="auto"/>
              <w:bottom w:val="single" w:sz="12" w:space="0" w:color="auto"/>
              <w:right w:val="nil"/>
            </w:tcBorders>
          </w:tcPr>
          <w:p w14:paraId="0043F373" w14:textId="38CC21CC" w:rsidR="00637BC0" w:rsidRPr="004A4A47" w:rsidRDefault="004A4A47" w:rsidP="00637BC0">
            <w:pPr>
              <w:ind w:left="216"/>
              <w:rPr>
                <w:sz w:val="18"/>
                <w:szCs w:val="18"/>
              </w:rPr>
            </w:pPr>
            <w:r w:rsidRPr="004A4A47">
              <w:rPr>
                <w:sz w:val="18"/>
                <w:szCs w:val="18"/>
              </w:rPr>
              <w:t xml:space="preserve">  </w:t>
            </w:r>
            <w:r w:rsidR="00637BC0" w:rsidRPr="004A4A47">
              <w:rPr>
                <w:sz w:val="18"/>
                <w:szCs w:val="18"/>
              </w:rPr>
              <w:t>Household size</w:t>
            </w:r>
          </w:p>
        </w:tc>
        <w:tc>
          <w:tcPr>
            <w:tcW w:w="1079" w:type="dxa"/>
            <w:gridSpan w:val="2"/>
            <w:tcBorders>
              <w:top w:val="nil"/>
              <w:left w:val="nil"/>
              <w:bottom w:val="single" w:sz="12" w:space="0" w:color="auto"/>
              <w:right w:val="nil"/>
            </w:tcBorders>
          </w:tcPr>
          <w:p w14:paraId="49DF374D" w14:textId="77777777" w:rsidR="00637BC0" w:rsidRPr="004A4A47" w:rsidRDefault="00637BC0" w:rsidP="00637BC0">
            <w:pPr>
              <w:tabs>
                <w:tab w:val="decimal" w:pos="94"/>
                <w:tab w:val="decimal" w:pos="276"/>
              </w:tabs>
              <w:jc w:val="center"/>
              <w:rPr>
                <w:sz w:val="18"/>
                <w:szCs w:val="18"/>
              </w:rPr>
            </w:pPr>
            <w:r w:rsidRPr="004A4A47">
              <w:rPr>
                <w:sz w:val="18"/>
                <w:szCs w:val="18"/>
              </w:rPr>
              <w:t>--</w:t>
            </w:r>
          </w:p>
        </w:tc>
        <w:tc>
          <w:tcPr>
            <w:tcW w:w="904" w:type="dxa"/>
            <w:tcBorders>
              <w:top w:val="nil"/>
              <w:left w:val="nil"/>
              <w:bottom w:val="single" w:sz="12" w:space="0" w:color="auto"/>
              <w:right w:val="nil"/>
            </w:tcBorders>
          </w:tcPr>
          <w:p w14:paraId="13596B7B" w14:textId="77777777" w:rsidR="00637BC0" w:rsidRPr="004A4A47" w:rsidRDefault="00637BC0" w:rsidP="00637BC0">
            <w:pPr>
              <w:jc w:val="center"/>
              <w:rPr>
                <w:sz w:val="18"/>
                <w:szCs w:val="18"/>
              </w:rPr>
            </w:pPr>
          </w:p>
        </w:tc>
        <w:tc>
          <w:tcPr>
            <w:tcW w:w="990" w:type="dxa"/>
            <w:gridSpan w:val="3"/>
            <w:tcBorders>
              <w:top w:val="nil"/>
              <w:left w:val="nil"/>
              <w:bottom w:val="single" w:sz="12" w:space="0" w:color="auto"/>
              <w:right w:val="nil"/>
            </w:tcBorders>
          </w:tcPr>
          <w:p w14:paraId="687CFBC3" w14:textId="77777777" w:rsidR="00637BC0" w:rsidRPr="004A4A47" w:rsidRDefault="00637BC0" w:rsidP="00637BC0">
            <w:pPr>
              <w:tabs>
                <w:tab w:val="decimal" w:pos="308"/>
              </w:tabs>
              <w:jc w:val="center"/>
              <w:rPr>
                <w:sz w:val="18"/>
                <w:szCs w:val="18"/>
              </w:rPr>
            </w:pPr>
            <w:r w:rsidRPr="004A4A47">
              <w:rPr>
                <w:sz w:val="18"/>
                <w:szCs w:val="18"/>
              </w:rPr>
              <w:t>--</w:t>
            </w:r>
          </w:p>
        </w:tc>
        <w:tc>
          <w:tcPr>
            <w:tcW w:w="900" w:type="dxa"/>
            <w:tcBorders>
              <w:top w:val="nil"/>
              <w:left w:val="nil"/>
              <w:bottom w:val="single" w:sz="12" w:space="0" w:color="auto"/>
              <w:right w:val="nil"/>
            </w:tcBorders>
          </w:tcPr>
          <w:p w14:paraId="1DD35CE1" w14:textId="77777777" w:rsidR="00637BC0" w:rsidRPr="004A4A47" w:rsidRDefault="00637BC0" w:rsidP="00637BC0">
            <w:pPr>
              <w:tabs>
                <w:tab w:val="decimal" w:pos="270"/>
              </w:tabs>
              <w:jc w:val="center"/>
              <w:rPr>
                <w:sz w:val="18"/>
                <w:szCs w:val="18"/>
              </w:rPr>
            </w:pPr>
          </w:p>
        </w:tc>
        <w:tc>
          <w:tcPr>
            <w:tcW w:w="942" w:type="dxa"/>
            <w:gridSpan w:val="3"/>
            <w:tcBorders>
              <w:top w:val="nil"/>
              <w:left w:val="nil"/>
              <w:bottom w:val="single" w:sz="12" w:space="0" w:color="auto"/>
              <w:right w:val="nil"/>
            </w:tcBorders>
          </w:tcPr>
          <w:p w14:paraId="6E3D2D9A" w14:textId="76A56EE1" w:rsidR="00637BC0" w:rsidRPr="004A4A47" w:rsidRDefault="00637BC0" w:rsidP="00637BC0">
            <w:pPr>
              <w:tabs>
                <w:tab w:val="decimal" w:pos="165"/>
              </w:tabs>
              <w:jc w:val="center"/>
              <w:rPr>
                <w:sz w:val="18"/>
                <w:szCs w:val="18"/>
              </w:rPr>
            </w:pPr>
            <w:r w:rsidRPr="004A4A47">
              <w:rPr>
                <w:sz w:val="18"/>
                <w:szCs w:val="18"/>
              </w:rPr>
              <w:t>-0.066</w:t>
            </w:r>
          </w:p>
        </w:tc>
        <w:tc>
          <w:tcPr>
            <w:tcW w:w="900" w:type="dxa"/>
            <w:tcBorders>
              <w:top w:val="nil"/>
              <w:left w:val="nil"/>
              <w:bottom w:val="single" w:sz="12" w:space="0" w:color="auto"/>
              <w:right w:val="single" w:sz="12" w:space="0" w:color="auto"/>
            </w:tcBorders>
          </w:tcPr>
          <w:p w14:paraId="3C0B52C6" w14:textId="65D5915C" w:rsidR="00637BC0" w:rsidRPr="004A4A47" w:rsidRDefault="00637BC0" w:rsidP="00637BC0">
            <w:pPr>
              <w:tabs>
                <w:tab w:val="decimal" w:pos="296"/>
              </w:tabs>
              <w:jc w:val="center"/>
              <w:rPr>
                <w:sz w:val="18"/>
                <w:szCs w:val="18"/>
              </w:rPr>
            </w:pPr>
            <w:r w:rsidRPr="004A4A47">
              <w:rPr>
                <w:sz w:val="18"/>
                <w:szCs w:val="18"/>
              </w:rPr>
              <w:t>-2.103</w:t>
            </w:r>
          </w:p>
        </w:tc>
      </w:tr>
    </w:tbl>
    <w:p w14:paraId="2BCD819F" w14:textId="1A3A1BD1" w:rsidR="000E0C96" w:rsidRPr="00677CE8" w:rsidRDefault="000E0C96" w:rsidP="0011393A">
      <w:pPr>
        <w:spacing w:line="240" w:lineRule="auto"/>
        <w:sectPr w:rsidR="000E0C96" w:rsidRPr="00677CE8" w:rsidSect="003F6A6B">
          <w:headerReference w:type="even" r:id="rId317"/>
          <w:headerReference w:type="default" r:id="rId318"/>
          <w:footerReference w:type="even" r:id="rId319"/>
          <w:footerReference w:type="default" r:id="rId320"/>
          <w:headerReference w:type="first" r:id="rId321"/>
          <w:footerReference w:type="first" r:id="rId322"/>
          <w:pgSz w:w="12240" w:h="15840"/>
          <w:pgMar w:top="1440" w:right="1440" w:bottom="1440" w:left="1440" w:header="720" w:footer="720" w:gutter="0"/>
          <w:cols w:space="720"/>
          <w:docGrid w:linePitch="360"/>
        </w:sectPr>
      </w:pPr>
    </w:p>
    <w:p w14:paraId="014BA20C" w14:textId="29DBE6B6" w:rsidR="002A731C" w:rsidRPr="00677CE8" w:rsidRDefault="000E0C96" w:rsidP="00E83B07">
      <w:pPr>
        <w:pStyle w:val="Heading2"/>
        <w:spacing w:after="0" w:line="240" w:lineRule="auto"/>
      </w:pPr>
      <w:r w:rsidRPr="00677CE8">
        <w:lastRenderedPageBreak/>
        <w:t xml:space="preserve">Table </w:t>
      </w:r>
      <w:r w:rsidR="008C07B2" w:rsidRPr="00677CE8">
        <w:t>6</w:t>
      </w:r>
      <w:r w:rsidRPr="00677CE8">
        <w:t>: Main Estimation Results</w:t>
      </w:r>
    </w:p>
    <w:tbl>
      <w:tblPr>
        <w:tblStyle w:val="TableGrid"/>
        <w:tblW w:w="13400" w:type="dxa"/>
        <w:tblLook w:val="04A0" w:firstRow="1" w:lastRow="0" w:firstColumn="1" w:lastColumn="0" w:noHBand="0" w:noVBand="1"/>
      </w:tblPr>
      <w:tblGrid>
        <w:gridCol w:w="4400"/>
        <w:gridCol w:w="1800"/>
        <w:gridCol w:w="1800"/>
        <w:gridCol w:w="1800"/>
        <w:gridCol w:w="1800"/>
        <w:gridCol w:w="1800"/>
      </w:tblGrid>
      <w:tr w:rsidR="000E0C96" w:rsidRPr="00677CE8" w14:paraId="14985DE1" w14:textId="77777777" w:rsidTr="00E83B07">
        <w:tc>
          <w:tcPr>
            <w:tcW w:w="4400" w:type="dxa"/>
            <w:vMerge w:val="restart"/>
            <w:tcBorders>
              <w:top w:val="single" w:sz="12" w:space="0" w:color="auto"/>
              <w:left w:val="single" w:sz="12" w:space="0" w:color="auto"/>
              <w:bottom w:val="single" w:sz="4" w:space="0" w:color="auto"/>
              <w:right w:val="single" w:sz="12" w:space="0" w:color="000000" w:themeColor="text1"/>
            </w:tcBorders>
            <w:vAlign w:val="center"/>
          </w:tcPr>
          <w:p w14:paraId="4215AB92" w14:textId="6D2F0A07" w:rsidR="000E0C96" w:rsidRPr="00677CE8" w:rsidRDefault="007A7EFB" w:rsidP="007A7EFB">
            <w:pPr>
              <w:rPr>
                <w:b/>
                <w:bCs/>
                <w:sz w:val="18"/>
                <w:szCs w:val="18"/>
              </w:rPr>
            </w:pPr>
            <w:r w:rsidRPr="00677CE8">
              <w:rPr>
                <w:b/>
                <w:bCs/>
                <w:sz w:val="18"/>
                <w:szCs w:val="18"/>
              </w:rPr>
              <w:t>Variable</w:t>
            </w:r>
          </w:p>
        </w:tc>
        <w:tc>
          <w:tcPr>
            <w:tcW w:w="1800" w:type="dxa"/>
            <w:tcBorders>
              <w:top w:val="single" w:sz="12" w:space="0" w:color="000000" w:themeColor="text1"/>
              <w:left w:val="single" w:sz="12" w:space="0" w:color="000000" w:themeColor="text1"/>
              <w:bottom w:val="single" w:sz="12" w:space="0" w:color="000000" w:themeColor="text1"/>
              <w:right w:val="nil"/>
            </w:tcBorders>
            <w:vAlign w:val="center"/>
          </w:tcPr>
          <w:p w14:paraId="5463D169" w14:textId="77777777" w:rsidR="000E0C96" w:rsidRPr="00677CE8" w:rsidRDefault="000E0C96" w:rsidP="007B293E">
            <w:pPr>
              <w:jc w:val="center"/>
              <w:rPr>
                <w:b/>
                <w:bCs/>
                <w:sz w:val="18"/>
                <w:szCs w:val="18"/>
              </w:rPr>
            </w:pPr>
            <w:r w:rsidRPr="00677CE8">
              <w:rPr>
                <w:b/>
                <w:bCs/>
                <w:sz w:val="18"/>
                <w:szCs w:val="18"/>
              </w:rPr>
              <w:t>Air Taxi</w:t>
            </w:r>
          </w:p>
        </w:tc>
        <w:tc>
          <w:tcPr>
            <w:tcW w:w="1800" w:type="dxa"/>
            <w:tcBorders>
              <w:top w:val="single" w:sz="12" w:space="0" w:color="000000" w:themeColor="text1"/>
              <w:left w:val="nil"/>
              <w:bottom w:val="single" w:sz="12" w:space="0" w:color="000000" w:themeColor="text1"/>
              <w:right w:val="nil"/>
            </w:tcBorders>
            <w:vAlign w:val="center"/>
          </w:tcPr>
          <w:p w14:paraId="14658D07" w14:textId="77777777" w:rsidR="000E0C96" w:rsidRPr="00677CE8" w:rsidRDefault="000E0C96" w:rsidP="007B293E">
            <w:pPr>
              <w:jc w:val="center"/>
              <w:rPr>
                <w:b/>
                <w:bCs/>
                <w:sz w:val="18"/>
                <w:szCs w:val="18"/>
              </w:rPr>
            </w:pPr>
            <w:r w:rsidRPr="00677CE8">
              <w:rPr>
                <w:b/>
                <w:bCs/>
                <w:sz w:val="18"/>
                <w:szCs w:val="18"/>
              </w:rPr>
              <w:t>Air Metro</w:t>
            </w:r>
          </w:p>
        </w:tc>
        <w:tc>
          <w:tcPr>
            <w:tcW w:w="1800" w:type="dxa"/>
            <w:tcBorders>
              <w:top w:val="single" w:sz="12" w:space="0" w:color="000000" w:themeColor="text1"/>
              <w:left w:val="nil"/>
              <w:bottom w:val="single" w:sz="12" w:space="0" w:color="000000" w:themeColor="text1"/>
              <w:right w:val="nil"/>
            </w:tcBorders>
            <w:vAlign w:val="center"/>
          </w:tcPr>
          <w:p w14:paraId="16DFFDE4" w14:textId="77777777" w:rsidR="000E0C96" w:rsidRPr="00677CE8" w:rsidRDefault="000E0C96" w:rsidP="007B293E">
            <w:pPr>
              <w:jc w:val="center"/>
              <w:rPr>
                <w:b/>
                <w:bCs/>
                <w:sz w:val="18"/>
                <w:szCs w:val="18"/>
              </w:rPr>
            </w:pPr>
            <w:proofErr w:type="spellStart"/>
            <w:r w:rsidRPr="00677CE8">
              <w:rPr>
                <w:b/>
                <w:bCs/>
                <w:sz w:val="18"/>
                <w:szCs w:val="18"/>
              </w:rPr>
              <w:t>Ridehailing</w:t>
            </w:r>
            <w:proofErr w:type="spellEnd"/>
          </w:p>
        </w:tc>
        <w:tc>
          <w:tcPr>
            <w:tcW w:w="1800" w:type="dxa"/>
            <w:tcBorders>
              <w:top w:val="single" w:sz="12" w:space="0" w:color="000000" w:themeColor="text1"/>
              <w:left w:val="nil"/>
              <w:bottom w:val="single" w:sz="12" w:space="0" w:color="000000" w:themeColor="text1"/>
              <w:right w:val="nil"/>
            </w:tcBorders>
            <w:tcMar>
              <w:left w:w="29" w:type="dxa"/>
              <w:right w:w="29" w:type="dxa"/>
            </w:tcMar>
            <w:vAlign w:val="center"/>
          </w:tcPr>
          <w:p w14:paraId="2A1BDE15" w14:textId="77777777" w:rsidR="000E0C96" w:rsidRPr="00677CE8" w:rsidRDefault="000E0C96" w:rsidP="007B293E">
            <w:pPr>
              <w:jc w:val="center"/>
              <w:rPr>
                <w:b/>
                <w:bCs/>
                <w:sz w:val="18"/>
                <w:szCs w:val="18"/>
              </w:rPr>
            </w:pPr>
            <w:r w:rsidRPr="00677CE8">
              <w:rPr>
                <w:b/>
                <w:bCs/>
                <w:sz w:val="18"/>
                <w:szCs w:val="18"/>
              </w:rPr>
              <w:t>Public Transportation</w:t>
            </w:r>
          </w:p>
        </w:tc>
        <w:tc>
          <w:tcPr>
            <w:tcW w:w="1800" w:type="dxa"/>
            <w:tcBorders>
              <w:top w:val="single" w:sz="12" w:space="0" w:color="000000" w:themeColor="text1"/>
              <w:left w:val="nil"/>
              <w:bottom w:val="single" w:sz="12" w:space="0" w:color="000000" w:themeColor="text1"/>
              <w:right w:val="single" w:sz="12" w:space="0" w:color="000000" w:themeColor="text1"/>
            </w:tcBorders>
            <w:vAlign w:val="center"/>
          </w:tcPr>
          <w:p w14:paraId="0A23A5B2" w14:textId="77777777" w:rsidR="000E0C96" w:rsidRPr="00677CE8" w:rsidRDefault="000E0C96" w:rsidP="007B293E">
            <w:pPr>
              <w:jc w:val="center"/>
              <w:rPr>
                <w:b/>
                <w:bCs/>
                <w:sz w:val="18"/>
                <w:szCs w:val="18"/>
              </w:rPr>
            </w:pPr>
            <w:r w:rsidRPr="00677CE8">
              <w:rPr>
                <w:b/>
                <w:bCs/>
                <w:sz w:val="18"/>
                <w:szCs w:val="18"/>
              </w:rPr>
              <w:t>Private Vehicle</w:t>
            </w:r>
          </w:p>
        </w:tc>
      </w:tr>
      <w:tr w:rsidR="000E0C96" w:rsidRPr="00677CE8" w14:paraId="2EC0D096" w14:textId="77777777" w:rsidTr="00E83B07">
        <w:tc>
          <w:tcPr>
            <w:tcW w:w="4400" w:type="dxa"/>
            <w:vMerge/>
            <w:tcBorders>
              <w:top w:val="single" w:sz="4" w:space="0" w:color="auto"/>
              <w:left w:val="single" w:sz="12" w:space="0" w:color="auto"/>
              <w:bottom w:val="single" w:sz="12" w:space="0" w:color="000000" w:themeColor="text1"/>
              <w:right w:val="single" w:sz="12" w:space="0" w:color="000000" w:themeColor="text1"/>
            </w:tcBorders>
          </w:tcPr>
          <w:p w14:paraId="34564DC4" w14:textId="77777777" w:rsidR="000E0C96" w:rsidRPr="00677CE8" w:rsidRDefault="000E0C96" w:rsidP="007B293E">
            <w:pPr>
              <w:rPr>
                <w:sz w:val="18"/>
                <w:szCs w:val="18"/>
              </w:rPr>
            </w:pPr>
          </w:p>
        </w:tc>
        <w:tc>
          <w:tcPr>
            <w:tcW w:w="1800" w:type="dxa"/>
            <w:tcBorders>
              <w:top w:val="single" w:sz="12" w:space="0" w:color="000000" w:themeColor="text1"/>
              <w:left w:val="single" w:sz="12" w:space="0" w:color="000000" w:themeColor="text1"/>
              <w:bottom w:val="single" w:sz="12" w:space="0" w:color="auto"/>
              <w:right w:val="nil"/>
            </w:tcBorders>
          </w:tcPr>
          <w:p w14:paraId="6DF2278D" w14:textId="77777777" w:rsidR="000E0C96" w:rsidRPr="00677CE8" w:rsidRDefault="000E0C96" w:rsidP="007B293E">
            <w:pPr>
              <w:jc w:val="center"/>
              <w:rPr>
                <w:b/>
                <w:bCs/>
                <w:sz w:val="18"/>
                <w:szCs w:val="18"/>
              </w:rPr>
            </w:pPr>
            <w:r w:rsidRPr="00677CE8">
              <w:rPr>
                <w:b/>
                <w:bCs/>
                <w:sz w:val="18"/>
                <w:szCs w:val="18"/>
              </w:rPr>
              <w:t>Estimate (t-score)</w:t>
            </w:r>
          </w:p>
        </w:tc>
        <w:tc>
          <w:tcPr>
            <w:tcW w:w="1800" w:type="dxa"/>
            <w:tcBorders>
              <w:top w:val="single" w:sz="12" w:space="0" w:color="000000" w:themeColor="text1"/>
              <w:left w:val="nil"/>
              <w:bottom w:val="single" w:sz="12" w:space="0" w:color="auto"/>
              <w:right w:val="nil"/>
            </w:tcBorders>
            <w:vAlign w:val="center"/>
          </w:tcPr>
          <w:p w14:paraId="7DE433C5" w14:textId="77777777" w:rsidR="000E0C96" w:rsidRPr="00677CE8" w:rsidRDefault="000E0C96" w:rsidP="007B293E">
            <w:pPr>
              <w:jc w:val="center"/>
              <w:rPr>
                <w:b/>
                <w:bCs/>
                <w:sz w:val="18"/>
                <w:szCs w:val="18"/>
              </w:rPr>
            </w:pPr>
            <w:r w:rsidRPr="00677CE8">
              <w:rPr>
                <w:b/>
                <w:bCs/>
                <w:sz w:val="18"/>
                <w:szCs w:val="18"/>
              </w:rPr>
              <w:t>Estimate (t-score)</w:t>
            </w:r>
          </w:p>
        </w:tc>
        <w:tc>
          <w:tcPr>
            <w:tcW w:w="1800" w:type="dxa"/>
            <w:tcBorders>
              <w:top w:val="single" w:sz="12" w:space="0" w:color="000000" w:themeColor="text1"/>
              <w:left w:val="nil"/>
              <w:bottom w:val="single" w:sz="12" w:space="0" w:color="auto"/>
              <w:right w:val="nil"/>
            </w:tcBorders>
            <w:vAlign w:val="center"/>
          </w:tcPr>
          <w:p w14:paraId="36A30DF8" w14:textId="77777777" w:rsidR="000E0C96" w:rsidRPr="00677CE8" w:rsidRDefault="000E0C96" w:rsidP="007B293E">
            <w:pPr>
              <w:jc w:val="center"/>
              <w:rPr>
                <w:b/>
                <w:bCs/>
                <w:sz w:val="18"/>
                <w:szCs w:val="18"/>
              </w:rPr>
            </w:pPr>
            <w:r w:rsidRPr="00677CE8">
              <w:rPr>
                <w:b/>
                <w:bCs/>
                <w:sz w:val="18"/>
                <w:szCs w:val="18"/>
              </w:rPr>
              <w:t>Estimate (t-score)</w:t>
            </w:r>
          </w:p>
        </w:tc>
        <w:tc>
          <w:tcPr>
            <w:tcW w:w="1800" w:type="dxa"/>
            <w:tcBorders>
              <w:top w:val="single" w:sz="12" w:space="0" w:color="000000" w:themeColor="text1"/>
              <w:left w:val="nil"/>
              <w:bottom w:val="single" w:sz="12" w:space="0" w:color="auto"/>
              <w:right w:val="nil"/>
            </w:tcBorders>
            <w:vAlign w:val="center"/>
          </w:tcPr>
          <w:p w14:paraId="285BB13F" w14:textId="77777777" w:rsidR="000E0C96" w:rsidRPr="00677CE8" w:rsidRDefault="000E0C96" w:rsidP="007B293E">
            <w:pPr>
              <w:jc w:val="center"/>
              <w:rPr>
                <w:b/>
                <w:bCs/>
                <w:sz w:val="18"/>
                <w:szCs w:val="18"/>
              </w:rPr>
            </w:pPr>
            <w:r w:rsidRPr="00677CE8">
              <w:rPr>
                <w:b/>
                <w:bCs/>
                <w:sz w:val="18"/>
                <w:szCs w:val="18"/>
              </w:rPr>
              <w:t>Estimate (t-score)</w:t>
            </w:r>
          </w:p>
        </w:tc>
        <w:tc>
          <w:tcPr>
            <w:tcW w:w="1800" w:type="dxa"/>
            <w:tcBorders>
              <w:top w:val="single" w:sz="12" w:space="0" w:color="000000" w:themeColor="text1"/>
              <w:left w:val="nil"/>
              <w:bottom w:val="single" w:sz="12" w:space="0" w:color="auto"/>
              <w:right w:val="single" w:sz="12" w:space="0" w:color="000000" w:themeColor="text1"/>
            </w:tcBorders>
            <w:vAlign w:val="center"/>
          </w:tcPr>
          <w:p w14:paraId="60AB82AB" w14:textId="77777777" w:rsidR="000E0C96" w:rsidRPr="00677CE8" w:rsidRDefault="000E0C96" w:rsidP="007B293E">
            <w:pPr>
              <w:jc w:val="center"/>
              <w:rPr>
                <w:b/>
                <w:bCs/>
                <w:sz w:val="18"/>
                <w:szCs w:val="18"/>
              </w:rPr>
            </w:pPr>
            <w:r w:rsidRPr="00677CE8">
              <w:rPr>
                <w:b/>
                <w:bCs/>
                <w:sz w:val="18"/>
                <w:szCs w:val="18"/>
              </w:rPr>
              <w:t>Estimate (t-score)</w:t>
            </w:r>
          </w:p>
        </w:tc>
      </w:tr>
      <w:tr w:rsidR="000E0C96" w:rsidRPr="00677CE8" w14:paraId="104483B2" w14:textId="77777777" w:rsidTr="00E83B07">
        <w:tc>
          <w:tcPr>
            <w:tcW w:w="4400" w:type="dxa"/>
            <w:tcBorders>
              <w:top w:val="single" w:sz="12" w:space="0" w:color="000000" w:themeColor="text1"/>
              <w:left w:val="single" w:sz="12" w:space="0" w:color="000000" w:themeColor="text1"/>
              <w:bottom w:val="single" w:sz="12" w:space="0" w:color="auto"/>
              <w:right w:val="nil"/>
            </w:tcBorders>
          </w:tcPr>
          <w:p w14:paraId="360EC4A3" w14:textId="77777777" w:rsidR="000E0C96" w:rsidRPr="00677CE8" w:rsidRDefault="000E0C96" w:rsidP="007B293E">
            <w:pPr>
              <w:rPr>
                <w:b/>
                <w:bCs/>
                <w:i/>
                <w:iCs/>
                <w:sz w:val="18"/>
                <w:szCs w:val="18"/>
              </w:rPr>
            </w:pPr>
            <w:r w:rsidRPr="00677CE8">
              <w:rPr>
                <w:b/>
                <w:bCs/>
                <w:i/>
                <w:iCs/>
                <w:sz w:val="18"/>
                <w:szCs w:val="18"/>
              </w:rPr>
              <w:t>Constants</w:t>
            </w:r>
          </w:p>
        </w:tc>
        <w:tc>
          <w:tcPr>
            <w:tcW w:w="1800" w:type="dxa"/>
            <w:tcBorders>
              <w:top w:val="single" w:sz="12" w:space="0" w:color="auto"/>
              <w:left w:val="nil"/>
              <w:bottom w:val="nil"/>
              <w:right w:val="nil"/>
            </w:tcBorders>
          </w:tcPr>
          <w:p w14:paraId="6F9A7941" w14:textId="287D8D46" w:rsidR="000E0C96" w:rsidRPr="00677CE8" w:rsidRDefault="00767183" w:rsidP="007B293E">
            <w:pPr>
              <w:jc w:val="center"/>
              <w:rPr>
                <w:color w:val="000000"/>
                <w:sz w:val="18"/>
                <w:szCs w:val="18"/>
              </w:rPr>
            </w:pPr>
            <w:r w:rsidRPr="00677CE8">
              <w:rPr>
                <w:color w:val="FFFFFF" w:themeColor="background1"/>
                <w:sz w:val="18"/>
                <w:szCs w:val="18"/>
              </w:rPr>
              <w:t>!</w:t>
            </w:r>
            <w:r w:rsidR="00477866" w:rsidRPr="00677CE8">
              <w:rPr>
                <w:color w:val="000000"/>
                <w:sz w:val="18"/>
                <w:szCs w:val="18"/>
              </w:rPr>
              <w:t>0.</w:t>
            </w:r>
            <w:proofErr w:type="gramStart"/>
            <w:r w:rsidR="00477866" w:rsidRPr="00677CE8">
              <w:rPr>
                <w:color w:val="000000"/>
                <w:sz w:val="18"/>
                <w:szCs w:val="18"/>
              </w:rPr>
              <w:t xml:space="preserve">1163 </w:t>
            </w:r>
            <w:r w:rsidRPr="00677CE8">
              <w:rPr>
                <w:color w:val="FFFFFF" w:themeColor="background1"/>
                <w:sz w:val="18"/>
                <w:szCs w:val="18"/>
              </w:rPr>
              <w:t>!</w:t>
            </w:r>
            <w:proofErr w:type="gramEnd"/>
            <w:r w:rsidR="00477866" w:rsidRPr="00677CE8">
              <w:rPr>
                <w:color w:val="000000"/>
                <w:sz w:val="18"/>
                <w:szCs w:val="18"/>
              </w:rPr>
              <w:t>(1.626)</w:t>
            </w:r>
          </w:p>
        </w:tc>
        <w:tc>
          <w:tcPr>
            <w:tcW w:w="1800" w:type="dxa"/>
            <w:tcBorders>
              <w:top w:val="single" w:sz="12" w:space="0" w:color="auto"/>
              <w:left w:val="nil"/>
              <w:bottom w:val="nil"/>
              <w:right w:val="nil"/>
            </w:tcBorders>
          </w:tcPr>
          <w:p w14:paraId="142A9CDD" w14:textId="162BC6A3" w:rsidR="000E0C96" w:rsidRPr="00677CE8" w:rsidRDefault="00767183" w:rsidP="007B293E">
            <w:pPr>
              <w:jc w:val="center"/>
              <w:rPr>
                <w:color w:val="000000"/>
                <w:sz w:val="18"/>
                <w:szCs w:val="18"/>
              </w:rPr>
            </w:pPr>
            <w:r w:rsidRPr="00677CE8">
              <w:rPr>
                <w:color w:val="FFFFFF" w:themeColor="background1"/>
                <w:sz w:val="18"/>
                <w:szCs w:val="18"/>
              </w:rPr>
              <w:t>!</w:t>
            </w:r>
            <w:r w:rsidR="00477866" w:rsidRPr="00677CE8">
              <w:rPr>
                <w:color w:val="000000"/>
                <w:sz w:val="18"/>
                <w:szCs w:val="18"/>
              </w:rPr>
              <w:t>0.</w:t>
            </w:r>
            <w:proofErr w:type="gramStart"/>
            <w:r w:rsidR="00477866" w:rsidRPr="00677CE8">
              <w:rPr>
                <w:color w:val="000000"/>
                <w:sz w:val="18"/>
                <w:szCs w:val="18"/>
              </w:rPr>
              <w:t xml:space="preserve">2495 </w:t>
            </w:r>
            <w:r w:rsidRPr="00677CE8">
              <w:rPr>
                <w:color w:val="FFFFFF" w:themeColor="background1"/>
                <w:sz w:val="18"/>
                <w:szCs w:val="18"/>
              </w:rPr>
              <w:t>!</w:t>
            </w:r>
            <w:proofErr w:type="gramEnd"/>
            <w:r w:rsidR="00477866" w:rsidRPr="00677CE8">
              <w:rPr>
                <w:color w:val="000000"/>
                <w:sz w:val="18"/>
                <w:szCs w:val="18"/>
              </w:rPr>
              <w:t>(3.214)</w:t>
            </w:r>
          </w:p>
        </w:tc>
        <w:tc>
          <w:tcPr>
            <w:tcW w:w="1800" w:type="dxa"/>
            <w:tcBorders>
              <w:top w:val="single" w:sz="12" w:space="0" w:color="auto"/>
              <w:left w:val="nil"/>
              <w:bottom w:val="nil"/>
              <w:right w:val="nil"/>
            </w:tcBorders>
          </w:tcPr>
          <w:p w14:paraId="41D093A4" w14:textId="00995E53" w:rsidR="000E0C96" w:rsidRPr="00677CE8" w:rsidRDefault="00477866" w:rsidP="007B293E">
            <w:pPr>
              <w:jc w:val="center"/>
              <w:rPr>
                <w:color w:val="000000"/>
                <w:sz w:val="18"/>
                <w:szCs w:val="18"/>
              </w:rPr>
            </w:pPr>
            <w:r w:rsidRPr="00677CE8">
              <w:rPr>
                <w:color w:val="000000"/>
                <w:sz w:val="18"/>
                <w:szCs w:val="18"/>
              </w:rPr>
              <w:t>-0.1788 (-6.005)</w:t>
            </w:r>
          </w:p>
        </w:tc>
        <w:tc>
          <w:tcPr>
            <w:tcW w:w="1800" w:type="dxa"/>
            <w:tcBorders>
              <w:top w:val="single" w:sz="12" w:space="0" w:color="auto"/>
              <w:left w:val="nil"/>
              <w:bottom w:val="nil"/>
              <w:right w:val="nil"/>
            </w:tcBorders>
          </w:tcPr>
          <w:p w14:paraId="79BCCDBF" w14:textId="6C977D7D" w:rsidR="000E0C96" w:rsidRPr="00677CE8" w:rsidRDefault="00767183" w:rsidP="007B293E">
            <w:pPr>
              <w:jc w:val="center"/>
              <w:rPr>
                <w:color w:val="000000"/>
                <w:sz w:val="18"/>
                <w:szCs w:val="18"/>
              </w:rPr>
            </w:pPr>
            <w:r w:rsidRPr="00677CE8">
              <w:rPr>
                <w:color w:val="FFFFFF" w:themeColor="background1"/>
                <w:sz w:val="18"/>
                <w:szCs w:val="18"/>
              </w:rPr>
              <w:t>!</w:t>
            </w:r>
            <w:r w:rsidR="00477866" w:rsidRPr="00677CE8">
              <w:rPr>
                <w:color w:val="000000"/>
                <w:sz w:val="18"/>
                <w:szCs w:val="18"/>
              </w:rPr>
              <w:t>0.</w:t>
            </w:r>
            <w:proofErr w:type="gramStart"/>
            <w:r w:rsidR="00477866" w:rsidRPr="00677CE8">
              <w:rPr>
                <w:color w:val="000000"/>
                <w:sz w:val="18"/>
                <w:szCs w:val="18"/>
              </w:rPr>
              <w:t xml:space="preserve">1402 </w:t>
            </w:r>
            <w:r w:rsidRPr="00677CE8">
              <w:rPr>
                <w:color w:val="FFFFFF" w:themeColor="background1"/>
                <w:sz w:val="18"/>
                <w:szCs w:val="18"/>
              </w:rPr>
              <w:t>!</w:t>
            </w:r>
            <w:proofErr w:type="gramEnd"/>
            <w:r w:rsidR="00477866" w:rsidRPr="00677CE8">
              <w:rPr>
                <w:color w:val="000000"/>
                <w:sz w:val="18"/>
                <w:szCs w:val="18"/>
              </w:rPr>
              <w:t>(2.071)</w:t>
            </w:r>
          </w:p>
        </w:tc>
        <w:tc>
          <w:tcPr>
            <w:tcW w:w="1800" w:type="dxa"/>
            <w:tcBorders>
              <w:top w:val="single" w:sz="12" w:space="0" w:color="auto"/>
              <w:left w:val="nil"/>
              <w:bottom w:val="nil"/>
              <w:right w:val="single" w:sz="12" w:space="0" w:color="auto"/>
            </w:tcBorders>
          </w:tcPr>
          <w:p w14:paraId="5B2E0A0D" w14:textId="77777777" w:rsidR="000E0C96" w:rsidRPr="00677CE8" w:rsidRDefault="000E0C96" w:rsidP="007B293E">
            <w:pPr>
              <w:jc w:val="center"/>
              <w:rPr>
                <w:sz w:val="18"/>
                <w:szCs w:val="18"/>
              </w:rPr>
            </w:pPr>
            <w:r w:rsidRPr="00677CE8">
              <w:rPr>
                <w:sz w:val="18"/>
                <w:szCs w:val="18"/>
              </w:rPr>
              <w:t>--</w:t>
            </w:r>
          </w:p>
        </w:tc>
      </w:tr>
      <w:tr w:rsidR="000E0C96" w:rsidRPr="00677CE8" w14:paraId="6830511A" w14:textId="77777777" w:rsidTr="00E83B07">
        <w:tc>
          <w:tcPr>
            <w:tcW w:w="13396" w:type="dxa"/>
            <w:gridSpan w:val="6"/>
            <w:tcBorders>
              <w:top w:val="single" w:sz="12" w:space="0" w:color="auto"/>
              <w:left w:val="single" w:sz="12" w:space="0" w:color="auto"/>
              <w:bottom w:val="single" w:sz="12" w:space="0" w:color="auto"/>
              <w:right w:val="single" w:sz="12" w:space="0" w:color="auto"/>
            </w:tcBorders>
            <w:vAlign w:val="center"/>
          </w:tcPr>
          <w:p w14:paraId="2F7CF784" w14:textId="77777777" w:rsidR="000E0C96" w:rsidRPr="00677CE8" w:rsidRDefault="000E0C96" w:rsidP="007B293E">
            <w:pPr>
              <w:rPr>
                <w:sz w:val="18"/>
                <w:szCs w:val="18"/>
              </w:rPr>
            </w:pPr>
            <w:r w:rsidRPr="00677CE8">
              <w:rPr>
                <w:b/>
                <w:bCs/>
                <w:i/>
                <w:iCs/>
                <w:sz w:val="18"/>
                <w:szCs w:val="18"/>
              </w:rPr>
              <w:t>Service Attributes</w:t>
            </w:r>
          </w:p>
        </w:tc>
      </w:tr>
      <w:tr w:rsidR="0008491A" w:rsidRPr="00677CE8" w14:paraId="25494AB8" w14:textId="77777777" w:rsidTr="00F41CCC">
        <w:trPr>
          <w:trHeight w:val="735"/>
        </w:trPr>
        <w:tc>
          <w:tcPr>
            <w:tcW w:w="13396" w:type="dxa"/>
            <w:gridSpan w:val="6"/>
            <w:tcBorders>
              <w:top w:val="single" w:sz="12" w:space="0" w:color="auto"/>
              <w:left w:val="single" w:sz="12" w:space="0" w:color="auto"/>
              <w:bottom w:val="nil"/>
              <w:right w:val="single" w:sz="12" w:space="0" w:color="auto"/>
            </w:tcBorders>
            <w:vAlign w:val="center"/>
          </w:tcPr>
          <w:p w14:paraId="31C6737D" w14:textId="6C7D5FFF" w:rsidR="0008491A" w:rsidRPr="00677CE8" w:rsidRDefault="00AF4D77" w:rsidP="007B293E">
            <w:pPr>
              <w:rPr>
                <w:b/>
                <w:bCs/>
                <w:sz w:val="18"/>
                <w:szCs w:val="18"/>
              </w:rPr>
            </w:pPr>
            <w:r w:rsidRPr="00677CE8">
              <w:rPr>
                <w:b/>
                <w:bCs/>
                <w:sz w:val="18"/>
                <w:szCs w:val="18"/>
              </w:rPr>
              <w:t xml:space="preserve">In-Vehicle </w:t>
            </w:r>
            <w:r w:rsidR="0008491A" w:rsidRPr="00677CE8">
              <w:rPr>
                <w:b/>
                <w:bCs/>
                <w:sz w:val="18"/>
                <w:szCs w:val="18"/>
              </w:rPr>
              <w:t>Travel Time</w:t>
            </w:r>
          </w:p>
        </w:tc>
      </w:tr>
      <w:tr w:rsidR="00E5094A" w:rsidRPr="00677CE8" w14:paraId="0CEC70B6" w14:textId="77777777" w:rsidTr="00E83B07">
        <w:tc>
          <w:tcPr>
            <w:tcW w:w="4400" w:type="dxa"/>
            <w:tcBorders>
              <w:top w:val="nil"/>
              <w:left w:val="single" w:sz="12" w:space="0" w:color="auto"/>
              <w:bottom w:val="nil"/>
              <w:right w:val="nil"/>
            </w:tcBorders>
            <w:vAlign w:val="center"/>
          </w:tcPr>
          <w:p w14:paraId="373EEEE1" w14:textId="56773618" w:rsidR="00E5094A" w:rsidRPr="00677CE8" w:rsidRDefault="00E5094A" w:rsidP="007B293E">
            <w:pPr>
              <w:rPr>
                <w:b/>
                <w:bCs/>
                <w:sz w:val="18"/>
                <w:szCs w:val="18"/>
              </w:rPr>
            </w:pPr>
            <w:r w:rsidRPr="00677CE8">
              <w:rPr>
                <w:sz w:val="18"/>
                <w:szCs w:val="18"/>
              </w:rPr>
              <w:t xml:space="preserve">    Travel time [hours]</w:t>
            </w:r>
          </w:p>
        </w:tc>
        <w:tc>
          <w:tcPr>
            <w:tcW w:w="3600" w:type="dxa"/>
            <w:gridSpan w:val="2"/>
            <w:tcBorders>
              <w:top w:val="nil"/>
              <w:left w:val="nil"/>
              <w:bottom w:val="nil"/>
              <w:right w:val="nil"/>
            </w:tcBorders>
            <w:vAlign w:val="center"/>
          </w:tcPr>
          <w:p w14:paraId="638680AD" w14:textId="4709B788" w:rsidR="00E5094A" w:rsidRPr="00677CE8" w:rsidRDefault="00477866" w:rsidP="007B293E">
            <w:pPr>
              <w:jc w:val="center"/>
              <w:rPr>
                <w:sz w:val="18"/>
                <w:szCs w:val="18"/>
              </w:rPr>
            </w:pPr>
            <w:r w:rsidRPr="00677CE8">
              <w:rPr>
                <w:sz w:val="18"/>
                <w:szCs w:val="18"/>
              </w:rPr>
              <w:t>-0.1449 (-4.793)</w:t>
            </w:r>
          </w:p>
        </w:tc>
        <w:tc>
          <w:tcPr>
            <w:tcW w:w="5400" w:type="dxa"/>
            <w:gridSpan w:val="3"/>
            <w:tcBorders>
              <w:top w:val="nil"/>
              <w:left w:val="nil"/>
              <w:bottom w:val="nil"/>
              <w:right w:val="single" w:sz="12" w:space="0" w:color="auto"/>
            </w:tcBorders>
            <w:vAlign w:val="center"/>
          </w:tcPr>
          <w:p w14:paraId="07C43330" w14:textId="1D4C4B6F" w:rsidR="00E5094A" w:rsidRPr="00677CE8" w:rsidRDefault="00477866" w:rsidP="007B293E">
            <w:pPr>
              <w:jc w:val="center"/>
              <w:rPr>
                <w:sz w:val="18"/>
                <w:szCs w:val="18"/>
              </w:rPr>
            </w:pPr>
            <w:r w:rsidRPr="00677CE8">
              <w:rPr>
                <w:sz w:val="18"/>
                <w:szCs w:val="18"/>
              </w:rPr>
              <w:t>-0.0918 (-9.528)</w:t>
            </w:r>
          </w:p>
        </w:tc>
      </w:tr>
      <w:tr w:rsidR="00355DD1" w:rsidRPr="00677CE8" w14:paraId="2E51829B" w14:textId="77777777" w:rsidTr="00E83B07">
        <w:tc>
          <w:tcPr>
            <w:tcW w:w="4400" w:type="dxa"/>
            <w:tcBorders>
              <w:top w:val="nil"/>
              <w:left w:val="single" w:sz="12" w:space="0" w:color="auto"/>
              <w:bottom w:val="nil"/>
              <w:right w:val="nil"/>
            </w:tcBorders>
          </w:tcPr>
          <w:p w14:paraId="3ECA2468" w14:textId="6678596D" w:rsidR="00355DD1" w:rsidRPr="00677CE8" w:rsidRDefault="00355DD1" w:rsidP="007B293E">
            <w:pPr>
              <w:rPr>
                <w:b/>
                <w:bCs/>
                <w:sz w:val="18"/>
                <w:szCs w:val="18"/>
              </w:rPr>
            </w:pPr>
            <w:r w:rsidRPr="00677CE8">
              <w:rPr>
                <w:sz w:val="18"/>
                <w:szCs w:val="18"/>
              </w:rPr>
              <w:t xml:space="preserve">    Travel time [hours] </w:t>
            </w:r>
            <w:r w:rsidR="00005295">
              <w:rPr>
                <w:sz w:val="18"/>
                <w:szCs w:val="18"/>
              </w:rPr>
              <w:t>×</w:t>
            </w:r>
            <w:r w:rsidRPr="00677CE8">
              <w:rPr>
                <w:sz w:val="18"/>
                <w:szCs w:val="18"/>
              </w:rPr>
              <w:t xml:space="preserve"> Errands</w:t>
            </w:r>
          </w:p>
        </w:tc>
        <w:tc>
          <w:tcPr>
            <w:tcW w:w="9000" w:type="dxa"/>
            <w:gridSpan w:val="5"/>
            <w:tcBorders>
              <w:top w:val="nil"/>
              <w:left w:val="nil"/>
              <w:bottom w:val="nil"/>
              <w:right w:val="single" w:sz="12" w:space="0" w:color="auto"/>
            </w:tcBorders>
            <w:vAlign w:val="center"/>
          </w:tcPr>
          <w:p w14:paraId="65ACB967" w14:textId="099732E5" w:rsidR="00355DD1" w:rsidRPr="00677CE8" w:rsidRDefault="00767183" w:rsidP="007B293E">
            <w:pPr>
              <w:jc w:val="center"/>
              <w:rPr>
                <w:sz w:val="18"/>
                <w:szCs w:val="18"/>
              </w:rPr>
            </w:pPr>
            <w:r w:rsidRPr="00677CE8">
              <w:rPr>
                <w:color w:val="FFFFFF" w:themeColor="background1"/>
                <w:sz w:val="18"/>
                <w:szCs w:val="18"/>
              </w:rPr>
              <w:t>!</w:t>
            </w:r>
            <w:r w:rsidR="00477866" w:rsidRPr="00677CE8">
              <w:rPr>
                <w:sz w:val="18"/>
                <w:szCs w:val="18"/>
              </w:rPr>
              <w:t>0.</w:t>
            </w:r>
            <w:proofErr w:type="gramStart"/>
            <w:r w:rsidR="00477866" w:rsidRPr="00677CE8">
              <w:rPr>
                <w:sz w:val="18"/>
                <w:szCs w:val="18"/>
              </w:rPr>
              <w:t xml:space="preserve">0756 </w:t>
            </w:r>
            <w:r w:rsidRPr="00677CE8">
              <w:rPr>
                <w:color w:val="FFFFFF" w:themeColor="background1"/>
                <w:sz w:val="18"/>
                <w:szCs w:val="18"/>
              </w:rPr>
              <w:t>!</w:t>
            </w:r>
            <w:proofErr w:type="gramEnd"/>
            <w:r w:rsidR="00477866" w:rsidRPr="00677CE8">
              <w:rPr>
                <w:sz w:val="18"/>
                <w:szCs w:val="18"/>
              </w:rPr>
              <w:t>(7.034)</w:t>
            </w:r>
          </w:p>
        </w:tc>
      </w:tr>
      <w:tr w:rsidR="00355DD1" w:rsidRPr="00677CE8" w14:paraId="4D728B6C" w14:textId="77777777" w:rsidTr="00E83B07">
        <w:tc>
          <w:tcPr>
            <w:tcW w:w="4400" w:type="dxa"/>
            <w:tcBorders>
              <w:top w:val="nil"/>
              <w:left w:val="single" w:sz="12" w:space="0" w:color="auto"/>
              <w:bottom w:val="single" w:sz="2" w:space="0" w:color="auto"/>
              <w:right w:val="nil"/>
            </w:tcBorders>
          </w:tcPr>
          <w:p w14:paraId="011ACC76" w14:textId="1C6027B1" w:rsidR="00355DD1" w:rsidRPr="00677CE8" w:rsidRDefault="00355DD1" w:rsidP="00355DD1">
            <w:pPr>
              <w:rPr>
                <w:sz w:val="18"/>
                <w:szCs w:val="18"/>
              </w:rPr>
            </w:pPr>
            <w:r w:rsidRPr="00677CE8">
              <w:rPr>
                <w:sz w:val="18"/>
                <w:szCs w:val="18"/>
              </w:rPr>
              <w:t xml:space="preserve">    Travel time [hours] </w:t>
            </w:r>
            <w:r w:rsidR="00005295">
              <w:rPr>
                <w:sz w:val="18"/>
                <w:szCs w:val="18"/>
              </w:rPr>
              <w:t>×</w:t>
            </w:r>
            <w:r w:rsidR="00005295" w:rsidRPr="00677CE8">
              <w:rPr>
                <w:sz w:val="18"/>
                <w:szCs w:val="18"/>
              </w:rPr>
              <w:t xml:space="preserve"> </w:t>
            </w:r>
            <w:r w:rsidRPr="00677CE8">
              <w:rPr>
                <w:sz w:val="18"/>
                <w:szCs w:val="18"/>
              </w:rPr>
              <w:t>Emergency medical transport</w:t>
            </w:r>
          </w:p>
        </w:tc>
        <w:tc>
          <w:tcPr>
            <w:tcW w:w="3600" w:type="dxa"/>
            <w:gridSpan w:val="2"/>
            <w:tcBorders>
              <w:top w:val="nil"/>
              <w:left w:val="nil"/>
              <w:bottom w:val="single" w:sz="2" w:space="0" w:color="auto"/>
              <w:right w:val="nil"/>
            </w:tcBorders>
            <w:vAlign w:val="center"/>
          </w:tcPr>
          <w:p w14:paraId="7C227593" w14:textId="417DAD9B" w:rsidR="00355DD1" w:rsidRPr="00677CE8" w:rsidRDefault="00477866" w:rsidP="00355DD1">
            <w:pPr>
              <w:jc w:val="center"/>
              <w:rPr>
                <w:sz w:val="18"/>
                <w:szCs w:val="18"/>
              </w:rPr>
            </w:pPr>
            <w:r w:rsidRPr="00677CE8">
              <w:rPr>
                <w:sz w:val="18"/>
                <w:szCs w:val="18"/>
              </w:rPr>
              <w:t>-0.0771 (-2.589)</w:t>
            </w:r>
          </w:p>
        </w:tc>
        <w:tc>
          <w:tcPr>
            <w:tcW w:w="1800" w:type="dxa"/>
            <w:tcBorders>
              <w:top w:val="nil"/>
              <w:left w:val="nil"/>
              <w:bottom w:val="single" w:sz="2" w:space="0" w:color="auto"/>
              <w:right w:val="nil"/>
            </w:tcBorders>
            <w:vAlign w:val="center"/>
          </w:tcPr>
          <w:p w14:paraId="510576C6" w14:textId="724C0953" w:rsidR="00355DD1" w:rsidRPr="00677CE8" w:rsidRDefault="00355DD1" w:rsidP="00355DD1">
            <w:pPr>
              <w:jc w:val="center"/>
              <w:rPr>
                <w:sz w:val="18"/>
                <w:szCs w:val="18"/>
              </w:rPr>
            </w:pPr>
            <w:r w:rsidRPr="00677CE8">
              <w:rPr>
                <w:sz w:val="18"/>
                <w:szCs w:val="18"/>
              </w:rPr>
              <w:t>--</w:t>
            </w:r>
          </w:p>
        </w:tc>
        <w:tc>
          <w:tcPr>
            <w:tcW w:w="1800" w:type="dxa"/>
            <w:tcBorders>
              <w:top w:val="nil"/>
              <w:left w:val="nil"/>
              <w:bottom w:val="single" w:sz="2" w:space="0" w:color="auto"/>
              <w:right w:val="nil"/>
            </w:tcBorders>
            <w:vAlign w:val="center"/>
          </w:tcPr>
          <w:p w14:paraId="59AA5E5F" w14:textId="6A0EA205" w:rsidR="00355DD1" w:rsidRPr="00677CE8" w:rsidRDefault="00355DD1" w:rsidP="00355DD1">
            <w:pPr>
              <w:jc w:val="center"/>
              <w:rPr>
                <w:sz w:val="18"/>
                <w:szCs w:val="18"/>
              </w:rPr>
            </w:pPr>
            <w:r w:rsidRPr="00677CE8">
              <w:rPr>
                <w:sz w:val="18"/>
                <w:szCs w:val="18"/>
              </w:rPr>
              <w:t>--</w:t>
            </w:r>
          </w:p>
        </w:tc>
        <w:tc>
          <w:tcPr>
            <w:tcW w:w="1800" w:type="dxa"/>
            <w:tcBorders>
              <w:top w:val="nil"/>
              <w:left w:val="nil"/>
              <w:bottom w:val="single" w:sz="2" w:space="0" w:color="auto"/>
              <w:right w:val="single" w:sz="12" w:space="0" w:color="auto"/>
            </w:tcBorders>
            <w:vAlign w:val="center"/>
          </w:tcPr>
          <w:p w14:paraId="77F3578C" w14:textId="4E6A972C" w:rsidR="00355DD1" w:rsidRPr="00677CE8" w:rsidRDefault="00355DD1" w:rsidP="00355DD1">
            <w:pPr>
              <w:jc w:val="center"/>
              <w:rPr>
                <w:sz w:val="18"/>
                <w:szCs w:val="18"/>
              </w:rPr>
            </w:pPr>
            <w:r w:rsidRPr="00677CE8">
              <w:rPr>
                <w:sz w:val="18"/>
                <w:szCs w:val="18"/>
              </w:rPr>
              <w:t>--</w:t>
            </w:r>
          </w:p>
        </w:tc>
      </w:tr>
      <w:tr w:rsidR="00355DD1" w:rsidRPr="00677CE8" w14:paraId="662814B8" w14:textId="77777777" w:rsidTr="00E83B07">
        <w:tc>
          <w:tcPr>
            <w:tcW w:w="13396" w:type="dxa"/>
            <w:gridSpan w:val="6"/>
            <w:tcBorders>
              <w:top w:val="single" w:sz="2" w:space="0" w:color="auto"/>
              <w:left w:val="single" w:sz="12" w:space="0" w:color="auto"/>
              <w:bottom w:val="nil"/>
              <w:right w:val="single" w:sz="12" w:space="0" w:color="auto"/>
            </w:tcBorders>
            <w:vAlign w:val="center"/>
          </w:tcPr>
          <w:p w14:paraId="4C54A418" w14:textId="3ADECEC6" w:rsidR="00355DD1" w:rsidRPr="00677CE8" w:rsidRDefault="00355DD1" w:rsidP="00355DD1">
            <w:pPr>
              <w:rPr>
                <w:b/>
                <w:bCs/>
                <w:sz w:val="18"/>
                <w:szCs w:val="18"/>
              </w:rPr>
            </w:pPr>
            <w:r w:rsidRPr="00677CE8">
              <w:rPr>
                <w:b/>
                <w:bCs/>
                <w:sz w:val="18"/>
                <w:szCs w:val="18"/>
              </w:rPr>
              <w:t>Waiting Time (0 minutes, 5 minutes)</w:t>
            </w:r>
          </w:p>
        </w:tc>
      </w:tr>
      <w:tr w:rsidR="00355DD1" w:rsidRPr="00677CE8" w14:paraId="4168B059" w14:textId="77777777" w:rsidTr="00E83B07">
        <w:trPr>
          <w:trHeight w:val="217"/>
        </w:trPr>
        <w:tc>
          <w:tcPr>
            <w:tcW w:w="4400" w:type="dxa"/>
            <w:tcBorders>
              <w:top w:val="nil"/>
              <w:left w:val="single" w:sz="12" w:space="0" w:color="auto"/>
              <w:bottom w:val="nil"/>
              <w:right w:val="nil"/>
            </w:tcBorders>
          </w:tcPr>
          <w:p w14:paraId="60598A34" w14:textId="462D69FE" w:rsidR="00355DD1" w:rsidRPr="00677CE8" w:rsidRDefault="00355DD1" w:rsidP="00355DD1">
            <w:pPr>
              <w:rPr>
                <w:b/>
                <w:bCs/>
                <w:sz w:val="18"/>
                <w:szCs w:val="18"/>
              </w:rPr>
            </w:pPr>
            <w:r w:rsidRPr="00677CE8">
              <w:rPr>
                <w:sz w:val="18"/>
                <w:szCs w:val="18"/>
              </w:rPr>
              <w:t xml:space="preserve">   10 minutes</w:t>
            </w:r>
          </w:p>
        </w:tc>
        <w:tc>
          <w:tcPr>
            <w:tcW w:w="9000" w:type="dxa"/>
            <w:gridSpan w:val="5"/>
            <w:tcBorders>
              <w:top w:val="nil"/>
              <w:left w:val="nil"/>
              <w:bottom w:val="nil"/>
              <w:right w:val="single" w:sz="12" w:space="0" w:color="auto"/>
            </w:tcBorders>
            <w:vAlign w:val="center"/>
          </w:tcPr>
          <w:p w14:paraId="0D3B9250" w14:textId="07C8BF26" w:rsidR="00355DD1" w:rsidRPr="00677CE8" w:rsidRDefault="00477866" w:rsidP="00355DD1">
            <w:pPr>
              <w:jc w:val="center"/>
              <w:rPr>
                <w:sz w:val="18"/>
                <w:szCs w:val="18"/>
              </w:rPr>
            </w:pPr>
            <w:r w:rsidRPr="00677CE8">
              <w:rPr>
                <w:sz w:val="18"/>
                <w:szCs w:val="18"/>
              </w:rPr>
              <w:t>-0.0509 (-3.611)</w:t>
            </w:r>
          </w:p>
        </w:tc>
      </w:tr>
      <w:tr w:rsidR="00355DD1" w:rsidRPr="00677CE8" w14:paraId="771D4FE4" w14:textId="77777777" w:rsidTr="00E83B07">
        <w:trPr>
          <w:trHeight w:val="217"/>
        </w:trPr>
        <w:tc>
          <w:tcPr>
            <w:tcW w:w="4400" w:type="dxa"/>
            <w:tcBorders>
              <w:top w:val="nil"/>
              <w:left w:val="single" w:sz="12" w:space="0" w:color="auto"/>
              <w:bottom w:val="nil"/>
              <w:right w:val="nil"/>
            </w:tcBorders>
          </w:tcPr>
          <w:p w14:paraId="4B5E529E" w14:textId="54D193AF" w:rsidR="00355DD1" w:rsidRPr="00677CE8" w:rsidRDefault="00355DD1" w:rsidP="00355DD1">
            <w:pPr>
              <w:rPr>
                <w:b/>
                <w:bCs/>
                <w:sz w:val="18"/>
                <w:szCs w:val="18"/>
              </w:rPr>
            </w:pPr>
            <w:r w:rsidRPr="00677CE8">
              <w:rPr>
                <w:sz w:val="18"/>
                <w:szCs w:val="18"/>
              </w:rPr>
              <w:t xml:space="preserve">   15 minutes</w:t>
            </w:r>
          </w:p>
        </w:tc>
        <w:tc>
          <w:tcPr>
            <w:tcW w:w="9000" w:type="dxa"/>
            <w:gridSpan w:val="5"/>
            <w:tcBorders>
              <w:top w:val="nil"/>
              <w:left w:val="nil"/>
              <w:bottom w:val="nil"/>
              <w:right w:val="single" w:sz="12" w:space="0" w:color="auto"/>
            </w:tcBorders>
            <w:vAlign w:val="center"/>
          </w:tcPr>
          <w:p w14:paraId="16D4A727" w14:textId="5E2CEE76" w:rsidR="00355DD1" w:rsidRPr="00677CE8" w:rsidRDefault="00477866" w:rsidP="00355DD1">
            <w:pPr>
              <w:jc w:val="center"/>
              <w:rPr>
                <w:sz w:val="18"/>
                <w:szCs w:val="18"/>
              </w:rPr>
            </w:pPr>
            <w:r w:rsidRPr="00677CE8">
              <w:rPr>
                <w:sz w:val="18"/>
                <w:szCs w:val="18"/>
              </w:rPr>
              <w:t>-0.0863 (-6.308)</w:t>
            </w:r>
          </w:p>
        </w:tc>
      </w:tr>
      <w:tr w:rsidR="00355DD1" w:rsidRPr="00677CE8" w14:paraId="15E8AAA8" w14:textId="77777777" w:rsidTr="00E83B07">
        <w:trPr>
          <w:trHeight w:val="217"/>
        </w:trPr>
        <w:tc>
          <w:tcPr>
            <w:tcW w:w="4400" w:type="dxa"/>
            <w:tcBorders>
              <w:top w:val="nil"/>
              <w:left w:val="single" w:sz="12" w:space="0" w:color="auto"/>
              <w:bottom w:val="single" w:sz="2" w:space="0" w:color="auto"/>
              <w:right w:val="nil"/>
            </w:tcBorders>
          </w:tcPr>
          <w:p w14:paraId="2DD1C611" w14:textId="10AFEB82" w:rsidR="00355DD1" w:rsidRPr="00677CE8" w:rsidRDefault="00355DD1" w:rsidP="00355DD1">
            <w:pPr>
              <w:rPr>
                <w:b/>
                <w:bCs/>
                <w:sz w:val="18"/>
                <w:szCs w:val="18"/>
              </w:rPr>
            </w:pPr>
            <w:r w:rsidRPr="00677CE8">
              <w:rPr>
                <w:sz w:val="18"/>
                <w:szCs w:val="18"/>
              </w:rPr>
              <w:t xml:space="preserve">   30 minutes</w:t>
            </w:r>
          </w:p>
        </w:tc>
        <w:tc>
          <w:tcPr>
            <w:tcW w:w="9000" w:type="dxa"/>
            <w:gridSpan w:val="5"/>
            <w:tcBorders>
              <w:top w:val="nil"/>
              <w:left w:val="nil"/>
              <w:bottom w:val="single" w:sz="2" w:space="0" w:color="auto"/>
              <w:right w:val="single" w:sz="12" w:space="0" w:color="auto"/>
            </w:tcBorders>
            <w:vAlign w:val="center"/>
          </w:tcPr>
          <w:p w14:paraId="3A8EDE08" w14:textId="3621FB71" w:rsidR="00355DD1" w:rsidRPr="00677CE8" w:rsidRDefault="00477866" w:rsidP="00355DD1">
            <w:pPr>
              <w:jc w:val="center"/>
              <w:rPr>
                <w:sz w:val="18"/>
                <w:szCs w:val="18"/>
              </w:rPr>
            </w:pPr>
            <w:r w:rsidRPr="00677CE8">
              <w:rPr>
                <w:sz w:val="18"/>
                <w:szCs w:val="18"/>
              </w:rPr>
              <w:t>-0.1263 (-6.178)</w:t>
            </w:r>
          </w:p>
        </w:tc>
      </w:tr>
      <w:tr w:rsidR="00355DD1" w:rsidRPr="00677CE8" w14:paraId="4BD05778" w14:textId="77777777" w:rsidTr="00E83B07">
        <w:tc>
          <w:tcPr>
            <w:tcW w:w="13396" w:type="dxa"/>
            <w:gridSpan w:val="6"/>
            <w:tcBorders>
              <w:top w:val="single" w:sz="2" w:space="0" w:color="auto"/>
              <w:left w:val="single" w:sz="12" w:space="0" w:color="auto"/>
              <w:bottom w:val="nil"/>
              <w:right w:val="single" w:sz="12" w:space="0" w:color="auto"/>
            </w:tcBorders>
            <w:vAlign w:val="center"/>
          </w:tcPr>
          <w:p w14:paraId="00A818E9" w14:textId="77777777" w:rsidR="00355DD1" w:rsidRPr="00677CE8" w:rsidRDefault="00355DD1" w:rsidP="00355DD1">
            <w:pPr>
              <w:rPr>
                <w:sz w:val="18"/>
                <w:szCs w:val="18"/>
              </w:rPr>
            </w:pPr>
            <w:r w:rsidRPr="00677CE8">
              <w:rPr>
                <w:b/>
                <w:bCs/>
                <w:sz w:val="18"/>
                <w:szCs w:val="18"/>
              </w:rPr>
              <w:t>Distance to Pick-up/Drop-off Locations</w:t>
            </w:r>
            <w:r w:rsidRPr="00677CE8">
              <w:rPr>
                <w:sz w:val="18"/>
                <w:szCs w:val="18"/>
              </w:rPr>
              <w:t xml:space="preserve"> (More than 1 mile)</w:t>
            </w:r>
          </w:p>
        </w:tc>
      </w:tr>
      <w:tr w:rsidR="00355DD1" w:rsidRPr="00677CE8" w14:paraId="68D5DB95" w14:textId="77777777" w:rsidTr="00E83B07">
        <w:trPr>
          <w:trHeight w:val="108"/>
        </w:trPr>
        <w:tc>
          <w:tcPr>
            <w:tcW w:w="4400" w:type="dxa"/>
            <w:tcBorders>
              <w:top w:val="nil"/>
              <w:left w:val="single" w:sz="12" w:space="0" w:color="auto"/>
              <w:bottom w:val="nil"/>
              <w:right w:val="nil"/>
            </w:tcBorders>
          </w:tcPr>
          <w:p w14:paraId="72D584EB" w14:textId="07B36869" w:rsidR="00355DD1" w:rsidRPr="00677CE8" w:rsidRDefault="00355DD1" w:rsidP="00355DD1">
            <w:pPr>
              <w:ind w:left="216"/>
              <w:rPr>
                <w:color w:val="000000"/>
                <w:sz w:val="18"/>
                <w:szCs w:val="18"/>
              </w:rPr>
            </w:pPr>
            <w:r w:rsidRPr="00677CE8">
              <w:rPr>
                <w:color w:val="000000"/>
                <w:sz w:val="18"/>
                <w:szCs w:val="18"/>
              </w:rPr>
              <w:t>Within 0.5-1 mile</w:t>
            </w:r>
          </w:p>
        </w:tc>
        <w:tc>
          <w:tcPr>
            <w:tcW w:w="9000" w:type="dxa"/>
            <w:gridSpan w:val="5"/>
            <w:tcBorders>
              <w:top w:val="nil"/>
              <w:left w:val="nil"/>
              <w:bottom w:val="nil"/>
              <w:right w:val="single" w:sz="12" w:space="0" w:color="auto"/>
            </w:tcBorders>
            <w:vAlign w:val="center"/>
          </w:tcPr>
          <w:p w14:paraId="0459170C" w14:textId="0888338B" w:rsidR="00355DD1" w:rsidRPr="00677CE8" w:rsidRDefault="00767183" w:rsidP="00355DD1">
            <w:pPr>
              <w:jc w:val="center"/>
              <w:rPr>
                <w:sz w:val="18"/>
                <w:szCs w:val="18"/>
              </w:rPr>
            </w:pPr>
            <w:r w:rsidRPr="00677CE8">
              <w:rPr>
                <w:color w:val="FFFFFF" w:themeColor="background1"/>
                <w:sz w:val="18"/>
                <w:szCs w:val="18"/>
              </w:rPr>
              <w:t>!</w:t>
            </w:r>
            <w:r w:rsidR="00477866" w:rsidRPr="00677CE8">
              <w:rPr>
                <w:sz w:val="18"/>
                <w:szCs w:val="18"/>
              </w:rPr>
              <w:t>0.</w:t>
            </w:r>
            <w:proofErr w:type="gramStart"/>
            <w:r w:rsidR="00477866" w:rsidRPr="00677CE8">
              <w:rPr>
                <w:sz w:val="18"/>
                <w:szCs w:val="18"/>
              </w:rPr>
              <w:t xml:space="preserve">0565 </w:t>
            </w:r>
            <w:r w:rsidRPr="00677CE8">
              <w:rPr>
                <w:color w:val="FFFFFF" w:themeColor="background1"/>
                <w:sz w:val="18"/>
                <w:szCs w:val="18"/>
              </w:rPr>
              <w:t>!</w:t>
            </w:r>
            <w:proofErr w:type="gramEnd"/>
            <w:r w:rsidR="00477866" w:rsidRPr="00677CE8">
              <w:rPr>
                <w:sz w:val="18"/>
                <w:szCs w:val="18"/>
              </w:rPr>
              <w:t>(3.264)</w:t>
            </w:r>
          </w:p>
        </w:tc>
      </w:tr>
      <w:tr w:rsidR="00355DD1" w:rsidRPr="00677CE8" w14:paraId="7CAED3E1" w14:textId="77777777" w:rsidTr="00E83B07">
        <w:tc>
          <w:tcPr>
            <w:tcW w:w="4400" w:type="dxa"/>
            <w:tcBorders>
              <w:top w:val="nil"/>
              <w:left w:val="single" w:sz="12" w:space="0" w:color="auto"/>
              <w:bottom w:val="single" w:sz="2" w:space="0" w:color="auto"/>
              <w:right w:val="nil"/>
            </w:tcBorders>
          </w:tcPr>
          <w:p w14:paraId="6F55D41E" w14:textId="77777777" w:rsidR="00355DD1" w:rsidRPr="00677CE8" w:rsidRDefault="00355DD1" w:rsidP="00355DD1">
            <w:pPr>
              <w:ind w:left="216"/>
              <w:rPr>
                <w:color w:val="000000"/>
                <w:sz w:val="18"/>
                <w:szCs w:val="18"/>
              </w:rPr>
            </w:pPr>
            <w:r w:rsidRPr="00677CE8">
              <w:rPr>
                <w:color w:val="000000"/>
                <w:sz w:val="18"/>
                <w:szCs w:val="18"/>
              </w:rPr>
              <w:t>Door-to-door service</w:t>
            </w:r>
          </w:p>
        </w:tc>
        <w:tc>
          <w:tcPr>
            <w:tcW w:w="9000" w:type="dxa"/>
            <w:gridSpan w:val="5"/>
            <w:tcBorders>
              <w:top w:val="nil"/>
              <w:left w:val="nil"/>
              <w:bottom w:val="single" w:sz="2" w:space="0" w:color="auto"/>
              <w:right w:val="single" w:sz="12" w:space="0" w:color="auto"/>
            </w:tcBorders>
            <w:vAlign w:val="center"/>
          </w:tcPr>
          <w:p w14:paraId="4AB77FCE" w14:textId="6C2DFF62" w:rsidR="00355DD1" w:rsidRPr="00677CE8" w:rsidRDefault="00767183" w:rsidP="00355DD1">
            <w:pPr>
              <w:jc w:val="center"/>
              <w:rPr>
                <w:sz w:val="18"/>
                <w:szCs w:val="18"/>
              </w:rPr>
            </w:pPr>
            <w:r w:rsidRPr="00677CE8">
              <w:rPr>
                <w:color w:val="FFFFFF" w:themeColor="background1"/>
                <w:sz w:val="18"/>
                <w:szCs w:val="18"/>
              </w:rPr>
              <w:t>!</w:t>
            </w:r>
            <w:r w:rsidR="00477866" w:rsidRPr="00677CE8">
              <w:rPr>
                <w:sz w:val="18"/>
                <w:szCs w:val="18"/>
              </w:rPr>
              <w:t>0.</w:t>
            </w:r>
            <w:proofErr w:type="gramStart"/>
            <w:r w:rsidR="00477866" w:rsidRPr="00677CE8">
              <w:rPr>
                <w:sz w:val="18"/>
                <w:szCs w:val="18"/>
              </w:rPr>
              <w:t xml:space="preserve">1557 </w:t>
            </w:r>
            <w:r w:rsidRPr="00677CE8">
              <w:rPr>
                <w:color w:val="FFFFFF" w:themeColor="background1"/>
                <w:sz w:val="18"/>
                <w:szCs w:val="18"/>
              </w:rPr>
              <w:t>!</w:t>
            </w:r>
            <w:proofErr w:type="gramEnd"/>
            <w:r w:rsidR="00477866" w:rsidRPr="00677CE8">
              <w:rPr>
                <w:sz w:val="18"/>
                <w:szCs w:val="18"/>
              </w:rPr>
              <w:t>(6.101)</w:t>
            </w:r>
          </w:p>
        </w:tc>
      </w:tr>
      <w:tr w:rsidR="00355DD1" w:rsidRPr="00677CE8" w14:paraId="28F524BE" w14:textId="77777777" w:rsidTr="00E83B07">
        <w:tc>
          <w:tcPr>
            <w:tcW w:w="13396" w:type="dxa"/>
            <w:gridSpan w:val="6"/>
            <w:tcBorders>
              <w:top w:val="single" w:sz="2" w:space="0" w:color="auto"/>
              <w:left w:val="single" w:sz="12" w:space="0" w:color="auto"/>
              <w:bottom w:val="nil"/>
              <w:right w:val="single" w:sz="12" w:space="0" w:color="auto"/>
            </w:tcBorders>
            <w:vAlign w:val="center"/>
          </w:tcPr>
          <w:p w14:paraId="162873F4" w14:textId="77777777" w:rsidR="00355DD1" w:rsidRPr="00677CE8" w:rsidRDefault="00355DD1" w:rsidP="00355DD1">
            <w:pPr>
              <w:rPr>
                <w:sz w:val="18"/>
                <w:szCs w:val="18"/>
              </w:rPr>
            </w:pPr>
            <w:r w:rsidRPr="00677CE8">
              <w:rPr>
                <w:b/>
                <w:bCs/>
                <w:sz w:val="18"/>
                <w:szCs w:val="18"/>
              </w:rPr>
              <w:t>Cost</w:t>
            </w:r>
          </w:p>
        </w:tc>
      </w:tr>
      <w:tr w:rsidR="00355DD1" w:rsidRPr="00677CE8" w14:paraId="0D530889" w14:textId="77777777" w:rsidTr="00E83B07">
        <w:tc>
          <w:tcPr>
            <w:tcW w:w="4400" w:type="dxa"/>
            <w:tcBorders>
              <w:top w:val="nil"/>
              <w:left w:val="single" w:sz="12" w:space="0" w:color="auto"/>
              <w:bottom w:val="nil"/>
              <w:right w:val="nil"/>
            </w:tcBorders>
          </w:tcPr>
          <w:p w14:paraId="5F8F6357" w14:textId="1A4E72E0" w:rsidR="00355DD1" w:rsidRPr="00677CE8" w:rsidRDefault="00355DD1" w:rsidP="00355DD1">
            <w:pPr>
              <w:ind w:left="216"/>
              <w:rPr>
                <w:color w:val="000000"/>
                <w:sz w:val="18"/>
                <w:szCs w:val="18"/>
              </w:rPr>
            </w:pPr>
            <w:r w:rsidRPr="00677CE8">
              <w:rPr>
                <w:color w:val="000000"/>
                <w:sz w:val="18"/>
                <w:szCs w:val="18"/>
              </w:rPr>
              <w:t xml:space="preserve">Cost [$100s] </w:t>
            </w:r>
            <w:r w:rsidR="00005295">
              <w:rPr>
                <w:sz w:val="18"/>
                <w:szCs w:val="18"/>
              </w:rPr>
              <w:t>×</w:t>
            </w:r>
            <w:r w:rsidR="00005295" w:rsidRPr="00677CE8">
              <w:rPr>
                <w:sz w:val="18"/>
                <w:szCs w:val="18"/>
              </w:rPr>
              <w:t xml:space="preserve"> </w:t>
            </w:r>
            <w:r w:rsidRPr="00677CE8">
              <w:rPr>
                <w:color w:val="000000"/>
                <w:sz w:val="18"/>
                <w:szCs w:val="18"/>
              </w:rPr>
              <w:t xml:space="preserve">High income (more than </w:t>
            </w:r>
            <w:r w:rsidR="00843CE6" w:rsidRPr="00677CE8">
              <w:rPr>
                <w:color w:val="000000"/>
                <w:sz w:val="18"/>
                <w:szCs w:val="18"/>
              </w:rPr>
              <w:t>$100</w:t>
            </w:r>
            <w:r w:rsidRPr="00677CE8">
              <w:rPr>
                <w:color w:val="000000"/>
                <w:sz w:val="18"/>
                <w:szCs w:val="18"/>
              </w:rPr>
              <w:t>,000)</w:t>
            </w:r>
          </w:p>
        </w:tc>
        <w:tc>
          <w:tcPr>
            <w:tcW w:w="9000" w:type="dxa"/>
            <w:gridSpan w:val="5"/>
            <w:tcBorders>
              <w:top w:val="nil"/>
              <w:left w:val="nil"/>
              <w:bottom w:val="nil"/>
              <w:right w:val="single" w:sz="12" w:space="0" w:color="auto"/>
            </w:tcBorders>
            <w:vAlign w:val="center"/>
          </w:tcPr>
          <w:p w14:paraId="1AE2E40A" w14:textId="196A9B6F" w:rsidR="00355DD1" w:rsidRPr="00677CE8" w:rsidRDefault="00477866" w:rsidP="00355DD1">
            <w:pPr>
              <w:jc w:val="center"/>
              <w:rPr>
                <w:sz w:val="18"/>
                <w:szCs w:val="18"/>
              </w:rPr>
            </w:pPr>
            <w:r w:rsidRPr="00677CE8">
              <w:rPr>
                <w:sz w:val="18"/>
                <w:szCs w:val="18"/>
              </w:rPr>
              <w:t>-0.1645 (-7.424)</w:t>
            </w:r>
          </w:p>
        </w:tc>
      </w:tr>
      <w:tr w:rsidR="00843CE6" w:rsidRPr="00677CE8" w14:paraId="7DAAF309" w14:textId="77777777" w:rsidTr="00E83B07">
        <w:tc>
          <w:tcPr>
            <w:tcW w:w="4400" w:type="dxa"/>
            <w:tcBorders>
              <w:top w:val="nil"/>
              <w:left w:val="single" w:sz="12" w:space="0" w:color="auto"/>
              <w:bottom w:val="nil"/>
              <w:right w:val="nil"/>
            </w:tcBorders>
          </w:tcPr>
          <w:p w14:paraId="1AD69A4E" w14:textId="5DCC973E" w:rsidR="00843CE6" w:rsidRPr="00677CE8" w:rsidRDefault="00843CE6" w:rsidP="00355DD1">
            <w:pPr>
              <w:ind w:left="216"/>
              <w:rPr>
                <w:color w:val="000000"/>
                <w:sz w:val="18"/>
                <w:szCs w:val="18"/>
              </w:rPr>
            </w:pPr>
            <w:r w:rsidRPr="00677CE8">
              <w:rPr>
                <w:color w:val="000000"/>
                <w:sz w:val="18"/>
                <w:szCs w:val="18"/>
              </w:rPr>
              <w:t xml:space="preserve">Cost [$100s] </w:t>
            </w:r>
            <w:r w:rsidR="00005295">
              <w:rPr>
                <w:sz w:val="18"/>
                <w:szCs w:val="18"/>
              </w:rPr>
              <w:t>×</w:t>
            </w:r>
            <w:r w:rsidRPr="00677CE8">
              <w:rPr>
                <w:color w:val="000000"/>
                <w:sz w:val="18"/>
                <w:szCs w:val="18"/>
              </w:rPr>
              <w:t xml:space="preserve"> Medium income ($35,000-$100,000)</w:t>
            </w:r>
          </w:p>
        </w:tc>
        <w:tc>
          <w:tcPr>
            <w:tcW w:w="9000" w:type="dxa"/>
            <w:gridSpan w:val="5"/>
            <w:tcBorders>
              <w:top w:val="nil"/>
              <w:left w:val="nil"/>
              <w:bottom w:val="nil"/>
              <w:right w:val="single" w:sz="12" w:space="0" w:color="auto"/>
            </w:tcBorders>
            <w:vAlign w:val="center"/>
          </w:tcPr>
          <w:p w14:paraId="35EA6ED7" w14:textId="626AB995" w:rsidR="00843CE6" w:rsidRPr="00677CE8" w:rsidRDefault="00477866" w:rsidP="00355DD1">
            <w:pPr>
              <w:jc w:val="center"/>
              <w:rPr>
                <w:sz w:val="18"/>
                <w:szCs w:val="18"/>
              </w:rPr>
            </w:pPr>
            <w:r w:rsidRPr="00677CE8">
              <w:rPr>
                <w:sz w:val="18"/>
                <w:szCs w:val="18"/>
              </w:rPr>
              <w:t>-0.2083 (-7.500)</w:t>
            </w:r>
          </w:p>
        </w:tc>
      </w:tr>
      <w:tr w:rsidR="00355DD1" w:rsidRPr="00677CE8" w14:paraId="611832FF" w14:textId="77777777" w:rsidTr="00E83B07">
        <w:tc>
          <w:tcPr>
            <w:tcW w:w="4400" w:type="dxa"/>
            <w:tcBorders>
              <w:top w:val="nil"/>
              <w:left w:val="single" w:sz="12" w:space="0" w:color="auto"/>
              <w:bottom w:val="nil"/>
              <w:right w:val="nil"/>
            </w:tcBorders>
          </w:tcPr>
          <w:p w14:paraId="457B2C63" w14:textId="16B7F7A8" w:rsidR="00355DD1" w:rsidRPr="00677CE8" w:rsidRDefault="00355DD1" w:rsidP="00355DD1">
            <w:pPr>
              <w:ind w:left="216"/>
              <w:rPr>
                <w:color w:val="000000"/>
                <w:sz w:val="18"/>
                <w:szCs w:val="18"/>
              </w:rPr>
            </w:pPr>
            <w:r w:rsidRPr="00677CE8">
              <w:rPr>
                <w:color w:val="000000"/>
                <w:sz w:val="18"/>
                <w:szCs w:val="18"/>
              </w:rPr>
              <w:t xml:space="preserve">Cost [$100s] </w:t>
            </w:r>
            <w:r w:rsidR="00005295">
              <w:rPr>
                <w:sz w:val="18"/>
                <w:szCs w:val="18"/>
              </w:rPr>
              <w:t>×</w:t>
            </w:r>
            <w:r w:rsidRPr="00677CE8">
              <w:rPr>
                <w:color w:val="000000"/>
                <w:sz w:val="18"/>
                <w:szCs w:val="18"/>
              </w:rPr>
              <w:t xml:space="preserve"> Low income (less than $35,000)</w:t>
            </w:r>
          </w:p>
        </w:tc>
        <w:tc>
          <w:tcPr>
            <w:tcW w:w="9000" w:type="dxa"/>
            <w:gridSpan w:val="5"/>
            <w:tcBorders>
              <w:top w:val="nil"/>
              <w:left w:val="nil"/>
              <w:bottom w:val="nil"/>
              <w:right w:val="single" w:sz="12" w:space="0" w:color="auto"/>
            </w:tcBorders>
            <w:vAlign w:val="center"/>
          </w:tcPr>
          <w:p w14:paraId="2162A9C8" w14:textId="45481289" w:rsidR="00355DD1" w:rsidRPr="00677CE8" w:rsidRDefault="00477866" w:rsidP="00355DD1">
            <w:pPr>
              <w:jc w:val="center"/>
              <w:rPr>
                <w:color w:val="000000"/>
                <w:sz w:val="18"/>
                <w:szCs w:val="18"/>
              </w:rPr>
            </w:pPr>
            <w:r w:rsidRPr="00677CE8">
              <w:rPr>
                <w:color w:val="000000"/>
                <w:sz w:val="18"/>
                <w:szCs w:val="18"/>
              </w:rPr>
              <w:t>-0.2383 (-7.486)</w:t>
            </w:r>
          </w:p>
        </w:tc>
      </w:tr>
      <w:tr w:rsidR="00843CE6" w:rsidRPr="00677CE8" w14:paraId="12CBBCFE" w14:textId="77777777" w:rsidTr="00E83B07">
        <w:tc>
          <w:tcPr>
            <w:tcW w:w="4400" w:type="dxa"/>
            <w:tcBorders>
              <w:top w:val="nil"/>
              <w:left w:val="single" w:sz="12" w:space="0" w:color="auto"/>
              <w:bottom w:val="nil"/>
              <w:right w:val="nil"/>
            </w:tcBorders>
          </w:tcPr>
          <w:p w14:paraId="78695C91" w14:textId="5DFC89D7" w:rsidR="00843CE6" w:rsidRPr="00677CE8" w:rsidRDefault="00843CE6" w:rsidP="00843CE6">
            <w:pPr>
              <w:ind w:left="216"/>
              <w:rPr>
                <w:color w:val="000000"/>
                <w:sz w:val="18"/>
                <w:szCs w:val="18"/>
              </w:rPr>
            </w:pPr>
            <w:r w:rsidRPr="00677CE8">
              <w:rPr>
                <w:color w:val="000000"/>
                <w:sz w:val="18"/>
                <w:szCs w:val="18"/>
              </w:rPr>
              <w:t xml:space="preserve">Cost [$100s] </w:t>
            </w:r>
            <w:r w:rsidR="00005295">
              <w:rPr>
                <w:sz w:val="18"/>
                <w:szCs w:val="18"/>
              </w:rPr>
              <w:t>×</w:t>
            </w:r>
            <w:r w:rsidRPr="00677CE8">
              <w:rPr>
                <w:color w:val="000000"/>
                <w:sz w:val="18"/>
                <w:szCs w:val="18"/>
              </w:rPr>
              <w:t xml:space="preserve"> High income (more than $100,000) </w:t>
            </w:r>
            <w:r w:rsidR="00005295">
              <w:rPr>
                <w:sz w:val="18"/>
                <w:szCs w:val="18"/>
              </w:rPr>
              <w:t>×</w:t>
            </w:r>
            <w:r w:rsidRPr="00677CE8">
              <w:rPr>
                <w:color w:val="000000"/>
                <w:sz w:val="18"/>
                <w:szCs w:val="18"/>
              </w:rPr>
              <w:t xml:space="preserve"> Inter-city trip (</w:t>
            </w:r>
            <w:r w:rsidR="00AC67FD" w:rsidRPr="00677CE8">
              <w:rPr>
                <w:color w:val="000000"/>
                <w:sz w:val="18"/>
                <w:szCs w:val="18"/>
              </w:rPr>
              <w:t>~</w:t>
            </w:r>
            <w:r w:rsidRPr="00677CE8">
              <w:rPr>
                <w:color w:val="000000"/>
                <w:sz w:val="18"/>
                <w:szCs w:val="18"/>
              </w:rPr>
              <w:t>120 miles</w:t>
            </w:r>
            <w:r w:rsidR="001A6644" w:rsidRPr="00677CE8">
              <w:rPr>
                <w:color w:val="000000"/>
                <w:sz w:val="18"/>
                <w:szCs w:val="18"/>
              </w:rPr>
              <w:t xml:space="preserve"> one-way)</w:t>
            </w:r>
          </w:p>
        </w:tc>
        <w:tc>
          <w:tcPr>
            <w:tcW w:w="9000" w:type="dxa"/>
            <w:gridSpan w:val="5"/>
            <w:tcBorders>
              <w:top w:val="nil"/>
              <w:left w:val="nil"/>
              <w:bottom w:val="nil"/>
              <w:right w:val="single" w:sz="12" w:space="0" w:color="auto"/>
            </w:tcBorders>
            <w:vAlign w:val="center"/>
          </w:tcPr>
          <w:p w14:paraId="7D111125" w14:textId="369D1A45" w:rsidR="00843CE6" w:rsidRPr="00677CE8" w:rsidRDefault="00767183" w:rsidP="00843CE6">
            <w:pPr>
              <w:jc w:val="center"/>
              <w:rPr>
                <w:sz w:val="18"/>
                <w:szCs w:val="18"/>
              </w:rPr>
            </w:pPr>
            <w:r w:rsidRPr="00677CE8">
              <w:rPr>
                <w:color w:val="FFFFFF" w:themeColor="background1"/>
                <w:sz w:val="18"/>
                <w:szCs w:val="18"/>
              </w:rPr>
              <w:t>!</w:t>
            </w:r>
            <w:r w:rsidR="00477866" w:rsidRPr="00677CE8">
              <w:rPr>
                <w:sz w:val="18"/>
                <w:szCs w:val="18"/>
              </w:rPr>
              <w:t>0.</w:t>
            </w:r>
            <w:proofErr w:type="gramStart"/>
            <w:r w:rsidR="00477866" w:rsidRPr="00677CE8">
              <w:rPr>
                <w:sz w:val="18"/>
                <w:szCs w:val="18"/>
              </w:rPr>
              <w:t xml:space="preserve">0885 </w:t>
            </w:r>
            <w:r w:rsidRPr="00677CE8">
              <w:rPr>
                <w:color w:val="FFFFFF" w:themeColor="background1"/>
                <w:sz w:val="18"/>
                <w:szCs w:val="18"/>
              </w:rPr>
              <w:t>!</w:t>
            </w:r>
            <w:proofErr w:type="gramEnd"/>
            <w:r w:rsidR="00477866" w:rsidRPr="00677CE8">
              <w:rPr>
                <w:sz w:val="18"/>
                <w:szCs w:val="18"/>
              </w:rPr>
              <w:t>(4.044)</w:t>
            </w:r>
          </w:p>
        </w:tc>
      </w:tr>
      <w:tr w:rsidR="00843CE6" w:rsidRPr="00677CE8" w14:paraId="10B24392" w14:textId="77777777" w:rsidTr="00E83B07">
        <w:tc>
          <w:tcPr>
            <w:tcW w:w="4400" w:type="dxa"/>
            <w:tcBorders>
              <w:top w:val="nil"/>
              <w:left w:val="single" w:sz="12" w:space="0" w:color="auto"/>
              <w:bottom w:val="nil"/>
              <w:right w:val="nil"/>
            </w:tcBorders>
          </w:tcPr>
          <w:p w14:paraId="52688210" w14:textId="5953E512" w:rsidR="00843CE6" w:rsidRPr="00677CE8" w:rsidRDefault="00843CE6" w:rsidP="00843CE6">
            <w:pPr>
              <w:ind w:left="216"/>
              <w:rPr>
                <w:color w:val="000000"/>
                <w:sz w:val="18"/>
                <w:szCs w:val="18"/>
              </w:rPr>
            </w:pPr>
            <w:r w:rsidRPr="00677CE8">
              <w:rPr>
                <w:color w:val="000000"/>
                <w:sz w:val="18"/>
                <w:szCs w:val="18"/>
              </w:rPr>
              <w:t xml:space="preserve">Cost [$100s] </w:t>
            </w:r>
            <w:r w:rsidR="00005295">
              <w:rPr>
                <w:sz w:val="18"/>
                <w:szCs w:val="18"/>
              </w:rPr>
              <w:t>×</w:t>
            </w:r>
            <w:r w:rsidRPr="00677CE8">
              <w:rPr>
                <w:color w:val="000000"/>
                <w:sz w:val="18"/>
                <w:szCs w:val="18"/>
              </w:rPr>
              <w:t xml:space="preserve"> Medium income ($35,000-$100,000) </w:t>
            </w:r>
            <w:r w:rsidR="00005295">
              <w:rPr>
                <w:sz w:val="18"/>
                <w:szCs w:val="18"/>
              </w:rPr>
              <w:t>×</w:t>
            </w:r>
            <w:r w:rsidRPr="00677CE8">
              <w:rPr>
                <w:color w:val="000000"/>
                <w:sz w:val="18"/>
                <w:szCs w:val="18"/>
              </w:rPr>
              <w:t xml:space="preserve"> Inter-city trip (</w:t>
            </w:r>
            <w:r w:rsidR="00AC67FD" w:rsidRPr="00677CE8">
              <w:rPr>
                <w:color w:val="000000"/>
                <w:sz w:val="18"/>
                <w:szCs w:val="18"/>
              </w:rPr>
              <w:t>~</w:t>
            </w:r>
            <w:r w:rsidRPr="00677CE8">
              <w:rPr>
                <w:color w:val="000000"/>
                <w:sz w:val="18"/>
                <w:szCs w:val="18"/>
              </w:rPr>
              <w:t>120 miles</w:t>
            </w:r>
            <w:r w:rsidR="001A6644" w:rsidRPr="00677CE8">
              <w:rPr>
                <w:color w:val="000000"/>
                <w:sz w:val="18"/>
                <w:szCs w:val="18"/>
              </w:rPr>
              <w:t xml:space="preserve"> one-way</w:t>
            </w:r>
            <w:r w:rsidRPr="00677CE8">
              <w:rPr>
                <w:color w:val="000000"/>
                <w:sz w:val="18"/>
                <w:szCs w:val="18"/>
              </w:rPr>
              <w:t>)</w:t>
            </w:r>
          </w:p>
        </w:tc>
        <w:tc>
          <w:tcPr>
            <w:tcW w:w="9000" w:type="dxa"/>
            <w:gridSpan w:val="5"/>
            <w:tcBorders>
              <w:top w:val="nil"/>
              <w:left w:val="nil"/>
              <w:bottom w:val="nil"/>
              <w:right w:val="single" w:sz="12" w:space="0" w:color="auto"/>
            </w:tcBorders>
            <w:vAlign w:val="center"/>
          </w:tcPr>
          <w:p w14:paraId="0E5291DB" w14:textId="27728E04" w:rsidR="00843CE6" w:rsidRPr="00677CE8" w:rsidRDefault="00767183" w:rsidP="00843CE6">
            <w:pPr>
              <w:jc w:val="center"/>
              <w:rPr>
                <w:sz w:val="18"/>
                <w:szCs w:val="18"/>
              </w:rPr>
            </w:pPr>
            <w:r w:rsidRPr="00677CE8">
              <w:rPr>
                <w:color w:val="FFFFFF" w:themeColor="background1"/>
                <w:sz w:val="18"/>
                <w:szCs w:val="18"/>
              </w:rPr>
              <w:t>!</w:t>
            </w:r>
            <w:r w:rsidR="00477866" w:rsidRPr="00677CE8">
              <w:rPr>
                <w:sz w:val="18"/>
                <w:szCs w:val="18"/>
              </w:rPr>
              <w:t>0.</w:t>
            </w:r>
            <w:proofErr w:type="gramStart"/>
            <w:r w:rsidR="00477866" w:rsidRPr="00677CE8">
              <w:rPr>
                <w:sz w:val="18"/>
                <w:szCs w:val="18"/>
              </w:rPr>
              <w:t xml:space="preserve">1020 </w:t>
            </w:r>
            <w:r w:rsidRPr="00677CE8">
              <w:rPr>
                <w:color w:val="FFFFFF" w:themeColor="background1"/>
                <w:sz w:val="18"/>
                <w:szCs w:val="18"/>
              </w:rPr>
              <w:t>!</w:t>
            </w:r>
            <w:proofErr w:type="gramEnd"/>
            <w:r w:rsidR="00477866" w:rsidRPr="00677CE8">
              <w:rPr>
                <w:sz w:val="18"/>
                <w:szCs w:val="18"/>
              </w:rPr>
              <w:t>(3.736)</w:t>
            </w:r>
          </w:p>
        </w:tc>
      </w:tr>
      <w:tr w:rsidR="00843CE6" w:rsidRPr="00677CE8" w14:paraId="0DEB8D3A" w14:textId="77777777" w:rsidTr="00E83B07">
        <w:tc>
          <w:tcPr>
            <w:tcW w:w="4400" w:type="dxa"/>
            <w:tcBorders>
              <w:top w:val="nil"/>
              <w:left w:val="single" w:sz="12" w:space="0" w:color="auto"/>
              <w:bottom w:val="single" w:sz="2" w:space="0" w:color="auto"/>
              <w:right w:val="nil"/>
            </w:tcBorders>
          </w:tcPr>
          <w:p w14:paraId="21D6F6AE" w14:textId="786D8306" w:rsidR="00843CE6" w:rsidRPr="00677CE8" w:rsidRDefault="00843CE6" w:rsidP="00843CE6">
            <w:pPr>
              <w:ind w:left="216"/>
              <w:rPr>
                <w:color w:val="000000"/>
                <w:sz w:val="18"/>
                <w:szCs w:val="18"/>
              </w:rPr>
            </w:pPr>
            <w:r w:rsidRPr="00677CE8">
              <w:rPr>
                <w:color w:val="000000"/>
                <w:sz w:val="18"/>
                <w:szCs w:val="18"/>
              </w:rPr>
              <w:t xml:space="preserve">Cost [$100s] </w:t>
            </w:r>
            <w:r w:rsidR="00005295">
              <w:rPr>
                <w:sz w:val="18"/>
                <w:szCs w:val="18"/>
              </w:rPr>
              <w:t>×</w:t>
            </w:r>
            <w:r w:rsidRPr="00677CE8">
              <w:rPr>
                <w:color w:val="000000"/>
                <w:sz w:val="18"/>
                <w:szCs w:val="18"/>
              </w:rPr>
              <w:t xml:space="preserve"> Low income (less than $35,000) </w:t>
            </w:r>
            <w:r w:rsidR="00005295">
              <w:rPr>
                <w:sz w:val="18"/>
                <w:szCs w:val="18"/>
              </w:rPr>
              <w:t xml:space="preserve">× </w:t>
            </w:r>
            <w:r w:rsidRPr="00677CE8">
              <w:rPr>
                <w:color w:val="000000"/>
                <w:sz w:val="18"/>
                <w:szCs w:val="18"/>
              </w:rPr>
              <w:t>Inter-city trip (</w:t>
            </w:r>
            <w:r w:rsidR="00AC67FD" w:rsidRPr="00677CE8">
              <w:rPr>
                <w:color w:val="000000"/>
                <w:sz w:val="18"/>
                <w:szCs w:val="18"/>
              </w:rPr>
              <w:t>~</w:t>
            </w:r>
            <w:r w:rsidRPr="00677CE8">
              <w:rPr>
                <w:color w:val="000000"/>
                <w:sz w:val="18"/>
                <w:szCs w:val="18"/>
              </w:rPr>
              <w:t>120 miles</w:t>
            </w:r>
            <w:r w:rsidR="001A6644" w:rsidRPr="00677CE8">
              <w:rPr>
                <w:color w:val="000000"/>
                <w:sz w:val="18"/>
                <w:szCs w:val="18"/>
              </w:rPr>
              <w:t xml:space="preserve"> one-way</w:t>
            </w:r>
            <w:r w:rsidRPr="00677CE8">
              <w:rPr>
                <w:color w:val="000000"/>
                <w:sz w:val="18"/>
                <w:szCs w:val="18"/>
              </w:rPr>
              <w:t>)</w:t>
            </w:r>
          </w:p>
        </w:tc>
        <w:tc>
          <w:tcPr>
            <w:tcW w:w="9000" w:type="dxa"/>
            <w:gridSpan w:val="5"/>
            <w:tcBorders>
              <w:top w:val="nil"/>
              <w:left w:val="nil"/>
              <w:bottom w:val="single" w:sz="2" w:space="0" w:color="auto"/>
              <w:right w:val="single" w:sz="12" w:space="0" w:color="auto"/>
            </w:tcBorders>
            <w:vAlign w:val="center"/>
          </w:tcPr>
          <w:p w14:paraId="4EC2455B" w14:textId="683F5D2C" w:rsidR="00843CE6" w:rsidRPr="00677CE8" w:rsidRDefault="00767183" w:rsidP="00843CE6">
            <w:pPr>
              <w:jc w:val="center"/>
              <w:rPr>
                <w:sz w:val="18"/>
                <w:szCs w:val="18"/>
              </w:rPr>
            </w:pPr>
            <w:r w:rsidRPr="00677CE8">
              <w:rPr>
                <w:color w:val="FFFFFF" w:themeColor="background1"/>
                <w:sz w:val="18"/>
                <w:szCs w:val="18"/>
              </w:rPr>
              <w:t>!</w:t>
            </w:r>
            <w:r w:rsidR="00477866" w:rsidRPr="00677CE8">
              <w:rPr>
                <w:sz w:val="18"/>
                <w:szCs w:val="18"/>
              </w:rPr>
              <w:t>0.</w:t>
            </w:r>
            <w:proofErr w:type="gramStart"/>
            <w:r w:rsidR="00477866" w:rsidRPr="00677CE8">
              <w:rPr>
                <w:sz w:val="18"/>
                <w:szCs w:val="18"/>
              </w:rPr>
              <w:t xml:space="preserve">1320 </w:t>
            </w:r>
            <w:r w:rsidRPr="00677CE8">
              <w:rPr>
                <w:color w:val="FFFFFF" w:themeColor="background1"/>
                <w:sz w:val="18"/>
                <w:szCs w:val="18"/>
              </w:rPr>
              <w:t>!</w:t>
            </w:r>
            <w:proofErr w:type="gramEnd"/>
            <w:r w:rsidR="00477866" w:rsidRPr="00677CE8">
              <w:rPr>
                <w:sz w:val="18"/>
                <w:szCs w:val="18"/>
              </w:rPr>
              <w:t>(4.208)</w:t>
            </w:r>
          </w:p>
        </w:tc>
      </w:tr>
      <w:tr w:rsidR="00355DD1" w:rsidRPr="00677CE8" w14:paraId="3283F1A6" w14:textId="77777777" w:rsidTr="00E83B07">
        <w:tc>
          <w:tcPr>
            <w:tcW w:w="13396" w:type="dxa"/>
            <w:gridSpan w:val="6"/>
            <w:tcBorders>
              <w:top w:val="single" w:sz="2" w:space="0" w:color="auto"/>
              <w:left w:val="single" w:sz="12" w:space="0" w:color="auto"/>
              <w:bottom w:val="nil"/>
              <w:right w:val="single" w:sz="12" w:space="0" w:color="auto"/>
            </w:tcBorders>
            <w:vAlign w:val="center"/>
          </w:tcPr>
          <w:p w14:paraId="52CD8C15" w14:textId="5A8272AB" w:rsidR="00355DD1" w:rsidRPr="00677CE8" w:rsidRDefault="00355DD1" w:rsidP="00355DD1">
            <w:pPr>
              <w:rPr>
                <w:color w:val="000000"/>
                <w:sz w:val="18"/>
                <w:szCs w:val="18"/>
              </w:rPr>
            </w:pPr>
            <w:r w:rsidRPr="00677CE8">
              <w:rPr>
                <w:b/>
                <w:bCs/>
                <w:sz w:val="18"/>
                <w:szCs w:val="18"/>
              </w:rPr>
              <w:t>UAM Availability</w:t>
            </w:r>
            <w:r w:rsidRPr="00677CE8">
              <w:rPr>
                <w:sz w:val="18"/>
                <w:szCs w:val="18"/>
              </w:rPr>
              <w:t xml:space="preserve"> (Always available, </w:t>
            </w:r>
            <w:proofErr w:type="gramStart"/>
            <w:r w:rsidRPr="00677CE8">
              <w:rPr>
                <w:sz w:val="18"/>
                <w:szCs w:val="18"/>
              </w:rPr>
              <w:t>Not</w:t>
            </w:r>
            <w:proofErr w:type="gramEnd"/>
            <w:r w:rsidRPr="00677CE8">
              <w:rPr>
                <w:sz w:val="18"/>
                <w:szCs w:val="18"/>
              </w:rPr>
              <w:t xml:space="preserve"> shown)</w:t>
            </w:r>
          </w:p>
        </w:tc>
      </w:tr>
      <w:tr w:rsidR="00355DD1" w:rsidRPr="00677CE8" w14:paraId="50679F67" w14:textId="77777777" w:rsidTr="00E83B07">
        <w:tc>
          <w:tcPr>
            <w:tcW w:w="4400" w:type="dxa"/>
            <w:tcBorders>
              <w:top w:val="nil"/>
              <w:left w:val="single" w:sz="12" w:space="0" w:color="auto"/>
              <w:bottom w:val="nil"/>
              <w:right w:val="nil"/>
            </w:tcBorders>
          </w:tcPr>
          <w:p w14:paraId="2A5B00F7" w14:textId="4EB91C17" w:rsidR="00355DD1" w:rsidRPr="00677CE8" w:rsidRDefault="00355DD1" w:rsidP="00355DD1">
            <w:pPr>
              <w:ind w:left="216"/>
              <w:rPr>
                <w:color w:val="000000"/>
                <w:sz w:val="18"/>
                <w:szCs w:val="18"/>
              </w:rPr>
            </w:pPr>
            <w:r w:rsidRPr="00677CE8">
              <w:rPr>
                <w:sz w:val="18"/>
                <w:szCs w:val="18"/>
              </w:rPr>
              <w:t>UAM available only in clear weather</w:t>
            </w:r>
          </w:p>
        </w:tc>
        <w:tc>
          <w:tcPr>
            <w:tcW w:w="3600" w:type="dxa"/>
            <w:gridSpan w:val="2"/>
            <w:tcBorders>
              <w:top w:val="nil"/>
              <w:left w:val="nil"/>
              <w:bottom w:val="nil"/>
              <w:right w:val="nil"/>
            </w:tcBorders>
            <w:vAlign w:val="center"/>
          </w:tcPr>
          <w:p w14:paraId="7F393C91" w14:textId="02C5F49A" w:rsidR="00355DD1" w:rsidRPr="00677CE8" w:rsidRDefault="00477866" w:rsidP="00355DD1">
            <w:pPr>
              <w:jc w:val="center"/>
              <w:rPr>
                <w:color w:val="000000"/>
                <w:sz w:val="18"/>
                <w:szCs w:val="18"/>
              </w:rPr>
            </w:pPr>
            <w:r w:rsidRPr="00677CE8">
              <w:rPr>
                <w:color w:val="000000"/>
                <w:sz w:val="18"/>
                <w:szCs w:val="18"/>
              </w:rPr>
              <w:t>-0.2015 (-5.633)</w:t>
            </w:r>
          </w:p>
        </w:tc>
        <w:tc>
          <w:tcPr>
            <w:tcW w:w="1800" w:type="dxa"/>
            <w:tcBorders>
              <w:top w:val="nil"/>
              <w:left w:val="nil"/>
              <w:bottom w:val="nil"/>
              <w:right w:val="nil"/>
            </w:tcBorders>
            <w:vAlign w:val="center"/>
          </w:tcPr>
          <w:p w14:paraId="51D57019" w14:textId="395BFB8D" w:rsidR="00355DD1" w:rsidRPr="00677CE8" w:rsidRDefault="00355DD1" w:rsidP="00355DD1">
            <w:pPr>
              <w:jc w:val="center"/>
              <w:rPr>
                <w:color w:val="000000"/>
                <w:sz w:val="18"/>
                <w:szCs w:val="18"/>
              </w:rPr>
            </w:pPr>
            <w:r w:rsidRPr="00677CE8">
              <w:rPr>
                <w:sz w:val="18"/>
                <w:szCs w:val="18"/>
              </w:rPr>
              <w:t>--</w:t>
            </w:r>
          </w:p>
        </w:tc>
        <w:tc>
          <w:tcPr>
            <w:tcW w:w="1800" w:type="dxa"/>
            <w:tcBorders>
              <w:top w:val="nil"/>
              <w:left w:val="nil"/>
              <w:bottom w:val="nil"/>
              <w:right w:val="nil"/>
            </w:tcBorders>
            <w:vAlign w:val="center"/>
          </w:tcPr>
          <w:p w14:paraId="043A5ECE" w14:textId="18CE21BF" w:rsidR="00355DD1" w:rsidRPr="00677CE8" w:rsidRDefault="00355DD1" w:rsidP="00355DD1">
            <w:pPr>
              <w:jc w:val="center"/>
              <w:rPr>
                <w:color w:val="000000"/>
                <w:sz w:val="18"/>
                <w:szCs w:val="18"/>
              </w:rPr>
            </w:pPr>
            <w:r w:rsidRPr="00677CE8">
              <w:rPr>
                <w:sz w:val="18"/>
                <w:szCs w:val="18"/>
              </w:rPr>
              <w:t>--</w:t>
            </w:r>
          </w:p>
        </w:tc>
        <w:tc>
          <w:tcPr>
            <w:tcW w:w="1800" w:type="dxa"/>
            <w:tcBorders>
              <w:top w:val="nil"/>
              <w:left w:val="nil"/>
              <w:bottom w:val="nil"/>
              <w:right w:val="single" w:sz="12" w:space="0" w:color="auto"/>
            </w:tcBorders>
            <w:vAlign w:val="center"/>
          </w:tcPr>
          <w:p w14:paraId="0040C8E5" w14:textId="36F167D7" w:rsidR="00355DD1" w:rsidRPr="00677CE8" w:rsidRDefault="00355DD1" w:rsidP="00355DD1">
            <w:pPr>
              <w:jc w:val="center"/>
              <w:rPr>
                <w:color w:val="000000"/>
                <w:sz w:val="18"/>
                <w:szCs w:val="18"/>
              </w:rPr>
            </w:pPr>
            <w:r w:rsidRPr="00677CE8">
              <w:rPr>
                <w:sz w:val="18"/>
                <w:szCs w:val="18"/>
              </w:rPr>
              <w:t>--</w:t>
            </w:r>
          </w:p>
        </w:tc>
      </w:tr>
      <w:tr w:rsidR="00355DD1" w:rsidRPr="00677CE8" w14:paraId="207ADFD5" w14:textId="77777777" w:rsidTr="00E83B07">
        <w:tc>
          <w:tcPr>
            <w:tcW w:w="13396" w:type="dxa"/>
            <w:gridSpan w:val="6"/>
            <w:tcBorders>
              <w:top w:val="nil"/>
              <w:left w:val="single" w:sz="12" w:space="0" w:color="auto"/>
              <w:bottom w:val="nil"/>
              <w:right w:val="single" w:sz="12" w:space="0" w:color="auto"/>
            </w:tcBorders>
            <w:vAlign w:val="center"/>
          </w:tcPr>
          <w:p w14:paraId="1D56A815" w14:textId="0F4ED38B" w:rsidR="00355DD1" w:rsidRPr="00677CE8" w:rsidRDefault="00355DD1" w:rsidP="00355DD1">
            <w:pPr>
              <w:rPr>
                <w:sz w:val="18"/>
                <w:szCs w:val="18"/>
              </w:rPr>
            </w:pPr>
            <w:r w:rsidRPr="00677CE8">
              <w:rPr>
                <w:b/>
                <w:bCs/>
                <w:sz w:val="18"/>
                <w:szCs w:val="18"/>
              </w:rPr>
              <w:t xml:space="preserve">UAM In-Flight Experience </w:t>
            </w:r>
            <w:r w:rsidRPr="00677CE8">
              <w:rPr>
                <w:sz w:val="18"/>
                <w:szCs w:val="18"/>
              </w:rPr>
              <w:t xml:space="preserve">(Spacious interior, </w:t>
            </w:r>
            <w:proofErr w:type="gramStart"/>
            <w:r w:rsidRPr="00677CE8">
              <w:rPr>
                <w:sz w:val="18"/>
                <w:szCs w:val="18"/>
              </w:rPr>
              <w:t>Not</w:t>
            </w:r>
            <w:proofErr w:type="gramEnd"/>
            <w:r w:rsidRPr="00677CE8">
              <w:rPr>
                <w:sz w:val="18"/>
                <w:szCs w:val="18"/>
              </w:rPr>
              <w:t xml:space="preserve"> shown)</w:t>
            </w:r>
          </w:p>
        </w:tc>
      </w:tr>
      <w:tr w:rsidR="00355DD1" w:rsidRPr="00677CE8" w14:paraId="5D69A577" w14:textId="77777777" w:rsidTr="00E83B07">
        <w:tc>
          <w:tcPr>
            <w:tcW w:w="4400" w:type="dxa"/>
            <w:tcBorders>
              <w:top w:val="nil"/>
              <w:left w:val="single" w:sz="12" w:space="0" w:color="auto"/>
              <w:bottom w:val="nil"/>
              <w:right w:val="nil"/>
            </w:tcBorders>
          </w:tcPr>
          <w:p w14:paraId="24E9BCAE" w14:textId="256C17BA" w:rsidR="00355DD1" w:rsidRPr="00677CE8" w:rsidRDefault="00355DD1" w:rsidP="00355DD1">
            <w:pPr>
              <w:ind w:left="216"/>
              <w:rPr>
                <w:sz w:val="18"/>
                <w:szCs w:val="18"/>
              </w:rPr>
            </w:pPr>
            <w:r w:rsidRPr="00677CE8">
              <w:rPr>
                <w:sz w:val="18"/>
                <w:szCs w:val="18"/>
              </w:rPr>
              <w:t>Cramped interior</w:t>
            </w:r>
          </w:p>
        </w:tc>
        <w:tc>
          <w:tcPr>
            <w:tcW w:w="3600" w:type="dxa"/>
            <w:gridSpan w:val="2"/>
            <w:tcBorders>
              <w:top w:val="nil"/>
              <w:left w:val="nil"/>
              <w:bottom w:val="nil"/>
              <w:right w:val="nil"/>
            </w:tcBorders>
            <w:vAlign w:val="center"/>
          </w:tcPr>
          <w:p w14:paraId="35F831EF" w14:textId="22227CC1" w:rsidR="00355DD1" w:rsidRPr="00677CE8" w:rsidRDefault="00477866" w:rsidP="00355DD1">
            <w:pPr>
              <w:jc w:val="center"/>
              <w:rPr>
                <w:sz w:val="18"/>
                <w:szCs w:val="18"/>
              </w:rPr>
            </w:pPr>
            <w:r w:rsidRPr="00677CE8">
              <w:rPr>
                <w:sz w:val="18"/>
                <w:szCs w:val="18"/>
              </w:rPr>
              <w:t>-0.1689 (-4.454)</w:t>
            </w:r>
          </w:p>
        </w:tc>
        <w:tc>
          <w:tcPr>
            <w:tcW w:w="1800" w:type="dxa"/>
            <w:tcBorders>
              <w:top w:val="nil"/>
              <w:left w:val="nil"/>
              <w:bottom w:val="nil"/>
              <w:right w:val="nil"/>
            </w:tcBorders>
            <w:vAlign w:val="center"/>
          </w:tcPr>
          <w:p w14:paraId="19C3F92B" w14:textId="77777777" w:rsidR="00355DD1" w:rsidRPr="00677CE8" w:rsidRDefault="00355DD1" w:rsidP="00355DD1">
            <w:pPr>
              <w:jc w:val="center"/>
              <w:rPr>
                <w:sz w:val="18"/>
                <w:szCs w:val="18"/>
              </w:rPr>
            </w:pPr>
            <w:r w:rsidRPr="00677CE8">
              <w:rPr>
                <w:sz w:val="18"/>
                <w:szCs w:val="18"/>
              </w:rPr>
              <w:t>--</w:t>
            </w:r>
          </w:p>
        </w:tc>
        <w:tc>
          <w:tcPr>
            <w:tcW w:w="1800" w:type="dxa"/>
            <w:tcBorders>
              <w:top w:val="nil"/>
              <w:left w:val="nil"/>
              <w:bottom w:val="nil"/>
              <w:right w:val="nil"/>
            </w:tcBorders>
            <w:vAlign w:val="center"/>
          </w:tcPr>
          <w:p w14:paraId="0E3AB034" w14:textId="4E67053F" w:rsidR="00355DD1" w:rsidRPr="00677CE8" w:rsidRDefault="00355DD1" w:rsidP="00355DD1">
            <w:pPr>
              <w:jc w:val="center"/>
              <w:rPr>
                <w:sz w:val="18"/>
                <w:szCs w:val="18"/>
              </w:rPr>
            </w:pPr>
            <w:r w:rsidRPr="00677CE8">
              <w:rPr>
                <w:sz w:val="18"/>
                <w:szCs w:val="18"/>
              </w:rPr>
              <w:t>--</w:t>
            </w:r>
          </w:p>
        </w:tc>
        <w:tc>
          <w:tcPr>
            <w:tcW w:w="1800" w:type="dxa"/>
            <w:tcBorders>
              <w:top w:val="nil"/>
              <w:left w:val="nil"/>
              <w:bottom w:val="nil"/>
              <w:right w:val="single" w:sz="12" w:space="0" w:color="auto"/>
            </w:tcBorders>
            <w:vAlign w:val="center"/>
          </w:tcPr>
          <w:p w14:paraId="0DA065AF" w14:textId="1D2459F7" w:rsidR="00355DD1" w:rsidRPr="00677CE8" w:rsidRDefault="00355DD1" w:rsidP="00355DD1">
            <w:pPr>
              <w:jc w:val="center"/>
              <w:rPr>
                <w:sz w:val="18"/>
                <w:szCs w:val="18"/>
              </w:rPr>
            </w:pPr>
            <w:r w:rsidRPr="00677CE8">
              <w:rPr>
                <w:sz w:val="18"/>
                <w:szCs w:val="18"/>
              </w:rPr>
              <w:t>--</w:t>
            </w:r>
          </w:p>
        </w:tc>
      </w:tr>
      <w:tr w:rsidR="00355DD1" w:rsidRPr="00677CE8" w14:paraId="37548986" w14:textId="77777777" w:rsidTr="00E83B07">
        <w:tc>
          <w:tcPr>
            <w:tcW w:w="13396" w:type="dxa"/>
            <w:gridSpan w:val="6"/>
            <w:tcBorders>
              <w:top w:val="nil"/>
              <w:left w:val="single" w:sz="12" w:space="0" w:color="auto"/>
              <w:bottom w:val="nil"/>
              <w:right w:val="single" w:sz="12" w:space="0" w:color="auto"/>
            </w:tcBorders>
            <w:vAlign w:val="center"/>
          </w:tcPr>
          <w:p w14:paraId="6C273621" w14:textId="7F60F70E" w:rsidR="00355DD1" w:rsidRPr="00677CE8" w:rsidRDefault="00355DD1" w:rsidP="00355DD1">
            <w:pPr>
              <w:rPr>
                <w:sz w:val="18"/>
                <w:szCs w:val="18"/>
              </w:rPr>
            </w:pPr>
            <w:r w:rsidRPr="00677CE8">
              <w:rPr>
                <w:b/>
                <w:bCs/>
                <w:sz w:val="18"/>
                <w:szCs w:val="18"/>
              </w:rPr>
              <w:t>Environmental Sustainability</w:t>
            </w:r>
            <w:r w:rsidRPr="00677CE8">
              <w:rPr>
                <w:sz w:val="18"/>
                <w:szCs w:val="18"/>
              </w:rPr>
              <w:t xml:space="preserve"> (High environmental impact, Medium environmental impact, </w:t>
            </w:r>
            <w:proofErr w:type="gramStart"/>
            <w:r w:rsidRPr="00677CE8">
              <w:rPr>
                <w:sz w:val="18"/>
                <w:szCs w:val="18"/>
              </w:rPr>
              <w:t>Not</w:t>
            </w:r>
            <w:proofErr w:type="gramEnd"/>
            <w:r w:rsidRPr="00677CE8">
              <w:rPr>
                <w:sz w:val="18"/>
                <w:szCs w:val="18"/>
              </w:rPr>
              <w:t xml:space="preserve"> shown)</w:t>
            </w:r>
          </w:p>
        </w:tc>
      </w:tr>
      <w:tr w:rsidR="00355DD1" w:rsidRPr="00677CE8" w14:paraId="49D56A35" w14:textId="77777777" w:rsidTr="00E83B07">
        <w:tc>
          <w:tcPr>
            <w:tcW w:w="4400" w:type="dxa"/>
            <w:tcBorders>
              <w:top w:val="nil"/>
              <w:left w:val="single" w:sz="12" w:space="0" w:color="auto"/>
              <w:bottom w:val="nil"/>
              <w:right w:val="nil"/>
            </w:tcBorders>
          </w:tcPr>
          <w:p w14:paraId="0447A51A" w14:textId="0D6A5123" w:rsidR="00355DD1" w:rsidRPr="00677CE8" w:rsidRDefault="00355DD1" w:rsidP="00355DD1">
            <w:pPr>
              <w:ind w:left="216"/>
              <w:rPr>
                <w:sz w:val="18"/>
                <w:szCs w:val="18"/>
              </w:rPr>
            </w:pPr>
            <w:r w:rsidRPr="00677CE8">
              <w:rPr>
                <w:sz w:val="18"/>
                <w:szCs w:val="18"/>
              </w:rPr>
              <w:t>Low environmental impact</w:t>
            </w:r>
          </w:p>
        </w:tc>
        <w:tc>
          <w:tcPr>
            <w:tcW w:w="3600" w:type="dxa"/>
            <w:gridSpan w:val="2"/>
            <w:tcBorders>
              <w:top w:val="nil"/>
              <w:left w:val="nil"/>
              <w:bottom w:val="nil"/>
              <w:right w:val="nil"/>
            </w:tcBorders>
            <w:vAlign w:val="center"/>
          </w:tcPr>
          <w:p w14:paraId="4B958294" w14:textId="1CF0856A" w:rsidR="00355DD1" w:rsidRPr="00677CE8" w:rsidRDefault="00767183" w:rsidP="00355DD1">
            <w:pPr>
              <w:jc w:val="center"/>
              <w:rPr>
                <w:color w:val="000000"/>
                <w:sz w:val="18"/>
                <w:szCs w:val="18"/>
              </w:rPr>
            </w:pPr>
            <w:r w:rsidRPr="00677CE8">
              <w:rPr>
                <w:color w:val="FFFFFF" w:themeColor="background1"/>
                <w:sz w:val="18"/>
                <w:szCs w:val="18"/>
              </w:rPr>
              <w:t>!</w:t>
            </w:r>
            <w:r w:rsidR="00477866" w:rsidRPr="00677CE8">
              <w:rPr>
                <w:color w:val="000000"/>
                <w:sz w:val="18"/>
                <w:szCs w:val="18"/>
              </w:rPr>
              <w:t>0.</w:t>
            </w:r>
            <w:proofErr w:type="gramStart"/>
            <w:r w:rsidR="00477866" w:rsidRPr="00677CE8">
              <w:rPr>
                <w:color w:val="000000"/>
                <w:sz w:val="18"/>
                <w:szCs w:val="18"/>
              </w:rPr>
              <w:t xml:space="preserve">0884 </w:t>
            </w:r>
            <w:r w:rsidRPr="00677CE8">
              <w:rPr>
                <w:color w:val="FFFFFF" w:themeColor="background1"/>
                <w:sz w:val="18"/>
                <w:szCs w:val="18"/>
              </w:rPr>
              <w:t>!</w:t>
            </w:r>
            <w:proofErr w:type="gramEnd"/>
            <w:r w:rsidR="00477866" w:rsidRPr="00677CE8">
              <w:rPr>
                <w:color w:val="000000"/>
                <w:sz w:val="18"/>
                <w:szCs w:val="18"/>
              </w:rPr>
              <w:t>(1.936)</w:t>
            </w:r>
          </w:p>
        </w:tc>
        <w:tc>
          <w:tcPr>
            <w:tcW w:w="1800" w:type="dxa"/>
            <w:tcBorders>
              <w:top w:val="nil"/>
              <w:left w:val="nil"/>
              <w:bottom w:val="nil"/>
              <w:right w:val="nil"/>
            </w:tcBorders>
            <w:vAlign w:val="center"/>
          </w:tcPr>
          <w:p w14:paraId="41BF4115" w14:textId="12D9894D" w:rsidR="00355DD1" w:rsidRPr="00677CE8" w:rsidRDefault="00355DD1" w:rsidP="00355DD1">
            <w:pPr>
              <w:jc w:val="center"/>
              <w:rPr>
                <w:sz w:val="18"/>
                <w:szCs w:val="18"/>
              </w:rPr>
            </w:pPr>
            <w:r w:rsidRPr="00677CE8">
              <w:rPr>
                <w:sz w:val="18"/>
                <w:szCs w:val="18"/>
              </w:rPr>
              <w:t>--</w:t>
            </w:r>
          </w:p>
        </w:tc>
        <w:tc>
          <w:tcPr>
            <w:tcW w:w="1800" w:type="dxa"/>
            <w:tcBorders>
              <w:top w:val="nil"/>
              <w:left w:val="nil"/>
              <w:bottom w:val="nil"/>
              <w:right w:val="nil"/>
            </w:tcBorders>
            <w:vAlign w:val="center"/>
          </w:tcPr>
          <w:p w14:paraId="613089E2" w14:textId="3E74F99B" w:rsidR="00355DD1" w:rsidRPr="00677CE8" w:rsidRDefault="00355DD1" w:rsidP="00355DD1">
            <w:pPr>
              <w:jc w:val="center"/>
              <w:rPr>
                <w:sz w:val="18"/>
                <w:szCs w:val="18"/>
              </w:rPr>
            </w:pPr>
            <w:r w:rsidRPr="00677CE8">
              <w:rPr>
                <w:sz w:val="18"/>
                <w:szCs w:val="18"/>
              </w:rPr>
              <w:t>--</w:t>
            </w:r>
          </w:p>
        </w:tc>
        <w:tc>
          <w:tcPr>
            <w:tcW w:w="1800" w:type="dxa"/>
            <w:tcBorders>
              <w:top w:val="nil"/>
              <w:left w:val="nil"/>
              <w:bottom w:val="nil"/>
              <w:right w:val="single" w:sz="12" w:space="0" w:color="auto"/>
            </w:tcBorders>
            <w:vAlign w:val="center"/>
          </w:tcPr>
          <w:p w14:paraId="1E269957" w14:textId="289896B6" w:rsidR="00355DD1" w:rsidRPr="00677CE8" w:rsidRDefault="00355DD1" w:rsidP="00355DD1">
            <w:pPr>
              <w:jc w:val="center"/>
              <w:rPr>
                <w:sz w:val="18"/>
                <w:szCs w:val="18"/>
              </w:rPr>
            </w:pPr>
            <w:r w:rsidRPr="00677CE8">
              <w:rPr>
                <w:sz w:val="18"/>
                <w:szCs w:val="18"/>
              </w:rPr>
              <w:t>--</w:t>
            </w:r>
          </w:p>
        </w:tc>
      </w:tr>
      <w:tr w:rsidR="00355DD1" w:rsidRPr="00677CE8" w14:paraId="795F3141" w14:textId="77777777" w:rsidTr="00E83B07">
        <w:tc>
          <w:tcPr>
            <w:tcW w:w="13396" w:type="dxa"/>
            <w:gridSpan w:val="6"/>
            <w:tcBorders>
              <w:top w:val="nil"/>
              <w:left w:val="single" w:sz="12" w:space="0" w:color="auto"/>
              <w:bottom w:val="nil"/>
              <w:right w:val="single" w:sz="12" w:space="0" w:color="auto"/>
            </w:tcBorders>
            <w:vAlign w:val="center"/>
          </w:tcPr>
          <w:p w14:paraId="38FDBD98" w14:textId="2C5DDD3E" w:rsidR="00355DD1" w:rsidRPr="00677CE8" w:rsidRDefault="00355DD1" w:rsidP="00355DD1">
            <w:pPr>
              <w:rPr>
                <w:sz w:val="18"/>
                <w:szCs w:val="18"/>
              </w:rPr>
            </w:pPr>
            <w:r w:rsidRPr="00677CE8">
              <w:rPr>
                <w:b/>
                <w:bCs/>
                <w:sz w:val="18"/>
                <w:szCs w:val="18"/>
              </w:rPr>
              <w:t xml:space="preserve">UAM </w:t>
            </w:r>
            <w:r w:rsidR="005A41F0">
              <w:rPr>
                <w:b/>
                <w:bCs/>
                <w:sz w:val="18"/>
                <w:szCs w:val="18"/>
              </w:rPr>
              <w:t xml:space="preserve">Crash-Related </w:t>
            </w:r>
            <w:r w:rsidRPr="00677CE8">
              <w:rPr>
                <w:b/>
                <w:bCs/>
                <w:sz w:val="18"/>
                <w:szCs w:val="18"/>
              </w:rPr>
              <w:t>Safety</w:t>
            </w:r>
            <w:r w:rsidR="005A41F0">
              <w:rPr>
                <w:b/>
                <w:bCs/>
                <w:sz w:val="18"/>
                <w:szCs w:val="18"/>
              </w:rPr>
              <w:t xml:space="preserve"> Level</w:t>
            </w:r>
            <w:r w:rsidRPr="00677CE8">
              <w:rPr>
                <w:sz w:val="18"/>
                <w:szCs w:val="18"/>
              </w:rPr>
              <w:t xml:space="preserve"> (Fewer crashes per mile than ground vehicles, </w:t>
            </w:r>
            <w:proofErr w:type="gramStart"/>
            <w:r w:rsidRPr="00677CE8">
              <w:rPr>
                <w:sz w:val="18"/>
                <w:szCs w:val="18"/>
              </w:rPr>
              <w:t>Not</w:t>
            </w:r>
            <w:proofErr w:type="gramEnd"/>
            <w:r w:rsidRPr="00677CE8">
              <w:rPr>
                <w:sz w:val="18"/>
                <w:szCs w:val="18"/>
              </w:rPr>
              <w:t xml:space="preserve"> shown)</w:t>
            </w:r>
          </w:p>
        </w:tc>
      </w:tr>
      <w:tr w:rsidR="00355DD1" w:rsidRPr="00677CE8" w14:paraId="1B9BC0D9" w14:textId="77777777" w:rsidTr="00E83B07">
        <w:tc>
          <w:tcPr>
            <w:tcW w:w="4400" w:type="dxa"/>
            <w:tcBorders>
              <w:top w:val="nil"/>
              <w:left w:val="single" w:sz="12" w:space="0" w:color="auto"/>
              <w:bottom w:val="nil"/>
              <w:right w:val="nil"/>
            </w:tcBorders>
          </w:tcPr>
          <w:p w14:paraId="53F17DED" w14:textId="77777777" w:rsidR="00355DD1" w:rsidRPr="00677CE8" w:rsidRDefault="00355DD1" w:rsidP="00355DD1">
            <w:pPr>
              <w:ind w:left="216"/>
              <w:rPr>
                <w:sz w:val="18"/>
                <w:szCs w:val="18"/>
              </w:rPr>
            </w:pPr>
            <w:r w:rsidRPr="00677CE8">
              <w:rPr>
                <w:sz w:val="18"/>
                <w:szCs w:val="18"/>
              </w:rPr>
              <w:t>More crashes per mile than ground vehicles</w:t>
            </w:r>
          </w:p>
        </w:tc>
        <w:tc>
          <w:tcPr>
            <w:tcW w:w="3600" w:type="dxa"/>
            <w:gridSpan w:val="2"/>
            <w:tcBorders>
              <w:top w:val="nil"/>
              <w:left w:val="nil"/>
              <w:bottom w:val="nil"/>
              <w:right w:val="nil"/>
            </w:tcBorders>
            <w:vAlign w:val="center"/>
          </w:tcPr>
          <w:p w14:paraId="7278DBEA" w14:textId="60A3DEB5" w:rsidR="00355DD1" w:rsidRPr="00677CE8" w:rsidRDefault="00477866" w:rsidP="00355DD1">
            <w:pPr>
              <w:jc w:val="center"/>
              <w:rPr>
                <w:sz w:val="18"/>
                <w:szCs w:val="18"/>
              </w:rPr>
            </w:pPr>
            <w:r w:rsidRPr="00677CE8">
              <w:rPr>
                <w:sz w:val="18"/>
                <w:szCs w:val="18"/>
              </w:rPr>
              <w:t>-0.1294 (-2.960)</w:t>
            </w:r>
          </w:p>
        </w:tc>
        <w:tc>
          <w:tcPr>
            <w:tcW w:w="1800" w:type="dxa"/>
            <w:tcBorders>
              <w:top w:val="nil"/>
              <w:left w:val="nil"/>
              <w:bottom w:val="nil"/>
              <w:right w:val="nil"/>
            </w:tcBorders>
            <w:vAlign w:val="center"/>
          </w:tcPr>
          <w:p w14:paraId="525FD0F9" w14:textId="77777777" w:rsidR="00355DD1" w:rsidRPr="00677CE8" w:rsidRDefault="00355DD1" w:rsidP="00355DD1">
            <w:pPr>
              <w:jc w:val="center"/>
              <w:rPr>
                <w:sz w:val="18"/>
                <w:szCs w:val="18"/>
              </w:rPr>
            </w:pPr>
            <w:r w:rsidRPr="00677CE8">
              <w:rPr>
                <w:sz w:val="18"/>
                <w:szCs w:val="18"/>
              </w:rPr>
              <w:t>--</w:t>
            </w:r>
          </w:p>
        </w:tc>
        <w:tc>
          <w:tcPr>
            <w:tcW w:w="1800" w:type="dxa"/>
            <w:tcBorders>
              <w:top w:val="nil"/>
              <w:left w:val="nil"/>
              <w:bottom w:val="nil"/>
              <w:right w:val="nil"/>
            </w:tcBorders>
            <w:vAlign w:val="center"/>
          </w:tcPr>
          <w:p w14:paraId="40E0C935" w14:textId="63413EC9" w:rsidR="00355DD1" w:rsidRPr="00677CE8" w:rsidRDefault="00355DD1" w:rsidP="00355DD1">
            <w:pPr>
              <w:jc w:val="center"/>
              <w:rPr>
                <w:sz w:val="18"/>
                <w:szCs w:val="18"/>
              </w:rPr>
            </w:pPr>
            <w:r w:rsidRPr="00677CE8">
              <w:rPr>
                <w:sz w:val="18"/>
                <w:szCs w:val="18"/>
              </w:rPr>
              <w:t>--</w:t>
            </w:r>
          </w:p>
        </w:tc>
        <w:tc>
          <w:tcPr>
            <w:tcW w:w="1800" w:type="dxa"/>
            <w:tcBorders>
              <w:top w:val="nil"/>
              <w:left w:val="nil"/>
              <w:bottom w:val="nil"/>
              <w:right w:val="single" w:sz="12" w:space="0" w:color="auto"/>
            </w:tcBorders>
            <w:vAlign w:val="center"/>
          </w:tcPr>
          <w:p w14:paraId="219992A6" w14:textId="3948652D" w:rsidR="00355DD1" w:rsidRPr="00677CE8" w:rsidRDefault="00355DD1" w:rsidP="00355DD1">
            <w:pPr>
              <w:jc w:val="center"/>
              <w:rPr>
                <w:sz w:val="18"/>
                <w:szCs w:val="18"/>
              </w:rPr>
            </w:pPr>
            <w:r w:rsidRPr="00677CE8">
              <w:rPr>
                <w:sz w:val="18"/>
                <w:szCs w:val="18"/>
              </w:rPr>
              <w:t>--</w:t>
            </w:r>
          </w:p>
        </w:tc>
      </w:tr>
      <w:tr w:rsidR="00355DD1" w:rsidRPr="00677CE8" w14:paraId="3D82198E" w14:textId="77777777" w:rsidTr="00E83B07">
        <w:tc>
          <w:tcPr>
            <w:tcW w:w="13396" w:type="dxa"/>
            <w:gridSpan w:val="6"/>
            <w:tcBorders>
              <w:top w:val="nil"/>
              <w:left w:val="single" w:sz="12" w:space="0" w:color="auto"/>
              <w:bottom w:val="nil"/>
              <w:right w:val="single" w:sz="12" w:space="0" w:color="auto"/>
            </w:tcBorders>
            <w:vAlign w:val="center"/>
          </w:tcPr>
          <w:p w14:paraId="1A9411F8" w14:textId="6A4663FE" w:rsidR="00355DD1" w:rsidRPr="00677CE8" w:rsidRDefault="00355DD1" w:rsidP="00355DD1">
            <w:pPr>
              <w:rPr>
                <w:sz w:val="18"/>
                <w:szCs w:val="18"/>
              </w:rPr>
            </w:pPr>
            <w:r w:rsidRPr="00677CE8">
              <w:rPr>
                <w:b/>
                <w:bCs/>
                <w:sz w:val="18"/>
                <w:szCs w:val="18"/>
              </w:rPr>
              <w:t>Level of Automation</w:t>
            </w:r>
            <w:r w:rsidRPr="00677CE8">
              <w:rPr>
                <w:sz w:val="18"/>
                <w:szCs w:val="18"/>
              </w:rPr>
              <w:t xml:space="preserve"> (In-vehicle pilot, </w:t>
            </w:r>
            <w:proofErr w:type="gramStart"/>
            <w:r w:rsidRPr="00677CE8">
              <w:rPr>
                <w:sz w:val="18"/>
                <w:szCs w:val="18"/>
              </w:rPr>
              <w:t>Not</w:t>
            </w:r>
            <w:proofErr w:type="gramEnd"/>
            <w:r w:rsidRPr="00677CE8">
              <w:rPr>
                <w:sz w:val="18"/>
                <w:szCs w:val="18"/>
              </w:rPr>
              <w:t xml:space="preserve"> shown)</w:t>
            </w:r>
          </w:p>
        </w:tc>
      </w:tr>
      <w:tr w:rsidR="00355DD1" w:rsidRPr="00677CE8" w14:paraId="22A7EFB2" w14:textId="77777777" w:rsidTr="00E83B07">
        <w:tc>
          <w:tcPr>
            <w:tcW w:w="4400" w:type="dxa"/>
            <w:tcBorders>
              <w:top w:val="nil"/>
              <w:left w:val="single" w:sz="12" w:space="0" w:color="auto"/>
              <w:bottom w:val="single" w:sz="12" w:space="0" w:color="auto"/>
              <w:right w:val="nil"/>
            </w:tcBorders>
          </w:tcPr>
          <w:p w14:paraId="431B3AD9" w14:textId="77777777" w:rsidR="00355DD1" w:rsidRPr="00677CE8" w:rsidRDefault="00355DD1" w:rsidP="00355DD1">
            <w:pPr>
              <w:ind w:left="216"/>
              <w:rPr>
                <w:sz w:val="18"/>
                <w:szCs w:val="18"/>
              </w:rPr>
            </w:pPr>
            <w:r w:rsidRPr="00677CE8">
              <w:rPr>
                <w:sz w:val="18"/>
                <w:szCs w:val="18"/>
              </w:rPr>
              <w:t>Fully autonomous</w:t>
            </w:r>
          </w:p>
        </w:tc>
        <w:tc>
          <w:tcPr>
            <w:tcW w:w="3600" w:type="dxa"/>
            <w:gridSpan w:val="2"/>
            <w:tcBorders>
              <w:top w:val="nil"/>
              <w:left w:val="nil"/>
              <w:bottom w:val="single" w:sz="12" w:space="0" w:color="auto"/>
              <w:right w:val="nil"/>
            </w:tcBorders>
            <w:vAlign w:val="center"/>
          </w:tcPr>
          <w:p w14:paraId="06AD5DA5" w14:textId="01257523" w:rsidR="00355DD1" w:rsidRPr="00677CE8" w:rsidRDefault="00477866" w:rsidP="00355DD1">
            <w:pPr>
              <w:jc w:val="center"/>
              <w:rPr>
                <w:sz w:val="18"/>
                <w:szCs w:val="18"/>
              </w:rPr>
            </w:pPr>
            <w:r w:rsidRPr="00677CE8">
              <w:rPr>
                <w:sz w:val="18"/>
                <w:szCs w:val="18"/>
              </w:rPr>
              <w:t>-0.2336 (-2.742)</w:t>
            </w:r>
          </w:p>
        </w:tc>
        <w:tc>
          <w:tcPr>
            <w:tcW w:w="5400" w:type="dxa"/>
            <w:gridSpan w:val="3"/>
            <w:tcBorders>
              <w:top w:val="nil"/>
              <w:left w:val="nil"/>
              <w:bottom w:val="single" w:sz="12" w:space="0" w:color="auto"/>
              <w:right w:val="single" w:sz="12" w:space="0" w:color="auto"/>
            </w:tcBorders>
            <w:vAlign w:val="center"/>
          </w:tcPr>
          <w:p w14:paraId="43EE2901" w14:textId="1116740F" w:rsidR="00355DD1" w:rsidRPr="00677CE8" w:rsidRDefault="00477866" w:rsidP="00355DD1">
            <w:pPr>
              <w:jc w:val="center"/>
              <w:rPr>
                <w:sz w:val="18"/>
                <w:szCs w:val="18"/>
              </w:rPr>
            </w:pPr>
            <w:r w:rsidRPr="00677CE8">
              <w:rPr>
                <w:sz w:val="18"/>
                <w:szCs w:val="18"/>
              </w:rPr>
              <w:t>-0.2670 (-3.162)</w:t>
            </w:r>
          </w:p>
        </w:tc>
      </w:tr>
    </w:tbl>
    <w:p w14:paraId="7C0397E7" w14:textId="77777777" w:rsidR="000E0C96" w:rsidRPr="00677CE8" w:rsidRDefault="000E0C96" w:rsidP="007B293E">
      <w:pPr>
        <w:spacing w:line="240" w:lineRule="auto"/>
      </w:pPr>
    </w:p>
    <w:p w14:paraId="15FFC37A" w14:textId="77777777" w:rsidR="002F26E5" w:rsidRPr="00677CE8" w:rsidRDefault="002F26E5">
      <w:pPr>
        <w:rPr>
          <w:b/>
          <w:bCs/>
        </w:rPr>
      </w:pPr>
      <w:r w:rsidRPr="00677CE8">
        <w:rPr>
          <w:b/>
          <w:bCs/>
        </w:rPr>
        <w:br w:type="page"/>
      </w:r>
    </w:p>
    <w:p w14:paraId="3A9FF1B3" w14:textId="140B7121" w:rsidR="000E0C96" w:rsidRPr="00677CE8" w:rsidRDefault="000E0C96" w:rsidP="00E83B07">
      <w:pPr>
        <w:spacing w:after="0" w:line="240" w:lineRule="auto"/>
        <w:rPr>
          <w:b/>
          <w:bCs/>
        </w:rPr>
      </w:pPr>
      <w:r w:rsidRPr="00677CE8">
        <w:rPr>
          <w:b/>
          <w:bCs/>
        </w:rPr>
        <w:lastRenderedPageBreak/>
        <w:t xml:space="preserve">Table </w:t>
      </w:r>
      <w:r w:rsidR="008C07B2" w:rsidRPr="00677CE8">
        <w:rPr>
          <w:b/>
          <w:bCs/>
        </w:rPr>
        <w:t>6</w:t>
      </w:r>
      <w:r w:rsidRPr="00677CE8">
        <w:rPr>
          <w:b/>
          <w:bCs/>
        </w:rPr>
        <w:t>: Main Estimation Results (cont.)</w:t>
      </w:r>
    </w:p>
    <w:tbl>
      <w:tblPr>
        <w:tblStyle w:val="TableGrid"/>
        <w:tblW w:w="13211" w:type="dxa"/>
        <w:tblLook w:val="04A0" w:firstRow="1" w:lastRow="0" w:firstColumn="1" w:lastColumn="0" w:noHBand="0" w:noVBand="1"/>
      </w:tblPr>
      <w:tblGrid>
        <w:gridCol w:w="4485"/>
        <w:gridCol w:w="1525"/>
        <w:gridCol w:w="130"/>
        <w:gridCol w:w="15"/>
        <w:gridCol w:w="1655"/>
        <w:gridCol w:w="1801"/>
        <w:gridCol w:w="1800"/>
        <w:gridCol w:w="1800"/>
      </w:tblGrid>
      <w:tr w:rsidR="000E0C96" w:rsidRPr="00677CE8" w14:paraId="75AF46BC" w14:textId="77777777" w:rsidTr="00E83B07">
        <w:trPr>
          <w:trHeight w:val="20"/>
        </w:trPr>
        <w:tc>
          <w:tcPr>
            <w:tcW w:w="4485" w:type="dxa"/>
            <w:vMerge w:val="restart"/>
            <w:tcBorders>
              <w:top w:val="single" w:sz="12" w:space="0" w:color="000000" w:themeColor="text1"/>
              <w:left w:val="single" w:sz="12" w:space="0" w:color="000000" w:themeColor="text1"/>
              <w:bottom w:val="nil"/>
              <w:right w:val="single" w:sz="12" w:space="0" w:color="000000" w:themeColor="text1"/>
            </w:tcBorders>
            <w:vAlign w:val="center"/>
          </w:tcPr>
          <w:p w14:paraId="250835E6" w14:textId="50740F46" w:rsidR="000E0C96" w:rsidRPr="00677CE8" w:rsidRDefault="007A7EFB" w:rsidP="007A7EFB">
            <w:pPr>
              <w:rPr>
                <w:b/>
                <w:bCs/>
                <w:sz w:val="18"/>
                <w:szCs w:val="18"/>
              </w:rPr>
            </w:pPr>
            <w:r w:rsidRPr="00677CE8">
              <w:rPr>
                <w:b/>
                <w:bCs/>
                <w:sz w:val="18"/>
                <w:szCs w:val="18"/>
              </w:rPr>
              <w:t>Variable</w:t>
            </w:r>
          </w:p>
        </w:tc>
        <w:tc>
          <w:tcPr>
            <w:tcW w:w="1525" w:type="dxa"/>
            <w:tcBorders>
              <w:top w:val="single" w:sz="12" w:space="0" w:color="000000" w:themeColor="text1"/>
              <w:left w:val="single" w:sz="12" w:space="0" w:color="000000" w:themeColor="text1"/>
              <w:bottom w:val="single" w:sz="12" w:space="0" w:color="000000" w:themeColor="text1"/>
              <w:right w:val="nil"/>
            </w:tcBorders>
            <w:vAlign w:val="center"/>
          </w:tcPr>
          <w:p w14:paraId="4708722D" w14:textId="77777777" w:rsidR="000E0C96" w:rsidRPr="00677CE8" w:rsidRDefault="000E0C96" w:rsidP="007B293E">
            <w:pPr>
              <w:jc w:val="center"/>
              <w:rPr>
                <w:b/>
                <w:bCs/>
                <w:sz w:val="18"/>
                <w:szCs w:val="18"/>
              </w:rPr>
            </w:pPr>
            <w:r w:rsidRPr="00677CE8">
              <w:rPr>
                <w:b/>
                <w:bCs/>
                <w:sz w:val="18"/>
                <w:szCs w:val="18"/>
              </w:rPr>
              <w:t>Air Taxi</w:t>
            </w:r>
          </w:p>
        </w:tc>
        <w:tc>
          <w:tcPr>
            <w:tcW w:w="1800" w:type="dxa"/>
            <w:gridSpan w:val="3"/>
            <w:tcBorders>
              <w:top w:val="single" w:sz="12" w:space="0" w:color="000000" w:themeColor="text1"/>
              <w:left w:val="nil"/>
              <w:bottom w:val="single" w:sz="12" w:space="0" w:color="000000" w:themeColor="text1"/>
              <w:right w:val="nil"/>
            </w:tcBorders>
            <w:vAlign w:val="center"/>
          </w:tcPr>
          <w:p w14:paraId="2A10F5FA" w14:textId="77777777" w:rsidR="000E0C96" w:rsidRPr="00677CE8" w:rsidRDefault="000E0C96" w:rsidP="007B293E">
            <w:pPr>
              <w:jc w:val="center"/>
              <w:rPr>
                <w:b/>
                <w:bCs/>
                <w:sz w:val="18"/>
                <w:szCs w:val="18"/>
              </w:rPr>
            </w:pPr>
            <w:r w:rsidRPr="00677CE8">
              <w:rPr>
                <w:b/>
                <w:bCs/>
                <w:sz w:val="18"/>
                <w:szCs w:val="18"/>
              </w:rPr>
              <w:t>Air Metro</w:t>
            </w:r>
          </w:p>
        </w:tc>
        <w:tc>
          <w:tcPr>
            <w:tcW w:w="1801" w:type="dxa"/>
            <w:tcBorders>
              <w:top w:val="single" w:sz="12" w:space="0" w:color="000000" w:themeColor="text1"/>
              <w:left w:val="nil"/>
              <w:bottom w:val="single" w:sz="12" w:space="0" w:color="000000" w:themeColor="text1"/>
              <w:right w:val="nil"/>
            </w:tcBorders>
            <w:vAlign w:val="center"/>
          </w:tcPr>
          <w:p w14:paraId="67B93230" w14:textId="77777777" w:rsidR="000E0C96" w:rsidRPr="00677CE8" w:rsidRDefault="000E0C96" w:rsidP="007B293E">
            <w:pPr>
              <w:jc w:val="center"/>
              <w:rPr>
                <w:b/>
                <w:bCs/>
                <w:sz w:val="18"/>
                <w:szCs w:val="18"/>
              </w:rPr>
            </w:pPr>
            <w:proofErr w:type="spellStart"/>
            <w:r w:rsidRPr="00677CE8">
              <w:rPr>
                <w:b/>
                <w:bCs/>
                <w:sz w:val="18"/>
                <w:szCs w:val="18"/>
              </w:rPr>
              <w:t>Ridehailing</w:t>
            </w:r>
            <w:proofErr w:type="spellEnd"/>
          </w:p>
        </w:tc>
        <w:tc>
          <w:tcPr>
            <w:tcW w:w="1800" w:type="dxa"/>
            <w:tcBorders>
              <w:top w:val="single" w:sz="12" w:space="0" w:color="000000" w:themeColor="text1"/>
              <w:left w:val="nil"/>
              <w:bottom w:val="single" w:sz="12" w:space="0" w:color="000000" w:themeColor="text1"/>
              <w:right w:val="nil"/>
            </w:tcBorders>
            <w:tcMar>
              <w:left w:w="29" w:type="dxa"/>
              <w:right w:w="29" w:type="dxa"/>
            </w:tcMar>
            <w:vAlign w:val="center"/>
          </w:tcPr>
          <w:p w14:paraId="46C74862" w14:textId="77777777" w:rsidR="000E0C96" w:rsidRPr="00677CE8" w:rsidRDefault="000E0C96" w:rsidP="007B293E">
            <w:pPr>
              <w:jc w:val="center"/>
              <w:rPr>
                <w:b/>
                <w:bCs/>
                <w:sz w:val="18"/>
                <w:szCs w:val="18"/>
              </w:rPr>
            </w:pPr>
            <w:r w:rsidRPr="00677CE8">
              <w:rPr>
                <w:b/>
                <w:bCs/>
                <w:sz w:val="18"/>
                <w:szCs w:val="18"/>
              </w:rPr>
              <w:t>Public Transportation</w:t>
            </w:r>
          </w:p>
        </w:tc>
        <w:tc>
          <w:tcPr>
            <w:tcW w:w="1800" w:type="dxa"/>
            <w:tcBorders>
              <w:top w:val="single" w:sz="12" w:space="0" w:color="000000" w:themeColor="text1"/>
              <w:left w:val="nil"/>
              <w:bottom w:val="single" w:sz="12" w:space="0" w:color="000000" w:themeColor="text1"/>
              <w:right w:val="single" w:sz="12" w:space="0" w:color="000000" w:themeColor="text1"/>
            </w:tcBorders>
            <w:vAlign w:val="center"/>
          </w:tcPr>
          <w:p w14:paraId="6630B57C" w14:textId="77777777" w:rsidR="000E0C96" w:rsidRPr="00677CE8" w:rsidRDefault="000E0C96" w:rsidP="007B293E">
            <w:pPr>
              <w:jc w:val="center"/>
              <w:rPr>
                <w:b/>
                <w:bCs/>
                <w:sz w:val="18"/>
                <w:szCs w:val="18"/>
              </w:rPr>
            </w:pPr>
            <w:r w:rsidRPr="00677CE8">
              <w:rPr>
                <w:b/>
                <w:bCs/>
                <w:sz w:val="18"/>
                <w:szCs w:val="18"/>
              </w:rPr>
              <w:t>Private Vehicle</w:t>
            </w:r>
          </w:p>
        </w:tc>
      </w:tr>
      <w:tr w:rsidR="000E0C96" w:rsidRPr="00677CE8" w14:paraId="13A9708F" w14:textId="77777777" w:rsidTr="00E83B07">
        <w:trPr>
          <w:trHeight w:val="20"/>
        </w:trPr>
        <w:tc>
          <w:tcPr>
            <w:tcW w:w="4485" w:type="dxa"/>
            <w:vMerge/>
            <w:tcBorders>
              <w:top w:val="nil"/>
              <w:left w:val="single" w:sz="12" w:space="0" w:color="000000" w:themeColor="text1"/>
              <w:bottom w:val="single" w:sz="12" w:space="0" w:color="000000" w:themeColor="text1"/>
              <w:right w:val="single" w:sz="12" w:space="0" w:color="000000" w:themeColor="text1"/>
            </w:tcBorders>
          </w:tcPr>
          <w:p w14:paraId="6039A1B1" w14:textId="77777777" w:rsidR="000E0C96" w:rsidRPr="00677CE8" w:rsidRDefault="000E0C96" w:rsidP="007B293E">
            <w:pPr>
              <w:rPr>
                <w:sz w:val="18"/>
                <w:szCs w:val="18"/>
              </w:rPr>
            </w:pPr>
          </w:p>
        </w:tc>
        <w:tc>
          <w:tcPr>
            <w:tcW w:w="1525" w:type="dxa"/>
            <w:tcBorders>
              <w:top w:val="single" w:sz="12" w:space="0" w:color="000000" w:themeColor="text1"/>
              <w:left w:val="single" w:sz="12" w:space="0" w:color="000000" w:themeColor="text1"/>
              <w:bottom w:val="single" w:sz="12" w:space="0" w:color="000000" w:themeColor="text1"/>
              <w:right w:val="nil"/>
            </w:tcBorders>
          </w:tcPr>
          <w:p w14:paraId="1DFCE5D5" w14:textId="77777777" w:rsidR="000E0C96" w:rsidRPr="00677CE8" w:rsidRDefault="000E0C96" w:rsidP="007B293E">
            <w:pPr>
              <w:jc w:val="center"/>
              <w:rPr>
                <w:sz w:val="18"/>
                <w:szCs w:val="18"/>
              </w:rPr>
            </w:pPr>
            <w:r w:rsidRPr="00677CE8">
              <w:rPr>
                <w:sz w:val="18"/>
                <w:szCs w:val="18"/>
              </w:rPr>
              <w:t>Estimate (t-score)</w:t>
            </w:r>
          </w:p>
        </w:tc>
        <w:tc>
          <w:tcPr>
            <w:tcW w:w="1800" w:type="dxa"/>
            <w:gridSpan w:val="3"/>
            <w:tcBorders>
              <w:top w:val="single" w:sz="12" w:space="0" w:color="000000" w:themeColor="text1"/>
              <w:left w:val="nil"/>
              <w:bottom w:val="single" w:sz="12" w:space="0" w:color="000000" w:themeColor="text1"/>
              <w:right w:val="nil"/>
            </w:tcBorders>
            <w:vAlign w:val="center"/>
          </w:tcPr>
          <w:p w14:paraId="0A09F0C0" w14:textId="77777777" w:rsidR="000E0C96" w:rsidRPr="00677CE8" w:rsidRDefault="000E0C96" w:rsidP="007B293E">
            <w:pPr>
              <w:jc w:val="center"/>
              <w:rPr>
                <w:sz w:val="18"/>
                <w:szCs w:val="18"/>
              </w:rPr>
            </w:pPr>
            <w:r w:rsidRPr="00677CE8">
              <w:rPr>
                <w:sz w:val="18"/>
                <w:szCs w:val="18"/>
              </w:rPr>
              <w:t>Estimate (t-score)</w:t>
            </w:r>
          </w:p>
        </w:tc>
        <w:tc>
          <w:tcPr>
            <w:tcW w:w="1801" w:type="dxa"/>
            <w:tcBorders>
              <w:top w:val="single" w:sz="12" w:space="0" w:color="000000" w:themeColor="text1"/>
              <w:left w:val="nil"/>
              <w:bottom w:val="single" w:sz="12" w:space="0" w:color="000000" w:themeColor="text1"/>
              <w:right w:val="nil"/>
            </w:tcBorders>
            <w:vAlign w:val="center"/>
          </w:tcPr>
          <w:p w14:paraId="3A65BD75" w14:textId="77777777" w:rsidR="000E0C96" w:rsidRPr="00677CE8" w:rsidRDefault="000E0C96" w:rsidP="007B293E">
            <w:pPr>
              <w:jc w:val="center"/>
              <w:rPr>
                <w:sz w:val="18"/>
                <w:szCs w:val="18"/>
              </w:rPr>
            </w:pPr>
            <w:r w:rsidRPr="00677CE8">
              <w:rPr>
                <w:sz w:val="18"/>
                <w:szCs w:val="18"/>
              </w:rPr>
              <w:t>Estimate (t-score)</w:t>
            </w:r>
          </w:p>
        </w:tc>
        <w:tc>
          <w:tcPr>
            <w:tcW w:w="1800" w:type="dxa"/>
            <w:tcBorders>
              <w:top w:val="single" w:sz="12" w:space="0" w:color="000000" w:themeColor="text1"/>
              <w:left w:val="nil"/>
              <w:bottom w:val="single" w:sz="12" w:space="0" w:color="000000" w:themeColor="text1"/>
              <w:right w:val="nil"/>
            </w:tcBorders>
            <w:vAlign w:val="center"/>
          </w:tcPr>
          <w:p w14:paraId="6C2204D2" w14:textId="77777777" w:rsidR="000E0C96" w:rsidRPr="00677CE8" w:rsidRDefault="000E0C96" w:rsidP="007B293E">
            <w:pPr>
              <w:jc w:val="center"/>
              <w:rPr>
                <w:sz w:val="18"/>
                <w:szCs w:val="18"/>
              </w:rPr>
            </w:pPr>
            <w:r w:rsidRPr="00677CE8">
              <w:rPr>
                <w:sz w:val="18"/>
                <w:szCs w:val="18"/>
              </w:rPr>
              <w:t>Estimate (t-score)</w:t>
            </w:r>
          </w:p>
        </w:tc>
        <w:tc>
          <w:tcPr>
            <w:tcW w:w="1800" w:type="dxa"/>
            <w:tcBorders>
              <w:top w:val="single" w:sz="12" w:space="0" w:color="000000" w:themeColor="text1"/>
              <w:left w:val="nil"/>
              <w:bottom w:val="single" w:sz="12" w:space="0" w:color="000000" w:themeColor="text1"/>
              <w:right w:val="single" w:sz="12" w:space="0" w:color="000000" w:themeColor="text1"/>
            </w:tcBorders>
            <w:vAlign w:val="center"/>
          </w:tcPr>
          <w:p w14:paraId="701FEBE4" w14:textId="77777777" w:rsidR="000E0C96" w:rsidRPr="00677CE8" w:rsidRDefault="000E0C96" w:rsidP="007B293E">
            <w:pPr>
              <w:jc w:val="center"/>
              <w:rPr>
                <w:sz w:val="18"/>
                <w:szCs w:val="18"/>
              </w:rPr>
            </w:pPr>
            <w:r w:rsidRPr="00677CE8">
              <w:rPr>
                <w:sz w:val="18"/>
                <w:szCs w:val="18"/>
              </w:rPr>
              <w:t>Estimate (t-score)</w:t>
            </w:r>
          </w:p>
        </w:tc>
      </w:tr>
      <w:tr w:rsidR="000E0C96" w:rsidRPr="00677CE8" w14:paraId="1F501234" w14:textId="77777777" w:rsidTr="00E83B07">
        <w:trPr>
          <w:trHeight w:val="20"/>
        </w:trPr>
        <w:tc>
          <w:tcPr>
            <w:tcW w:w="13211" w:type="dxa"/>
            <w:gridSpan w:val="8"/>
            <w:tcBorders>
              <w:top w:val="single" w:sz="12" w:space="0" w:color="000000" w:themeColor="text1"/>
              <w:left w:val="single" w:sz="12" w:space="0" w:color="auto"/>
              <w:bottom w:val="single" w:sz="12" w:space="0" w:color="auto"/>
              <w:right w:val="single" w:sz="12" w:space="0" w:color="auto"/>
            </w:tcBorders>
            <w:vAlign w:val="center"/>
          </w:tcPr>
          <w:p w14:paraId="664FD29F" w14:textId="2F1E21ED" w:rsidR="000E0C96" w:rsidRPr="00677CE8" w:rsidRDefault="000E0C96" w:rsidP="007B293E">
            <w:pPr>
              <w:rPr>
                <w:sz w:val="18"/>
                <w:szCs w:val="18"/>
              </w:rPr>
            </w:pPr>
            <w:r w:rsidRPr="00677CE8">
              <w:rPr>
                <w:b/>
                <w:bCs/>
                <w:i/>
                <w:iCs/>
                <w:sz w:val="18"/>
                <w:szCs w:val="18"/>
              </w:rPr>
              <w:t xml:space="preserve">Trip </w:t>
            </w:r>
            <w:r w:rsidR="009167D5" w:rsidRPr="00677CE8">
              <w:rPr>
                <w:b/>
                <w:bCs/>
                <w:i/>
                <w:iCs/>
                <w:sz w:val="18"/>
                <w:szCs w:val="18"/>
              </w:rPr>
              <w:t>Context</w:t>
            </w:r>
          </w:p>
        </w:tc>
      </w:tr>
      <w:tr w:rsidR="000E0C96" w:rsidRPr="00677CE8" w14:paraId="1EF57DFA" w14:textId="77777777" w:rsidTr="00E83B07">
        <w:trPr>
          <w:trHeight w:val="20"/>
        </w:trPr>
        <w:tc>
          <w:tcPr>
            <w:tcW w:w="13211" w:type="dxa"/>
            <w:gridSpan w:val="8"/>
            <w:tcBorders>
              <w:top w:val="single" w:sz="12" w:space="0" w:color="auto"/>
              <w:left w:val="single" w:sz="12" w:space="0" w:color="auto"/>
              <w:bottom w:val="nil"/>
              <w:right w:val="single" w:sz="12" w:space="0" w:color="auto"/>
            </w:tcBorders>
            <w:vAlign w:val="center"/>
          </w:tcPr>
          <w:p w14:paraId="5DD712B4" w14:textId="77777777" w:rsidR="000E0C96" w:rsidRPr="00677CE8" w:rsidRDefault="000E0C96" w:rsidP="007B293E">
            <w:pPr>
              <w:rPr>
                <w:sz w:val="18"/>
                <w:szCs w:val="18"/>
              </w:rPr>
            </w:pPr>
            <w:r w:rsidRPr="00677CE8">
              <w:rPr>
                <w:b/>
                <w:bCs/>
                <w:sz w:val="18"/>
                <w:szCs w:val="18"/>
              </w:rPr>
              <w:t>Trip Purpose</w:t>
            </w:r>
            <w:r w:rsidRPr="00677CE8">
              <w:rPr>
                <w:sz w:val="18"/>
                <w:szCs w:val="18"/>
              </w:rPr>
              <w:t xml:space="preserve"> (Work commute)</w:t>
            </w:r>
          </w:p>
        </w:tc>
      </w:tr>
      <w:tr w:rsidR="002A2515" w:rsidRPr="00677CE8" w14:paraId="26A4CEBE" w14:textId="77777777" w:rsidTr="00E83B07">
        <w:trPr>
          <w:trHeight w:val="20"/>
        </w:trPr>
        <w:tc>
          <w:tcPr>
            <w:tcW w:w="4485" w:type="dxa"/>
            <w:tcBorders>
              <w:top w:val="nil"/>
              <w:left w:val="single" w:sz="12" w:space="0" w:color="auto"/>
              <w:bottom w:val="nil"/>
              <w:right w:val="nil"/>
            </w:tcBorders>
          </w:tcPr>
          <w:p w14:paraId="4AEE9997" w14:textId="77777777" w:rsidR="002A2515" w:rsidRPr="00677CE8" w:rsidRDefault="002A2515" w:rsidP="007B293E">
            <w:pPr>
              <w:ind w:left="216"/>
              <w:rPr>
                <w:sz w:val="18"/>
                <w:szCs w:val="18"/>
              </w:rPr>
            </w:pPr>
            <w:r w:rsidRPr="00677CE8">
              <w:rPr>
                <w:sz w:val="18"/>
                <w:szCs w:val="18"/>
              </w:rPr>
              <w:t>Errands</w:t>
            </w:r>
          </w:p>
        </w:tc>
        <w:tc>
          <w:tcPr>
            <w:tcW w:w="1655" w:type="dxa"/>
            <w:gridSpan w:val="2"/>
            <w:tcBorders>
              <w:top w:val="nil"/>
              <w:left w:val="nil"/>
              <w:bottom w:val="nil"/>
              <w:right w:val="nil"/>
            </w:tcBorders>
            <w:vAlign w:val="center"/>
          </w:tcPr>
          <w:p w14:paraId="6E609BC4" w14:textId="77777777" w:rsidR="002A2515" w:rsidRPr="00677CE8" w:rsidRDefault="002A2515" w:rsidP="007B293E">
            <w:pPr>
              <w:jc w:val="center"/>
              <w:rPr>
                <w:sz w:val="18"/>
                <w:szCs w:val="18"/>
              </w:rPr>
            </w:pPr>
            <w:r w:rsidRPr="00677CE8">
              <w:rPr>
                <w:sz w:val="18"/>
                <w:szCs w:val="18"/>
              </w:rPr>
              <w:t>--</w:t>
            </w:r>
          </w:p>
        </w:tc>
        <w:tc>
          <w:tcPr>
            <w:tcW w:w="1670" w:type="dxa"/>
            <w:gridSpan w:val="2"/>
            <w:tcBorders>
              <w:top w:val="nil"/>
              <w:left w:val="nil"/>
              <w:bottom w:val="nil"/>
              <w:right w:val="nil"/>
            </w:tcBorders>
            <w:vAlign w:val="center"/>
          </w:tcPr>
          <w:p w14:paraId="0B44AD0F" w14:textId="4A2BB25E" w:rsidR="002A2515" w:rsidRPr="00677CE8" w:rsidRDefault="002A2515" w:rsidP="007B293E">
            <w:pPr>
              <w:jc w:val="center"/>
              <w:rPr>
                <w:sz w:val="18"/>
                <w:szCs w:val="18"/>
              </w:rPr>
            </w:pPr>
            <w:r w:rsidRPr="00677CE8">
              <w:rPr>
                <w:sz w:val="18"/>
                <w:szCs w:val="18"/>
              </w:rPr>
              <w:t>--</w:t>
            </w:r>
          </w:p>
        </w:tc>
        <w:tc>
          <w:tcPr>
            <w:tcW w:w="1801" w:type="dxa"/>
            <w:tcBorders>
              <w:top w:val="nil"/>
              <w:left w:val="nil"/>
              <w:bottom w:val="nil"/>
              <w:right w:val="nil"/>
            </w:tcBorders>
            <w:vAlign w:val="center"/>
          </w:tcPr>
          <w:p w14:paraId="3E87116B" w14:textId="428FB52A" w:rsidR="002A2515" w:rsidRPr="00677CE8" w:rsidRDefault="002A2515" w:rsidP="007B293E">
            <w:pPr>
              <w:jc w:val="center"/>
              <w:rPr>
                <w:sz w:val="18"/>
                <w:szCs w:val="18"/>
              </w:rPr>
            </w:pPr>
            <w:r w:rsidRPr="00677CE8">
              <w:rPr>
                <w:sz w:val="18"/>
                <w:szCs w:val="18"/>
              </w:rPr>
              <w:t>--</w:t>
            </w:r>
          </w:p>
        </w:tc>
        <w:tc>
          <w:tcPr>
            <w:tcW w:w="1800" w:type="dxa"/>
            <w:tcBorders>
              <w:top w:val="nil"/>
              <w:left w:val="nil"/>
              <w:bottom w:val="nil"/>
              <w:right w:val="nil"/>
            </w:tcBorders>
            <w:vAlign w:val="center"/>
          </w:tcPr>
          <w:p w14:paraId="5EB40E5C" w14:textId="190E4743" w:rsidR="002A2515" w:rsidRPr="00677CE8" w:rsidRDefault="00477866" w:rsidP="007B293E">
            <w:pPr>
              <w:jc w:val="center"/>
              <w:rPr>
                <w:color w:val="000000"/>
                <w:sz w:val="18"/>
                <w:szCs w:val="18"/>
              </w:rPr>
            </w:pPr>
            <w:r w:rsidRPr="00677CE8">
              <w:rPr>
                <w:color w:val="000000"/>
                <w:sz w:val="18"/>
                <w:szCs w:val="18"/>
              </w:rPr>
              <w:t>-0.1363 (-3.586)</w:t>
            </w:r>
          </w:p>
        </w:tc>
        <w:tc>
          <w:tcPr>
            <w:tcW w:w="1800" w:type="dxa"/>
            <w:tcBorders>
              <w:top w:val="nil"/>
              <w:left w:val="nil"/>
              <w:bottom w:val="nil"/>
              <w:right w:val="single" w:sz="12" w:space="0" w:color="auto"/>
            </w:tcBorders>
            <w:vAlign w:val="center"/>
          </w:tcPr>
          <w:p w14:paraId="3C97CD1E" w14:textId="77777777" w:rsidR="002A2515" w:rsidRPr="00677CE8" w:rsidRDefault="002A2515" w:rsidP="007B293E">
            <w:pPr>
              <w:jc w:val="center"/>
              <w:rPr>
                <w:sz w:val="18"/>
                <w:szCs w:val="18"/>
              </w:rPr>
            </w:pPr>
            <w:r w:rsidRPr="00677CE8">
              <w:rPr>
                <w:sz w:val="18"/>
                <w:szCs w:val="18"/>
              </w:rPr>
              <w:t>--</w:t>
            </w:r>
          </w:p>
        </w:tc>
      </w:tr>
      <w:tr w:rsidR="002A2515" w:rsidRPr="00677CE8" w14:paraId="2C85D01D" w14:textId="77777777" w:rsidTr="00E83B07">
        <w:trPr>
          <w:trHeight w:val="20"/>
        </w:trPr>
        <w:tc>
          <w:tcPr>
            <w:tcW w:w="4485" w:type="dxa"/>
            <w:tcBorders>
              <w:top w:val="nil"/>
              <w:left w:val="single" w:sz="12" w:space="0" w:color="auto"/>
              <w:bottom w:val="nil"/>
              <w:right w:val="nil"/>
            </w:tcBorders>
          </w:tcPr>
          <w:p w14:paraId="34480D86" w14:textId="4094560B" w:rsidR="002A2515" w:rsidRPr="00677CE8" w:rsidRDefault="00FA3775" w:rsidP="007B293E">
            <w:pPr>
              <w:ind w:left="216"/>
              <w:rPr>
                <w:sz w:val="18"/>
                <w:szCs w:val="18"/>
              </w:rPr>
            </w:pPr>
            <w:r w:rsidRPr="00677CE8">
              <w:rPr>
                <w:sz w:val="18"/>
                <w:szCs w:val="18"/>
              </w:rPr>
              <w:t>Emergency m</w:t>
            </w:r>
            <w:r w:rsidR="002A2515" w:rsidRPr="00677CE8">
              <w:rPr>
                <w:sz w:val="18"/>
                <w:szCs w:val="18"/>
              </w:rPr>
              <w:t>edical transport</w:t>
            </w:r>
          </w:p>
        </w:tc>
        <w:tc>
          <w:tcPr>
            <w:tcW w:w="1655" w:type="dxa"/>
            <w:gridSpan w:val="2"/>
            <w:tcBorders>
              <w:top w:val="nil"/>
              <w:left w:val="nil"/>
              <w:bottom w:val="nil"/>
              <w:right w:val="nil"/>
            </w:tcBorders>
            <w:vAlign w:val="center"/>
          </w:tcPr>
          <w:p w14:paraId="7BBF4302" w14:textId="77777777" w:rsidR="002A2515" w:rsidRPr="00677CE8" w:rsidRDefault="002A2515" w:rsidP="007B293E">
            <w:pPr>
              <w:jc w:val="center"/>
              <w:rPr>
                <w:sz w:val="18"/>
                <w:szCs w:val="18"/>
              </w:rPr>
            </w:pPr>
            <w:r w:rsidRPr="00677CE8">
              <w:rPr>
                <w:sz w:val="18"/>
                <w:szCs w:val="18"/>
              </w:rPr>
              <w:t>--</w:t>
            </w:r>
          </w:p>
        </w:tc>
        <w:tc>
          <w:tcPr>
            <w:tcW w:w="1670" w:type="dxa"/>
            <w:gridSpan w:val="2"/>
            <w:tcBorders>
              <w:top w:val="nil"/>
              <w:left w:val="nil"/>
              <w:bottom w:val="nil"/>
              <w:right w:val="nil"/>
            </w:tcBorders>
            <w:vAlign w:val="center"/>
          </w:tcPr>
          <w:p w14:paraId="737A8E1F" w14:textId="1EE90042" w:rsidR="002A2515" w:rsidRPr="00677CE8" w:rsidRDefault="002A2515" w:rsidP="007B293E">
            <w:pPr>
              <w:jc w:val="center"/>
              <w:rPr>
                <w:sz w:val="18"/>
                <w:szCs w:val="18"/>
              </w:rPr>
            </w:pPr>
            <w:r w:rsidRPr="00677CE8">
              <w:rPr>
                <w:sz w:val="18"/>
                <w:szCs w:val="18"/>
              </w:rPr>
              <w:t>--</w:t>
            </w:r>
          </w:p>
        </w:tc>
        <w:tc>
          <w:tcPr>
            <w:tcW w:w="1801" w:type="dxa"/>
            <w:tcBorders>
              <w:top w:val="nil"/>
              <w:left w:val="nil"/>
              <w:bottom w:val="nil"/>
              <w:right w:val="nil"/>
            </w:tcBorders>
            <w:vAlign w:val="center"/>
          </w:tcPr>
          <w:p w14:paraId="4B3BAFFC" w14:textId="1F5C8860" w:rsidR="002A2515" w:rsidRPr="00677CE8" w:rsidRDefault="002A2515" w:rsidP="007B293E">
            <w:pPr>
              <w:jc w:val="center"/>
              <w:rPr>
                <w:sz w:val="18"/>
                <w:szCs w:val="18"/>
              </w:rPr>
            </w:pPr>
            <w:r w:rsidRPr="00677CE8">
              <w:rPr>
                <w:sz w:val="18"/>
                <w:szCs w:val="18"/>
              </w:rPr>
              <w:t>--</w:t>
            </w:r>
          </w:p>
        </w:tc>
        <w:tc>
          <w:tcPr>
            <w:tcW w:w="1800" w:type="dxa"/>
            <w:tcBorders>
              <w:top w:val="nil"/>
              <w:left w:val="nil"/>
              <w:bottom w:val="nil"/>
              <w:right w:val="nil"/>
            </w:tcBorders>
            <w:vAlign w:val="center"/>
          </w:tcPr>
          <w:p w14:paraId="4BDB3C60" w14:textId="352DC251" w:rsidR="00DC7457" w:rsidRPr="00677CE8" w:rsidRDefault="00477866" w:rsidP="00DC7457">
            <w:pPr>
              <w:jc w:val="center"/>
              <w:rPr>
                <w:color w:val="000000"/>
                <w:sz w:val="18"/>
                <w:szCs w:val="18"/>
              </w:rPr>
            </w:pPr>
            <w:r w:rsidRPr="00677CE8">
              <w:rPr>
                <w:color w:val="000000"/>
                <w:sz w:val="18"/>
                <w:szCs w:val="18"/>
              </w:rPr>
              <w:t>-0.1414 (-3.957)</w:t>
            </w:r>
          </w:p>
        </w:tc>
        <w:tc>
          <w:tcPr>
            <w:tcW w:w="1800" w:type="dxa"/>
            <w:tcBorders>
              <w:top w:val="nil"/>
              <w:left w:val="nil"/>
              <w:bottom w:val="nil"/>
              <w:right w:val="single" w:sz="12" w:space="0" w:color="auto"/>
            </w:tcBorders>
            <w:vAlign w:val="center"/>
          </w:tcPr>
          <w:p w14:paraId="34A802F2" w14:textId="77777777" w:rsidR="002A2515" w:rsidRPr="00677CE8" w:rsidRDefault="002A2515" w:rsidP="007B293E">
            <w:pPr>
              <w:jc w:val="center"/>
              <w:rPr>
                <w:sz w:val="18"/>
                <w:szCs w:val="18"/>
              </w:rPr>
            </w:pPr>
            <w:r w:rsidRPr="00677CE8">
              <w:rPr>
                <w:sz w:val="18"/>
                <w:szCs w:val="18"/>
              </w:rPr>
              <w:t>--</w:t>
            </w:r>
          </w:p>
        </w:tc>
      </w:tr>
      <w:tr w:rsidR="00477866" w:rsidRPr="00677CE8" w14:paraId="34043518" w14:textId="77777777" w:rsidTr="00E83B07">
        <w:trPr>
          <w:trHeight w:val="20"/>
        </w:trPr>
        <w:tc>
          <w:tcPr>
            <w:tcW w:w="4485" w:type="dxa"/>
            <w:tcBorders>
              <w:top w:val="nil"/>
              <w:left w:val="single" w:sz="12" w:space="0" w:color="auto"/>
              <w:bottom w:val="single" w:sz="2" w:space="0" w:color="auto"/>
              <w:right w:val="nil"/>
            </w:tcBorders>
          </w:tcPr>
          <w:p w14:paraId="7850B395" w14:textId="44F98C9C" w:rsidR="00477866" w:rsidRPr="00677CE8" w:rsidRDefault="00477866" w:rsidP="00477866">
            <w:pPr>
              <w:ind w:left="216"/>
              <w:rPr>
                <w:sz w:val="18"/>
                <w:szCs w:val="18"/>
              </w:rPr>
            </w:pPr>
            <w:r w:rsidRPr="00677CE8">
              <w:rPr>
                <w:sz w:val="18"/>
                <w:szCs w:val="18"/>
              </w:rPr>
              <w:t>Leisure trip</w:t>
            </w:r>
          </w:p>
        </w:tc>
        <w:tc>
          <w:tcPr>
            <w:tcW w:w="1655" w:type="dxa"/>
            <w:gridSpan w:val="2"/>
            <w:tcBorders>
              <w:top w:val="nil"/>
              <w:left w:val="nil"/>
              <w:bottom w:val="single" w:sz="2" w:space="0" w:color="auto"/>
              <w:right w:val="nil"/>
            </w:tcBorders>
            <w:vAlign w:val="center"/>
          </w:tcPr>
          <w:p w14:paraId="4B064DB2" w14:textId="65ADC455" w:rsidR="00477866" w:rsidRPr="00677CE8" w:rsidRDefault="00477866" w:rsidP="00477866">
            <w:pPr>
              <w:jc w:val="center"/>
              <w:rPr>
                <w:sz w:val="18"/>
                <w:szCs w:val="18"/>
              </w:rPr>
            </w:pPr>
            <w:r w:rsidRPr="00677CE8">
              <w:rPr>
                <w:sz w:val="18"/>
                <w:szCs w:val="18"/>
              </w:rPr>
              <w:t>--</w:t>
            </w:r>
          </w:p>
        </w:tc>
        <w:tc>
          <w:tcPr>
            <w:tcW w:w="1670" w:type="dxa"/>
            <w:gridSpan w:val="2"/>
            <w:tcBorders>
              <w:top w:val="nil"/>
              <w:left w:val="nil"/>
              <w:bottom w:val="single" w:sz="2" w:space="0" w:color="auto"/>
              <w:right w:val="nil"/>
            </w:tcBorders>
            <w:vAlign w:val="center"/>
          </w:tcPr>
          <w:p w14:paraId="4BDF752A" w14:textId="5651DCA0" w:rsidR="00477866" w:rsidRPr="00677CE8" w:rsidRDefault="00477866" w:rsidP="00477866">
            <w:pPr>
              <w:jc w:val="center"/>
              <w:rPr>
                <w:sz w:val="18"/>
                <w:szCs w:val="18"/>
              </w:rPr>
            </w:pPr>
            <w:r w:rsidRPr="00677CE8">
              <w:rPr>
                <w:sz w:val="18"/>
                <w:szCs w:val="18"/>
              </w:rPr>
              <w:t>--</w:t>
            </w:r>
          </w:p>
        </w:tc>
        <w:tc>
          <w:tcPr>
            <w:tcW w:w="1801" w:type="dxa"/>
            <w:tcBorders>
              <w:top w:val="nil"/>
              <w:left w:val="nil"/>
              <w:bottom w:val="single" w:sz="2" w:space="0" w:color="auto"/>
              <w:right w:val="nil"/>
            </w:tcBorders>
            <w:vAlign w:val="center"/>
          </w:tcPr>
          <w:p w14:paraId="569E9B62" w14:textId="30F68035" w:rsidR="00477866" w:rsidRPr="00677CE8" w:rsidRDefault="00767183" w:rsidP="00477866">
            <w:pPr>
              <w:jc w:val="center"/>
              <w:rPr>
                <w:sz w:val="18"/>
                <w:szCs w:val="18"/>
              </w:rPr>
            </w:pPr>
            <w:r w:rsidRPr="00677CE8">
              <w:rPr>
                <w:color w:val="FFFFFF" w:themeColor="background1"/>
                <w:sz w:val="18"/>
                <w:szCs w:val="18"/>
              </w:rPr>
              <w:t>!</w:t>
            </w:r>
            <w:r w:rsidR="00477866" w:rsidRPr="00677CE8">
              <w:rPr>
                <w:sz w:val="18"/>
                <w:szCs w:val="18"/>
              </w:rPr>
              <w:t>0.</w:t>
            </w:r>
            <w:proofErr w:type="gramStart"/>
            <w:r w:rsidR="00477866" w:rsidRPr="00677CE8">
              <w:rPr>
                <w:sz w:val="18"/>
                <w:szCs w:val="18"/>
              </w:rPr>
              <w:t xml:space="preserve">0821 </w:t>
            </w:r>
            <w:r w:rsidRPr="00677CE8">
              <w:rPr>
                <w:color w:val="FFFFFF" w:themeColor="background1"/>
                <w:sz w:val="18"/>
                <w:szCs w:val="18"/>
              </w:rPr>
              <w:t>!</w:t>
            </w:r>
            <w:proofErr w:type="gramEnd"/>
            <w:r w:rsidR="00477866" w:rsidRPr="00677CE8">
              <w:rPr>
                <w:sz w:val="18"/>
                <w:szCs w:val="18"/>
              </w:rPr>
              <w:t>(4.459)</w:t>
            </w:r>
          </w:p>
        </w:tc>
        <w:tc>
          <w:tcPr>
            <w:tcW w:w="1800" w:type="dxa"/>
            <w:tcBorders>
              <w:top w:val="nil"/>
              <w:left w:val="nil"/>
              <w:bottom w:val="single" w:sz="2" w:space="0" w:color="auto"/>
              <w:right w:val="nil"/>
            </w:tcBorders>
            <w:vAlign w:val="center"/>
          </w:tcPr>
          <w:p w14:paraId="1DBBD140" w14:textId="1D89C79C" w:rsidR="00477866" w:rsidRPr="00677CE8" w:rsidRDefault="00477866" w:rsidP="00477866">
            <w:pPr>
              <w:jc w:val="center"/>
              <w:rPr>
                <w:color w:val="000000"/>
                <w:sz w:val="18"/>
                <w:szCs w:val="18"/>
              </w:rPr>
            </w:pPr>
            <w:r w:rsidRPr="00677CE8">
              <w:rPr>
                <w:sz w:val="18"/>
                <w:szCs w:val="18"/>
              </w:rPr>
              <w:t>--</w:t>
            </w:r>
          </w:p>
        </w:tc>
        <w:tc>
          <w:tcPr>
            <w:tcW w:w="1800" w:type="dxa"/>
            <w:tcBorders>
              <w:top w:val="nil"/>
              <w:left w:val="nil"/>
              <w:bottom w:val="single" w:sz="2" w:space="0" w:color="auto"/>
              <w:right w:val="single" w:sz="12" w:space="0" w:color="auto"/>
            </w:tcBorders>
            <w:vAlign w:val="center"/>
          </w:tcPr>
          <w:p w14:paraId="49574523" w14:textId="49BB6B36" w:rsidR="00477866" w:rsidRPr="00677CE8" w:rsidRDefault="00477866" w:rsidP="00477866">
            <w:pPr>
              <w:jc w:val="center"/>
              <w:rPr>
                <w:sz w:val="18"/>
                <w:szCs w:val="18"/>
              </w:rPr>
            </w:pPr>
            <w:r w:rsidRPr="00677CE8">
              <w:rPr>
                <w:sz w:val="18"/>
                <w:szCs w:val="18"/>
              </w:rPr>
              <w:t>--</w:t>
            </w:r>
          </w:p>
        </w:tc>
      </w:tr>
      <w:tr w:rsidR="00477866" w:rsidRPr="00677CE8" w14:paraId="69253F8F" w14:textId="77777777" w:rsidTr="00E83B07">
        <w:trPr>
          <w:trHeight w:val="20"/>
        </w:trPr>
        <w:tc>
          <w:tcPr>
            <w:tcW w:w="13211" w:type="dxa"/>
            <w:gridSpan w:val="8"/>
            <w:tcBorders>
              <w:top w:val="single" w:sz="2" w:space="0" w:color="auto"/>
              <w:left w:val="single" w:sz="12" w:space="0" w:color="auto"/>
              <w:bottom w:val="nil"/>
              <w:right w:val="single" w:sz="12" w:space="0" w:color="auto"/>
            </w:tcBorders>
            <w:vAlign w:val="center"/>
          </w:tcPr>
          <w:p w14:paraId="248DA5FA" w14:textId="21DFC578" w:rsidR="00477866" w:rsidRPr="00677CE8" w:rsidRDefault="00477866" w:rsidP="00477866">
            <w:pPr>
              <w:rPr>
                <w:sz w:val="18"/>
                <w:szCs w:val="18"/>
              </w:rPr>
            </w:pPr>
            <w:r w:rsidRPr="00677CE8">
              <w:rPr>
                <w:b/>
                <w:bCs/>
                <w:sz w:val="18"/>
                <w:szCs w:val="18"/>
              </w:rPr>
              <w:t>Trip Distance</w:t>
            </w:r>
            <w:r w:rsidRPr="00677CE8">
              <w:rPr>
                <w:sz w:val="18"/>
                <w:szCs w:val="18"/>
              </w:rPr>
              <w:t xml:space="preserve"> (Long intra-city trip (~40 miles</w:t>
            </w:r>
            <w:r w:rsidR="001A6644" w:rsidRPr="00677CE8">
              <w:rPr>
                <w:sz w:val="18"/>
                <w:szCs w:val="18"/>
              </w:rPr>
              <w:t xml:space="preserve"> one-way</w:t>
            </w:r>
            <w:r w:rsidRPr="00677CE8">
              <w:rPr>
                <w:sz w:val="18"/>
                <w:szCs w:val="18"/>
              </w:rPr>
              <w:t>), Inter-city trip (~120 miles</w:t>
            </w:r>
            <w:r w:rsidR="001A6644" w:rsidRPr="00677CE8">
              <w:rPr>
                <w:sz w:val="18"/>
                <w:szCs w:val="18"/>
              </w:rPr>
              <w:t xml:space="preserve"> one-way</w:t>
            </w:r>
            <w:r w:rsidRPr="00677CE8">
              <w:rPr>
                <w:sz w:val="18"/>
                <w:szCs w:val="18"/>
              </w:rPr>
              <w:t>))</w:t>
            </w:r>
          </w:p>
        </w:tc>
      </w:tr>
      <w:tr w:rsidR="00477866" w:rsidRPr="00677CE8" w14:paraId="1D325A57" w14:textId="77777777" w:rsidTr="00E83B07">
        <w:trPr>
          <w:trHeight w:val="20"/>
        </w:trPr>
        <w:tc>
          <w:tcPr>
            <w:tcW w:w="4485" w:type="dxa"/>
            <w:tcBorders>
              <w:top w:val="nil"/>
              <w:left w:val="single" w:sz="12" w:space="0" w:color="auto"/>
              <w:bottom w:val="single" w:sz="12" w:space="0" w:color="auto"/>
              <w:right w:val="nil"/>
            </w:tcBorders>
          </w:tcPr>
          <w:p w14:paraId="550445B0" w14:textId="6F98B582" w:rsidR="00477866" w:rsidRPr="00677CE8" w:rsidRDefault="00477866" w:rsidP="00477866">
            <w:pPr>
              <w:ind w:left="216"/>
              <w:rPr>
                <w:sz w:val="18"/>
                <w:szCs w:val="18"/>
              </w:rPr>
            </w:pPr>
            <w:r w:rsidRPr="00677CE8">
              <w:rPr>
                <w:sz w:val="18"/>
                <w:szCs w:val="18"/>
              </w:rPr>
              <w:t>Short intra-city trip (~10 miles</w:t>
            </w:r>
            <w:r w:rsidR="001A6644" w:rsidRPr="00677CE8">
              <w:rPr>
                <w:sz w:val="18"/>
                <w:szCs w:val="18"/>
              </w:rPr>
              <w:t xml:space="preserve"> one-way</w:t>
            </w:r>
            <w:r w:rsidRPr="00677CE8">
              <w:rPr>
                <w:sz w:val="18"/>
                <w:szCs w:val="18"/>
              </w:rPr>
              <w:t>)</w:t>
            </w:r>
          </w:p>
        </w:tc>
        <w:tc>
          <w:tcPr>
            <w:tcW w:w="3325" w:type="dxa"/>
            <w:gridSpan w:val="4"/>
            <w:tcBorders>
              <w:top w:val="nil"/>
              <w:left w:val="nil"/>
              <w:bottom w:val="single" w:sz="12" w:space="0" w:color="auto"/>
              <w:right w:val="nil"/>
            </w:tcBorders>
            <w:vAlign w:val="center"/>
          </w:tcPr>
          <w:p w14:paraId="1FF24AA1" w14:textId="3055C6BD" w:rsidR="00477866" w:rsidRPr="00677CE8" w:rsidRDefault="00477866" w:rsidP="00477866">
            <w:pPr>
              <w:jc w:val="center"/>
              <w:rPr>
                <w:color w:val="000000"/>
                <w:sz w:val="18"/>
                <w:szCs w:val="18"/>
              </w:rPr>
            </w:pPr>
            <w:r w:rsidRPr="00677CE8">
              <w:rPr>
                <w:color w:val="000000"/>
                <w:sz w:val="18"/>
                <w:szCs w:val="18"/>
              </w:rPr>
              <w:t>-0.1778 (-4.934)</w:t>
            </w:r>
          </w:p>
        </w:tc>
        <w:tc>
          <w:tcPr>
            <w:tcW w:w="1801" w:type="dxa"/>
            <w:tcBorders>
              <w:top w:val="nil"/>
              <w:left w:val="nil"/>
              <w:bottom w:val="single" w:sz="12" w:space="0" w:color="auto"/>
              <w:right w:val="nil"/>
            </w:tcBorders>
            <w:vAlign w:val="center"/>
          </w:tcPr>
          <w:p w14:paraId="6CD8B836" w14:textId="77777777" w:rsidR="00477866" w:rsidRPr="00677CE8" w:rsidRDefault="00477866" w:rsidP="00477866">
            <w:pPr>
              <w:jc w:val="center"/>
              <w:rPr>
                <w:sz w:val="18"/>
                <w:szCs w:val="18"/>
              </w:rPr>
            </w:pPr>
            <w:r w:rsidRPr="00677CE8">
              <w:rPr>
                <w:sz w:val="18"/>
                <w:szCs w:val="18"/>
              </w:rPr>
              <w:t>--</w:t>
            </w:r>
          </w:p>
        </w:tc>
        <w:tc>
          <w:tcPr>
            <w:tcW w:w="1800" w:type="dxa"/>
            <w:tcBorders>
              <w:top w:val="nil"/>
              <w:left w:val="nil"/>
              <w:bottom w:val="single" w:sz="12" w:space="0" w:color="auto"/>
              <w:right w:val="nil"/>
            </w:tcBorders>
            <w:vAlign w:val="center"/>
          </w:tcPr>
          <w:p w14:paraId="511FE062" w14:textId="66FD8D26" w:rsidR="00477866" w:rsidRPr="00677CE8" w:rsidRDefault="00477866" w:rsidP="00477866">
            <w:pPr>
              <w:jc w:val="center"/>
              <w:rPr>
                <w:sz w:val="18"/>
                <w:szCs w:val="18"/>
              </w:rPr>
            </w:pPr>
            <w:r w:rsidRPr="00677CE8">
              <w:rPr>
                <w:sz w:val="18"/>
                <w:szCs w:val="18"/>
              </w:rPr>
              <w:t>--</w:t>
            </w:r>
          </w:p>
        </w:tc>
        <w:tc>
          <w:tcPr>
            <w:tcW w:w="1800" w:type="dxa"/>
            <w:tcBorders>
              <w:top w:val="nil"/>
              <w:left w:val="nil"/>
              <w:bottom w:val="single" w:sz="12" w:space="0" w:color="auto"/>
              <w:right w:val="single" w:sz="12" w:space="0" w:color="auto"/>
            </w:tcBorders>
            <w:vAlign w:val="center"/>
          </w:tcPr>
          <w:p w14:paraId="2D25C63A" w14:textId="76039954" w:rsidR="00477866" w:rsidRPr="00677CE8" w:rsidRDefault="00477866" w:rsidP="00477866">
            <w:pPr>
              <w:jc w:val="center"/>
              <w:rPr>
                <w:sz w:val="18"/>
                <w:szCs w:val="18"/>
              </w:rPr>
            </w:pPr>
            <w:r w:rsidRPr="00677CE8">
              <w:rPr>
                <w:sz w:val="18"/>
                <w:szCs w:val="18"/>
              </w:rPr>
              <w:t>--</w:t>
            </w:r>
          </w:p>
        </w:tc>
      </w:tr>
      <w:tr w:rsidR="00530D7A" w:rsidRPr="00677CE8" w14:paraId="32D1C715" w14:textId="77777777" w:rsidTr="00E83B07">
        <w:trPr>
          <w:trHeight w:val="20"/>
        </w:trPr>
        <w:tc>
          <w:tcPr>
            <w:tcW w:w="4485" w:type="dxa"/>
            <w:tcBorders>
              <w:top w:val="nil"/>
              <w:left w:val="single" w:sz="12" w:space="0" w:color="auto"/>
              <w:bottom w:val="single" w:sz="12" w:space="0" w:color="auto"/>
              <w:right w:val="nil"/>
            </w:tcBorders>
          </w:tcPr>
          <w:p w14:paraId="62D7F0D6" w14:textId="4BEA9D7D" w:rsidR="00530D7A" w:rsidRPr="00677CE8" w:rsidRDefault="00530D7A" w:rsidP="00530D7A">
            <w:pPr>
              <w:rPr>
                <w:sz w:val="18"/>
                <w:szCs w:val="18"/>
              </w:rPr>
            </w:pPr>
            <w:r w:rsidRPr="00677CE8">
              <w:rPr>
                <w:b/>
                <w:bCs/>
                <w:i/>
                <w:iCs/>
                <w:sz w:val="18"/>
                <w:szCs w:val="18"/>
              </w:rPr>
              <w:t>Latent Constructs</w:t>
            </w:r>
          </w:p>
        </w:tc>
        <w:tc>
          <w:tcPr>
            <w:tcW w:w="3325" w:type="dxa"/>
            <w:gridSpan w:val="4"/>
            <w:tcBorders>
              <w:top w:val="nil"/>
              <w:left w:val="nil"/>
              <w:bottom w:val="single" w:sz="12" w:space="0" w:color="auto"/>
              <w:right w:val="nil"/>
            </w:tcBorders>
            <w:vAlign w:val="center"/>
          </w:tcPr>
          <w:p w14:paraId="113F29BF" w14:textId="77777777" w:rsidR="00530D7A" w:rsidRPr="00677CE8" w:rsidRDefault="00530D7A" w:rsidP="00530D7A">
            <w:pPr>
              <w:jc w:val="center"/>
              <w:rPr>
                <w:color w:val="000000"/>
                <w:sz w:val="18"/>
                <w:szCs w:val="18"/>
              </w:rPr>
            </w:pPr>
          </w:p>
        </w:tc>
        <w:tc>
          <w:tcPr>
            <w:tcW w:w="1801" w:type="dxa"/>
            <w:tcBorders>
              <w:top w:val="nil"/>
              <w:left w:val="nil"/>
              <w:bottom w:val="single" w:sz="12" w:space="0" w:color="auto"/>
              <w:right w:val="nil"/>
            </w:tcBorders>
            <w:vAlign w:val="center"/>
          </w:tcPr>
          <w:p w14:paraId="3F313C5C" w14:textId="77777777" w:rsidR="00530D7A" w:rsidRPr="00677CE8" w:rsidRDefault="00530D7A" w:rsidP="00530D7A">
            <w:pPr>
              <w:jc w:val="center"/>
              <w:rPr>
                <w:sz w:val="18"/>
                <w:szCs w:val="18"/>
              </w:rPr>
            </w:pPr>
          </w:p>
        </w:tc>
        <w:tc>
          <w:tcPr>
            <w:tcW w:w="1800" w:type="dxa"/>
            <w:tcBorders>
              <w:top w:val="nil"/>
              <w:left w:val="nil"/>
              <w:bottom w:val="single" w:sz="12" w:space="0" w:color="auto"/>
              <w:right w:val="nil"/>
            </w:tcBorders>
            <w:vAlign w:val="center"/>
          </w:tcPr>
          <w:p w14:paraId="5EE56332" w14:textId="77777777" w:rsidR="00530D7A" w:rsidRPr="00677CE8" w:rsidRDefault="00530D7A" w:rsidP="00530D7A">
            <w:pPr>
              <w:jc w:val="center"/>
              <w:rPr>
                <w:sz w:val="18"/>
                <w:szCs w:val="18"/>
              </w:rPr>
            </w:pPr>
          </w:p>
        </w:tc>
        <w:tc>
          <w:tcPr>
            <w:tcW w:w="1800" w:type="dxa"/>
            <w:tcBorders>
              <w:top w:val="nil"/>
              <w:left w:val="nil"/>
              <w:bottom w:val="single" w:sz="12" w:space="0" w:color="auto"/>
              <w:right w:val="single" w:sz="12" w:space="0" w:color="auto"/>
            </w:tcBorders>
            <w:vAlign w:val="center"/>
          </w:tcPr>
          <w:p w14:paraId="211B63D6" w14:textId="77777777" w:rsidR="00530D7A" w:rsidRPr="00677CE8" w:rsidRDefault="00530D7A" w:rsidP="00530D7A">
            <w:pPr>
              <w:jc w:val="center"/>
              <w:rPr>
                <w:sz w:val="18"/>
                <w:szCs w:val="18"/>
              </w:rPr>
            </w:pPr>
          </w:p>
        </w:tc>
      </w:tr>
      <w:tr w:rsidR="00530D7A" w:rsidRPr="00677CE8" w14:paraId="156EFE74" w14:textId="77777777" w:rsidTr="00E83B07">
        <w:trPr>
          <w:trHeight w:val="20"/>
        </w:trPr>
        <w:tc>
          <w:tcPr>
            <w:tcW w:w="4485" w:type="dxa"/>
            <w:tcBorders>
              <w:top w:val="single" w:sz="12" w:space="0" w:color="auto"/>
              <w:left w:val="single" w:sz="12" w:space="0" w:color="auto"/>
              <w:bottom w:val="nil"/>
              <w:right w:val="nil"/>
            </w:tcBorders>
          </w:tcPr>
          <w:p w14:paraId="2B14C01D" w14:textId="02A8A200" w:rsidR="00530D7A" w:rsidRPr="00677CE8" w:rsidRDefault="00530D7A" w:rsidP="00530D7A">
            <w:pPr>
              <w:ind w:left="216"/>
              <w:rPr>
                <w:sz w:val="18"/>
                <w:szCs w:val="18"/>
              </w:rPr>
            </w:pPr>
            <w:r w:rsidRPr="00677CE8">
              <w:rPr>
                <w:sz w:val="18"/>
                <w:szCs w:val="18"/>
              </w:rPr>
              <w:t>Tech-savviness</w:t>
            </w:r>
          </w:p>
        </w:tc>
        <w:tc>
          <w:tcPr>
            <w:tcW w:w="3325" w:type="dxa"/>
            <w:gridSpan w:val="4"/>
            <w:tcBorders>
              <w:top w:val="single" w:sz="12" w:space="0" w:color="auto"/>
              <w:left w:val="nil"/>
              <w:bottom w:val="nil"/>
              <w:right w:val="nil"/>
            </w:tcBorders>
            <w:vAlign w:val="center"/>
          </w:tcPr>
          <w:p w14:paraId="561AD7D9" w14:textId="1A5B8875" w:rsidR="00530D7A" w:rsidRPr="00677CE8" w:rsidRDefault="00530D7A" w:rsidP="00530D7A">
            <w:pPr>
              <w:jc w:val="center"/>
              <w:rPr>
                <w:color w:val="000000"/>
                <w:sz w:val="18"/>
                <w:szCs w:val="18"/>
              </w:rPr>
            </w:pPr>
            <w:r w:rsidRPr="00677CE8">
              <w:rPr>
                <w:color w:val="FFFFFF" w:themeColor="background1"/>
                <w:sz w:val="18"/>
                <w:szCs w:val="18"/>
              </w:rPr>
              <w:t>!</w:t>
            </w:r>
            <w:r w:rsidRPr="00677CE8">
              <w:rPr>
                <w:color w:val="000000"/>
                <w:sz w:val="18"/>
                <w:szCs w:val="18"/>
              </w:rPr>
              <w:t>0.</w:t>
            </w:r>
            <w:proofErr w:type="gramStart"/>
            <w:r w:rsidRPr="00677CE8">
              <w:rPr>
                <w:color w:val="000000"/>
                <w:sz w:val="18"/>
                <w:szCs w:val="18"/>
              </w:rPr>
              <w:t xml:space="preserve">1668 </w:t>
            </w:r>
            <w:r w:rsidRPr="00677CE8">
              <w:rPr>
                <w:color w:val="FFFFFF" w:themeColor="background1"/>
                <w:sz w:val="18"/>
                <w:szCs w:val="18"/>
              </w:rPr>
              <w:t>!</w:t>
            </w:r>
            <w:proofErr w:type="gramEnd"/>
            <w:r w:rsidRPr="00677CE8">
              <w:rPr>
                <w:color w:val="000000"/>
                <w:sz w:val="18"/>
                <w:szCs w:val="18"/>
              </w:rPr>
              <w:t>(7.956)</w:t>
            </w:r>
          </w:p>
        </w:tc>
        <w:tc>
          <w:tcPr>
            <w:tcW w:w="1801" w:type="dxa"/>
            <w:tcBorders>
              <w:top w:val="single" w:sz="12" w:space="0" w:color="auto"/>
              <w:left w:val="nil"/>
              <w:bottom w:val="nil"/>
              <w:right w:val="nil"/>
            </w:tcBorders>
            <w:vAlign w:val="center"/>
          </w:tcPr>
          <w:p w14:paraId="5ED78C54" w14:textId="448EBBA9" w:rsidR="00530D7A" w:rsidRPr="00677CE8" w:rsidRDefault="00530D7A" w:rsidP="00530D7A">
            <w:pPr>
              <w:jc w:val="center"/>
              <w:rPr>
                <w:sz w:val="18"/>
                <w:szCs w:val="18"/>
              </w:rPr>
            </w:pPr>
            <w:r w:rsidRPr="00677CE8">
              <w:rPr>
                <w:sz w:val="18"/>
                <w:szCs w:val="18"/>
              </w:rPr>
              <w:t>--</w:t>
            </w:r>
          </w:p>
        </w:tc>
        <w:tc>
          <w:tcPr>
            <w:tcW w:w="1800" w:type="dxa"/>
            <w:tcBorders>
              <w:top w:val="single" w:sz="12" w:space="0" w:color="auto"/>
              <w:left w:val="nil"/>
              <w:bottom w:val="nil"/>
              <w:right w:val="nil"/>
            </w:tcBorders>
            <w:vAlign w:val="center"/>
          </w:tcPr>
          <w:p w14:paraId="0E2F4CF5" w14:textId="32C213FE" w:rsidR="00530D7A" w:rsidRPr="00677CE8" w:rsidRDefault="00530D7A" w:rsidP="00530D7A">
            <w:pPr>
              <w:jc w:val="center"/>
              <w:rPr>
                <w:sz w:val="18"/>
                <w:szCs w:val="18"/>
              </w:rPr>
            </w:pPr>
            <w:r w:rsidRPr="00677CE8">
              <w:rPr>
                <w:color w:val="000000"/>
                <w:sz w:val="18"/>
                <w:szCs w:val="18"/>
              </w:rPr>
              <w:t>-0.0876 (-5.198)</w:t>
            </w:r>
          </w:p>
        </w:tc>
        <w:tc>
          <w:tcPr>
            <w:tcW w:w="1800" w:type="dxa"/>
            <w:tcBorders>
              <w:top w:val="single" w:sz="12" w:space="0" w:color="auto"/>
              <w:left w:val="nil"/>
              <w:bottom w:val="nil"/>
              <w:right w:val="single" w:sz="12" w:space="0" w:color="auto"/>
            </w:tcBorders>
            <w:vAlign w:val="center"/>
          </w:tcPr>
          <w:p w14:paraId="47A80FB2" w14:textId="5A85C9B1" w:rsidR="00530D7A" w:rsidRPr="00677CE8" w:rsidRDefault="00530D7A" w:rsidP="00530D7A">
            <w:pPr>
              <w:jc w:val="center"/>
              <w:rPr>
                <w:sz w:val="18"/>
                <w:szCs w:val="18"/>
              </w:rPr>
            </w:pPr>
            <w:r w:rsidRPr="00677CE8">
              <w:rPr>
                <w:sz w:val="18"/>
                <w:szCs w:val="18"/>
              </w:rPr>
              <w:t>--</w:t>
            </w:r>
          </w:p>
        </w:tc>
      </w:tr>
      <w:tr w:rsidR="00530D7A" w:rsidRPr="00677CE8" w14:paraId="33579D17" w14:textId="77777777" w:rsidTr="00E83B07">
        <w:trPr>
          <w:trHeight w:val="20"/>
        </w:trPr>
        <w:tc>
          <w:tcPr>
            <w:tcW w:w="4485" w:type="dxa"/>
            <w:tcBorders>
              <w:top w:val="nil"/>
              <w:left w:val="single" w:sz="12" w:space="0" w:color="auto"/>
              <w:bottom w:val="nil"/>
              <w:right w:val="nil"/>
            </w:tcBorders>
          </w:tcPr>
          <w:p w14:paraId="15C39FE9" w14:textId="24F05F7D" w:rsidR="00530D7A" w:rsidRPr="00677CE8" w:rsidRDefault="00530D7A" w:rsidP="00530D7A">
            <w:pPr>
              <w:ind w:left="216"/>
              <w:rPr>
                <w:sz w:val="18"/>
                <w:szCs w:val="18"/>
              </w:rPr>
            </w:pPr>
            <w:r w:rsidRPr="00677CE8">
              <w:rPr>
                <w:sz w:val="18"/>
                <w:szCs w:val="18"/>
              </w:rPr>
              <w:t xml:space="preserve">UAM Noise sensitivity </w:t>
            </w:r>
            <w:r w:rsidR="00005295">
              <w:rPr>
                <w:sz w:val="18"/>
                <w:szCs w:val="18"/>
              </w:rPr>
              <w:t>×</w:t>
            </w:r>
            <w:r w:rsidRPr="00677CE8">
              <w:rPr>
                <w:sz w:val="18"/>
                <w:szCs w:val="18"/>
              </w:rPr>
              <w:t xml:space="preserve"> High UAM noise level (heavy truck or motorcycle)</w:t>
            </w:r>
          </w:p>
        </w:tc>
        <w:tc>
          <w:tcPr>
            <w:tcW w:w="3325" w:type="dxa"/>
            <w:gridSpan w:val="4"/>
            <w:tcBorders>
              <w:top w:val="nil"/>
              <w:left w:val="nil"/>
              <w:bottom w:val="nil"/>
              <w:right w:val="nil"/>
            </w:tcBorders>
            <w:vAlign w:val="center"/>
          </w:tcPr>
          <w:p w14:paraId="0CDA72CF" w14:textId="24B03278" w:rsidR="00530D7A" w:rsidRPr="00677CE8" w:rsidRDefault="00530D7A" w:rsidP="00530D7A">
            <w:pPr>
              <w:jc w:val="center"/>
              <w:rPr>
                <w:color w:val="000000"/>
                <w:sz w:val="18"/>
                <w:szCs w:val="18"/>
              </w:rPr>
            </w:pPr>
            <w:r w:rsidRPr="00677CE8">
              <w:rPr>
                <w:color w:val="000000"/>
                <w:sz w:val="18"/>
                <w:szCs w:val="18"/>
              </w:rPr>
              <w:t>-0.0749 (-1.355)</w:t>
            </w:r>
          </w:p>
        </w:tc>
        <w:tc>
          <w:tcPr>
            <w:tcW w:w="1801" w:type="dxa"/>
            <w:tcBorders>
              <w:top w:val="nil"/>
              <w:left w:val="nil"/>
              <w:bottom w:val="nil"/>
              <w:right w:val="nil"/>
            </w:tcBorders>
            <w:vAlign w:val="center"/>
          </w:tcPr>
          <w:p w14:paraId="3373156A" w14:textId="168CF518" w:rsidR="00530D7A" w:rsidRPr="00677CE8" w:rsidRDefault="00530D7A" w:rsidP="00530D7A">
            <w:pPr>
              <w:jc w:val="center"/>
              <w:rPr>
                <w:sz w:val="18"/>
                <w:szCs w:val="18"/>
              </w:rPr>
            </w:pPr>
            <w:r w:rsidRPr="00677CE8">
              <w:rPr>
                <w:sz w:val="18"/>
                <w:szCs w:val="18"/>
              </w:rPr>
              <w:t>--</w:t>
            </w:r>
          </w:p>
        </w:tc>
        <w:tc>
          <w:tcPr>
            <w:tcW w:w="1800" w:type="dxa"/>
            <w:tcBorders>
              <w:top w:val="nil"/>
              <w:left w:val="nil"/>
              <w:bottom w:val="nil"/>
              <w:right w:val="nil"/>
            </w:tcBorders>
            <w:vAlign w:val="center"/>
          </w:tcPr>
          <w:p w14:paraId="61094F69" w14:textId="38A368D8" w:rsidR="00530D7A" w:rsidRPr="00677CE8" w:rsidRDefault="00530D7A" w:rsidP="00530D7A">
            <w:pPr>
              <w:jc w:val="center"/>
              <w:rPr>
                <w:sz w:val="18"/>
                <w:szCs w:val="18"/>
              </w:rPr>
            </w:pPr>
            <w:r w:rsidRPr="00677CE8">
              <w:rPr>
                <w:sz w:val="18"/>
                <w:szCs w:val="18"/>
              </w:rPr>
              <w:t>--</w:t>
            </w:r>
          </w:p>
        </w:tc>
        <w:tc>
          <w:tcPr>
            <w:tcW w:w="1800" w:type="dxa"/>
            <w:tcBorders>
              <w:top w:val="nil"/>
              <w:left w:val="nil"/>
              <w:bottom w:val="nil"/>
              <w:right w:val="single" w:sz="12" w:space="0" w:color="auto"/>
            </w:tcBorders>
            <w:vAlign w:val="center"/>
          </w:tcPr>
          <w:p w14:paraId="3D38490F" w14:textId="6FF9F91D" w:rsidR="00530D7A" w:rsidRPr="00677CE8" w:rsidRDefault="00530D7A" w:rsidP="00530D7A">
            <w:pPr>
              <w:jc w:val="center"/>
              <w:rPr>
                <w:sz w:val="18"/>
                <w:szCs w:val="18"/>
              </w:rPr>
            </w:pPr>
            <w:r w:rsidRPr="00677CE8">
              <w:rPr>
                <w:sz w:val="18"/>
                <w:szCs w:val="18"/>
              </w:rPr>
              <w:t>--</w:t>
            </w:r>
          </w:p>
        </w:tc>
      </w:tr>
      <w:tr w:rsidR="00530D7A" w:rsidRPr="00677CE8" w14:paraId="2F9A7CF9" w14:textId="77777777" w:rsidTr="00E83B07">
        <w:trPr>
          <w:trHeight w:val="20"/>
        </w:trPr>
        <w:tc>
          <w:tcPr>
            <w:tcW w:w="4485" w:type="dxa"/>
            <w:tcBorders>
              <w:top w:val="nil"/>
              <w:left w:val="single" w:sz="12" w:space="0" w:color="auto"/>
              <w:bottom w:val="single" w:sz="12" w:space="0" w:color="auto"/>
              <w:right w:val="nil"/>
            </w:tcBorders>
          </w:tcPr>
          <w:p w14:paraId="63239B00" w14:textId="63D6B4C9" w:rsidR="00530D7A" w:rsidRPr="00677CE8" w:rsidRDefault="00530D7A" w:rsidP="00530D7A">
            <w:pPr>
              <w:ind w:left="216"/>
              <w:rPr>
                <w:sz w:val="18"/>
                <w:szCs w:val="18"/>
              </w:rPr>
            </w:pPr>
            <w:r w:rsidRPr="00677CE8">
              <w:rPr>
                <w:sz w:val="18"/>
                <w:szCs w:val="18"/>
              </w:rPr>
              <w:t>Positive travel perceptions</w:t>
            </w:r>
          </w:p>
        </w:tc>
        <w:tc>
          <w:tcPr>
            <w:tcW w:w="3325" w:type="dxa"/>
            <w:gridSpan w:val="4"/>
            <w:tcBorders>
              <w:top w:val="nil"/>
              <w:left w:val="nil"/>
              <w:bottom w:val="single" w:sz="12" w:space="0" w:color="auto"/>
              <w:right w:val="nil"/>
            </w:tcBorders>
            <w:vAlign w:val="center"/>
          </w:tcPr>
          <w:p w14:paraId="67FE30B4" w14:textId="3EE2688C" w:rsidR="00530D7A" w:rsidRPr="00677CE8" w:rsidRDefault="00530D7A" w:rsidP="00530D7A">
            <w:pPr>
              <w:jc w:val="center"/>
              <w:rPr>
                <w:color w:val="000000"/>
                <w:sz w:val="18"/>
                <w:szCs w:val="18"/>
              </w:rPr>
            </w:pPr>
            <w:r w:rsidRPr="00677CE8">
              <w:rPr>
                <w:color w:val="000000"/>
                <w:sz w:val="18"/>
                <w:szCs w:val="18"/>
              </w:rPr>
              <w:t>-0.0271 (-1.554)</w:t>
            </w:r>
          </w:p>
        </w:tc>
        <w:tc>
          <w:tcPr>
            <w:tcW w:w="1801" w:type="dxa"/>
            <w:tcBorders>
              <w:top w:val="nil"/>
              <w:left w:val="nil"/>
              <w:bottom w:val="single" w:sz="12" w:space="0" w:color="auto"/>
              <w:right w:val="nil"/>
            </w:tcBorders>
            <w:vAlign w:val="center"/>
          </w:tcPr>
          <w:p w14:paraId="1D9F6433" w14:textId="0ED1A16C" w:rsidR="00530D7A" w:rsidRPr="00677CE8" w:rsidRDefault="00530D7A" w:rsidP="00530D7A">
            <w:pPr>
              <w:jc w:val="center"/>
              <w:rPr>
                <w:sz w:val="18"/>
                <w:szCs w:val="18"/>
              </w:rPr>
            </w:pPr>
            <w:r w:rsidRPr="00677CE8">
              <w:rPr>
                <w:sz w:val="18"/>
                <w:szCs w:val="18"/>
              </w:rPr>
              <w:t>--</w:t>
            </w:r>
          </w:p>
        </w:tc>
        <w:tc>
          <w:tcPr>
            <w:tcW w:w="1800" w:type="dxa"/>
            <w:tcBorders>
              <w:top w:val="nil"/>
              <w:left w:val="nil"/>
              <w:bottom w:val="single" w:sz="12" w:space="0" w:color="auto"/>
              <w:right w:val="nil"/>
            </w:tcBorders>
            <w:vAlign w:val="center"/>
          </w:tcPr>
          <w:p w14:paraId="06D3C735" w14:textId="1B2A688E" w:rsidR="00530D7A" w:rsidRPr="00677CE8" w:rsidRDefault="00530D7A" w:rsidP="00530D7A">
            <w:pPr>
              <w:jc w:val="center"/>
              <w:rPr>
                <w:sz w:val="18"/>
                <w:szCs w:val="18"/>
              </w:rPr>
            </w:pPr>
            <w:r w:rsidRPr="00677CE8">
              <w:rPr>
                <w:sz w:val="18"/>
                <w:szCs w:val="18"/>
              </w:rPr>
              <w:t>--</w:t>
            </w:r>
          </w:p>
        </w:tc>
        <w:tc>
          <w:tcPr>
            <w:tcW w:w="1800" w:type="dxa"/>
            <w:tcBorders>
              <w:top w:val="nil"/>
              <w:left w:val="nil"/>
              <w:bottom w:val="single" w:sz="12" w:space="0" w:color="auto"/>
              <w:right w:val="single" w:sz="12" w:space="0" w:color="auto"/>
            </w:tcBorders>
            <w:vAlign w:val="center"/>
          </w:tcPr>
          <w:p w14:paraId="058DE518" w14:textId="44F9CB87" w:rsidR="00530D7A" w:rsidRPr="00677CE8" w:rsidRDefault="00530D7A" w:rsidP="00530D7A">
            <w:pPr>
              <w:jc w:val="center"/>
              <w:rPr>
                <w:sz w:val="18"/>
                <w:szCs w:val="18"/>
              </w:rPr>
            </w:pPr>
            <w:r w:rsidRPr="00677CE8">
              <w:rPr>
                <w:sz w:val="18"/>
                <w:szCs w:val="18"/>
              </w:rPr>
              <w:t>--</w:t>
            </w:r>
          </w:p>
        </w:tc>
      </w:tr>
      <w:tr w:rsidR="00530D7A" w:rsidRPr="00677CE8" w14:paraId="0857BD6E" w14:textId="77777777" w:rsidTr="00E83B07">
        <w:trPr>
          <w:trHeight w:val="20"/>
        </w:trPr>
        <w:tc>
          <w:tcPr>
            <w:tcW w:w="13211" w:type="dxa"/>
            <w:gridSpan w:val="8"/>
            <w:tcBorders>
              <w:top w:val="single" w:sz="12" w:space="0" w:color="auto"/>
              <w:left w:val="single" w:sz="12" w:space="0" w:color="auto"/>
              <w:bottom w:val="single" w:sz="12" w:space="0" w:color="auto"/>
              <w:right w:val="single" w:sz="12" w:space="0" w:color="auto"/>
            </w:tcBorders>
            <w:vAlign w:val="center"/>
          </w:tcPr>
          <w:p w14:paraId="2FC08915" w14:textId="77777777" w:rsidR="00530D7A" w:rsidRPr="00677CE8" w:rsidRDefault="00530D7A" w:rsidP="00530D7A">
            <w:pPr>
              <w:rPr>
                <w:sz w:val="18"/>
                <w:szCs w:val="18"/>
              </w:rPr>
            </w:pPr>
            <w:r w:rsidRPr="00677CE8">
              <w:rPr>
                <w:b/>
                <w:bCs/>
                <w:i/>
                <w:iCs/>
                <w:sz w:val="18"/>
                <w:szCs w:val="18"/>
              </w:rPr>
              <w:t>Demographic Characteristics</w:t>
            </w:r>
          </w:p>
        </w:tc>
      </w:tr>
      <w:tr w:rsidR="00530D7A" w:rsidRPr="00677CE8" w14:paraId="1E77855F" w14:textId="77777777" w:rsidTr="00E83B07">
        <w:trPr>
          <w:trHeight w:val="20"/>
        </w:trPr>
        <w:tc>
          <w:tcPr>
            <w:tcW w:w="13211" w:type="dxa"/>
            <w:gridSpan w:val="8"/>
            <w:tcBorders>
              <w:top w:val="single" w:sz="12" w:space="0" w:color="auto"/>
              <w:left w:val="single" w:sz="12" w:space="0" w:color="auto"/>
              <w:bottom w:val="nil"/>
              <w:right w:val="single" w:sz="12" w:space="0" w:color="auto"/>
            </w:tcBorders>
            <w:vAlign w:val="center"/>
          </w:tcPr>
          <w:p w14:paraId="290ACD6D" w14:textId="77777777" w:rsidR="00530D7A" w:rsidRPr="00677CE8" w:rsidRDefault="00530D7A" w:rsidP="00530D7A">
            <w:pPr>
              <w:rPr>
                <w:sz w:val="18"/>
                <w:szCs w:val="18"/>
              </w:rPr>
            </w:pPr>
            <w:r w:rsidRPr="00677CE8">
              <w:rPr>
                <w:b/>
                <w:bCs/>
                <w:sz w:val="18"/>
                <w:szCs w:val="18"/>
              </w:rPr>
              <w:t xml:space="preserve">Gender </w:t>
            </w:r>
            <w:r w:rsidRPr="00677CE8">
              <w:rPr>
                <w:sz w:val="18"/>
                <w:szCs w:val="18"/>
              </w:rPr>
              <w:t>(Woman)</w:t>
            </w:r>
          </w:p>
        </w:tc>
      </w:tr>
      <w:tr w:rsidR="00530D7A" w:rsidRPr="00677CE8" w14:paraId="4CC02972" w14:textId="77777777" w:rsidTr="00E83B07">
        <w:trPr>
          <w:trHeight w:val="20"/>
        </w:trPr>
        <w:tc>
          <w:tcPr>
            <w:tcW w:w="4485" w:type="dxa"/>
            <w:tcBorders>
              <w:top w:val="nil"/>
              <w:left w:val="single" w:sz="12" w:space="0" w:color="auto"/>
              <w:bottom w:val="single" w:sz="2" w:space="0" w:color="auto"/>
              <w:right w:val="nil"/>
            </w:tcBorders>
          </w:tcPr>
          <w:p w14:paraId="6A445EE2" w14:textId="77777777" w:rsidR="00530D7A" w:rsidRPr="00677CE8" w:rsidRDefault="00530D7A" w:rsidP="00530D7A">
            <w:pPr>
              <w:ind w:left="216"/>
              <w:rPr>
                <w:sz w:val="18"/>
                <w:szCs w:val="18"/>
              </w:rPr>
            </w:pPr>
            <w:r w:rsidRPr="00677CE8">
              <w:rPr>
                <w:sz w:val="18"/>
                <w:szCs w:val="18"/>
              </w:rPr>
              <w:t>Man</w:t>
            </w:r>
          </w:p>
        </w:tc>
        <w:tc>
          <w:tcPr>
            <w:tcW w:w="1525" w:type="dxa"/>
            <w:tcBorders>
              <w:top w:val="nil"/>
              <w:left w:val="nil"/>
              <w:bottom w:val="single" w:sz="2" w:space="0" w:color="auto"/>
              <w:right w:val="nil"/>
            </w:tcBorders>
            <w:vAlign w:val="center"/>
          </w:tcPr>
          <w:p w14:paraId="5BF8E7FB" w14:textId="07F534CE" w:rsidR="00530D7A" w:rsidRPr="00677CE8" w:rsidRDefault="00530D7A" w:rsidP="00530D7A">
            <w:pPr>
              <w:jc w:val="center"/>
              <w:rPr>
                <w:color w:val="000000"/>
                <w:sz w:val="18"/>
                <w:szCs w:val="18"/>
              </w:rPr>
            </w:pPr>
            <w:r w:rsidRPr="00677CE8">
              <w:rPr>
                <w:color w:val="FFFFFF" w:themeColor="background1"/>
                <w:sz w:val="18"/>
                <w:szCs w:val="18"/>
              </w:rPr>
              <w:t>!</w:t>
            </w:r>
            <w:r w:rsidRPr="00677CE8">
              <w:rPr>
                <w:color w:val="000000"/>
                <w:sz w:val="18"/>
                <w:szCs w:val="18"/>
              </w:rPr>
              <w:t>0.</w:t>
            </w:r>
            <w:proofErr w:type="gramStart"/>
            <w:r w:rsidRPr="00677CE8">
              <w:rPr>
                <w:color w:val="000000"/>
                <w:sz w:val="18"/>
                <w:szCs w:val="18"/>
              </w:rPr>
              <w:t xml:space="preserve">0874 </w:t>
            </w:r>
            <w:r w:rsidRPr="00677CE8">
              <w:rPr>
                <w:color w:val="FFFFFF" w:themeColor="background1"/>
                <w:sz w:val="18"/>
                <w:szCs w:val="18"/>
              </w:rPr>
              <w:t>!</w:t>
            </w:r>
            <w:proofErr w:type="gramEnd"/>
            <w:r w:rsidRPr="00677CE8">
              <w:rPr>
                <w:color w:val="000000"/>
                <w:sz w:val="18"/>
                <w:szCs w:val="18"/>
              </w:rPr>
              <w:t>(3.988)</w:t>
            </w:r>
          </w:p>
        </w:tc>
        <w:tc>
          <w:tcPr>
            <w:tcW w:w="1800" w:type="dxa"/>
            <w:gridSpan w:val="3"/>
            <w:tcBorders>
              <w:top w:val="nil"/>
              <w:left w:val="nil"/>
              <w:bottom w:val="single" w:sz="2" w:space="0" w:color="auto"/>
              <w:right w:val="nil"/>
            </w:tcBorders>
            <w:vAlign w:val="center"/>
          </w:tcPr>
          <w:p w14:paraId="447FAF9F" w14:textId="77777777" w:rsidR="00530D7A" w:rsidRPr="00677CE8" w:rsidRDefault="00530D7A" w:rsidP="00530D7A">
            <w:pPr>
              <w:jc w:val="center"/>
              <w:rPr>
                <w:sz w:val="18"/>
                <w:szCs w:val="18"/>
              </w:rPr>
            </w:pPr>
            <w:r w:rsidRPr="00677CE8">
              <w:rPr>
                <w:sz w:val="18"/>
                <w:szCs w:val="18"/>
              </w:rPr>
              <w:t>--</w:t>
            </w:r>
          </w:p>
        </w:tc>
        <w:tc>
          <w:tcPr>
            <w:tcW w:w="1801" w:type="dxa"/>
            <w:tcBorders>
              <w:top w:val="nil"/>
              <w:left w:val="nil"/>
              <w:bottom w:val="single" w:sz="2" w:space="0" w:color="auto"/>
              <w:right w:val="nil"/>
            </w:tcBorders>
            <w:vAlign w:val="center"/>
          </w:tcPr>
          <w:p w14:paraId="71812EB1" w14:textId="6ADDCE04" w:rsidR="00530D7A" w:rsidRPr="00677CE8" w:rsidRDefault="00530D7A" w:rsidP="00530D7A">
            <w:pPr>
              <w:jc w:val="center"/>
              <w:rPr>
                <w:sz w:val="18"/>
                <w:szCs w:val="18"/>
              </w:rPr>
            </w:pPr>
            <w:r w:rsidRPr="00677CE8">
              <w:rPr>
                <w:sz w:val="18"/>
                <w:szCs w:val="18"/>
              </w:rPr>
              <w:t>--</w:t>
            </w:r>
          </w:p>
        </w:tc>
        <w:tc>
          <w:tcPr>
            <w:tcW w:w="1800" w:type="dxa"/>
            <w:tcBorders>
              <w:top w:val="nil"/>
              <w:left w:val="nil"/>
              <w:bottom w:val="single" w:sz="2" w:space="0" w:color="auto"/>
              <w:right w:val="nil"/>
            </w:tcBorders>
            <w:vAlign w:val="center"/>
          </w:tcPr>
          <w:p w14:paraId="03E92488" w14:textId="4BF5B537" w:rsidR="00530D7A" w:rsidRPr="00677CE8" w:rsidRDefault="00530D7A" w:rsidP="00530D7A">
            <w:pPr>
              <w:jc w:val="center"/>
              <w:rPr>
                <w:sz w:val="18"/>
                <w:szCs w:val="18"/>
              </w:rPr>
            </w:pPr>
            <w:r w:rsidRPr="00677CE8">
              <w:rPr>
                <w:sz w:val="18"/>
                <w:szCs w:val="18"/>
              </w:rPr>
              <w:t>--</w:t>
            </w:r>
          </w:p>
        </w:tc>
        <w:tc>
          <w:tcPr>
            <w:tcW w:w="1800" w:type="dxa"/>
            <w:tcBorders>
              <w:top w:val="nil"/>
              <w:left w:val="nil"/>
              <w:bottom w:val="single" w:sz="2" w:space="0" w:color="auto"/>
              <w:right w:val="single" w:sz="12" w:space="0" w:color="auto"/>
            </w:tcBorders>
            <w:vAlign w:val="center"/>
          </w:tcPr>
          <w:p w14:paraId="76E866E4" w14:textId="26843C37" w:rsidR="00530D7A" w:rsidRPr="00677CE8" w:rsidRDefault="00530D7A" w:rsidP="00530D7A">
            <w:pPr>
              <w:jc w:val="center"/>
              <w:rPr>
                <w:sz w:val="18"/>
                <w:szCs w:val="18"/>
              </w:rPr>
            </w:pPr>
            <w:r w:rsidRPr="00677CE8">
              <w:rPr>
                <w:sz w:val="18"/>
                <w:szCs w:val="18"/>
              </w:rPr>
              <w:t>--</w:t>
            </w:r>
          </w:p>
        </w:tc>
      </w:tr>
      <w:tr w:rsidR="00530D7A" w:rsidRPr="00677CE8" w14:paraId="1EA112C5" w14:textId="77777777" w:rsidTr="00E83B07">
        <w:trPr>
          <w:trHeight w:val="20"/>
        </w:trPr>
        <w:tc>
          <w:tcPr>
            <w:tcW w:w="13211" w:type="dxa"/>
            <w:gridSpan w:val="8"/>
            <w:tcBorders>
              <w:top w:val="single" w:sz="2" w:space="0" w:color="auto"/>
              <w:left w:val="single" w:sz="12" w:space="0" w:color="auto"/>
              <w:bottom w:val="nil"/>
              <w:right w:val="single" w:sz="12" w:space="0" w:color="auto"/>
            </w:tcBorders>
            <w:vAlign w:val="center"/>
          </w:tcPr>
          <w:p w14:paraId="0302D48F" w14:textId="77777777" w:rsidR="00530D7A" w:rsidRPr="00677CE8" w:rsidRDefault="00530D7A" w:rsidP="00530D7A">
            <w:pPr>
              <w:rPr>
                <w:sz w:val="18"/>
                <w:szCs w:val="18"/>
              </w:rPr>
            </w:pPr>
            <w:r w:rsidRPr="00677CE8">
              <w:rPr>
                <w:b/>
                <w:bCs/>
                <w:sz w:val="18"/>
                <w:szCs w:val="18"/>
              </w:rPr>
              <w:t>Age</w:t>
            </w:r>
          </w:p>
        </w:tc>
      </w:tr>
      <w:tr w:rsidR="00530D7A" w:rsidRPr="00677CE8" w14:paraId="362AC176" w14:textId="77777777" w:rsidTr="00E83B07">
        <w:trPr>
          <w:trHeight w:val="20"/>
        </w:trPr>
        <w:tc>
          <w:tcPr>
            <w:tcW w:w="4485" w:type="dxa"/>
            <w:tcBorders>
              <w:top w:val="nil"/>
              <w:left w:val="single" w:sz="12" w:space="0" w:color="auto"/>
              <w:bottom w:val="nil"/>
              <w:right w:val="nil"/>
            </w:tcBorders>
          </w:tcPr>
          <w:p w14:paraId="2459D87A" w14:textId="77777777" w:rsidR="00530D7A" w:rsidRPr="00677CE8" w:rsidRDefault="00530D7A" w:rsidP="00530D7A">
            <w:pPr>
              <w:ind w:left="216"/>
              <w:rPr>
                <w:sz w:val="18"/>
                <w:szCs w:val="18"/>
              </w:rPr>
            </w:pPr>
            <w:r w:rsidRPr="00677CE8">
              <w:rPr>
                <w:sz w:val="18"/>
                <w:szCs w:val="18"/>
              </w:rPr>
              <w:t>Age 35-64</w:t>
            </w:r>
          </w:p>
        </w:tc>
        <w:tc>
          <w:tcPr>
            <w:tcW w:w="1525" w:type="dxa"/>
            <w:tcBorders>
              <w:top w:val="nil"/>
              <w:left w:val="nil"/>
              <w:bottom w:val="nil"/>
              <w:right w:val="nil"/>
            </w:tcBorders>
            <w:vAlign w:val="center"/>
          </w:tcPr>
          <w:p w14:paraId="25D280B0" w14:textId="77777777" w:rsidR="00530D7A" w:rsidRPr="00677CE8" w:rsidRDefault="00530D7A" w:rsidP="00530D7A">
            <w:pPr>
              <w:jc w:val="center"/>
              <w:rPr>
                <w:sz w:val="18"/>
                <w:szCs w:val="18"/>
              </w:rPr>
            </w:pPr>
            <w:r w:rsidRPr="00677CE8">
              <w:rPr>
                <w:sz w:val="18"/>
                <w:szCs w:val="18"/>
              </w:rPr>
              <w:t>--</w:t>
            </w:r>
          </w:p>
        </w:tc>
        <w:tc>
          <w:tcPr>
            <w:tcW w:w="1800" w:type="dxa"/>
            <w:gridSpan w:val="3"/>
            <w:tcBorders>
              <w:top w:val="nil"/>
              <w:left w:val="nil"/>
              <w:bottom w:val="nil"/>
              <w:right w:val="nil"/>
            </w:tcBorders>
            <w:vAlign w:val="center"/>
          </w:tcPr>
          <w:p w14:paraId="179F948A" w14:textId="0E617BE6" w:rsidR="00530D7A" w:rsidRPr="00677CE8" w:rsidRDefault="00530D7A" w:rsidP="00530D7A">
            <w:pPr>
              <w:jc w:val="center"/>
              <w:rPr>
                <w:color w:val="000000"/>
                <w:sz w:val="18"/>
                <w:szCs w:val="18"/>
              </w:rPr>
            </w:pPr>
            <w:r w:rsidRPr="00677CE8">
              <w:rPr>
                <w:color w:val="000000"/>
                <w:sz w:val="18"/>
                <w:szCs w:val="18"/>
              </w:rPr>
              <w:t>-0.0904 (-4.202)</w:t>
            </w:r>
          </w:p>
        </w:tc>
        <w:tc>
          <w:tcPr>
            <w:tcW w:w="1801" w:type="dxa"/>
            <w:tcBorders>
              <w:top w:val="nil"/>
              <w:left w:val="nil"/>
              <w:bottom w:val="nil"/>
              <w:right w:val="nil"/>
            </w:tcBorders>
            <w:vAlign w:val="center"/>
          </w:tcPr>
          <w:p w14:paraId="4F1F6472" w14:textId="77777777" w:rsidR="00530D7A" w:rsidRPr="00677CE8" w:rsidRDefault="00530D7A" w:rsidP="00530D7A">
            <w:pPr>
              <w:jc w:val="center"/>
              <w:rPr>
                <w:sz w:val="18"/>
                <w:szCs w:val="18"/>
              </w:rPr>
            </w:pPr>
            <w:r w:rsidRPr="00677CE8">
              <w:rPr>
                <w:sz w:val="18"/>
                <w:szCs w:val="18"/>
              </w:rPr>
              <w:t>--</w:t>
            </w:r>
          </w:p>
        </w:tc>
        <w:tc>
          <w:tcPr>
            <w:tcW w:w="1800" w:type="dxa"/>
            <w:tcBorders>
              <w:top w:val="nil"/>
              <w:left w:val="nil"/>
              <w:bottom w:val="nil"/>
              <w:right w:val="nil"/>
            </w:tcBorders>
            <w:vAlign w:val="center"/>
          </w:tcPr>
          <w:p w14:paraId="025D5012" w14:textId="273D1337" w:rsidR="00530D7A" w:rsidRPr="00677CE8" w:rsidRDefault="00530D7A" w:rsidP="00530D7A">
            <w:pPr>
              <w:jc w:val="center"/>
              <w:rPr>
                <w:sz w:val="18"/>
                <w:szCs w:val="18"/>
              </w:rPr>
            </w:pPr>
            <w:r w:rsidRPr="00677CE8">
              <w:rPr>
                <w:sz w:val="18"/>
                <w:szCs w:val="18"/>
              </w:rPr>
              <w:t>--</w:t>
            </w:r>
          </w:p>
        </w:tc>
        <w:tc>
          <w:tcPr>
            <w:tcW w:w="1800" w:type="dxa"/>
            <w:tcBorders>
              <w:top w:val="nil"/>
              <w:left w:val="nil"/>
              <w:bottom w:val="nil"/>
              <w:right w:val="single" w:sz="12" w:space="0" w:color="auto"/>
            </w:tcBorders>
            <w:vAlign w:val="center"/>
          </w:tcPr>
          <w:p w14:paraId="6012393D" w14:textId="2609B229" w:rsidR="00530D7A" w:rsidRPr="00677CE8" w:rsidRDefault="00530D7A" w:rsidP="00530D7A">
            <w:pPr>
              <w:jc w:val="center"/>
              <w:rPr>
                <w:sz w:val="18"/>
                <w:szCs w:val="18"/>
              </w:rPr>
            </w:pPr>
            <w:r w:rsidRPr="00677CE8">
              <w:rPr>
                <w:sz w:val="18"/>
                <w:szCs w:val="18"/>
              </w:rPr>
              <w:t>--</w:t>
            </w:r>
          </w:p>
        </w:tc>
      </w:tr>
      <w:tr w:rsidR="00530D7A" w:rsidRPr="00677CE8" w14:paraId="6677CFE9" w14:textId="77777777" w:rsidTr="00E83B07">
        <w:trPr>
          <w:trHeight w:val="20"/>
        </w:trPr>
        <w:tc>
          <w:tcPr>
            <w:tcW w:w="4485" w:type="dxa"/>
            <w:tcBorders>
              <w:top w:val="nil"/>
              <w:left w:val="single" w:sz="12" w:space="0" w:color="auto"/>
              <w:bottom w:val="single" w:sz="2" w:space="0" w:color="auto"/>
              <w:right w:val="nil"/>
            </w:tcBorders>
          </w:tcPr>
          <w:p w14:paraId="214C9FB7" w14:textId="78A2F96F" w:rsidR="00530D7A" w:rsidRPr="00677CE8" w:rsidRDefault="00530D7A" w:rsidP="00530D7A">
            <w:pPr>
              <w:ind w:left="216"/>
              <w:rPr>
                <w:sz w:val="18"/>
                <w:szCs w:val="18"/>
              </w:rPr>
            </w:pPr>
            <w:r w:rsidRPr="00677CE8">
              <w:rPr>
                <w:sz w:val="18"/>
                <w:szCs w:val="18"/>
              </w:rPr>
              <w:t xml:space="preserve">Age 35-64 </w:t>
            </w:r>
            <w:r w:rsidR="00005295">
              <w:rPr>
                <w:sz w:val="18"/>
                <w:szCs w:val="18"/>
              </w:rPr>
              <w:t>×</w:t>
            </w:r>
            <w:r w:rsidRPr="00677CE8">
              <w:rPr>
                <w:sz w:val="18"/>
                <w:szCs w:val="18"/>
              </w:rPr>
              <w:t xml:space="preserve"> Fewer crashes per mile than ground modes</w:t>
            </w:r>
          </w:p>
        </w:tc>
        <w:tc>
          <w:tcPr>
            <w:tcW w:w="3325" w:type="dxa"/>
            <w:gridSpan w:val="4"/>
            <w:tcBorders>
              <w:top w:val="nil"/>
              <w:left w:val="nil"/>
              <w:bottom w:val="single" w:sz="2" w:space="0" w:color="auto"/>
              <w:right w:val="nil"/>
            </w:tcBorders>
            <w:vAlign w:val="center"/>
          </w:tcPr>
          <w:p w14:paraId="1397ECC6" w14:textId="038897FD" w:rsidR="00530D7A" w:rsidRPr="00677CE8" w:rsidRDefault="00530D7A" w:rsidP="00530D7A">
            <w:pPr>
              <w:jc w:val="center"/>
              <w:rPr>
                <w:sz w:val="18"/>
                <w:szCs w:val="18"/>
              </w:rPr>
            </w:pPr>
            <w:r w:rsidRPr="00677CE8">
              <w:rPr>
                <w:color w:val="FFFFFF" w:themeColor="background1"/>
                <w:sz w:val="18"/>
                <w:szCs w:val="18"/>
              </w:rPr>
              <w:t>!</w:t>
            </w:r>
            <w:r w:rsidRPr="00677CE8">
              <w:rPr>
                <w:sz w:val="18"/>
                <w:szCs w:val="18"/>
              </w:rPr>
              <w:t>0.1425</w:t>
            </w:r>
            <w:r w:rsidRPr="00677CE8">
              <w:rPr>
                <w:color w:val="FFFFFF" w:themeColor="background1"/>
                <w:sz w:val="18"/>
                <w:szCs w:val="18"/>
              </w:rPr>
              <w:t>!</w:t>
            </w:r>
            <w:r w:rsidRPr="00677CE8">
              <w:rPr>
                <w:sz w:val="18"/>
                <w:szCs w:val="18"/>
              </w:rPr>
              <w:t xml:space="preserve"> (2.578)</w:t>
            </w:r>
          </w:p>
        </w:tc>
        <w:tc>
          <w:tcPr>
            <w:tcW w:w="1801" w:type="dxa"/>
            <w:tcBorders>
              <w:top w:val="nil"/>
              <w:left w:val="nil"/>
              <w:bottom w:val="single" w:sz="2" w:space="0" w:color="auto"/>
              <w:right w:val="nil"/>
            </w:tcBorders>
            <w:vAlign w:val="center"/>
          </w:tcPr>
          <w:p w14:paraId="62941B27" w14:textId="77777777" w:rsidR="00530D7A" w:rsidRPr="00677CE8" w:rsidRDefault="00530D7A" w:rsidP="00530D7A">
            <w:pPr>
              <w:jc w:val="center"/>
              <w:rPr>
                <w:sz w:val="18"/>
                <w:szCs w:val="18"/>
              </w:rPr>
            </w:pPr>
            <w:r w:rsidRPr="00677CE8">
              <w:rPr>
                <w:sz w:val="18"/>
                <w:szCs w:val="18"/>
              </w:rPr>
              <w:t>--</w:t>
            </w:r>
          </w:p>
        </w:tc>
        <w:tc>
          <w:tcPr>
            <w:tcW w:w="1800" w:type="dxa"/>
            <w:tcBorders>
              <w:top w:val="nil"/>
              <w:left w:val="nil"/>
              <w:bottom w:val="single" w:sz="2" w:space="0" w:color="auto"/>
              <w:right w:val="nil"/>
            </w:tcBorders>
            <w:vAlign w:val="center"/>
          </w:tcPr>
          <w:p w14:paraId="66E28846" w14:textId="6A1670D6" w:rsidR="00530D7A" w:rsidRPr="00677CE8" w:rsidRDefault="00530D7A" w:rsidP="00530D7A">
            <w:pPr>
              <w:jc w:val="center"/>
              <w:rPr>
                <w:sz w:val="18"/>
                <w:szCs w:val="18"/>
              </w:rPr>
            </w:pPr>
            <w:r w:rsidRPr="00677CE8">
              <w:rPr>
                <w:sz w:val="18"/>
                <w:szCs w:val="18"/>
              </w:rPr>
              <w:t>--</w:t>
            </w:r>
          </w:p>
        </w:tc>
        <w:tc>
          <w:tcPr>
            <w:tcW w:w="1800" w:type="dxa"/>
            <w:tcBorders>
              <w:top w:val="nil"/>
              <w:left w:val="nil"/>
              <w:bottom w:val="single" w:sz="2" w:space="0" w:color="auto"/>
              <w:right w:val="single" w:sz="12" w:space="0" w:color="auto"/>
            </w:tcBorders>
            <w:vAlign w:val="center"/>
          </w:tcPr>
          <w:p w14:paraId="466331BC" w14:textId="15590A20" w:rsidR="00530D7A" w:rsidRPr="00677CE8" w:rsidRDefault="00530D7A" w:rsidP="00530D7A">
            <w:pPr>
              <w:jc w:val="center"/>
              <w:rPr>
                <w:sz w:val="18"/>
                <w:szCs w:val="18"/>
              </w:rPr>
            </w:pPr>
            <w:r w:rsidRPr="00677CE8">
              <w:rPr>
                <w:sz w:val="18"/>
                <w:szCs w:val="18"/>
              </w:rPr>
              <w:t>--</w:t>
            </w:r>
          </w:p>
        </w:tc>
      </w:tr>
      <w:tr w:rsidR="00530D7A" w:rsidRPr="00677CE8" w14:paraId="7113610E" w14:textId="77777777" w:rsidTr="00E83B07">
        <w:trPr>
          <w:trHeight w:val="20"/>
        </w:trPr>
        <w:tc>
          <w:tcPr>
            <w:tcW w:w="13211" w:type="dxa"/>
            <w:gridSpan w:val="8"/>
            <w:tcBorders>
              <w:top w:val="single" w:sz="2" w:space="0" w:color="auto"/>
              <w:left w:val="single" w:sz="12" w:space="0" w:color="auto"/>
              <w:bottom w:val="nil"/>
              <w:right w:val="single" w:sz="12" w:space="0" w:color="auto"/>
            </w:tcBorders>
            <w:vAlign w:val="center"/>
          </w:tcPr>
          <w:p w14:paraId="1D701CF3" w14:textId="63EE3CA6" w:rsidR="00530D7A" w:rsidRPr="00677CE8" w:rsidRDefault="00530D7A" w:rsidP="00530D7A">
            <w:pPr>
              <w:rPr>
                <w:sz w:val="18"/>
                <w:szCs w:val="18"/>
              </w:rPr>
            </w:pPr>
            <w:r w:rsidRPr="00677CE8">
              <w:rPr>
                <w:b/>
                <w:bCs/>
                <w:sz w:val="18"/>
                <w:szCs w:val="18"/>
              </w:rPr>
              <w:t xml:space="preserve">Level of Education </w:t>
            </w:r>
            <w:r w:rsidRPr="00677CE8">
              <w:rPr>
                <w:sz w:val="18"/>
                <w:szCs w:val="18"/>
              </w:rPr>
              <w:t xml:space="preserve">(less than a </w:t>
            </w:r>
            <w:r w:rsidR="00B61852" w:rsidRPr="00677CE8">
              <w:rPr>
                <w:sz w:val="18"/>
                <w:szCs w:val="18"/>
              </w:rPr>
              <w:t>bachelor’s</w:t>
            </w:r>
            <w:r w:rsidRPr="00677CE8">
              <w:rPr>
                <w:sz w:val="18"/>
                <w:szCs w:val="18"/>
              </w:rPr>
              <w:t xml:space="preserve"> degree)</w:t>
            </w:r>
          </w:p>
        </w:tc>
      </w:tr>
      <w:tr w:rsidR="00530D7A" w:rsidRPr="00677CE8" w14:paraId="501690DC" w14:textId="77777777" w:rsidTr="00E83B07">
        <w:trPr>
          <w:trHeight w:val="20"/>
        </w:trPr>
        <w:tc>
          <w:tcPr>
            <w:tcW w:w="4485" w:type="dxa"/>
            <w:tcBorders>
              <w:top w:val="nil"/>
              <w:left w:val="single" w:sz="12" w:space="0" w:color="auto"/>
              <w:bottom w:val="single" w:sz="2" w:space="0" w:color="auto"/>
              <w:right w:val="nil"/>
            </w:tcBorders>
          </w:tcPr>
          <w:p w14:paraId="0F7F3A91" w14:textId="6CF5EE57" w:rsidR="00530D7A" w:rsidRPr="00677CE8" w:rsidRDefault="00530D7A" w:rsidP="00530D7A">
            <w:pPr>
              <w:ind w:left="216"/>
              <w:rPr>
                <w:sz w:val="18"/>
                <w:szCs w:val="18"/>
              </w:rPr>
            </w:pPr>
            <w:r w:rsidRPr="00677CE8">
              <w:rPr>
                <w:sz w:val="18"/>
                <w:szCs w:val="18"/>
              </w:rPr>
              <w:t>Bachelor’s degree or higher</w:t>
            </w:r>
          </w:p>
        </w:tc>
        <w:tc>
          <w:tcPr>
            <w:tcW w:w="1655" w:type="dxa"/>
            <w:gridSpan w:val="2"/>
            <w:tcBorders>
              <w:top w:val="nil"/>
              <w:left w:val="nil"/>
              <w:bottom w:val="single" w:sz="2" w:space="0" w:color="auto"/>
              <w:right w:val="nil"/>
            </w:tcBorders>
            <w:vAlign w:val="center"/>
          </w:tcPr>
          <w:p w14:paraId="37850B11" w14:textId="77777777" w:rsidR="00530D7A" w:rsidRPr="00677CE8" w:rsidRDefault="00530D7A" w:rsidP="00530D7A">
            <w:pPr>
              <w:jc w:val="center"/>
              <w:rPr>
                <w:sz w:val="18"/>
                <w:szCs w:val="18"/>
              </w:rPr>
            </w:pPr>
            <w:r w:rsidRPr="00677CE8">
              <w:rPr>
                <w:sz w:val="18"/>
                <w:szCs w:val="18"/>
              </w:rPr>
              <w:t>--</w:t>
            </w:r>
          </w:p>
        </w:tc>
        <w:tc>
          <w:tcPr>
            <w:tcW w:w="1670" w:type="dxa"/>
            <w:gridSpan w:val="2"/>
            <w:tcBorders>
              <w:top w:val="nil"/>
              <w:left w:val="nil"/>
              <w:bottom w:val="single" w:sz="2" w:space="0" w:color="auto"/>
              <w:right w:val="nil"/>
            </w:tcBorders>
            <w:vAlign w:val="center"/>
          </w:tcPr>
          <w:p w14:paraId="06066A30" w14:textId="74645B78" w:rsidR="00530D7A" w:rsidRPr="00677CE8" w:rsidRDefault="00530D7A" w:rsidP="00530D7A">
            <w:pPr>
              <w:jc w:val="center"/>
              <w:rPr>
                <w:sz w:val="18"/>
                <w:szCs w:val="18"/>
              </w:rPr>
            </w:pPr>
            <w:r w:rsidRPr="00677CE8">
              <w:rPr>
                <w:sz w:val="18"/>
                <w:szCs w:val="18"/>
              </w:rPr>
              <w:t>--</w:t>
            </w:r>
          </w:p>
        </w:tc>
        <w:tc>
          <w:tcPr>
            <w:tcW w:w="1801" w:type="dxa"/>
            <w:tcBorders>
              <w:top w:val="nil"/>
              <w:left w:val="nil"/>
              <w:bottom w:val="single" w:sz="2" w:space="0" w:color="auto"/>
              <w:right w:val="nil"/>
            </w:tcBorders>
            <w:vAlign w:val="center"/>
          </w:tcPr>
          <w:p w14:paraId="1EF6967C" w14:textId="6A0B6F7F" w:rsidR="00530D7A" w:rsidRPr="00677CE8" w:rsidRDefault="00530D7A" w:rsidP="00530D7A">
            <w:pPr>
              <w:jc w:val="center"/>
              <w:rPr>
                <w:sz w:val="18"/>
                <w:szCs w:val="18"/>
              </w:rPr>
            </w:pPr>
            <w:r w:rsidRPr="00677CE8">
              <w:rPr>
                <w:sz w:val="18"/>
                <w:szCs w:val="18"/>
              </w:rPr>
              <w:t>--</w:t>
            </w:r>
          </w:p>
        </w:tc>
        <w:tc>
          <w:tcPr>
            <w:tcW w:w="1800" w:type="dxa"/>
            <w:tcBorders>
              <w:top w:val="nil"/>
              <w:left w:val="nil"/>
              <w:bottom w:val="single" w:sz="2" w:space="0" w:color="auto"/>
              <w:right w:val="nil"/>
            </w:tcBorders>
            <w:vAlign w:val="center"/>
          </w:tcPr>
          <w:p w14:paraId="74F7C34C" w14:textId="756BCDA8" w:rsidR="00530D7A" w:rsidRPr="00677CE8" w:rsidRDefault="00530D7A" w:rsidP="00530D7A">
            <w:pPr>
              <w:jc w:val="center"/>
              <w:rPr>
                <w:sz w:val="18"/>
                <w:szCs w:val="18"/>
              </w:rPr>
            </w:pPr>
            <w:r w:rsidRPr="00677CE8">
              <w:rPr>
                <w:color w:val="FFFFFF" w:themeColor="background1"/>
                <w:sz w:val="18"/>
                <w:szCs w:val="18"/>
              </w:rPr>
              <w:t>!</w:t>
            </w:r>
            <w:r w:rsidRPr="00677CE8">
              <w:rPr>
                <w:sz w:val="18"/>
                <w:szCs w:val="18"/>
              </w:rPr>
              <w:t>0.0666</w:t>
            </w:r>
            <w:r w:rsidRPr="00677CE8">
              <w:rPr>
                <w:color w:val="FFFFFF" w:themeColor="background1"/>
                <w:sz w:val="18"/>
                <w:szCs w:val="18"/>
              </w:rPr>
              <w:t>!</w:t>
            </w:r>
            <w:r w:rsidRPr="00677CE8">
              <w:rPr>
                <w:sz w:val="18"/>
                <w:szCs w:val="18"/>
              </w:rPr>
              <w:t xml:space="preserve"> (2.011)</w:t>
            </w:r>
          </w:p>
        </w:tc>
        <w:tc>
          <w:tcPr>
            <w:tcW w:w="1800" w:type="dxa"/>
            <w:tcBorders>
              <w:top w:val="nil"/>
              <w:left w:val="nil"/>
              <w:bottom w:val="single" w:sz="2" w:space="0" w:color="auto"/>
              <w:right w:val="single" w:sz="12" w:space="0" w:color="auto"/>
            </w:tcBorders>
            <w:vAlign w:val="center"/>
          </w:tcPr>
          <w:p w14:paraId="600C39E9" w14:textId="77777777" w:rsidR="00530D7A" w:rsidRPr="00677CE8" w:rsidRDefault="00530D7A" w:rsidP="00530D7A">
            <w:pPr>
              <w:jc w:val="center"/>
              <w:rPr>
                <w:sz w:val="18"/>
                <w:szCs w:val="18"/>
              </w:rPr>
            </w:pPr>
            <w:r w:rsidRPr="00677CE8">
              <w:rPr>
                <w:sz w:val="18"/>
                <w:szCs w:val="18"/>
              </w:rPr>
              <w:t>--</w:t>
            </w:r>
          </w:p>
        </w:tc>
      </w:tr>
      <w:tr w:rsidR="00530D7A" w:rsidRPr="00677CE8" w14:paraId="447F891F" w14:textId="77777777" w:rsidTr="00E83B07">
        <w:trPr>
          <w:trHeight w:val="20"/>
        </w:trPr>
        <w:tc>
          <w:tcPr>
            <w:tcW w:w="13211" w:type="dxa"/>
            <w:gridSpan w:val="8"/>
            <w:tcBorders>
              <w:top w:val="single" w:sz="2" w:space="0" w:color="auto"/>
              <w:left w:val="single" w:sz="12" w:space="0" w:color="auto"/>
              <w:bottom w:val="nil"/>
              <w:right w:val="single" w:sz="12" w:space="0" w:color="auto"/>
            </w:tcBorders>
            <w:vAlign w:val="center"/>
          </w:tcPr>
          <w:p w14:paraId="0CC0335F" w14:textId="77777777" w:rsidR="00530D7A" w:rsidRPr="00677CE8" w:rsidRDefault="00530D7A" w:rsidP="00530D7A">
            <w:pPr>
              <w:rPr>
                <w:sz w:val="18"/>
                <w:szCs w:val="18"/>
              </w:rPr>
            </w:pPr>
            <w:r w:rsidRPr="00677CE8">
              <w:rPr>
                <w:b/>
                <w:bCs/>
                <w:sz w:val="18"/>
                <w:szCs w:val="18"/>
              </w:rPr>
              <w:t>Race</w:t>
            </w:r>
            <w:r w:rsidRPr="00677CE8">
              <w:rPr>
                <w:sz w:val="18"/>
                <w:szCs w:val="18"/>
              </w:rPr>
              <w:t xml:space="preserve"> (White, Asian, </w:t>
            </w:r>
            <w:proofErr w:type="gramStart"/>
            <w:r w:rsidRPr="00677CE8">
              <w:rPr>
                <w:sz w:val="18"/>
                <w:szCs w:val="18"/>
              </w:rPr>
              <w:t>Other</w:t>
            </w:r>
            <w:proofErr w:type="gramEnd"/>
            <w:r w:rsidRPr="00677CE8">
              <w:rPr>
                <w:sz w:val="18"/>
                <w:szCs w:val="18"/>
              </w:rPr>
              <w:t xml:space="preserve"> race)</w:t>
            </w:r>
          </w:p>
        </w:tc>
      </w:tr>
      <w:tr w:rsidR="00530D7A" w:rsidRPr="00677CE8" w14:paraId="374E2C89" w14:textId="77777777" w:rsidTr="00E83B07">
        <w:trPr>
          <w:trHeight w:val="20"/>
        </w:trPr>
        <w:tc>
          <w:tcPr>
            <w:tcW w:w="4485" w:type="dxa"/>
            <w:tcBorders>
              <w:top w:val="nil"/>
              <w:left w:val="single" w:sz="12" w:space="0" w:color="auto"/>
              <w:bottom w:val="single" w:sz="2" w:space="0" w:color="auto"/>
              <w:right w:val="nil"/>
            </w:tcBorders>
          </w:tcPr>
          <w:p w14:paraId="6BBC3A48" w14:textId="77777777" w:rsidR="00530D7A" w:rsidRPr="00677CE8" w:rsidRDefault="00530D7A" w:rsidP="00530D7A">
            <w:pPr>
              <w:ind w:left="216"/>
              <w:rPr>
                <w:sz w:val="18"/>
                <w:szCs w:val="18"/>
              </w:rPr>
            </w:pPr>
            <w:r w:rsidRPr="00677CE8">
              <w:rPr>
                <w:sz w:val="18"/>
                <w:szCs w:val="18"/>
              </w:rPr>
              <w:t>Black</w:t>
            </w:r>
          </w:p>
        </w:tc>
        <w:tc>
          <w:tcPr>
            <w:tcW w:w="1670" w:type="dxa"/>
            <w:gridSpan w:val="3"/>
            <w:tcBorders>
              <w:top w:val="nil"/>
              <w:left w:val="nil"/>
              <w:bottom w:val="single" w:sz="2" w:space="0" w:color="auto"/>
              <w:right w:val="nil"/>
            </w:tcBorders>
            <w:vAlign w:val="center"/>
          </w:tcPr>
          <w:p w14:paraId="742557AE" w14:textId="77777777" w:rsidR="00530D7A" w:rsidRPr="00677CE8" w:rsidRDefault="00530D7A" w:rsidP="00530D7A">
            <w:pPr>
              <w:jc w:val="center"/>
              <w:rPr>
                <w:sz w:val="18"/>
                <w:szCs w:val="18"/>
              </w:rPr>
            </w:pPr>
            <w:r w:rsidRPr="00677CE8">
              <w:rPr>
                <w:sz w:val="18"/>
                <w:szCs w:val="18"/>
              </w:rPr>
              <w:t>--</w:t>
            </w:r>
          </w:p>
        </w:tc>
        <w:tc>
          <w:tcPr>
            <w:tcW w:w="1655" w:type="dxa"/>
            <w:tcBorders>
              <w:top w:val="nil"/>
              <w:left w:val="nil"/>
              <w:bottom w:val="single" w:sz="2" w:space="0" w:color="auto"/>
              <w:right w:val="nil"/>
            </w:tcBorders>
            <w:vAlign w:val="center"/>
          </w:tcPr>
          <w:p w14:paraId="2F14DC0F" w14:textId="6C883A0C" w:rsidR="00530D7A" w:rsidRPr="00677CE8" w:rsidRDefault="00530D7A" w:rsidP="00530D7A">
            <w:pPr>
              <w:jc w:val="center"/>
              <w:rPr>
                <w:sz w:val="18"/>
                <w:szCs w:val="18"/>
              </w:rPr>
            </w:pPr>
            <w:r w:rsidRPr="00677CE8">
              <w:rPr>
                <w:sz w:val="18"/>
                <w:szCs w:val="18"/>
              </w:rPr>
              <w:t>--</w:t>
            </w:r>
          </w:p>
        </w:tc>
        <w:tc>
          <w:tcPr>
            <w:tcW w:w="1801" w:type="dxa"/>
            <w:tcBorders>
              <w:top w:val="nil"/>
              <w:left w:val="nil"/>
              <w:bottom w:val="single" w:sz="2" w:space="0" w:color="auto"/>
              <w:right w:val="nil"/>
            </w:tcBorders>
            <w:vAlign w:val="center"/>
          </w:tcPr>
          <w:p w14:paraId="4E4B07AF" w14:textId="0BBBC2C5" w:rsidR="00530D7A" w:rsidRPr="00677CE8" w:rsidRDefault="00530D7A" w:rsidP="00530D7A">
            <w:pPr>
              <w:jc w:val="center"/>
              <w:rPr>
                <w:color w:val="000000"/>
                <w:sz w:val="18"/>
                <w:szCs w:val="18"/>
              </w:rPr>
            </w:pPr>
            <w:r w:rsidRPr="00677CE8">
              <w:rPr>
                <w:color w:val="000000"/>
                <w:sz w:val="18"/>
                <w:szCs w:val="18"/>
              </w:rPr>
              <w:t>--</w:t>
            </w:r>
          </w:p>
        </w:tc>
        <w:tc>
          <w:tcPr>
            <w:tcW w:w="1800" w:type="dxa"/>
            <w:tcBorders>
              <w:top w:val="nil"/>
              <w:left w:val="nil"/>
              <w:bottom w:val="single" w:sz="2" w:space="0" w:color="auto"/>
              <w:right w:val="nil"/>
            </w:tcBorders>
            <w:vAlign w:val="center"/>
          </w:tcPr>
          <w:p w14:paraId="2F72B56B" w14:textId="424AD559" w:rsidR="00530D7A" w:rsidRPr="00677CE8" w:rsidRDefault="00530D7A" w:rsidP="00530D7A">
            <w:pPr>
              <w:jc w:val="center"/>
              <w:rPr>
                <w:color w:val="000000"/>
                <w:sz w:val="18"/>
                <w:szCs w:val="18"/>
              </w:rPr>
            </w:pPr>
            <w:r w:rsidRPr="00677CE8">
              <w:rPr>
                <w:color w:val="000000"/>
                <w:sz w:val="18"/>
                <w:szCs w:val="18"/>
              </w:rPr>
              <w:t>-0.1186 (-2.548)</w:t>
            </w:r>
          </w:p>
        </w:tc>
        <w:tc>
          <w:tcPr>
            <w:tcW w:w="1800" w:type="dxa"/>
            <w:tcBorders>
              <w:top w:val="nil"/>
              <w:left w:val="nil"/>
              <w:bottom w:val="single" w:sz="2" w:space="0" w:color="auto"/>
              <w:right w:val="single" w:sz="12" w:space="0" w:color="auto"/>
            </w:tcBorders>
            <w:vAlign w:val="center"/>
          </w:tcPr>
          <w:p w14:paraId="5EA6927A" w14:textId="77777777" w:rsidR="00530D7A" w:rsidRPr="00677CE8" w:rsidRDefault="00530D7A" w:rsidP="00530D7A">
            <w:pPr>
              <w:jc w:val="center"/>
              <w:rPr>
                <w:sz w:val="18"/>
                <w:szCs w:val="18"/>
              </w:rPr>
            </w:pPr>
            <w:r w:rsidRPr="00677CE8">
              <w:rPr>
                <w:sz w:val="18"/>
                <w:szCs w:val="18"/>
              </w:rPr>
              <w:t>--</w:t>
            </w:r>
          </w:p>
        </w:tc>
      </w:tr>
      <w:tr w:rsidR="00530D7A" w:rsidRPr="00677CE8" w14:paraId="5FC68F84" w14:textId="77777777" w:rsidTr="00E83B07">
        <w:trPr>
          <w:trHeight w:val="20"/>
        </w:trPr>
        <w:tc>
          <w:tcPr>
            <w:tcW w:w="13211" w:type="dxa"/>
            <w:gridSpan w:val="8"/>
            <w:tcBorders>
              <w:top w:val="single" w:sz="2" w:space="0" w:color="auto"/>
              <w:left w:val="single" w:sz="12" w:space="0" w:color="auto"/>
              <w:bottom w:val="nil"/>
              <w:right w:val="single" w:sz="12" w:space="0" w:color="auto"/>
            </w:tcBorders>
            <w:vAlign w:val="center"/>
          </w:tcPr>
          <w:p w14:paraId="4D0F51EB" w14:textId="4BA6AC22" w:rsidR="00530D7A" w:rsidRPr="00677CE8" w:rsidRDefault="00530D7A" w:rsidP="00530D7A">
            <w:pPr>
              <w:rPr>
                <w:sz w:val="18"/>
                <w:szCs w:val="18"/>
              </w:rPr>
            </w:pPr>
            <w:r w:rsidRPr="00677CE8">
              <w:rPr>
                <w:b/>
                <w:bCs/>
                <w:sz w:val="18"/>
                <w:szCs w:val="18"/>
              </w:rPr>
              <w:t xml:space="preserve">Household Income </w:t>
            </w:r>
            <w:r w:rsidRPr="00677CE8">
              <w:rPr>
                <w:sz w:val="18"/>
                <w:szCs w:val="18"/>
              </w:rPr>
              <w:t>(Low income (less than $35,000), Medium income ($35,000-$100,000))</w:t>
            </w:r>
          </w:p>
        </w:tc>
      </w:tr>
      <w:tr w:rsidR="00530D7A" w:rsidRPr="00677CE8" w14:paraId="1FC8D463" w14:textId="77777777" w:rsidTr="00E83B07">
        <w:trPr>
          <w:trHeight w:val="20"/>
        </w:trPr>
        <w:tc>
          <w:tcPr>
            <w:tcW w:w="4485" w:type="dxa"/>
            <w:tcBorders>
              <w:top w:val="nil"/>
              <w:left w:val="single" w:sz="12" w:space="0" w:color="auto"/>
              <w:bottom w:val="single" w:sz="2" w:space="0" w:color="auto"/>
              <w:right w:val="nil"/>
            </w:tcBorders>
          </w:tcPr>
          <w:p w14:paraId="5F7CB16A" w14:textId="77777777" w:rsidR="00530D7A" w:rsidRPr="00677CE8" w:rsidRDefault="00530D7A" w:rsidP="00530D7A">
            <w:pPr>
              <w:ind w:left="216"/>
              <w:rPr>
                <w:sz w:val="18"/>
                <w:szCs w:val="18"/>
              </w:rPr>
            </w:pPr>
            <w:r w:rsidRPr="00677CE8">
              <w:rPr>
                <w:sz w:val="18"/>
                <w:szCs w:val="18"/>
              </w:rPr>
              <w:t>High income (more than $100,000)</w:t>
            </w:r>
          </w:p>
        </w:tc>
        <w:tc>
          <w:tcPr>
            <w:tcW w:w="1655" w:type="dxa"/>
            <w:gridSpan w:val="2"/>
            <w:tcBorders>
              <w:top w:val="nil"/>
              <w:left w:val="nil"/>
              <w:bottom w:val="single" w:sz="2" w:space="0" w:color="auto"/>
              <w:right w:val="nil"/>
            </w:tcBorders>
            <w:vAlign w:val="center"/>
          </w:tcPr>
          <w:p w14:paraId="10EA01DD" w14:textId="77777777" w:rsidR="00530D7A" w:rsidRPr="00677CE8" w:rsidRDefault="00530D7A" w:rsidP="00530D7A">
            <w:pPr>
              <w:jc w:val="center"/>
              <w:rPr>
                <w:sz w:val="18"/>
                <w:szCs w:val="18"/>
              </w:rPr>
            </w:pPr>
            <w:r w:rsidRPr="00677CE8">
              <w:rPr>
                <w:sz w:val="18"/>
                <w:szCs w:val="18"/>
              </w:rPr>
              <w:t>--</w:t>
            </w:r>
          </w:p>
        </w:tc>
        <w:tc>
          <w:tcPr>
            <w:tcW w:w="1670" w:type="dxa"/>
            <w:gridSpan w:val="2"/>
            <w:tcBorders>
              <w:top w:val="nil"/>
              <w:left w:val="nil"/>
              <w:bottom w:val="single" w:sz="2" w:space="0" w:color="auto"/>
              <w:right w:val="nil"/>
            </w:tcBorders>
            <w:vAlign w:val="center"/>
          </w:tcPr>
          <w:p w14:paraId="7C562A43" w14:textId="700169B0" w:rsidR="00530D7A" w:rsidRPr="00677CE8" w:rsidRDefault="00530D7A" w:rsidP="00530D7A">
            <w:pPr>
              <w:jc w:val="center"/>
              <w:rPr>
                <w:sz w:val="18"/>
                <w:szCs w:val="18"/>
              </w:rPr>
            </w:pPr>
            <w:r w:rsidRPr="00677CE8">
              <w:rPr>
                <w:sz w:val="18"/>
                <w:szCs w:val="18"/>
              </w:rPr>
              <w:t>--</w:t>
            </w:r>
          </w:p>
        </w:tc>
        <w:tc>
          <w:tcPr>
            <w:tcW w:w="1801" w:type="dxa"/>
            <w:tcBorders>
              <w:top w:val="nil"/>
              <w:left w:val="nil"/>
              <w:bottom w:val="single" w:sz="2" w:space="0" w:color="auto"/>
              <w:right w:val="nil"/>
            </w:tcBorders>
            <w:vAlign w:val="center"/>
          </w:tcPr>
          <w:p w14:paraId="4DAF1004" w14:textId="203B4AB1" w:rsidR="00530D7A" w:rsidRPr="00677CE8" w:rsidRDefault="00530D7A" w:rsidP="00530D7A">
            <w:pPr>
              <w:jc w:val="center"/>
              <w:rPr>
                <w:sz w:val="18"/>
                <w:szCs w:val="18"/>
              </w:rPr>
            </w:pPr>
            <w:r w:rsidRPr="00677CE8">
              <w:rPr>
                <w:sz w:val="18"/>
                <w:szCs w:val="18"/>
              </w:rPr>
              <w:t>--</w:t>
            </w:r>
          </w:p>
        </w:tc>
        <w:tc>
          <w:tcPr>
            <w:tcW w:w="1800" w:type="dxa"/>
            <w:tcBorders>
              <w:top w:val="nil"/>
              <w:left w:val="nil"/>
              <w:bottom w:val="single" w:sz="2" w:space="0" w:color="auto"/>
              <w:right w:val="nil"/>
            </w:tcBorders>
            <w:vAlign w:val="center"/>
          </w:tcPr>
          <w:p w14:paraId="5006417E" w14:textId="4BE7A0FB" w:rsidR="00530D7A" w:rsidRPr="00677CE8" w:rsidRDefault="00530D7A" w:rsidP="00530D7A">
            <w:pPr>
              <w:jc w:val="center"/>
              <w:rPr>
                <w:color w:val="000000"/>
                <w:sz w:val="18"/>
                <w:szCs w:val="18"/>
              </w:rPr>
            </w:pPr>
            <w:r w:rsidRPr="00677CE8">
              <w:rPr>
                <w:color w:val="000000"/>
                <w:sz w:val="18"/>
                <w:szCs w:val="18"/>
              </w:rPr>
              <w:t>-0.108 (-3.128)</w:t>
            </w:r>
          </w:p>
        </w:tc>
        <w:tc>
          <w:tcPr>
            <w:tcW w:w="1800" w:type="dxa"/>
            <w:tcBorders>
              <w:top w:val="nil"/>
              <w:left w:val="nil"/>
              <w:bottom w:val="single" w:sz="2" w:space="0" w:color="auto"/>
              <w:right w:val="single" w:sz="12" w:space="0" w:color="auto"/>
            </w:tcBorders>
            <w:vAlign w:val="center"/>
          </w:tcPr>
          <w:p w14:paraId="1B0B6906" w14:textId="77777777" w:rsidR="00530D7A" w:rsidRPr="00677CE8" w:rsidRDefault="00530D7A" w:rsidP="00530D7A">
            <w:pPr>
              <w:jc w:val="center"/>
              <w:rPr>
                <w:sz w:val="18"/>
                <w:szCs w:val="18"/>
              </w:rPr>
            </w:pPr>
            <w:r w:rsidRPr="00677CE8">
              <w:rPr>
                <w:sz w:val="18"/>
                <w:szCs w:val="18"/>
              </w:rPr>
              <w:t>--</w:t>
            </w:r>
          </w:p>
        </w:tc>
      </w:tr>
      <w:tr w:rsidR="00530D7A" w:rsidRPr="00677CE8" w14:paraId="72503B12" w14:textId="77777777" w:rsidTr="00E83B07">
        <w:trPr>
          <w:trHeight w:val="20"/>
        </w:trPr>
        <w:tc>
          <w:tcPr>
            <w:tcW w:w="13211" w:type="dxa"/>
            <w:gridSpan w:val="8"/>
            <w:tcBorders>
              <w:top w:val="single" w:sz="2" w:space="0" w:color="auto"/>
              <w:left w:val="single" w:sz="12" w:space="0" w:color="auto"/>
              <w:bottom w:val="nil"/>
              <w:right w:val="single" w:sz="12" w:space="0" w:color="auto"/>
            </w:tcBorders>
            <w:vAlign w:val="center"/>
          </w:tcPr>
          <w:p w14:paraId="76889F32" w14:textId="77777777" w:rsidR="00530D7A" w:rsidRPr="00677CE8" w:rsidRDefault="00530D7A" w:rsidP="00530D7A">
            <w:pPr>
              <w:rPr>
                <w:sz w:val="18"/>
                <w:szCs w:val="18"/>
              </w:rPr>
            </w:pPr>
            <w:r w:rsidRPr="00677CE8">
              <w:rPr>
                <w:b/>
                <w:bCs/>
                <w:sz w:val="18"/>
                <w:szCs w:val="18"/>
              </w:rPr>
              <w:t>Housing Type</w:t>
            </w:r>
            <w:r w:rsidRPr="00677CE8">
              <w:rPr>
                <w:sz w:val="18"/>
                <w:szCs w:val="18"/>
              </w:rPr>
              <w:t xml:space="preserve"> (Other housing arrangement)</w:t>
            </w:r>
          </w:p>
        </w:tc>
      </w:tr>
      <w:tr w:rsidR="00530D7A" w:rsidRPr="00677CE8" w14:paraId="5E07D1A3" w14:textId="77777777" w:rsidTr="00E83B07">
        <w:trPr>
          <w:trHeight w:val="20"/>
        </w:trPr>
        <w:tc>
          <w:tcPr>
            <w:tcW w:w="4485" w:type="dxa"/>
            <w:tcBorders>
              <w:top w:val="nil"/>
              <w:left w:val="single" w:sz="12" w:space="0" w:color="auto"/>
              <w:bottom w:val="single" w:sz="2" w:space="0" w:color="auto"/>
              <w:right w:val="nil"/>
            </w:tcBorders>
          </w:tcPr>
          <w:p w14:paraId="0AF70FC3" w14:textId="77777777" w:rsidR="00530D7A" w:rsidRPr="00677CE8" w:rsidRDefault="00530D7A" w:rsidP="00530D7A">
            <w:pPr>
              <w:ind w:left="216"/>
              <w:rPr>
                <w:sz w:val="18"/>
                <w:szCs w:val="18"/>
              </w:rPr>
            </w:pPr>
            <w:r w:rsidRPr="00677CE8">
              <w:rPr>
                <w:sz w:val="18"/>
                <w:szCs w:val="18"/>
              </w:rPr>
              <w:t>Single family housing</w:t>
            </w:r>
          </w:p>
        </w:tc>
        <w:tc>
          <w:tcPr>
            <w:tcW w:w="1525" w:type="dxa"/>
            <w:tcBorders>
              <w:top w:val="nil"/>
              <w:left w:val="nil"/>
              <w:bottom w:val="single" w:sz="2" w:space="0" w:color="auto"/>
              <w:right w:val="nil"/>
            </w:tcBorders>
            <w:vAlign w:val="center"/>
          </w:tcPr>
          <w:p w14:paraId="432466CF" w14:textId="77777777" w:rsidR="00530D7A" w:rsidRPr="00677CE8" w:rsidRDefault="00530D7A" w:rsidP="00530D7A">
            <w:pPr>
              <w:jc w:val="center"/>
              <w:rPr>
                <w:sz w:val="18"/>
                <w:szCs w:val="18"/>
              </w:rPr>
            </w:pPr>
            <w:r w:rsidRPr="00677CE8">
              <w:rPr>
                <w:sz w:val="18"/>
                <w:szCs w:val="18"/>
              </w:rPr>
              <w:t>--</w:t>
            </w:r>
          </w:p>
        </w:tc>
        <w:tc>
          <w:tcPr>
            <w:tcW w:w="1800" w:type="dxa"/>
            <w:gridSpan w:val="3"/>
            <w:tcBorders>
              <w:top w:val="nil"/>
              <w:left w:val="nil"/>
              <w:bottom w:val="single" w:sz="2" w:space="0" w:color="auto"/>
              <w:right w:val="nil"/>
            </w:tcBorders>
            <w:vAlign w:val="center"/>
          </w:tcPr>
          <w:p w14:paraId="6688EB2A" w14:textId="6EDC2775" w:rsidR="00530D7A" w:rsidRPr="00677CE8" w:rsidRDefault="00530D7A" w:rsidP="00530D7A">
            <w:pPr>
              <w:jc w:val="center"/>
              <w:rPr>
                <w:sz w:val="18"/>
                <w:szCs w:val="18"/>
              </w:rPr>
            </w:pPr>
            <w:r w:rsidRPr="00677CE8">
              <w:rPr>
                <w:sz w:val="18"/>
                <w:szCs w:val="18"/>
              </w:rPr>
              <w:t>-0.0731 (-3.185)</w:t>
            </w:r>
          </w:p>
        </w:tc>
        <w:tc>
          <w:tcPr>
            <w:tcW w:w="1801" w:type="dxa"/>
            <w:tcBorders>
              <w:top w:val="nil"/>
              <w:left w:val="nil"/>
              <w:bottom w:val="single" w:sz="2" w:space="0" w:color="auto"/>
              <w:right w:val="nil"/>
            </w:tcBorders>
            <w:vAlign w:val="center"/>
          </w:tcPr>
          <w:p w14:paraId="2DB28D8A" w14:textId="1AE6BBF5" w:rsidR="00530D7A" w:rsidRPr="00677CE8" w:rsidRDefault="00530D7A" w:rsidP="00530D7A">
            <w:pPr>
              <w:jc w:val="center"/>
              <w:rPr>
                <w:sz w:val="18"/>
                <w:szCs w:val="18"/>
              </w:rPr>
            </w:pPr>
            <w:r w:rsidRPr="00677CE8">
              <w:rPr>
                <w:sz w:val="18"/>
                <w:szCs w:val="18"/>
              </w:rPr>
              <w:t>-0.0629 (-2.771)</w:t>
            </w:r>
          </w:p>
        </w:tc>
        <w:tc>
          <w:tcPr>
            <w:tcW w:w="1800" w:type="dxa"/>
            <w:tcBorders>
              <w:top w:val="nil"/>
              <w:left w:val="nil"/>
              <w:bottom w:val="single" w:sz="2" w:space="0" w:color="auto"/>
              <w:right w:val="nil"/>
            </w:tcBorders>
            <w:vAlign w:val="center"/>
          </w:tcPr>
          <w:p w14:paraId="35ECB476" w14:textId="10179B5F" w:rsidR="00530D7A" w:rsidRPr="00677CE8" w:rsidRDefault="00530D7A" w:rsidP="00530D7A">
            <w:pPr>
              <w:jc w:val="center"/>
              <w:rPr>
                <w:color w:val="000000"/>
                <w:sz w:val="18"/>
                <w:szCs w:val="18"/>
              </w:rPr>
            </w:pPr>
            <w:r w:rsidRPr="00677CE8">
              <w:rPr>
                <w:color w:val="000000"/>
                <w:sz w:val="18"/>
                <w:szCs w:val="18"/>
              </w:rPr>
              <w:t>-0.1361 (-3.618)</w:t>
            </w:r>
          </w:p>
        </w:tc>
        <w:tc>
          <w:tcPr>
            <w:tcW w:w="1800" w:type="dxa"/>
            <w:tcBorders>
              <w:top w:val="nil"/>
              <w:left w:val="nil"/>
              <w:bottom w:val="single" w:sz="2" w:space="0" w:color="auto"/>
              <w:right w:val="single" w:sz="12" w:space="0" w:color="auto"/>
            </w:tcBorders>
            <w:vAlign w:val="center"/>
          </w:tcPr>
          <w:p w14:paraId="54D3D7BA" w14:textId="77777777" w:rsidR="00530D7A" w:rsidRPr="00677CE8" w:rsidRDefault="00530D7A" w:rsidP="00530D7A">
            <w:pPr>
              <w:jc w:val="center"/>
              <w:rPr>
                <w:sz w:val="18"/>
                <w:szCs w:val="18"/>
              </w:rPr>
            </w:pPr>
            <w:r w:rsidRPr="00677CE8">
              <w:rPr>
                <w:sz w:val="18"/>
                <w:szCs w:val="18"/>
              </w:rPr>
              <w:t>--</w:t>
            </w:r>
          </w:p>
        </w:tc>
      </w:tr>
      <w:tr w:rsidR="00530D7A" w:rsidRPr="00677CE8" w14:paraId="08F58A5D" w14:textId="77777777" w:rsidTr="00E83B07">
        <w:trPr>
          <w:trHeight w:val="20"/>
        </w:trPr>
        <w:tc>
          <w:tcPr>
            <w:tcW w:w="13211" w:type="dxa"/>
            <w:gridSpan w:val="8"/>
            <w:tcBorders>
              <w:top w:val="single" w:sz="2" w:space="0" w:color="auto"/>
              <w:left w:val="single" w:sz="12" w:space="0" w:color="auto"/>
              <w:bottom w:val="nil"/>
              <w:right w:val="single" w:sz="12" w:space="0" w:color="auto"/>
            </w:tcBorders>
            <w:vAlign w:val="center"/>
          </w:tcPr>
          <w:p w14:paraId="6D023699" w14:textId="14B1BDEC" w:rsidR="00530D7A" w:rsidRPr="00677CE8" w:rsidRDefault="00530D7A" w:rsidP="00530D7A">
            <w:pPr>
              <w:rPr>
                <w:sz w:val="18"/>
                <w:szCs w:val="18"/>
              </w:rPr>
            </w:pPr>
            <w:r w:rsidRPr="00677CE8">
              <w:rPr>
                <w:b/>
                <w:bCs/>
                <w:sz w:val="18"/>
                <w:szCs w:val="18"/>
              </w:rPr>
              <w:t>Number of Motorized Vehicles in Household</w:t>
            </w:r>
          </w:p>
        </w:tc>
      </w:tr>
      <w:tr w:rsidR="00530D7A" w:rsidRPr="00677CE8" w14:paraId="3643BC04" w14:textId="77777777" w:rsidTr="00E83B07">
        <w:trPr>
          <w:trHeight w:val="20"/>
        </w:trPr>
        <w:tc>
          <w:tcPr>
            <w:tcW w:w="4485" w:type="dxa"/>
            <w:tcBorders>
              <w:top w:val="nil"/>
              <w:left w:val="single" w:sz="12" w:space="0" w:color="auto"/>
              <w:bottom w:val="single" w:sz="2" w:space="0" w:color="auto"/>
              <w:right w:val="nil"/>
            </w:tcBorders>
          </w:tcPr>
          <w:p w14:paraId="4EC9D226" w14:textId="3D6FAB5B" w:rsidR="00530D7A" w:rsidRPr="00677CE8" w:rsidRDefault="00530D7A" w:rsidP="00530D7A">
            <w:pPr>
              <w:ind w:left="216"/>
              <w:rPr>
                <w:sz w:val="18"/>
                <w:szCs w:val="18"/>
              </w:rPr>
            </w:pPr>
            <w:r w:rsidRPr="00677CE8">
              <w:rPr>
                <w:sz w:val="18"/>
                <w:szCs w:val="18"/>
              </w:rPr>
              <w:t>Number of motorized vehicles within household</w:t>
            </w:r>
          </w:p>
        </w:tc>
        <w:tc>
          <w:tcPr>
            <w:tcW w:w="3325" w:type="dxa"/>
            <w:gridSpan w:val="4"/>
            <w:tcBorders>
              <w:top w:val="nil"/>
              <w:left w:val="nil"/>
              <w:bottom w:val="single" w:sz="2" w:space="0" w:color="auto"/>
              <w:right w:val="nil"/>
            </w:tcBorders>
            <w:vAlign w:val="center"/>
          </w:tcPr>
          <w:p w14:paraId="2F8FD6C5" w14:textId="2F6BA5C1" w:rsidR="00530D7A" w:rsidRPr="00677CE8" w:rsidRDefault="00530D7A" w:rsidP="00530D7A">
            <w:pPr>
              <w:jc w:val="center"/>
              <w:rPr>
                <w:sz w:val="18"/>
                <w:szCs w:val="18"/>
              </w:rPr>
            </w:pPr>
            <w:r w:rsidRPr="00677CE8">
              <w:rPr>
                <w:sz w:val="18"/>
                <w:szCs w:val="18"/>
              </w:rPr>
              <w:t>-0.0349 (-2.964)</w:t>
            </w:r>
          </w:p>
        </w:tc>
        <w:tc>
          <w:tcPr>
            <w:tcW w:w="1801" w:type="dxa"/>
            <w:tcBorders>
              <w:top w:val="nil"/>
              <w:left w:val="nil"/>
              <w:bottom w:val="single" w:sz="2" w:space="0" w:color="auto"/>
              <w:right w:val="nil"/>
            </w:tcBorders>
            <w:vAlign w:val="center"/>
          </w:tcPr>
          <w:p w14:paraId="3C2F0AAD" w14:textId="6405CE24" w:rsidR="00530D7A" w:rsidRPr="00677CE8" w:rsidRDefault="00530D7A" w:rsidP="00530D7A">
            <w:pPr>
              <w:jc w:val="center"/>
              <w:rPr>
                <w:sz w:val="18"/>
                <w:szCs w:val="18"/>
              </w:rPr>
            </w:pPr>
            <w:r w:rsidRPr="00677CE8">
              <w:rPr>
                <w:sz w:val="18"/>
                <w:szCs w:val="18"/>
              </w:rPr>
              <w:t>--</w:t>
            </w:r>
          </w:p>
        </w:tc>
        <w:tc>
          <w:tcPr>
            <w:tcW w:w="1800" w:type="dxa"/>
            <w:tcBorders>
              <w:top w:val="nil"/>
              <w:left w:val="nil"/>
              <w:bottom w:val="single" w:sz="2" w:space="0" w:color="auto"/>
              <w:right w:val="nil"/>
            </w:tcBorders>
            <w:vAlign w:val="center"/>
          </w:tcPr>
          <w:p w14:paraId="73B950C8" w14:textId="74B04B59" w:rsidR="00530D7A" w:rsidRPr="00677CE8" w:rsidRDefault="00530D7A" w:rsidP="00530D7A">
            <w:pPr>
              <w:jc w:val="center"/>
              <w:rPr>
                <w:color w:val="000000"/>
                <w:sz w:val="18"/>
                <w:szCs w:val="18"/>
              </w:rPr>
            </w:pPr>
            <w:r w:rsidRPr="00677CE8">
              <w:rPr>
                <w:color w:val="000000"/>
                <w:sz w:val="18"/>
                <w:szCs w:val="18"/>
              </w:rPr>
              <w:t>-0.0495 (-3.618)</w:t>
            </w:r>
          </w:p>
        </w:tc>
        <w:tc>
          <w:tcPr>
            <w:tcW w:w="1800" w:type="dxa"/>
            <w:tcBorders>
              <w:top w:val="nil"/>
              <w:left w:val="nil"/>
              <w:bottom w:val="single" w:sz="2" w:space="0" w:color="auto"/>
              <w:right w:val="single" w:sz="12" w:space="0" w:color="auto"/>
            </w:tcBorders>
            <w:vAlign w:val="center"/>
          </w:tcPr>
          <w:p w14:paraId="275D02DE" w14:textId="77777777" w:rsidR="00530D7A" w:rsidRPr="00677CE8" w:rsidRDefault="00530D7A" w:rsidP="00530D7A">
            <w:pPr>
              <w:jc w:val="center"/>
              <w:rPr>
                <w:sz w:val="18"/>
                <w:szCs w:val="18"/>
              </w:rPr>
            </w:pPr>
            <w:r w:rsidRPr="00677CE8">
              <w:rPr>
                <w:sz w:val="18"/>
                <w:szCs w:val="18"/>
              </w:rPr>
              <w:t>--</w:t>
            </w:r>
          </w:p>
        </w:tc>
      </w:tr>
      <w:tr w:rsidR="00530D7A" w:rsidRPr="00677CE8" w14:paraId="6D594EB2" w14:textId="77777777" w:rsidTr="00E83B07">
        <w:trPr>
          <w:trHeight w:val="20"/>
        </w:trPr>
        <w:tc>
          <w:tcPr>
            <w:tcW w:w="4485" w:type="dxa"/>
            <w:tcBorders>
              <w:top w:val="single" w:sz="2" w:space="0" w:color="auto"/>
              <w:left w:val="single" w:sz="12" w:space="0" w:color="auto"/>
              <w:bottom w:val="nil"/>
              <w:right w:val="nil"/>
            </w:tcBorders>
          </w:tcPr>
          <w:p w14:paraId="1946CD98" w14:textId="36424FBC" w:rsidR="00530D7A" w:rsidRPr="00677CE8" w:rsidRDefault="00530D7A" w:rsidP="00530D7A">
            <w:pPr>
              <w:rPr>
                <w:b/>
                <w:bCs/>
                <w:sz w:val="18"/>
                <w:szCs w:val="18"/>
              </w:rPr>
            </w:pPr>
            <w:r w:rsidRPr="00677CE8">
              <w:rPr>
                <w:b/>
                <w:bCs/>
                <w:sz w:val="18"/>
                <w:szCs w:val="18"/>
              </w:rPr>
              <w:t>State of Residence</w:t>
            </w:r>
          </w:p>
        </w:tc>
        <w:tc>
          <w:tcPr>
            <w:tcW w:w="3325" w:type="dxa"/>
            <w:gridSpan w:val="4"/>
            <w:tcBorders>
              <w:top w:val="single" w:sz="2" w:space="0" w:color="auto"/>
              <w:left w:val="nil"/>
              <w:bottom w:val="nil"/>
              <w:right w:val="nil"/>
            </w:tcBorders>
            <w:vAlign w:val="center"/>
          </w:tcPr>
          <w:p w14:paraId="4C49F305" w14:textId="77777777" w:rsidR="00530D7A" w:rsidRPr="00677CE8" w:rsidRDefault="00530D7A" w:rsidP="00530D7A">
            <w:pPr>
              <w:jc w:val="center"/>
              <w:rPr>
                <w:sz w:val="18"/>
                <w:szCs w:val="18"/>
              </w:rPr>
            </w:pPr>
          </w:p>
        </w:tc>
        <w:tc>
          <w:tcPr>
            <w:tcW w:w="1801" w:type="dxa"/>
            <w:tcBorders>
              <w:top w:val="single" w:sz="2" w:space="0" w:color="auto"/>
              <w:left w:val="nil"/>
              <w:bottom w:val="nil"/>
              <w:right w:val="nil"/>
            </w:tcBorders>
            <w:vAlign w:val="center"/>
          </w:tcPr>
          <w:p w14:paraId="4BFCE680" w14:textId="77777777" w:rsidR="00530D7A" w:rsidRPr="00677CE8" w:rsidRDefault="00530D7A" w:rsidP="00530D7A">
            <w:pPr>
              <w:jc w:val="center"/>
              <w:rPr>
                <w:sz w:val="18"/>
                <w:szCs w:val="18"/>
              </w:rPr>
            </w:pPr>
          </w:p>
        </w:tc>
        <w:tc>
          <w:tcPr>
            <w:tcW w:w="1800" w:type="dxa"/>
            <w:tcBorders>
              <w:top w:val="single" w:sz="2" w:space="0" w:color="auto"/>
              <w:left w:val="nil"/>
              <w:bottom w:val="nil"/>
              <w:right w:val="nil"/>
            </w:tcBorders>
            <w:vAlign w:val="center"/>
          </w:tcPr>
          <w:p w14:paraId="4023949E" w14:textId="77777777" w:rsidR="00530D7A" w:rsidRPr="00677CE8" w:rsidRDefault="00530D7A" w:rsidP="00530D7A">
            <w:pPr>
              <w:jc w:val="center"/>
              <w:rPr>
                <w:sz w:val="18"/>
                <w:szCs w:val="18"/>
              </w:rPr>
            </w:pPr>
          </w:p>
        </w:tc>
        <w:tc>
          <w:tcPr>
            <w:tcW w:w="1800" w:type="dxa"/>
            <w:tcBorders>
              <w:top w:val="single" w:sz="2" w:space="0" w:color="auto"/>
              <w:left w:val="nil"/>
              <w:bottom w:val="nil"/>
              <w:right w:val="single" w:sz="12" w:space="0" w:color="auto"/>
            </w:tcBorders>
            <w:vAlign w:val="center"/>
          </w:tcPr>
          <w:p w14:paraId="30093C41" w14:textId="77777777" w:rsidR="00530D7A" w:rsidRPr="00677CE8" w:rsidRDefault="00530D7A" w:rsidP="00530D7A">
            <w:pPr>
              <w:jc w:val="center"/>
              <w:rPr>
                <w:sz w:val="18"/>
                <w:szCs w:val="18"/>
              </w:rPr>
            </w:pPr>
          </w:p>
        </w:tc>
      </w:tr>
      <w:tr w:rsidR="00530D7A" w:rsidRPr="00677CE8" w14:paraId="6A434647" w14:textId="77777777" w:rsidTr="00E83B07">
        <w:trPr>
          <w:trHeight w:val="20"/>
        </w:trPr>
        <w:tc>
          <w:tcPr>
            <w:tcW w:w="4485" w:type="dxa"/>
            <w:tcBorders>
              <w:top w:val="nil"/>
              <w:left w:val="single" w:sz="12" w:space="0" w:color="auto"/>
              <w:bottom w:val="single" w:sz="12" w:space="0" w:color="auto"/>
              <w:right w:val="nil"/>
            </w:tcBorders>
          </w:tcPr>
          <w:p w14:paraId="6ECCEB28" w14:textId="739A3ECC" w:rsidR="00530D7A" w:rsidRPr="00677CE8" w:rsidRDefault="00530D7A" w:rsidP="00530D7A">
            <w:pPr>
              <w:ind w:left="216"/>
              <w:rPr>
                <w:sz w:val="18"/>
                <w:szCs w:val="18"/>
              </w:rPr>
            </w:pPr>
            <w:r w:rsidRPr="00677CE8">
              <w:rPr>
                <w:sz w:val="18"/>
                <w:szCs w:val="18"/>
              </w:rPr>
              <w:t>Texan</w:t>
            </w:r>
          </w:p>
        </w:tc>
        <w:tc>
          <w:tcPr>
            <w:tcW w:w="3325" w:type="dxa"/>
            <w:gridSpan w:val="4"/>
            <w:tcBorders>
              <w:top w:val="nil"/>
              <w:left w:val="nil"/>
              <w:bottom w:val="single" w:sz="12" w:space="0" w:color="auto"/>
              <w:right w:val="nil"/>
            </w:tcBorders>
            <w:vAlign w:val="center"/>
          </w:tcPr>
          <w:p w14:paraId="46664934" w14:textId="5E372DC7" w:rsidR="00530D7A" w:rsidRPr="00677CE8" w:rsidRDefault="00530D7A" w:rsidP="00530D7A">
            <w:pPr>
              <w:jc w:val="center"/>
              <w:rPr>
                <w:sz w:val="18"/>
                <w:szCs w:val="18"/>
              </w:rPr>
            </w:pPr>
            <w:r w:rsidRPr="00677CE8">
              <w:rPr>
                <w:sz w:val="18"/>
                <w:szCs w:val="18"/>
              </w:rPr>
              <w:t>-0.1558 (-4.941)</w:t>
            </w:r>
          </w:p>
        </w:tc>
        <w:tc>
          <w:tcPr>
            <w:tcW w:w="1801" w:type="dxa"/>
            <w:tcBorders>
              <w:top w:val="nil"/>
              <w:left w:val="nil"/>
              <w:bottom w:val="single" w:sz="12" w:space="0" w:color="auto"/>
              <w:right w:val="nil"/>
            </w:tcBorders>
            <w:vAlign w:val="center"/>
          </w:tcPr>
          <w:p w14:paraId="5D132A7A" w14:textId="474F7281" w:rsidR="00530D7A" w:rsidRPr="00677CE8" w:rsidRDefault="00530D7A" w:rsidP="00530D7A">
            <w:pPr>
              <w:jc w:val="center"/>
              <w:rPr>
                <w:sz w:val="18"/>
                <w:szCs w:val="18"/>
              </w:rPr>
            </w:pPr>
            <w:r w:rsidRPr="00677CE8">
              <w:rPr>
                <w:sz w:val="18"/>
                <w:szCs w:val="18"/>
              </w:rPr>
              <w:t>-0.0692 (-2.631)</w:t>
            </w:r>
          </w:p>
        </w:tc>
        <w:tc>
          <w:tcPr>
            <w:tcW w:w="1800" w:type="dxa"/>
            <w:tcBorders>
              <w:top w:val="nil"/>
              <w:left w:val="nil"/>
              <w:bottom w:val="single" w:sz="12" w:space="0" w:color="auto"/>
              <w:right w:val="nil"/>
            </w:tcBorders>
            <w:vAlign w:val="center"/>
          </w:tcPr>
          <w:p w14:paraId="43517B50" w14:textId="2A478C3F" w:rsidR="00530D7A" w:rsidRPr="00677CE8" w:rsidRDefault="00530D7A" w:rsidP="00530D7A">
            <w:pPr>
              <w:jc w:val="center"/>
              <w:rPr>
                <w:sz w:val="18"/>
                <w:szCs w:val="18"/>
              </w:rPr>
            </w:pPr>
            <w:r w:rsidRPr="00677CE8">
              <w:rPr>
                <w:sz w:val="18"/>
                <w:szCs w:val="18"/>
              </w:rPr>
              <w:t>-0.1366 (-2.923)</w:t>
            </w:r>
          </w:p>
        </w:tc>
        <w:tc>
          <w:tcPr>
            <w:tcW w:w="1800" w:type="dxa"/>
            <w:tcBorders>
              <w:top w:val="nil"/>
              <w:left w:val="nil"/>
              <w:bottom w:val="single" w:sz="12" w:space="0" w:color="auto"/>
              <w:right w:val="single" w:sz="12" w:space="0" w:color="auto"/>
            </w:tcBorders>
            <w:vAlign w:val="center"/>
          </w:tcPr>
          <w:p w14:paraId="27F4829B" w14:textId="1ED0F60F" w:rsidR="00530D7A" w:rsidRPr="00677CE8" w:rsidRDefault="00530D7A" w:rsidP="00530D7A">
            <w:pPr>
              <w:jc w:val="center"/>
              <w:rPr>
                <w:sz w:val="18"/>
                <w:szCs w:val="18"/>
              </w:rPr>
            </w:pPr>
            <w:r w:rsidRPr="00677CE8">
              <w:rPr>
                <w:sz w:val="18"/>
                <w:szCs w:val="18"/>
              </w:rPr>
              <w:t>--</w:t>
            </w:r>
          </w:p>
        </w:tc>
      </w:tr>
      <w:tr w:rsidR="00530D7A" w:rsidRPr="00677CE8" w14:paraId="31270D1D" w14:textId="77777777" w:rsidTr="00E83B07">
        <w:trPr>
          <w:trHeight w:val="20"/>
        </w:trPr>
        <w:tc>
          <w:tcPr>
            <w:tcW w:w="7810" w:type="dxa"/>
            <w:gridSpan w:val="5"/>
            <w:tcBorders>
              <w:top w:val="single" w:sz="12" w:space="0" w:color="auto"/>
              <w:left w:val="single" w:sz="12" w:space="0" w:color="auto"/>
              <w:bottom w:val="single" w:sz="12" w:space="0" w:color="auto"/>
              <w:right w:val="nil"/>
            </w:tcBorders>
          </w:tcPr>
          <w:p w14:paraId="6ED2271C" w14:textId="2F6C1119" w:rsidR="00530D7A" w:rsidRPr="00677CE8" w:rsidRDefault="00530D7A" w:rsidP="00530D7A">
            <w:pPr>
              <w:rPr>
                <w:i/>
                <w:iCs/>
                <w:color w:val="000000"/>
                <w:sz w:val="18"/>
                <w:szCs w:val="18"/>
              </w:rPr>
            </w:pPr>
            <w:r w:rsidRPr="00677CE8">
              <w:rPr>
                <w:b/>
                <w:bCs/>
                <w:i/>
                <w:iCs/>
                <w:sz w:val="18"/>
                <w:szCs w:val="18"/>
              </w:rPr>
              <w:t xml:space="preserve">Covariance </w:t>
            </w:r>
            <w:r w:rsidR="00667330" w:rsidRPr="00677CE8">
              <w:rPr>
                <w:b/>
                <w:bCs/>
                <w:i/>
                <w:iCs/>
                <w:sz w:val="18"/>
                <w:szCs w:val="18"/>
              </w:rPr>
              <w:t>E</w:t>
            </w:r>
            <w:r w:rsidRPr="00677CE8">
              <w:rPr>
                <w:b/>
                <w:bCs/>
                <w:i/>
                <w:iCs/>
                <w:sz w:val="18"/>
                <w:szCs w:val="18"/>
              </w:rPr>
              <w:t xml:space="preserve">lements (differenced with private vehicle) </w:t>
            </w:r>
          </w:p>
        </w:tc>
        <w:tc>
          <w:tcPr>
            <w:tcW w:w="1801" w:type="dxa"/>
            <w:tcBorders>
              <w:top w:val="single" w:sz="12" w:space="0" w:color="auto"/>
              <w:left w:val="nil"/>
              <w:bottom w:val="single" w:sz="12" w:space="0" w:color="auto"/>
              <w:right w:val="nil"/>
            </w:tcBorders>
            <w:vAlign w:val="center"/>
          </w:tcPr>
          <w:p w14:paraId="0F3343D4" w14:textId="77777777" w:rsidR="00530D7A" w:rsidRPr="00677CE8" w:rsidRDefault="00530D7A" w:rsidP="00530D7A">
            <w:pPr>
              <w:jc w:val="center"/>
              <w:rPr>
                <w:sz w:val="18"/>
                <w:szCs w:val="18"/>
              </w:rPr>
            </w:pPr>
          </w:p>
        </w:tc>
        <w:tc>
          <w:tcPr>
            <w:tcW w:w="1800" w:type="dxa"/>
            <w:tcBorders>
              <w:top w:val="single" w:sz="12" w:space="0" w:color="auto"/>
              <w:left w:val="nil"/>
              <w:bottom w:val="single" w:sz="12" w:space="0" w:color="auto"/>
              <w:right w:val="nil"/>
            </w:tcBorders>
            <w:vAlign w:val="center"/>
          </w:tcPr>
          <w:p w14:paraId="3CBDC9CC" w14:textId="77777777" w:rsidR="00530D7A" w:rsidRPr="00677CE8" w:rsidRDefault="00530D7A" w:rsidP="00530D7A">
            <w:pPr>
              <w:jc w:val="center"/>
              <w:rPr>
                <w:sz w:val="18"/>
                <w:szCs w:val="18"/>
              </w:rPr>
            </w:pPr>
          </w:p>
        </w:tc>
        <w:tc>
          <w:tcPr>
            <w:tcW w:w="1800" w:type="dxa"/>
            <w:tcBorders>
              <w:top w:val="single" w:sz="12" w:space="0" w:color="auto"/>
              <w:left w:val="nil"/>
              <w:bottom w:val="single" w:sz="12" w:space="0" w:color="auto"/>
              <w:right w:val="single" w:sz="12" w:space="0" w:color="auto"/>
            </w:tcBorders>
            <w:vAlign w:val="center"/>
          </w:tcPr>
          <w:p w14:paraId="57F37046" w14:textId="77777777" w:rsidR="00530D7A" w:rsidRPr="00677CE8" w:rsidRDefault="00530D7A" w:rsidP="00530D7A">
            <w:pPr>
              <w:jc w:val="center"/>
              <w:rPr>
                <w:sz w:val="18"/>
                <w:szCs w:val="18"/>
              </w:rPr>
            </w:pPr>
          </w:p>
        </w:tc>
      </w:tr>
      <w:tr w:rsidR="00530D7A" w:rsidRPr="00677CE8" w14:paraId="7BA8C111" w14:textId="77777777" w:rsidTr="00E83B07">
        <w:trPr>
          <w:trHeight w:val="20"/>
        </w:trPr>
        <w:tc>
          <w:tcPr>
            <w:tcW w:w="4485" w:type="dxa"/>
            <w:tcBorders>
              <w:top w:val="single" w:sz="12" w:space="0" w:color="auto"/>
              <w:left w:val="single" w:sz="12" w:space="0" w:color="auto"/>
              <w:bottom w:val="single" w:sz="2" w:space="0" w:color="auto"/>
              <w:right w:val="nil"/>
            </w:tcBorders>
          </w:tcPr>
          <w:p w14:paraId="422EE9A7" w14:textId="77777777" w:rsidR="00530D7A" w:rsidRPr="00677CE8" w:rsidRDefault="00530D7A" w:rsidP="00530D7A">
            <w:pPr>
              <w:rPr>
                <w:sz w:val="18"/>
                <w:szCs w:val="18"/>
              </w:rPr>
            </w:pPr>
            <w:r w:rsidRPr="00677CE8">
              <w:rPr>
                <w:b/>
                <w:bCs/>
                <w:sz w:val="18"/>
                <w:szCs w:val="18"/>
              </w:rPr>
              <w:t>Scales</w:t>
            </w:r>
          </w:p>
        </w:tc>
        <w:tc>
          <w:tcPr>
            <w:tcW w:w="1525" w:type="dxa"/>
            <w:tcBorders>
              <w:top w:val="single" w:sz="12" w:space="0" w:color="auto"/>
              <w:left w:val="nil"/>
              <w:bottom w:val="single" w:sz="2" w:space="0" w:color="auto"/>
              <w:right w:val="nil"/>
            </w:tcBorders>
            <w:vAlign w:val="center"/>
          </w:tcPr>
          <w:p w14:paraId="1CC67686" w14:textId="620DF770" w:rsidR="00530D7A" w:rsidRPr="00677CE8" w:rsidRDefault="00530D7A" w:rsidP="00005295">
            <w:pPr>
              <w:tabs>
                <w:tab w:val="decimal" w:pos="431"/>
                <w:tab w:val="decimal" w:pos="700"/>
              </w:tabs>
              <w:jc w:val="center"/>
              <w:rPr>
                <w:sz w:val="18"/>
                <w:szCs w:val="18"/>
              </w:rPr>
            </w:pPr>
            <w:r w:rsidRPr="00677CE8">
              <w:rPr>
                <w:sz w:val="18"/>
                <w:szCs w:val="18"/>
              </w:rPr>
              <w:t>0.4360 (</w:t>
            </w:r>
            <w:proofErr w:type="gramStart"/>
            <w:r w:rsidRPr="00677CE8">
              <w:rPr>
                <w:sz w:val="18"/>
                <w:szCs w:val="18"/>
              </w:rPr>
              <w:t>--)</w:t>
            </w:r>
            <w:r w:rsidR="007F7A3C" w:rsidRPr="00677CE8">
              <w:rPr>
                <w:sz w:val="18"/>
                <w:szCs w:val="18"/>
              </w:rPr>
              <w:t>*</w:t>
            </w:r>
            <w:proofErr w:type="gramEnd"/>
            <w:r w:rsidRPr="00677CE8">
              <w:rPr>
                <w:color w:val="FFFFFF" w:themeColor="background1"/>
                <w:sz w:val="18"/>
                <w:szCs w:val="18"/>
              </w:rPr>
              <w:t>000!</w:t>
            </w:r>
          </w:p>
        </w:tc>
        <w:tc>
          <w:tcPr>
            <w:tcW w:w="1800" w:type="dxa"/>
            <w:gridSpan w:val="3"/>
            <w:tcBorders>
              <w:top w:val="single" w:sz="12" w:space="0" w:color="auto"/>
              <w:left w:val="nil"/>
              <w:bottom w:val="single" w:sz="2" w:space="0" w:color="auto"/>
              <w:right w:val="nil"/>
            </w:tcBorders>
            <w:vAlign w:val="center"/>
          </w:tcPr>
          <w:p w14:paraId="04BDB7C4" w14:textId="77777777" w:rsidR="00530D7A" w:rsidRPr="00677CE8" w:rsidRDefault="00530D7A" w:rsidP="00530D7A">
            <w:pPr>
              <w:tabs>
                <w:tab w:val="decimal" w:pos="621"/>
              </w:tabs>
              <w:jc w:val="center"/>
              <w:rPr>
                <w:sz w:val="18"/>
                <w:szCs w:val="18"/>
              </w:rPr>
            </w:pPr>
            <w:r w:rsidRPr="00677CE8">
              <w:rPr>
                <w:sz w:val="18"/>
                <w:szCs w:val="18"/>
              </w:rPr>
              <w:t>0.5454 (</w:t>
            </w:r>
            <w:r w:rsidRPr="00677CE8">
              <w:rPr>
                <w:rFonts w:asciiTheme="minorHAnsi" w:hAnsiTheme="minorHAnsi"/>
                <w:sz w:val="18"/>
                <w:szCs w:val="18"/>
              </w:rPr>
              <w:t>40.651</w:t>
            </w:r>
            <w:r w:rsidRPr="00677CE8">
              <w:rPr>
                <w:sz w:val="18"/>
                <w:szCs w:val="18"/>
              </w:rPr>
              <w:t>)</w:t>
            </w:r>
          </w:p>
        </w:tc>
        <w:tc>
          <w:tcPr>
            <w:tcW w:w="1801" w:type="dxa"/>
            <w:tcBorders>
              <w:top w:val="single" w:sz="12" w:space="0" w:color="auto"/>
              <w:left w:val="nil"/>
              <w:bottom w:val="single" w:sz="2" w:space="0" w:color="auto"/>
              <w:right w:val="nil"/>
            </w:tcBorders>
            <w:vAlign w:val="center"/>
          </w:tcPr>
          <w:p w14:paraId="7D3F9FCF" w14:textId="77777777" w:rsidR="00530D7A" w:rsidRPr="00677CE8" w:rsidRDefault="00530D7A" w:rsidP="00530D7A">
            <w:pPr>
              <w:jc w:val="center"/>
              <w:rPr>
                <w:sz w:val="18"/>
                <w:szCs w:val="18"/>
              </w:rPr>
            </w:pPr>
            <w:r w:rsidRPr="00677CE8">
              <w:rPr>
                <w:sz w:val="18"/>
                <w:szCs w:val="18"/>
              </w:rPr>
              <w:t>0.3756 (20.651)</w:t>
            </w:r>
          </w:p>
        </w:tc>
        <w:tc>
          <w:tcPr>
            <w:tcW w:w="1800" w:type="dxa"/>
            <w:tcBorders>
              <w:top w:val="single" w:sz="12" w:space="0" w:color="auto"/>
              <w:left w:val="nil"/>
              <w:bottom w:val="single" w:sz="2" w:space="0" w:color="auto"/>
              <w:right w:val="nil"/>
            </w:tcBorders>
            <w:vAlign w:val="center"/>
          </w:tcPr>
          <w:p w14:paraId="0CE2BE97" w14:textId="77777777" w:rsidR="00530D7A" w:rsidRPr="00677CE8" w:rsidRDefault="00530D7A" w:rsidP="00530D7A">
            <w:pPr>
              <w:jc w:val="center"/>
              <w:rPr>
                <w:color w:val="000000"/>
                <w:sz w:val="18"/>
                <w:szCs w:val="18"/>
              </w:rPr>
            </w:pPr>
            <w:r w:rsidRPr="00677CE8">
              <w:rPr>
                <w:color w:val="000000"/>
                <w:sz w:val="18"/>
                <w:szCs w:val="18"/>
              </w:rPr>
              <w:t>0.6094 (43.204)</w:t>
            </w:r>
          </w:p>
        </w:tc>
        <w:tc>
          <w:tcPr>
            <w:tcW w:w="1800" w:type="dxa"/>
            <w:tcBorders>
              <w:top w:val="single" w:sz="12" w:space="0" w:color="auto"/>
              <w:left w:val="nil"/>
              <w:bottom w:val="single" w:sz="2" w:space="0" w:color="auto"/>
              <w:right w:val="single" w:sz="12" w:space="0" w:color="auto"/>
            </w:tcBorders>
            <w:vAlign w:val="center"/>
          </w:tcPr>
          <w:p w14:paraId="71B65A07" w14:textId="77777777" w:rsidR="00530D7A" w:rsidRPr="00677CE8" w:rsidRDefault="00530D7A" w:rsidP="00530D7A">
            <w:pPr>
              <w:jc w:val="center"/>
              <w:rPr>
                <w:sz w:val="18"/>
                <w:szCs w:val="18"/>
              </w:rPr>
            </w:pPr>
            <w:r w:rsidRPr="00677CE8">
              <w:rPr>
                <w:sz w:val="18"/>
                <w:szCs w:val="18"/>
              </w:rPr>
              <w:t>--</w:t>
            </w:r>
          </w:p>
        </w:tc>
      </w:tr>
      <w:tr w:rsidR="00530D7A" w:rsidRPr="00677CE8" w14:paraId="5D9A77E7" w14:textId="77777777" w:rsidTr="00E83B07">
        <w:trPr>
          <w:trHeight w:val="20"/>
        </w:trPr>
        <w:tc>
          <w:tcPr>
            <w:tcW w:w="4485" w:type="dxa"/>
            <w:tcBorders>
              <w:top w:val="single" w:sz="2" w:space="0" w:color="auto"/>
              <w:left w:val="single" w:sz="12" w:space="0" w:color="auto"/>
              <w:bottom w:val="nil"/>
              <w:right w:val="nil"/>
            </w:tcBorders>
          </w:tcPr>
          <w:p w14:paraId="14039334" w14:textId="77777777" w:rsidR="00530D7A" w:rsidRPr="00677CE8" w:rsidRDefault="00530D7A" w:rsidP="00530D7A">
            <w:pPr>
              <w:rPr>
                <w:sz w:val="18"/>
                <w:szCs w:val="18"/>
              </w:rPr>
            </w:pPr>
            <w:r w:rsidRPr="00677CE8">
              <w:rPr>
                <w:b/>
                <w:bCs/>
                <w:sz w:val="18"/>
                <w:szCs w:val="18"/>
              </w:rPr>
              <w:t>Correlations</w:t>
            </w:r>
          </w:p>
        </w:tc>
        <w:tc>
          <w:tcPr>
            <w:tcW w:w="1525" w:type="dxa"/>
            <w:tcBorders>
              <w:top w:val="single" w:sz="2" w:space="0" w:color="auto"/>
              <w:left w:val="nil"/>
              <w:bottom w:val="nil"/>
              <w:right w:val="nil"/>
            </w:tcBorders>
            <w:vAlign w:val="center"/>
          </w:tcPr>
          <w:p w14:paraId="6832E643" w14:textId="77777777" w:rsidR="00530D7A" w:rsidRPr="00677CE8" w:rsidRDefault="00530D7A" w:rsidP="00005295">
            <w:pPr>
              <w:tabs>
                <w:tab w:val="decimal" w:pos="431"/>
                <w:tab w:val="decimal" w:pos="700"/>
              </w:tabs>
              <w:jc w:val="center"/>
              <w:rPr>
                <w:sz w:val="18"/>
                <w:szCs w:val="18"/>
              </w:rPr>
            </w:pPr>
          </w:p>
        </w:tc>
        <w:tc>
          <w:tcPr>
            <w:tcW w:w="1800" w:type="dxa"/>
            <w:gridSpan w:val="3"/>
            <w:tcBorders>
              <w:top w:val="single" w:sz="2" w:space="0" w:color="auto"/>
              <w:left w:val="nil"/>
              <w:bottom w:val="nil"/>
              <w:right w:val="nil"/>
            </w:tcBorders>
            <w:vAlign w:val="center"/>
          </w:tcPr>
          <w:p w14:paraId="03B89746" w14:textId="77777777" w:rsidR="00530D7A" w:rsidRPr="00677CE8" w:rsidRDefault="00530D7A" w:rsidP="00530D7A">
            <w:pPr>
              <w:tabs>
                <w:tab w:val="decimal" w:pos="621"/>
              </w:tabs>
              <w:jc w:val="center"/>
              <w:rPr>
                <w:sz w:val="18"/>
                <w:szCs w:val="18"/>
              </w:rPr>
            </w:pPr>
          </w:p>
        </w:tc>
        <w:tc>
          <w:tcPr>
            <w:tcW w:w="1801" w:type="dxa"/>
            <w:tcBorders>
              <w:top w:val="single" w:sz="2" w:space="0" w:color="auto"/>
              <w:left w:val="nil"/>
              <w:bottom w:val="nil"/>
              <w:right w:val="nil"/>
            </w:tcBorders>
            <w:vAlign w:val="center"/>
          </w:tcPr>
          <w:p w14:paraId="5B90005D" w14:textId="77777777" w:rsidR="00530D7A" w:rsidRPr="00677CE8" w:rsidRDefault="00530D7A" w:rsidP="00530D7A">
            <w:pPr>
              <w:jc w:val="center"/>
              <w:rPr>
                <w:sz w:val="18"/>
                <w:szCs w:val="18"/>
              </w:rPr>
            </w:pPr>
          </w:p>
        </w:tc>
        <w:tc>
          <w:tcPr>
            <w:tcW w:w="1800" w:type="dxa"/>
            <w:tcBorders>
              <w:top w:val="single" w:sz="2" w:space="0" w:color="auto"/>
              <w:left w:val="nil"/>
              <w:bottom w:val="nil"/>
              <w:right w:val="nil"/>
            </w:tcBorders>
            <w:vAlign w:val="center"/>
          </w:tcPr>
          <w:p w14:paraId="3E6AE8DF" w14:textId="77777777" w:rsidR="00530D7A" w:rsidRPr="00677CE8" w:rsidRDefault="00530D7A" w:rsidP="00530D7A">
            <w:pPr>
              <w:jc w:val="center"/>
              <w:rPr>
                <w:color w:val="000000"/>
                <w:sz w:val="18"/>
                <w:szCs w:val="18"/>
              </w:rPr>
            </w:pPr>
          </w:p>
        </w:tc>
        <w:tc>
          <w:tcPr>
            <w:tcW w:w="1800" w:type="dxa"/>
            <w:tcBorders>
              <w:top w:val="single" w:sz="2" w:space="0" w:color="auto"/>
              <w:left w:val="nil"/>
              <w:bottom w:val="nil"/>
              <w:right w:val="single" w:sz="12" w:space="0" w:color="auto"/>
            </w:tcBorders>
            <w:vAlign w:val="center"/>
          </w:tcPr>
          <w:p w14:paraId="26747ADF" w14:textId="77777777" w:rsidR="00530D7A" w:rsidRPr="00677CE8" w:rsidRDefault="00530D7A" w:rsidP="00530D7A">
            <w:pPr>
              <w:jc w:val="center"/>
              <w:rPr>
                <w:sz w:val="18"/>
                <w:szCs w:val="18"/>
              </w:rPr>
            </w:pPr>
            <w:r w:rsidRPr="00677CE8">
              <w:rPr>
                <w:sz w:val="18"/>
                <w:szCs w:val="18"/>
              </w:rPr>
              <w:t>--</w:t>
            </w:r>
          </w:p>
        </w:tc>
      </w:tr>
      <w:tr w:rsidR="00530D7A" w:rsidRPr="00677CE8" w14:paraId="7AE1DA0B" w14:textId="77777777" w:rsidTr="00E83B07">
        <w:trPr>
          <w:trHeight w:val="20"/>
        </w:trPr>
        <w:tc>
          <w:tcPr>
            <w:tcW w:w="4485" w:type="dxa"/>
            <w:tcBorders>
              <w:top w:val="nil"/>
              <w:left w:val="single" w:sz="12" w:space="0" w:color="auto"/>
              <w:bottom w:val="nil"/>
              <w:right w:val="nil"/>
            </w:tcBorders>
          </w:tcPr>
          <w:p w14:paraId="09F6D048" w14:textId="77777777" w:rsidR="00530D7A" w:rsidRPr="00677CE8" w:rsidRDefault="00530D7A" w:rsidP="00530D7A">
            <w:pPr>
              <w:ind w:left="216"/>
              <w:rPr>
                <w:sz w:val="18"/>
                <w:szCs w:val="18"/>
              </w:rPr>
            </w:pPr>
            <w:r w:rsidRPr="00677CE8">
              <w:rPr>
                <w:sz w:val="18"/>
                <w:szCs w:val="18"/>
              </w:rPr>
              <w:t>Air Taxi</w:t>
            </w:r>
          </w:p>
        </w:tc>
        <w:tc>
          <w:tcPr>
            <w:tcW w:w="1525" w:type="dxa"/>
            <w:tcBorders>
              <w:top w:val="nil"/>
              <w:left w:val="nil"/>
              <w:bottom w:val="nil"/>
              <w:right w:val="nil"/>
            </w:tcBorders>
            <w:vAlign w:val="center"/>
          </w:tcPr>
          <w:p w14:paraId="5CA11B31" w14:textId="2B56CC3E" w:rsidR="00530D7A" w:rsidRPr="00677CE8" w:rsidRDefault="00530D7A" w:rsidP="00005295">
            <w:pPr>
              <w:tabs>
                <w:tab w:val="decimal" w:pos="431"/>
                <w:tab w:val="decimal" w:pos="700"/>
              </w:tabs>
              <w:jc w:val="center"/>
              <w:rPr>
                <w:sz w:val="18"/>
                <w:szCs w:val="18"/>
              </w:rPr>
            </w:pPr>
            <w:r w:rsidRPr="00677CE8">
              <w:rPr>
                <w:sz w:val="18"/>
                <w:szCs w:val="18"/>
              </w:rPr>
              <w:t>1.0000 (</w:t>
            </w:r>
            <w:proofErr w:type="gramStart"/>
            <w:r w:rsidRPr="00677CE8">
              <w:rPr>
                <w:sz w:val="18"/>
                <w:szCs w:val="18"/>
              </w:rPr>
              <w:t>--)</w:t>
            </w:r>
            <w:proofErr w:type="gramEnd"/>
            <w:r w:rsidR="00005579" w:rsidRPr="00677CE8">
              <w:rPr>
                <w:color w:val="FFFFFF" w:themeColor="background1"/>
                <w:sz w:val="18"/>
                <w:szCs w:val="18"/>
              </w:rPr>
              <w:t>)</w:t>
            </w:r>
            <w:r w:rsidRPr="00677CE8">
              <w:rPr>
                <w:color w:val="FFFFFF" w:themeColor="background1"/>
                <w:sz w:val="18"/>
                <w:szCs w:val="18"/>
              </w:rPr>
              <w:t>000!</w:t>
            </w:r>
          </w:p>
        </w:tc>
        <w:tc>
          <w:tcPr>
            <w:tcW w:w="1800" w:type="dxa"/>
            <w:gridSpan w:val="3"/>
            <w:tcBorders>
              <w:top w:val="nil"/>
              <w:left w:val="nil"/>
              <w:bottom w:val="nil"/>
              <w:right w:val="nil"/>
            </w:tcBorders>
            <w:vAlign w:val="center"/>
          </w:tcPr>
          <w:p w14:paraId="2B9D1A1E" w14:textId="77777777" w:rsidR="00530D7A" w:rsidRPr="00677CE8" w:rsidRDefault="00530D7A" w:rsidP="00530D7A">
            <w:pPr>
              <w:tabs>
                <w:tab w:val="decimal" w:pos="621"/>
              </w:tabs>
              <w:jc w:val="center"/>
              <w:rPr>
                <w:sz w:val="18"/>
                <w:szCs w:val="18"/>
              </w:rPr>
            </w:pPr>
            <w:r w:rsidRPr="00677CE8">
              <w:rPr>
                <w:sz w:val="18"/>
                <w:szCs w:val="18"/>
              </w:rPr>
              <w:t>0.8501 (14.794)</w:t>
            </w:r>
          </w:p>
        </w:tc>
        <w:tc>
          <w:tcPr>
            <w:tcW w:w="1801" w:type="dxa"/>
            <w:tcBorders>
              <w:top w:val="nil"/>
              <w:left w:val="nil"/>
              <w:bottom w:val="nil"/>
              <w:right w:val="nil"/>
            </w:tcBorders>
            <w:vAlign w:val="center"/>
          </w:tcPr>
          <w:p w14:paraId="44FFB947" w14:textId="64719105" w:rsidR="00530D7A" w:rsidRPr="00677CE8" w:rsidRDefault="00530D7A" w:rsidP="00530D7A">
            <w:pPr>
              <w:jc w:val="center"/>
              <w:rPr>
                <w:sz w:val="18"/>
                <w:szCs w:val="18"/>
              </w:rPr>
            </w:pPr>
            <w:r w:rsidRPr="00677CE8">
              <w:rPr>
                <w:sz w:val="18"/>
                <w:szCs w:val="18"/>
              </w:rPr>
              <w:t xml:space="preserve">0.4292 </w:t>
            </w:r>
            <w:r w:rsidRPr="00677CE8">
              <w:rPr>
                <w:color w:val="FFFFFF" w:themeColor="background1"/>
                <w:sz w:val="18"/>
                <w:szCs w:val="18"/>
              </w:rPr>
              <w:t>0</w:t>
            </w:r>
            <w:r w:rsidRPr="00677CE8">
              <w:rPr>
                <w:sz w:val="18"/>
                <w:szCs w:val="18"/>
              </w:rPr>
              <w:t>(8.984)</w:t>
            </w:r>
          </w:p>
        </w:tc>
        <w:tc>
          <w:tcPr>
            <w:tcW w:w="1800" w:type="dxa"/>
            <w:tcBorders>
              <w:top w:val="nil"/>
              <w:left w:val="nil"/>
              <w:bottom w:val="nil"/>
              <w:right w:val="nil"/>
            </w:tcBorders>
            <w:vAlign w:val="center"/>
          </w:tcPr>
          <w:p w14:paraId="2173C478" w14:textId="575F3094" w:rsidR="00530D7A" w:rsidRPr="00677CE8" w:rsidRDefault="00530D7A" w:rsidP="00530D7A">
            <w:pPr>
              <w:jc w:val="center"/>
              <w:rPr>
                <w:color w:val="000000"/>
                <w:sz w:val="18"/>
                <w:szCs w:val="18"/>
              </w:rPr>
            </w:pPr>
            <w:r w:rsidRPr="00677CE8">
              <w:rPr>
                <w:color w:val="000000"/>
                <w:sz w:val="18"/>
                <w:szCs w:val="18"/>
              </w:rPr>
              <w:t xml:space="preserve">0.0891 </w:t>
            </w:r>
            <w:r w:rsidRPr="00677CE8">
              <w:rPr>
                <w:color w:val="FFFFFF" w:themeColor="background1"/>
                <w:sz w:val="18"/>
                <w:szCs w:val="18"/>
              </w:rPr>
              <w:t>0</w:t>
            </w:r>
            <w:r w:rsidRPr="00677CE8">
              <w:rPr>
                <w:color w:val="000000"/>
                <w:sz w:val="18"/>
                <w:szCs w:val="18"/>
              </w:rPr>
              <w:t>(2.447)</w:t>
            </w:r>
          </w:p>
        </w:tc>
        <w:tc>
          <w:tcPr>
            <w:tcW w:w="1800" w:type="dxa"/>
            <w:tcBorders>
              <w:top w:val="nil"/>
              <w:left w:val="nil"/>
              <w:bottom w:val="nil"/>
              <w:right w:val="single" w:sz="12" w:space="0" w:color="auto"/>
            </w:tcBorders>
            <w:vAlign w:val="center"/>
          </w:tcPr>
          <w:p w14:paraId="7144E3BE" w14:textId="77777777" w:rsidR="00530D7A" w:rsidRPr="00677CE8" w:rsidRDefault="00530D7A" w:rsidP="00530D7A">
            <w:pPr>
              <w:jc w:val="center"/>
              <w:rPr>
                <w:sz w:val="18"/>
                <w:szCs w:val="18"/>
              </w:rPr>
            </w:pPr>
            <w:r w:rsidRPr="00677CE8">
              <w:rPr>
                <w:sz w:val="18"/>
                <w:szCs w:val="18"/>
              </w:rPr>
              <w:t>--</w:t>
            </w:r>
          </w:p>
        </w:tc>
      </w:tr>
      <w:tr w:rsidR="00530D7A" w:rsidRPr="00677CE8" w14:paraId="0E8E7A65" w14:textId="77777777" w:rsidTr="00E83B07">
        <w:trPr>
          <w:trHeight w:val="20"/>
        </w:trPr>
        <w:tc>
          <w:tcPr>
            <w:tcW w:w="4485" w:type="dxa"/>
            <w:tcBorders>
              <w:top w:val="nil"/>
              <w:left w:val="single" w:sz="12" w:space="0" w:color="auto"/>
              <w:bottom w:val="nil"/>
              <w:right w:val="nil"/>
            </w:tcBorders>
          </w:tcPr>
          <w:p w14:paraId="4576D919" w14:textId="77777777" w:rsidR="00530D7A" w:rsidRPr="00677CE8" w:rsidRDefault="00530D7A" w:rsidP="00530D7A">
            <w:pPr>
              <w:ind w:left="216"/>
              <w:rPr>
                <w:sz w:val="18"/>
                <w:szCs w:val="18"/>
              </w:rPr>
            </w:pPr>
            <w:r w:rsidRPr="00677CE8">
              <w:rPr>
                <w:sz w:val="18"/>
                <w:szCs w:val="18"/>
              </w:rPr>
              <w:t>Air Metro</w:t>
            </w:r>
          </w:p>
        </w:tc>
        <w:tc>
          <w:tcPr>
            <w:tcW w:w="1525" w:type="dxa"/>
            <w:tcBorders>
              <w:top w:val="nil"/>
              <w:left w:val="nil"/>
              <w:bottom w:val="nil"/>
              <w:right w:val="nil"/>
            </w:tcBorders>
            <w:vAlign w:val="center"/>
          </w:tcPr>
          <w:p w14:paraId="7B736CB8" w14:textId="77777777" w:rsidR="00530D7A" w:rsidRPr="00677CE8" w:rsidRDefault="00530D7A" w:rsidP="00005295">
            <w:pPr>
              <w:tabs>
                <w:tab w:val="decimal" w:pos="431"/>
                <w:tab w:val="decimal" w:pos="700"/>
              </w:tabs>
              <w:jc w:val="center"/>
              <w:rPr>
                <w:sz w:val="18"/>
                <w:szCs w:val="18"/>
              </w:rPr>
            </w:pPr>
            <w:r w:rsidRPr="00677CE8">
              <w:rPr>
                <w:sz w:val="18"/>
                <w:szCs w:val="18"/>
              </w:rPr>
              <w:t>--</w:t>
            </w:r>
          </w:p>
        </w:tc>
        <w:tc>
          <w:tcPr>
            <w:tcW w:w="1800" w:type="dxa"/>
            <w:gridSpan w:val="3"/>
            <w:tcBorders>
              <w:top w:val="nil"/>
              <w:left w:val="nil"/>
              <w:bottom w:val="nil"/>
              <w:right w:val="nil"/>
            </w:tcBorders>
            <w:vAlign w:val="center"/>
          </w:tcPr>
          <w:p w14:paraId="161ECA7A" w14:textId="35C878EE" w:rsidR="00530D7A" w:rsidRPr="00677CE8" w:rsidRDefault="00530D7A" w:rsidP="00530D7A">
            <w:pPr>
              <w:tabs>
                <w:tab w:val="decimal" w:pos="621"/>
              </w:tabs>
              <w:jc w:val="center"/>
              <w:rPr>
                <w:sz w:val="18"/>
                <w:szCs w:val="18"/>
              </w:rPr>
            </w:pPr>
            <w:r w:rsidRPr="00677CE8">
              <w:rPr>
                <w:sz w:val="18"/>
                <w:szCs w:val="18"/>
              </w:rPr>
              <w:t>1.0000 (--)</w:t>
            </w:r>
            <w:r w:rsidRPr="00677CE8">
              <w:rPr>
                <w:color w:val="FFFFFF" w:themeColor="background1"/>
                <w:sz w:val="18"/>
                <w:szCs w:val="18"/>
              </w:rPr>
              <w:t>000!</w:t>
            </w:r>
          </w:p>
        </w:tc>
        <w:tc>
          <w:tcPr>
            <w:tcW w:w="1801" w:type="dxa"/>
            <w:tcBorders>
              <w:top w:val="nil"/>
              <w:left w:val="nil"/>
              <w:bottom w:val="nil"/>
              <w:right w:val="nil"/>
            </w:tcBorders>
            <w:vAlign w:val="center"/>
          </w:tcPr>
          <w:p w14:paraId="364A7912" w14:textId="77777777" w:rsidR="00530D7A" w:rsidRPr="00677CE8" w:rsidRDefault="00530D7A" w:rsidP="00530D7A">
            <w:pPr>
              <w:jc w:val="center"/>
              <w:rPr>
                <w:sz w:val="18"/>
                <w:szCs w:val="18"/>
              </w:rPr>
            </w:pPr>
            <w:r w:rsidRPr="00677CE8">
              <w:rPr>
                <w:sz w:val="18"/>
                <w:szCs w:val="18"/>
              </w:rPr>
              <w:t>0.5673 (14.506)</w:t>
            </w:r>
          </w:p>
        </w:tc>
        <w:tc>
          <w:tcPr>
            <w:tcW w:w="1800" w:type="dxa"/>
            <w:tcBorders>
              <w:top w:val="nil"/>
              <w:left w:val="nil"/>
              <w:bottom w:val="nil"/>
              <w:right w:val="nil"/>
            </w:tcBorders>
            <w:vAlign w:val="center"/>
          </w:tcPr>
          <w:p w14:paraId="62137DB4" w14:textId="57F11929" w:rsidR="00530D7A" w:rsidRPr="00677CE8" w:rsidRDefault="00530D7A" w:rsidP="00530D7A">
            <w:pPr>
              <w:jc w:val="center"/>
              <w:rPr>
                <w:color w:val="000000"/>
                <w:sz w:val="18"/>
                <w:szCs w:val="18"/>
              </w:rPr>
            </w:pPr>
            <w:r w:rsidRPr="00677CE8">
              <w:rPr>
                <w:color w:val="000000"/>
                <w:sz w:val="18"/>
                <w:szCs w:val="18"/>
              </w:rPr>
              <w:t xml:space="preserve">0.2991 </w:t>
            </w:r>
            <w:r w:rsidRPr="00677CE8">
              <w:rPr>
                <w:color w:val="FFFFFF" w:themeColor="background1"/>
                <w:sz w:val="18"/>
                <w:szCs w:val="18"/>
              </w:rPr>
              <w:t>0</w:t>
            </w:r>
            <w:r w:rsidRPr="00677CE8">
              <w:rPr>
                <w:color w:val="000000"/>
                <w:sz w:val="18"/>
                <w:szCs w:val="18"/>
              </w:rPr>
              <w:t>(8.601)</w:t>
            </w:r>
          </w:p>
        </w:tc>
        <w:tc>
          <w:tcPr>
            <w:tcW w:w="1800" w:type="dxa"/>
            <w:tcBorders>
              <w:top w:val="nil"/>
              <w:left w:val="nil"/>
              <w:bottom w:val="nil"/>
              <w:right w:val="single" w:sz="12" w:space="0" w:color="auto"/>
            </w:tcBorders>
            <w:vAlign w:val="center"/>
          </w:tcPr>
          <w:p w14:paraId="20CA5E40" w14:textId="77777777" w:rsidR="00530D7A" w:rsidRPr="00677CE8" w:rsidRDefault="00530D7A" w:rsidP="00530D7A">
            <w:pPr>
              <w:jc w:val="center"/>
              <w:rPr>
                <w:sz w:val="18"/>
                <w:szCs w:val="18"/>
              </w:rPr>
            </w:pPr>
            <w:r w:rsidRPr="00677CE8">
              <w:rPr>
                <w:sz w:val="18"/>
                <w:szCs w:val="18"/>
              </w:rPr>
              <w:t>--</w:t>
            </w:r>
          </w:p>
        </w:tc>
      </w:tr>
      <w:tr w:rsidR="00530D7A" w:rsidRPr="00677CE8" w14:paraId="7A4EF5BE" w14:textId="77777777" w:rsidTr="00E83B07">
        <w:trPr>
          <w:trHeight w:val="20"/>
        </w:trPr>
        <w:tc>
          <w:tcPr>
            <w:tcW w:w="4485" w:type="dxa"/>
            <w:tcBorders>
              <w:top w:val="nil"/>
              <w:left w:val="single" w:sz="12" w:space="0" w:color="auto"/>
              <w:bottom w:val="nil"/>
              <w:right w:val="nil"/>
            </w:tcBorders>
          </w:tcPr>
          <w:p w14:paraId="0AFA3090" w14:textId="77777777" w:rsidR="00530D7A" w:rsidRPr="00677CE8" w:rsidRDefault="00530D7A" w:rsidP="00530D7A">
            <w:pPr>
              <w:ind w:left="216"/>
              <w:rPr>
                <w:sz w:val="18"/>
                <w:szCs w:val="18"/>
              </w:rPr>
            </w:pPr>
            <w:proofErr w:type="spellStart"/>
            <w:r w:rsidRPr="00677CE8">
              <w:rPr>
                <w:sz w:val="18"/>
                <w:szCs w:val="18"/>
              </w:rPr>
              <w:t>Ridehailing</w:t>
            </w:r>
            <w:proofErr w:type="spellEnd"/>
          </w:p>
        </w:tc>
        <w:tc>
          <w:tcPr>
            <w:tcW w:w="1525" w:type="dxa"/>
            <w:tcBorders>
              <w:top w:val="nil"/>
              <w:left w:val="nil"/>
              <w:bottom w:val="nil"/>
              <w:right w:val="nil"/>
            </w:tcBorders>
            <w:vAlign w:val="center"/>
          </w:tcPr>
          <w:p w14:paraId="3B25BCCF" w14:textId="77777777" w:rsidR="00530D7A" w:rsidRPr="00677CE8" w:rsidRDefault="00530D7A" w:rsidP="00005295">
            <w:pPr>
              <w:tabs>
                <w:tab w:val="decimal" w:pos="431"/>
                <w:tab w:val="decimal" w:pos="700"/>
              </w:tabs>
              <w:jc w:val="center"/>
              <w:rPr>
                <w:sz w:val="18"/>
                <w:szCs w:val="18"/>
              </w:rPr>
            </w:pPr>
            <w:r w:rsidRPr="00677CE8">
              <w:rPr>
                <w:sz w:val="18"/>
                <w:szCs w:val="18"/>
              </w:rPr>
              <w:t>--</w:t>
            </w:r>
          </w:p>
        </w:tc>
        <w:tc>
          <w:tcPr>
            <w:tcW w:w="1800" w:type="dxa"/>
            <w:gridSpan w:val="3"/>
            <w:tcBorders>
              <w:top w:val="nil"/>
              <w:left w:val="nil"/>
              <w:bottom w:val="nil"/>
              <w:right w:val="nil"/>
            </w:tcBorders>
          </w:tcPr>
          <w:p w14:paraId="31C92964" w14:textId="77777777" w:rsidR="00530D7A" w:rsidRPr="00677CE8" w:rsidRDefault="00530D7A" w:rsidP="00530D7A">
            <w:pPr>
              <w:tabs>
                <w:tab w:val="decimal" w:pos="621"/>
              </w:tabs>
              <w:jc w:val="center"/>
              <w:rPr>
                <w:sz w:val="18"/>
                <w:szCs w:val="18"/>
              </w:rPr>
            </w:pPr>
            <w:r w:rsidRPr="00677CE8">
              <w:rPr>
                <w:sz w:val="18"/>
                <w:szCs w:val="18"/>
              </w:rPr>
              <w:t>--</w:t>
            </w:r>
          </w:p>
        </w:tc>
        <w:tc>
          <w:tcPr>
            <w:tcW w:w="1801" w:type="dxa"/>
            <w:tcBorders>
              <w:top w:val="nil"/>
              <w:left w:val="nil"/>
              <w:bottom w:val="nil"/>
              <w:right w:val="nil"/>
            </w:tcBorders>
            <w:vAlign w:val="center"/>
          </w:tcPr>
          <w:p w14:paraId="0D45B327" w14:textId="62C88242" w:rsidR="00530D7A" w:rsidRPr="00677CE8" w:rsidRDefault="00530D7A" w:rsidP="00530D7A">
            <w:pPr>
              <w:jc w:val="center"/>
              <w:rPr>
                <w:sz w:val="18"/>
                <w:szCs w:val="18"/>
              </w:rPr>
            </w:pPr>
            <w:r w:rsidRPr="00677CE8">
              <w:rPr>
                <w:sz w:val="18"/>
                <w:szCs w:val="18"/>
              </w:rPr>
              <w:t>1.0000 (--)</w:t>
            </w:r>
            <w:r w:rsidRPr="00677CE8">
              <w:rPr>
                <w:color w:val="FFFFFF" w:themeColor="background1"/>
                <w:sz w:val="18"/>
                <w:szCs w:val="18"/>
              </w:rPr>
              <w:t>000!</w:t>
            </w:r>
          </w:p>
        </w:tc>
        <w:tc>
          <w:tcPr>
            <w:tcW w:w="1800" w:type="dxa"/>
            <w:tcBorders>
              <w:top w:val="nil"/>
              <w:left w:val="nil"/>
              <w:bottom w:val="nil"/>
              <w:right w:val="nil"/>
            </w:tcBorders>
            <w:vAlign w:val="center"/>
          </w:tcPr>
          <w:p w14:paraId="45F6A021" w14:textId="77777777" w:rsidR="00530D7A" w:rsidRPr="00677CE8" w:rsidRDefault="00530D7A" w:rsidP="00530D7A">
            <w:pPr>
              <w:jc w:val="center"/>
              <w:rPr>
                <w:color w:val="000000"/>
                <w:sz w:val="18"/>
                <w:szCs w:val="18"/>
              </w:rPr>
            </w:pPr>
            <w:r w:rsidRPr="00677CE8">
              <w:rPr>
                <w:color w:val="000000"/>
                <w:sz w:val="18"/>
                <w:szCs w:val="18"/>
              </w:rPr>
              <w:t>0.6303 (16.231)</w:t>
            </w:r>
          </w:p>
        </w:tc>
        <w:tc>
          <w:tcPr>
            <w:tcW w:w="1800" w:type="dxa"/>
            <w:tcBorders>
              <w:top w:val="nil"/>
              <w:left w:val="nil"/>
              <w:bottom w:val="nil"/>
              <w:right w:val="single" w:sz="12" w:space="0" w:color="auto"/>
            </w:tcBorders>
            <w:vAlign w:val="center"/>
          </w:tcPr>
          <w:p w14:paraId="2169FE56" w14:textId="77777777" w:rsidR="00530D7A" w:rsidRPr="00677CE8" w:rsidRDefault="00530D7A" w:rsidP="00530D7A">
            <w:pPr>
              <w:jc w:val="center"/>
              <w:rPr>
                <w:sz w:val="18"/>
                <w:szCs w:val="18"/>
              </w:rPr>
            </w:pPr>
            <w:r w:rsidRPr="00677CE8">
              <w:rPr>
                <w:sz w:val="18"/>
                <w:szCs w:val="18"/>
              </w:rPr>
              <w:t>--</w:t>
            </w:r>
          </w:p>
        </w:tc>
      </w:tr>
      <w:tr w:rsidR="00530D7A" w:rsidRPr="00677CE8" w14:paraId="7AF8ACD0" w14:textId="77777777" w:rsidTr="00E83B07">
        <w:trPr>
          <w:trHeight w:val="20"/>
        </w:trPr>
        <w:tc>
          <w:tcPr>
            <w:tcW w:w="4485" w:type="dxa"/>
            <w:tcBorders>
              <w:top w:val="nil"/>
              <w:left w:val="single" w:sz="12" w:space="0" w:color="auto"/>
              <w:bottom w:val="single" w:sz="2" w:space="0" w:color="auto"/>
              <w:right w:val="nil"/>
            </w:tcBorders>
          </w:tcPr>
          <w:p w14:paraId="42366552" w14:textId="77777777" w:rsidR="00530D7A" w:rsidRPr="00677CE8" w:rsidRDefault="00530D7A" w:rsidP="00530D7A">
            <w:pPr>
              <w:ind w:left="216"/>
              <w:rPr>
                <w:sz w:val="18"/>
                <w:szCs w:val="18"/>
              </w:rPr>
            </w:pPr>
            <w:r w:rsidRPr="00677CE8">
              <w:rPr>
                <w:sz w:val="18"/>
                <w:szCs w:val="18"/>
              </w:rPr>
              <w:t xml:space="preserve">Public Transportation </w:t>
            </w:r>
          </w:p>
        </w:tc>
        <w:tc>
          <w:tcPr>
            <w:tcW w:w="1525" w:type="dxa"/>
            <w:tcBorders>
              <w:top w:val="nil"/>
              <w:left w:val="nil"/>
              <w:bottom w:val="single" w:sz="2" w:space="0" w:color="auto"/>
              <w:right w:val="nil"/>
            </w:tcBorders>
            <w:vAlign w:val="center"/>
          </w:tcPr>
          <w:p w14:paraId="3BD9D8D3" w14:textId="77777777" w:rsidR="00530D7A" w:rsidRPr="00677CE8" w:rsidRDefault="00530D7A" w:rsidP="00005295">
            <w:pPr>
              <w:tabs>
                <w:tab w:val="decimal" w:pos="431"/>
                <w:tab w:val="decimal" w:pos="700"/>
              </w:tabs>
              <w:jc w:val="center"/>
              <w:rPr>
                <w:sz w:val="18"/>
                <w:szCs w:val="18"/>
              </w:rPr>
            </w:pPr>
            <w:r w:rsidRPr="00677CE8">
              <w:rPr>
                <w:sz w:val="18"/>
                <w:szCs w:val="18"/>
              </w:rPr>
              <w:t>--</w:t>
            </w:r>
          </w:p>
        </w:tc>
        <w:tc>
          <w:tcPr>
            <w:tcW w:w="1800" w:type="dxa"/>
            <w:gridSpan w:val="3"/>
            <w:tcBorders>
              <w:top w:val="nil"/>
              <w:left w:val="nil"/>
              <w:bottom w:val="single" w:sz="2" w:space="0" w:color="auto"/>
              <w:right w:val="nil"/>
            </w:tcBorders>
          </w:tcPr>
          <w:p w14:paraId="2F5FEEEB" w14:textId="77777777" w:rsidR="00530D7A" w:rsidRPr="00677CE8" w:rsidRDefault="00530D7A" w:rsidP="00530D7A">
            <w:pPr>
              <w:tabs>
                <w:tab w:val="decimal" w:pos="621"/>
              </w:tabs>
              <w:jc w:val="center"/>
              <w:rPr>
                <w:sz w:val="18"/>
                <w:szCs w:val="18"/>
              </w:rPr>
            </w:pPr>
            <w:r w:rsidRPr="00677CE8">
              <w:rPr>
                <w:sz w:val="18"/>
                <w:szCs w:val="18"/>
              </w:rPr>
              <w:t>--</w:t>
            </w:r>
          </w:p>
        </w:tc>
        <w:tc>
          <w:tcPr>
            <w:tcW w:w="1801" w:type="dxa"/>
            <w:tcBorders>
              <w:top w:val="nil"/>
              <w:left w:val="nil"/>
              <w:bottom w:val="single" w:sz="2" w:space="0" w:color="auto"/>
              <w:right w:val="nil"/>
            </w:tcBorders>
            <w:vAlign w:val="center"/>
          </w:tcPr>
          <w:p w14:paraId="0E5D862A" w14:textId="77777777" w:rsidR="00530D7A" w:rsidRPr="00677CE8" w:rsidRDefault="00530D7A" w:rsidP="00530D7A">
            <w:pPr>
              <w:jc w:val="center"/>
              <w:rPr>
                <w:sz w:val="18"/>
                <w:szCs w:val="18"/>
              </w:rPr>
            </w:pPr>
            <w:r w:rsidRPr="00677CE8">
              <w:rPr>
                <w:sz w:val="18"/>
                <w:szCs w:val="18"/>
              </w:rPr>
              <w:t>--</w:t>
            </w:r>
          </w:p>
        </w:tc>
        <w:tc>
          <w:tcPr>
            <w:tcW w:w="1800" w:type="dxa"/>
            <w:tcBorders>
              <w:top w:val="nil"/>
              <w:left w:val="nil"/>
              <w:bottom w:val="single" w:sz="2" w:space="0" w:color="auto"/>
              <w:right w:val="nil"/>
            </w:tcBorders>
            <w:vAlign w:val="center"/>
          </w:tcPr>
          <w:p w14:paraId="34F0B61A" w14:textId="76FEBCCF" w:rsidR="00530D7A" w:rsidRPr="00677CE8" w:rsidRDefault="00530D7A" w:rsidP="00530D7A">
            <w:pPr>
              <w:jc w:val="center"/>
              <w:rPr>
                <w:color w:val="000000"/>
                <w:sz w:val="18"/>
                <w:szCs w:val="18"/>
              </w:rPr>
            </w:pPr>
            <w:r w:rsidRPr="00677CE8">
              <w:rPr>
                <w:color w:val="000000"/>
                <w:sz w:val="18"/>
                <w:szCs w:val="18"/>
              </w:rPr>
              <w:t>1.0000 (--)</w:t>
            </w:r>
            <w:r w:rsidRPr="00677CE8">
              <w:rPr>
                <w:color w:val="FFFFFF" w:themeColor="background1"/>
                <w:sz w:val="18"/>
                <w:szCs w:val="18"/>
              </w:rPr>
              <w:t>0000</w:t>
            </w:r>
          </w:p>
        </w:tc>
        <w:tc>
          <w:tcPr>
            <w:tcW w:w="1800" w:type="dxa"/>
            <w:tcBorders>
              <w:top w:val="nil"/>
              <w:left w:val="nil"/>
              <w:bottom w:val="single" w:sz="2" w:space="0" w:color="auto"/>
              <w:right w:val="single" w:sz="12" w:space="0" w:color="auto"/>
            </w:tcBorders>
            <w:vAlign w:val="center"/>
          </w:tcPr>
          <w:p w14:paraId="1186C9CE" w14:textId="77777777" w:rsidR="00530D7A" w:rsidRPr="00677CE8" w:rsidRDefault="00530D7A" w:rsidP="00530D7A">
            <w:pPr>
              <w:jc w:val="center"/>
              <w:rPr>
                <w:sz w:val="18"/>
                <w:szCs w:val="18"/>
              </w:rPr>
            </w:pPr>
            <w:r w:rsidRPr="00677CE8">
              <w:rPr>
                <w:sz w:val="18"/>
                <w:szCs w:val="18"/>
              </w:rPr>
              <w:t>--</w:t>
            </w:r>
          </w:p>
        </w:tc>
      </w:tr>
      <w:tr w:rsidR="00530D7A" w:rsidRPr="00677CE8" w14:paraId="42D4918E" w14:textId="77777777" w:rsidTr="00E83B07">
        <w:trPr>
          <w:trHeight w:val="20"/>
        </w:trPr>
        <w:tc>
          <w:tcPr>
            <w:tcW w:w="4485" w:type="dxa"/>
            <w:tcBorders>
              <w:top w:val="single" w:sz="2" w:space="0" w:color="auto"/>
              <w:left w:val="single" w:sz="12" w:space="0" w:color="auto"/>
              <w:bottom w:val="single" w:sz="12" w:space="0" w:color="auto"/>
              <w:right w:val="nil"/>
            </w:tcBorders>
          </w:tcPr>
          <w:p w14:paraId="310AA49E" w14:textId="737466AF" w:rsidR="00530D7A" w:rsidRPr="00677CE8" w:rsidRDefault="00764BDA" w:rsidP="00530D7A">
            <w:pPr>
              <w:rPr>
                <w:sz w:val="18"/>
                <w:szCs w:val="18"/>
              </w:rPr>
            </w:pPr>
            <w:r w:rsidRPr="00677CE8">
              <w:rPr>
                <w:b/>
                <w:bCs/>
                <w:sz w:val="18"/>
                <w:szCs w:val="18"/>
              </w:rPr>
              <w:t xml:space="preserve">Panel </w:t>
            </w:r>
            <w:r w:rsidR="00530D7A" w:rsidRPr="00677CE8">
              <w:rPr>
                <w:b/>
                <w:bCs/>
                <w:sz w:val="18"/>
                <w:szCs w:val="18"/>
              </w:rPr>
              <w:t>Correlations</w:t>
            </w:r>
          </w:p>
        </w:tc>
        <w:tc>
          <w:tcPr>
            <w:tcW w:w="1525" w:type="dxa"/>
            <w:tcBorders>
              <w:top w:val="single" w:sz="2" w:space="0" w:color="auto"/>
              <w:left w:val="nil"/>
              <w:bottom w:val="single" w:sz="12" w:space="0" w:color="auto"/>
              <w:right w:val="nil"/>
            </w:tcBorders>
            <w:vAlign w:val="center"/>
          </w:tcPr>
          <w:p w14:paraId="005A2163" w14:textId="0531F8A6" w:rsidR="00530D7A" w:rsidRPr="00677CE8" w:rsidRDefault="00530D7A" w:rsidP="00005295">
            <w:pPr>
              <w:tabs>
                <w:tab w:val="decimal" w:pos="431"/>
                <w:tab w:val="decimal" w:pos="700"/>
              </w:tabs>
              <w:jc w:val="center"/>
              <w:rPr>
                <w:sz w:val="18"/>
                <w:szCs w:val="18"/>
              </w:rPr>
            </w:pPr>
            <w:r w:rsidRPr="00677CE8">
              <w:rPr>
                <w:sz w:val="18"/>
                <w:szCs w:val="18"/>
              </w:rPr>
              <w:t>0.2338 (4.046)</w:t>
            </w:r>
            <w:r w:rsidR="00005579" w:rsidRPr="00677CE8">
              <w:rPr>
                <w:color w:val="FFFFFF" w:themeColor="background1"/>
                <w:sz w:val="18"/>
                <w:szCs w:val="18"/>
              </w:rPr>
              <w:t>0</w:t>
            </w:r>
          </w:p>
        </w:tc>
        <w:tc>
          <w:tcPr>
            <w:tcW w:w="1800" w:type="dxa"/>
            <w:gridSpan w:val="3"/>
            <w:tcBorders>
              <w:top w:val="single" w:sz="2" w:space="0" w:color="auto"/>
              <w:left w:val="nil"/>
              <w:bottom w:val="single" w:sz="12" w:space="0" w:color="auto"/>
              <w:right w:val="nil"/>
            </w:tcBorders>
          </w:tcPr>
          <w:p w14:paraId="1CBF7A3B" w14:textId="77777777" w:rsidR="00530D7A" w:rsidRPr="00677CE8" w:rsidRDefault="00530D7A" w:rsidP="00530D7A">
            <w:pPr>
              <w:tabs>
                <w:tab w:val="decimal" w:pos="621"/>
              </w:tabs>
              <w:jc w:val="center"/>
              <w:rPr>
                <w:sz w:val="18"/>
                <w:szCs w:val="18"/>
              </w:rPr>
            </w:pPr>
            <w:r w:rsidRPr="00677CE8">
              <w:rPr>
                <w:sz w:val="18"/>
                <w:szCs w:val="18"/>
              </w:rPr>
              <w:t>--</w:t>
            </w:r>
          </w:p>
        </w:tc>
        <w:tc>
          <w:tcPr>
            <w:tcW w:w="1801" w:type="dxa"/>
            <w:tcBorders>
              <w:top w:val="single" w:sz="2" w:space="0" w:color="auto"/>
              <w:left w:val="nil"/>
              <w:bottom w:val="single" w:sz="12" w:space="0" w:color="auto"/>
              <w:right w:val="nil"/>
            </w:tcBorders>
            <w:vAlign w:val="center"/>
          </w:tcPr>
          <w:p w14:paraId="78C0E3CD" w14:textId="691B50A1" w:rsidR="00530D7A" w:rsidRPr="00677CE8" w:rsidRDefault="00530D7A" w:rsidP="00530D7A">
            <w:pPr>
              <w:jc w:val="center"/>
              <w:rPr>
                <w:sz w:val="18"/>
                <w:szCs w:val="18"/>
              </w:rPr>
            </w:pPr>
            <w:r w:rsidRPr="00677CE8">
              <w:rPr>
                <w:sz w:val="18"/>
                <w:szCs w:val="18"/>
              </w:rPr>
              <w:t xml:space="preserve">0.1090 </w:t>
            </w:r>
            <w:r w:rsidRPr="00677CE8">
              <w:rPr>
                <w:color w:val="FFFFFF" w:themeColor="background1"/>
                <w:sz w:val="18"/>
                <w:szCs w:val="18"/>
              </w:rPr>
              <w:t>0</w:t>
            </w:r>
            <w:r w:rsidRPr="00677CE8">
              <w:rPr>
                <w:sz w:val="18"/>
                <w:szCs w:val="18"/>
              </w:rPr>
              <w:t>(1.856)</w:t>
            </w:r>
          </w:p>
        </w:tc>
        <w:tc>
          <w:tcPr>
            <w:tcW w:w="1800" w:type="dxa"/>
            <w:tcBorders>
              <w:top w:val="single" w:sz="2" w:space="0" w:color="auto"/>
              <w:left w:val="nil"/>
              <w:bottom w:val="single" w:sz="12" w:space="0" w:color="auto"/>
              <w:right w:val="nil"/>
            </w:tcBorders>
            <w:vAlign w:val="center"/>
          </w:tcPr>
          <w:p w14:paraId="1AF02ACF" w14:textId="77777777" w:rsidR="00530D7A" w:rsidRPr="00677CE8" w:rsidRDefault="00530D7A" w:rsidP="00530D7A">
            <w:pPr>
              <w:jc w:val="center"/>
              <w:rPr>
                <w:color w:val="000000"/>
                <w:sz w:val="18"/>
                <w:szCs w:val="18"/>
              </w:rPr>
            </w:pPr>
            <w:r w:rsidRPr="00677CE8">
              <w:rPr>
                <w:color w:val="000000"/>
                <w:sz w:val="18"/>
                <w:szCs w:val="18"/>
              </w:rPr>
              <w:t>--</w:t>
            </w:r>
          </w:p>
        </w:tc>
        <w:tc>
          <w:tcPr>
            <w:tcW w:w="1800" w:type="dxa"/>
            <w:tcBorders>
              <w:top w:val="single" w:sz="2" w:space="0" w:color="auto"/>
              <w:left w:val="nil"/>
              <w:bottom w:val="single" w:sz="12" w:space="0" w:color="auto"/>
              <w:right w:val="single" w:sz="12" w:space="0" w:color="auto"/>
            </w:tcBorders>
            <w:vAlign w:val="center"/>
          </w:tcPr>
          <w:p w14:paraId="0AA6FA14" w14:textId="77777777" w:rsidR="00530D7A" w:rsidRPr="00677CE8" w:rsidRDefault="00530D7A" w:rsidP="00530D7A">
            <w:pPr>
              <w:jc w:val="center"/>
              <w:rPr>
                <w:sz w:val="18"/>
                <w:szCs w:val="18"/>
              </w:rPr>
            </w:pPr>
            <w:r w:rsidRPr="00677CE8">
              <w:rPr>
                <w:sz w:val="18"/>
                <w:szCs w:val="18"/>
              </w:rPr>
              <w:t>--</w:t>
            </w:r>
          </w:p>
        </w:tc>
      </w:tr>
      <w:tr w:rsidR="003B584A" w:rsidRPr="00677CE8" w14:paraId="18B76EE3" w14:textId="77777777" w:rsidTr="00E83B07">
        <w:trPr>
          <w:trHeight w:val="20"/>
        </w:trPr>
        <w:tc>
          <w:tcPr>
            <w:tcW w:w="13211" w:type="dxa"/>
            <w:gridSpan w:val="8"/>
            <w:tcBorders>
              <w:top w:val="single" w:sz="12" w:space="0" w:color="auto"/>
              <w:left w:val="nil"/>
              <w:bottom w:val="nil"/>
              <w:right w:val="nil"/>
            </w:tcBorders>
          </w:tcPr>
          <w:p w14:paraId="2452D4B8" w14:textId="5EFCC77D" w:rsidR="003B584A" w:rsidRPr="00677CE8" w:rsidRDefault="003B584A" w:rsidP="0060217F">
            <w:pPr>
              <w:rPr>
                <w:sz w:val="20"/>
                <w:szCs w:val="20"/>
              </w:rPr>
            </w:pPr>
            <w:r w:rsidRPr="00677CE8">
              <w:rPr>
                <w:sz w:val="20"/>
                <w:szCs w:val="20"/>
              </w:rPr>
              <w:t>*</w:t>
            </w:r>
            <w:r w:rsidRPr="00E83B07">
              <w:rPr>
                <w:sz w:val="18"/>
                <w:szCs w:val="18"/>
              </w:rPr>
              <w:t>A t-statistic is not shown for this coefficient because this scale is determined from the other three scales, based on the normalization adopted as discussed in Section 3.2.2</w:t>
            </w:r>
          </w:p>
        </w:tc>
      </w:tr>
    </w:tbl>
    <w:p w14:paraId="7862FA2F" w14:textId="77777777" w:rsidR="00E83B07" w:rsidRDefault="00E83B07" w:rsidP="00E83B07">
      <w:pPr>
        <w:pStyle w:val="Heading2"/>
        <w:spacing w:after="0"/>
        <w:sectPr w:rsidR="00E83B07" w:rsidSect="003F6A6B">
          <w:pgSz w:w="15840" w:h="12240" w:orient="landscape"/>
          <w:pgMar w:top="1440" w:right="1440" w:bottom="1440" w:left="1440" w:header="720" w:footer="720" w:gutter="0"/>
          <w:cols w:space="720"/>
          <w:docGrid w:linePitch="360"/>
        </w:sectPr>
      </w:pPr>
    </w:p>
    <w:p w14:paraId="181531E9" w14:textId="798EDA8B" w:rsidR="00866B66" w:rsidRPr="00677CE8" w:rsidRDefault="00866B66" w:rsidP="00E83B07">
      <w:pPr>
        <w:pStyle w:val="Heading2"/>
        <w:spacing w:after="0"/>
      </w:pPr>
      <w:r w:rsidRPr="00677CE8">
        <w:lastRenderedPageBreak/>
        <w:t>Table 7: Disaggregate Data Fit Measures</w:t>
      </w: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none" w:sz="0" w:space="0" w:color="auto"/>
          <w:insideV w:val="none" w:sz="0" w:space="0" w:color="auto"/>
        </w:tblBorders>
        <w:tblLook w:val="04A0" w:firstRow="1" w:lastRow="0" w:firstColumn="1" w:lastColumn="0" w:noHBand="0" w:noVBand="1"/>
      </w:tblPr>
      <w:tblGrid>
        <w:gridCol w:w="5035"/>
        <w:gridCol w:w="1800"/>
        <w:gridCol w:w="1800"/>
      </w:tblGrid>
      <w:tr w:rsidR="00866B66" w:rsidRPr="004D2D92" w14:paraId="39299018" w14:textId="77777777" w:rsidTr="000B501F">
        <w:tc>
          <w:tcPr>
            <w:tcW w:w="5035" w:type="dxa"/>
            <w:vMerge w:val="restart"/>
            <w:tcBorders>
              <w:top w:val="single" w:sz="12" w:space="0" w:color="000000" w:themeColor="text1"/>
              <w:bottom w:val="nil"/>
              <w:right w:val="single" w:sz="12" w:space="0" w:color="000000" w:themeColor="text1"/>
            </w:tcBorders>
            <w:vAlign w:val="center"/>
          </w:tcPr>
          <w:p w14:paraId="12C5DF4C" w14:textId="7974CAD8" w:rsidR="00866B66" w:rsidRPr="004D2D92" w:rsidRDefault="00866B66" w:rsidP="00866B66">
            <w:pPr>
              <w:rPr>
                <w:b/>
                <w:bCs/>
                <w:sz w:val="22"/>
                <w:szCs w:val="22"/>
              </w:rPr>
            </w:pPr>
            <w:r w:rsidRPr="004D2D92">
              <w:rPr>
                <w:b/>
                <w:bCs/>
                <w:sz w:val="22"/>
                <w:szCs w:val="22"/>
              </w:rPr>
              <w:t>Summary Statistics</w:t>
            </w:r>
          </w:p>
        </w:tc>
        <w:tc>
          <w:tcPr>
            <w:tcW w:w="3600" w:type="dxa"/>
            <w:gridSpan w:val="2"/>
            <w:tcBorders>
              <w:top w:val="single" w:sz="12" w:space="0" w:color="000000" w:themeColor="text1"/>
              <w:left w:val="single" w:sz="12" w:space="0" w:color="000000" w:themeColor="text1"/>
              <w:bottom w:val="single" w:sz="12" w:space="0" w:color="000000" w:themeColor="text1"/>
            </w:tcBorders>
            <w:vAlign w:val="center"/>
          </w:tcPr>
          <w:p w14:paraId="3C1C79F0" w14:textId="15B5FDA1" w:rsidR="00866B66" w:rsidRPr="004D2D92" w:rsidRDefault="00AA243E" w:rsidP="00866B66">
            <w:pPr>
              <w:jc w:val="center"/>
              <w:rPr>
                <w:b/>
                <w:bCs/>
                <w:sz w:val="22"/>
                <w:szCs w:val="22"/>
              </w:rPr>
            </w:pPr>
            <w:r w:rsidRPr="004D2D92">
              <w:rPr>
                <w:b/>
                <w:bCs/>
                <w:sz w:val="22"/>
                <w:szCs w:val="22"/>
              </w:rPr>
              <w:t>Specification</w:t>
            </w:r>
          </w:p>
        </w:tc>
      </w:tr>
      <w:tr w:rsidR="00866B66" w:rsidRPr="004D2D92" w14:paraId="754E8A4B" w14:textId="77777777" w:rsidTr="0000054E">
        <w:tc>
          <w:tcPr>
            <w:tcW w:w="5035" w:type="dxa"/>
            <w:vMerge/>
            <w:tcBorders>
              <w:top w:val="nil"/>
              <w:bottom w:val="single" w:sz="12" w:space="0" w:color="000000" w:themeColor="text1"/>
              <w:right w:val="single" w:sz="12" w:space="0" w:color="000000" w:themeColor="text1"/>
            </w:tcBorders>
          </w:tcPr>
          <w:p w14:paraId="0A89CAA7" w14:textId="77777777" w:rsidR="00866B66" w:rsidRPr="004D2D92" w:rsidRDefault="00866B66">
            <w:pPr>
              <w:rPr>
                <w:b/>
                <w:bCs/>
                <w:sz w:val="22"/>
                <w:szCs w:val="22"/>
              </w:rPr>
            </w:pPr>
          </w:p>
        </w:tc>
        <w:tc>
          <w:tcPr>
            <w:tcW w:w="1800" w:type="dxa"/>
            <w:tcBorders>
              <w:top w:val="single" w:sz="12" w:space="0" w:color="000000" w:themeColor="text1"/>
              <w:left w:val="single" w:sz="12" w:space="0" w:color="000000" w:themeColor="text1"/>
              <w:bottom w:val="single" w:sz="12" w:space="0" w:color="000000" w:themeColor="text1"/>
              <w:right w:val="single" w:sz="2" w:space="0" w:color="D1D1D1" w:themeColor="background2" w:themeShade="E6"/>
            </w:tcBorders>
            <w:vAlign w:val="center"/>
          </w:tcPr>
          <w:p w14:paraId="63302BA7" w14:textId="2E7C10E4" w:rsidR="00866B66" w:rsidRPr="004D2D92" w:rsidRDefault="00AA243E" w:rsidP="00866B66">
            <w:pPr>
              <w:jc w:val="center"/>
              <w:rPr>
                <w:b/>
                <w:bCs/>
                <w:sz w:val="22"/>
                <w:szCs w:val="22"/>
              </w:rPr>
            </w:pPr>
            <w:r w:rsidRPr="004D2D92">
              <w:rPr>
                <w:b/>
                <w:bCs/>
                <w:sz w:val="22"/>
                <w:szCs w:val="22"/>
              </w:rPr>
              <w:t>Model with Correlations</w:t>
            </w:r>
          </w:p>
        </w:tc>
        <w:tc>
          <w:tcPr>
            <w:tcW w:w="1800" w:type="dxa"/>
            <w:tcBorders>
              <w:top w:val="single" w:sz="12" w:space="0" w:color="000000" w:themeColor="text1"/>
              <w:left w:val="single" w:sz="2" w:space="0" w:color="D1D1D1" w:themeColor="background2" w:themeShade="E6"/>
              <w:bottom w:val="single" w:sz="12" w:space="0" w:color="000000" w:themeColor="text1"/>
            </w:tcBorders>
            <w:vAlign w:val="center"/>
          </w:tcPr>
          <w:p w14:paraId="4A078E58" w14:textId="48839CE8" w:rsidR="00866B66" w:rsidRPr="004D2D92" w:rsidRDefault="00866B66" w:rsidP="00866B66">
            <w:pPr>
              <w:jc w:val="center"/>
              <w:rPr>
                <w:b/>
                <w:bCs/>
                <w:sz w:val="22"/>
                <w:szCs w:val="22"/>
              </w:rPr>
            </w:pPr>
            <w:r w:rsidRPr="004D2D92">
              <w:rPr>
                <w:b/>
                <w:bCs/>
                <w:sz w:val="22"/>
                <w:szCs w:val="22"/>
              </w:rPr>
              <w:t>Independent Model</w:t>
            </w:r>
          </w:p>
        </w:tc>
      </w:tr>
      <w:tr w:rsidR="00433DF8" w:rsidRPr="004D2D92" w14:paraId="7C918D4B" w14:textId="77777777" w:rsidTr="0000054E">
        <w:tc>
          <w:tcPr>
            <w:tcW w:w="5035" w:type="dxa"/>
            <w:tcBorders>
              <w:top w:val="single" w:sz="12" w:space="0" w:color="000000" w:themeColor="text1"/>
              <w:left w:val="single" w:sz="12" w:space="0" w:color="000000" w:themeColor="text1"/>
              <w:bottom w:val="single" w:sz="2" w:space="0" w:color="auto"/>
              <w:right w:val="single" w:sz="2" w:space="0" w:color="auto"/>
            </w:tcBorders>
          </w:tcPr>
          <w:p w14:paraId="60CCEA4F" w14:textId="1E317F78" w:rsidR="00433DF8" w:rsidRPr="004D2D92" w:rsidRDefault="00433DF8" w:rsidP="00433DF8">
            <w:pPr>
              <w:rPr>
                <w:sz w:val="22"/>
                <w:szCs w:val="22"/>
              </w:rPr>
            </w:pPr>
            <w:r w:rsidRPr="004D2D92">
              <w:rPr>
                <w:sz w:val="22"/>
                <w:szCs w:val="22"/>
              </w:rPr>
              <w:t xml:space="preserve">Log-likelihood at convergence </w:t>
            </w:r>
            <w:r w:rsidR="003933CA" w:rsidRPr="004D2D92">
              <w:rPr>
                <w:position w:val="-10"/>
                <w:sz w:val="22"/>
                <w:szCs w:val="22"/>
              </w:rPr>
              <w:object w:dxaOrig="520" w:dyaOrig="380" w14:anchorId="5C8CBCBD">
                <v:shape id="_x0000_i1180" type="#_x0000_t75" style="width:25.1pt;height:18.4pt" o:ole="" o:preferrelative="f">
                  <v:imagedata r:id="rId323" o:title=""/>
                  <o:lock v:ext="edit" aspectratio="f"/>
                </v:shape>
                <o:OLEObject Type="Embed" ProgID="Equation.DSMT4" ShapeID="_x0000_i1180" DrawAspect="Content" ObjectID="_1851682110" r:id="rId324"/>
              </w:object>
            </w:r>
          </w:p>
        </w:tc>
        <w:tc>
          <w:tcPr>
            <w:tcW w:w="1800" w:type="dxa"/>
            <w:tcBorders>
              <w:top w:val="single" w:sz="12" w:space="0" w:color="000000" w:themeColor="text1"/>
              <w:left w:val="single" w:sz="2" w:space="0" w:color="auto"/>
              <w:bottom w:val="single" w:sz="2" w:space="0" w:color="auto"/>
              <w:right w:val="single" w:sz="2" w:space="0" w:color="auto"/>
            </w:tcBorders>
            <w:vAlign w:val="center"/>
          </w:tcPr>
          <w:p w14:paraId="58DCCDEB" w14:textId="358EB83F" w:rsidR="00433DF8" w:rsidRPr="004D2D92" w:rsidRDefault="00433DF8" w:rsidP="00433DF8">
            <w:pPr>
              <w:jc w:val="center"/>
              <w:rPr>
                <w:color w:val="000000"/>
                <w:sz w:val="22"/>
                <w:szCs w:val="22"/>
              </w:rPr>
            </w:pPr>
            <w:r w:rsidRPr="004D2D92">
              <w:rPr>
                <w:color w:val="000000"/>
                <w:sz w:val="22"/>
                <w:szCs w:val="22"/>
              </w:rPr>
              <w:t>-8</w:t>
            </w:r>
            <w:r w:rsidR="00133CB0" w:rsidRPr="004D2D92">
              <w:rPr>
                <w:color w:val="000000"/>
                <w:sz w:val="22"/>
                <w:szCs w:val="22"/>
              </w:rPr>
              <w:t>243</w:t>
            </w:r>
            <w:r w:rsidRPr="004D2D92">
              <w:rPr>
                <w:color w:val="000000"/>
                <w:sz w:val="22"/>
                <w:szCs w:val="22"/>
              </w:rPr>
              <w:t>.</w:t>
            </w:r>
            <w:r w:rsidR="00133CB0" w:rsidRPr="004D2D92">
              <w:rPr>
                <w:color w:val="000000"/>
                <w:sz w:val="22"/>
                <w:szCs w:val="22"/>
              </w:rPr>
              <w:t>82</w:t>
            </w:r>
          </w:p>
        </w:tc>
        <w:tc>
          <w:tcPr>
            <w:tcW w:w="1800" w:type="dxa"/>
            <w:tcBorders>
              <w:top w:val="single" w:sz="12" w:space="0" w:color="000000" w:themeColor="text1"/>
              <w:left w:val="single" w:sz="2" w:space="0" w:color="auto"/>
              <w:bottom w:val="single" w:sz="2" w:space="0" w:color="auto"/>
              <w:right w:val="single" w:sz="12" w:space="0" w:color="000000" w:themeColor="text1"/>
            </w:tcBorders>
            <w:vAlign w:val="center"/>
          </w:tcPr>
          <w:p w14:paraId="3045B084" w14:textId="1ABE78C1" w:rsidR="00433DF8" w:rsidRPr="004D2D92" w:rsidRDefault="00433DF8" w:rsidP="00433DF8">
            <w:pPr>
              <w:jc w:val="center"/>
              <w:rPr>
                <w:color w:val="000000"/>
                <w:sz w:val="22"/>
                <w:szCs w:val="22"/>
              </w:rPr>
            </w:pPr>
            <w:r w:rsidRPr="004D2D92">
              <w:rPr>
                <w:color w:val="000000"/>
                <w:sz w:val="22"/>
                <w:szCs w:val="22"/>
              </w:rPr>
              <w:t>-8</w:t>
            </w:r>
            <w:r w:rsidR="00133CB0" w:rsidRPr="004D2D92">
              <w:rPr>
                <w:color w:val="000000"/>
                <w:sz w:val="22"/>
                <w:szCs w:val="22"/>
              </w:rPr>
              <w:t>594.89</w:t>
            </w:r>
          </w:p>
        </w:tc>
      </w:tr>
      <w:tr w:rsidR="00433DF8" w:rsidRPr="004D2D92" w14:paraId="0CB92772" w14:textId="77777777" w:rsidTr="0000054E">
        <w:tc>
          <w:tcPr>
            <w:tcW w:w="5035" w:type="dxa"/>
            <w:tcBorders>
              <w:top w:val="single" w:sz="2" w:space="0" w:color="auto"/>
              <w:left w:val="single" w:sz="12" w:space="0" w:color="000000" w:themeColor="text1"/>
              <w:bottom w:val="single" w:sz="2" w:space="0" w:color="auto"/>
              <w:right w:val="single" w:sz="2" w:space="0" w:color="auto"/>
            </w:tcBorders>
          </w:tcPr>
          <w:p w14:paraId="12B11FAC" w14:textId="162F822B" w:rsidR="00433DF8" w:rsidRPr="004D2D92" w:rsidRDefault="00433DF8" w:rsidP="00433DF8">
            <w:pPr>
              <w:rPr>
                <w:sz w:val="22"/>
                <w:szCs w:val="22"/>
              </w:rPr>
            </w:pPr>
            <w:r w:rsidRPr="004D2D92">
              <w:rPr>
                <w:sz w:val="22"/>
                <w:szCs w:val="22"/>
              </w:rPr>
              <w:t xml:space="preserve">Log-likelihood of constant-only model </w:t>
            </w:r>
            <w:r w:rsidR="003933CA" w:rsidRPr="004D2D92">
              <w:rPr>
                <w:position w:val="-10"/>
                <w:sz w:val="22"/>
                <w:szCs w:val="22"/>
              </w:rPr>
              <w:object w:dxaOrig="499" w:dyaOrig="320" w14:anchorId="5874DC2D">
                <v:shape id="_x0000_i1181" type="#_x0000_t75" style="width:25.1pt;height:15.9pt" o:ole="" o:preferrelative="f">
                  <v:imagedata r:id="rId325" o:title=""/>
                  <o:lock v:ext="edit" aspectratio="f"/>
                </v:shape>
                <o:OLEObject Type="Embed" ProgID="Equation.DSMT4" ShapeID="_x0000_i1181" DrawAspect="Content" ObjectID="_1851682111" r:id="rId326"/>
              </w:object>
            </w:r>
          </w:p>
        </w:tc>
        <w:tc>
          <w:tcPr>
            <w:tcW w:w="3600" w:type="dxa"/>
            <w:gridSpan w:val="2"/>
            <w:tcBorders>
              <w:top w:val="single" w:sz="2" w:space="0" w:color="auto"/>
              <w:left w:val="single" w:sz="2" w:space="0" w:color="auto"/>
              <w:bottom w:val="single" w:sz="2" w:space="0" w:color="auto"/>
              <w:right w:val="single" w:sz="12" w:space="0" w:color="000000" w:themeColor="text1"/>
            </w:tcBorders>
            <w:vAlign w:val="center"/>
          </w:tcPr>
          <w:p w14:paraId="3FF09CB8" w14:textId="7852E363" w:rsidR="00433DF8" w:rsidRPr="004D2D92" w:rsidRDefault="00433DF8" w:rsidP="00433DF8">
            <w:pPr>
              <w:jc w:val="center"/>
              <w:rPr>
                <w:color w:val="000000"/>
                <w:sz w:val="22"/>
                <w:szCs w:val="22"/>
              </w:rPr>
            </w:pPr>
            <w:r w:rsidRPr="004D2D92">
              <w:rPr>
                <w:color w:val="000000"/>
                <w:sz w:val="22"/>
                <w:szCs w:val="22"/>
              </w:rPr>
              <w:t>-9454.21</w:t>
            </w:r>
          </w:p>
        </w:tc>
      </w:tr>
      <w:tr w:rsidR="00433DF8" w:rsidRPr="004D2D92" w14:paraId="36B43239" w14:textId="77777777" w:rsidTr="0000054E">
        <w:tc>
          <w:tcPr>
            <w:tcW w:w="5035" w:type="dxa"/>
            <w:tcBorders>
              <w:top w:val="single" w:sz="2" w:space="0" w:color="auto"/>
              <w:left w:val="single" w:sz="12" w:space="0" w:color="000000" w:themeColor="text1"/>
              <w:bottom w:val="single" w:sz="2" w:space="0" w:color="auto"/>
              <w:right w:val="single" w:sz="2" w:space="0" w:color="auto"/>
            </w:tcBorders>
          </w:tcPr>
          <w:p w14:paraId="2FD9789A" w14:textId="5D1AA5C6" w:rsidR="00433DF8" w:rsidRPr="004D2D92" w:rsidRDefault="00433DF8" w:rsidP="00433DF8">
            <w:pPr>
              <w:rPr>
                <w:sz w:val="22"/>
                <w:szCs w:val="22"/>
              </w:rPr>
            </w:pPr>
            <w:r w:rsidRPr="004D2D92">
              <w:rPr>
                <w:sz w:val="22"/>
                <w:szCs w:val="22"/>
              </w:rPr>
              <w:t>Number of parameters (including constants)</w:t>
            </w:r>
          </w:p>
        </w:tc>
        <w:tc>
          <w:tcPr>
            <w:tcW w:w="1800" w:type="dxa"/>
            <w:tcBorders>
              <w:top w:val="single" w:sz="2" w:space="0" w:color="auto"/>
              <w:left w:val="single" w:sz="2" w:space="0" w:color="auto"/>
              <w:bottom w:val="single" w:sz="2" w:space="0" w:color="auto"/>
              <w:right w:val="single" w:sz="2" w:space="0" w:color="auto"/>
            </w:tcBorders>
            <w:vAlign w:val="center"/>
          </w:tcPr>
          <w:p w14:paraId="44F484BC" w14:textId="04E70358" w:rsidR="00433DF8" w:rsidRPr="004D2D92" w:rsidRDefault="00F54295" w:rsidP="00433DF8">
            <w:pPr>
              <w:jc w:val="center"/>
              <w:rPr>
                <w:sz w:val="22"/>
                <w:szCs w:val="22"/>
              </w:rPr>
            </w:pPr>
            <w:r w:rsidRPr="004D2D92">
              <w:rPr>
                <w:sz w:val="22"/>
                <w:szCs w:val="22"/>
              </w:rPr>
              <w:t>58</w:t>
            </w:r>
          </w:p>
        </w:tc>
        <w:tc>
          <w:tcPr>
            <w:tcW w:w="1800" w:type="dxa"/>
            <w:tcBorders>
              <w:top w:val="single" w:sz="2" w:space="0" w:color="auto"/>
              <w:left w:val="single" w:sz="2" w:space="0" w:color="auto"/>
              <w:bottom w:val="single" w:sz="2" w:space="0" w:color="auto"/>
              <w:right w:val="single" w:sz="12" w:space="0" w:color="000000" w:themeColor="text1"/>
            </w:tcBorders>
            <w:vAlign w:val="center"/>
          </w:tcPr>
          <w:p w14:paraId="73950380" w14:textId="51A5DE3D" w:rsidR="00433DF8" w:rsidRPr="004D2D92" w:rsidRDefault="00433DF8" w:rsidP="00433DF8">
            <w:pPr>
              <w:jc w:val="center"/>
              <w:rPr>
                <w:sz w:val="22"/>
                <w:szCs w:val="22"/>
              </w:rPr>
            </w:pPr>
            <w:r w:rsidRPr="004D2D92">
              <w:rPr>
                <w:sz w:val="22"/>
                <w:szCs w:val="22"/>
              </w:rPr>
              <w:t>4</w:t>
            </w:r>
            <w:r w:rsidR="00133CB0" w:rsidRPr="004D2D92">
              <w:rPr>
                <w:sz w:val="22"/>
                <w:szCs w:val="22"/>
              </w:rPr>
              <w:t>7</w:t>
            </w:r>
          </w:p>
        </w:tc>
      </w:tr>
      <w:tr w:rsidR="00433DF8" w:rsidRPr="004D2D92" w14:paraId="09FE36EB" w14:textId="77777777" w:rsidTr="0000054E">
        <w:tc>
          <w:tcPr>
            <w:tcW w:w="5035" w:type="dxa"/>
            <w:tcBorders>
              <w:top w:val="single" w:sz="2" w:space="0" w:color="auto"/>
              <w:left w:val="single" w:sz="12" w:space="0" w:color="000000" w:themeColor="text1"/>
              <w:bottom w:val="single" w:sz="2" w:space="0" w:color="auto"/>
              <w:right w:val="single" w:sz="2" w:space="0" w:color="auto"/>
            </w:tcBorders>
          </w:tcPr>
          <w:p w14:paraId="39F77DC3" w14:textId="4C92DAEA" w:rsidR="00433DF8" w:rsidRPr="004D2D92" w:rsidRDefault="00433DF8" w:rsidP="00433DF8">
            <w:pPr>
              <w:rPr>
                <w:sz w:val="22"/>
                <w:szCs w:val="22"/>
              </w:rPr>
            </w:pPr>
            <w:r w:rsidRPr="004D2D92">
              <w:rPr>
                <w:sz w:val="22"/>
                <w:szCs w:val="22"/>
              </w:rPr>
              <w:t>Bayesian Information Criterion (</w:t>
            </w:r>
            <w:r w:rsidRPr="004D2D92">
              <w:rPr>
                <w:position w:val="-6"/>
                <w:sz w:val="22"/>
                <w:szCs w:val="22"/>
              </w:rPr>
              <w:object w:dxaOrig="480" w:dyaOrig="279" w14:anchorId="2815AC19">
                <v:shape id="_x0000_i1182" type="#_x0000_t75" style="width:25.1pt;height:15.05pt" o:ole="">
                  <v:imagedata r:id="rId327" o:title=""/>
                </v:shape>
                <o:OLEObject Type="Embed" ProgID="Equation.DSMT4" ShapeID="_x0000_i1182" DrawAspect="Content" ObjectID="_1851682112" r:id="rId328"/>
              </w:object>
            </w:r>
            <w:r w:rsidRPr="004D2D92">
              <w:rPr>
                <w:sz w:val="22"/>
                <w:szCs w:val="22"/>
              </w:rPr>
              <w:t>)</w:t>
            </w:r>
          </w:p>
        </w:tc>
        <w:tc>
          <w:tcPr>
            <w:tcW w:w="1800" w:type="dxa"/>
            <w:tcBorders>
              <w:top w:val="single" w:sz="2" w:space="0" w:color="auto"/>
              <w:left w:val="single" w:sz="2" w:space="0" w:color="auto"/>
              <w:bottom w:val="single" w:sz="2" w:space="0" w:color="auto"/>
              <w:right w:val="single" w:sz="2" w:space="0" w:color="auto"/>
            </w:tcBorders>
            <w:vAlign w:val="center"/>
          </w:tcPr>
          <w:p w14:paraId="66A07F80" w14:textId="1AF4EA6B" w:rsidR="00433DF8" w:rsidRPr="004D2D92" w:rsidRDefault="00AF7A26" w:rsidP="00433DF8">
            <w:pPr>
              <w:jc w:val="center"/>
              <w:rPr>
                <w:sz w:val="22"/>
                <w:szCs w:val="22"/>
              </w:rPr>
            </w:pPr>
            <w:r w:rsidRPr="004D2D92">
              <w:rPr>
                <w:sz w:val="22"/>
                <w:szCs w:val="22"/>
              </w:rPr>
              <w:t>8340.25</w:t>
            </w:r>
          </w:p>
        </w:tc>
        <w:tc>
          <w:tcPr>
            <w:tcW w:w="1800" w:type="dxa"/>
            <w:tcBorders>
              <w:top w:val="single" w:sz="2" w:space="0" w:color="auto"/>
              <w:left w:val="single" w:sz="2" w:space="0" w:color="auto"/>
              <w:bottom w:val="single" w:sz="2" w:space="0" w:color="auto"/>
              <w:right w:val="single" w:sz="12" w:space="0" w:color="000000" w:themeColor="text1"/>
            </w:tcBorders>
            <w:vAlign w:val="center"/>
          </w:tcPr>
          <w:p w14:paraId="36482D4A" w14:textId="5E2C4202" w:rsidR="00433DF8" w:rsidRPr="004D2D92" w:rsidRDefault="00AF7A26" w:rsidP="00433DF8">
            <w:pPr>
              <w:jc w:val="center"/>
              <w:rPr>
                <w:sz w:val="22"/>
                <w:szCs w:val="22"/>
              </w:rPr>
            </w:pPr>
            <w:r w:rsidRPr="004D2D92">
              <w:rPr>
                <w:sz w:val="22"/>
                <w:szCs w:val="22"/>
              </w:rPr>
              <w:t>8673.03</w:t>
            </w:r>
          </w:p>
        </w:tc>
      </w:tr>
      <w:tr w:rsidR="00433DF8" w:rsidRPr="004D2D92" w14:paraId="684FDB89" w14:textId="77777777" w:rsidTr="0000054E">
        <w:tc>
          <w:tcPr>
            <w:tcW w:w="5035" w:type="dxa"/>
            <w:tcBorders>
              <w:top w:val="single" w:sz="2" w:space="0" w:color="auto"/>
              <w:left w:val="single" w:sz="12" w:space="0" w:color="000000" w:themeColor="text1"/>
              <w:bottom w:val="single" w:sz="2" w:space="0" w:color="auto"/>
              <w:right w:val="single" w:sz="2" w:space="0" w:color="auto"/>
            </w:tcBorders>
            <w:vAlign w:val="center"/>
          </w:tcPr>
          <w:p w14:paraId="2C3B4B11" w14:textId="7E6E1831" w:rsidR="00433DF8" w:rsidRPr="004D2D92" w:rsidRDefault="00433DF8" w:rsidP="00433DF8">
            <w:pPr>
              <w:rPr>
                <w:sz w:val="22"/>
                <w:szCs w:val="22"/>
              </w:rPr>
            </w:pPr>
            <w:r w:rsidRPr="004D2D92">
              <w:rPr>
                <w:sz w:val="22"/>
                <w:szCs w:val="22"/>
              </w:rPr>
              <w:t>Adjusted likelihood ratio index (</w:t>
            </w:r>
            <w:r w:rsidRPr="004D2D92">
              <w:rPr>
                <w:rFonts w:eastAsia="Arial"/>
                <w:position w:val="-10"/>
                <w:sz w:val="22"/>
                <w:szCs w:val="22"/>
              </w:rPr>
              <w:object w:dxaOrig="320" w:dyaOrig="360" w14:anchorId="0B134C98">
                <v:shape id="_x0000_i1183" type="#_x0000_t75" style="width:15.9pt;height:18.4pt" o:ole="">
                  <v:imagedata r:id="rId329" o:title=""/>
                </v:shape>
                <o:OLEObject Type="Embed" ProgID="Equation.DSMT4" ShapeID="_x0000_i1183" DrawAspect="Content" ObjectID="_1851682113" r:id="rId330"/>
              </w:object>
            </w:r>
            <w:r w:rsidRPr="004D2D92">
              <w:rPr>
                <w:rFonts w:eastAsia="Arial"/>
                <w:sz w:val="22"/>
                <w:szCs w:val="22"/>
              </w:rPr>
              <w:t>)</w:t>
            </w:r>
          </w:p>
        </w:tc>
        <w:tc>
          <w:tcPr>
            <w:tcW w:w="1800" w:type="dxa"/>
            <w:tcBorders>
              <w:top w:val="single" w:sz="2" w:space="0" w:color="auto"/>
              <w:left w:val="single" w:sz="2" w:space="0" w:color="auto"/>
              <w:bottom w:val="single" w:sz="2" w:space="0" w:color="auto"/>
              <w:right w:val="single" w:sz="2" w:space="0" w:color="auto"/>
            </w:tcBorders>
            <w:vAlign w:val="center"/>
          </w:tcPr>
          <w:p w14:paraId="79BB9594" w14:textId="2E2BF4E6" w:rsidR="00433DF8" w:rsidRPr="004D2D92" w:rsidRDefault="00AF7A26" w:rsidP="00433DF8">
            <w:pPr>
              <w:jc w:val="center"/>
              <w:rPr>
                <w:sz w:val="22"/>
                <w:szCs w:val="22"/>
              </w:rPr>
            </w:pPr>
            <w:r w:rsidRPr="004D2D92">
              <w:rPr>
                <w:sz w:val="22"/>
                <w:szCs w:val="22"/>
              </w:rPr>
              <w:t>0.122</w:t>
            </w:r>
          </w:p>
        </w:tc>
        <w:tc>
          <w:tcPr>
            <w:tcW w:w="1800" w:type="dxa"/>
            <w:tcBorders>
              <w:top w:val="single" w:sz="2" w:space="0" w:color="auto"/>
              <w:left w:val="single" w:sz="2" w:space="0" w:color="auto"/>
              <w:bottom w:val="single" w:sz="2" w:space="0" w:color="auto"/>
              <w:right w:val="single" w:sz="12" w:space="0" w:color="000000" w:themeColor="text1"/>
            </w:tcBorders>
            <w:vAlign w:val="center"/>
          </w:tcPr>
          <w:p w14:paraId="2C6636C5" w14:textId="2E7817CF" w:rsidR="00433DF8" w:rsidRPr="004D2D92" w:rsidRDefault="00AF7A26" w:rsidP="00433DF8">
            <w:pPr>
              <w:jc w:val="center"/>
              <w:rPr>
                <w:sz w:val="22"/>
                <w:szCs w:val="22"/>
              </w:rPr>
            </w:pPr>
            <w:r w:rsidRPr="004D2D92">
              <w:rPr>
                <w:sz w:val="22"/>
                <w:szCs w:val="22"/>
              </w:rPr>
              <w:t>0.086</w:t>
            </w:r>
          </w:p>
        </w:tc>
      </w:tr>
      <w:tr w:rsidR="00433DF8" w:rsidRPr="004D2D92" w14:paraId="0839D700" w14:textId="77777777" w:rsidTr="0000054E">
        <w:tc>
          <w:tcPr>
            <w:tcW w:w="5035" w:type="dxa"/>
            <w:tcBorders>
              <w:top w:val="single" w:sz="2" w:space="0" w:color="auto"/>
              <w:left w:val="single" w:sz="12" w:space="0" w:color="000000" w:themeColor="text1"/>
              <w:bottom w:val="single" w:sz="2" w:space="0" w:color="auto"/>
              <w:right w:val="single" w:sz="2" w:space="0" w:color="auto"/>
            </w:tcBorders>
            <w:vAlign w:val="center"/>
          </w:tcPr>
          <w:p w14:paraId="7B337054" w14:textId="3139641E" w:rsidR="00433DF8" w:rsidRPr="004D2D92" w:rsidRDefault="00433DF8" w:rsidP="00433DF8">
            <w:pPr>
              <w:rPr>
                <w:sz w:val="22"/>
                <w:szCs w:val="22"/>
              </w:rPr>
            </w:pPr>
            <w:r w:rsidRPr="004D2D92">
              <w:rPr>
                <w:sz w:val="22"/>
                <w:szCs w:val="22"/>
              </w:rPr>
              <w:t>Likelihood ratio test between model with correlations and independent model</w:t>
            </w:r>
          </w:p>
        </w:tc>
        <w:tc>
          <w:tcPr>
            <w:tcW w:w="3600" w:type="dxa"/>
            <w:gridSpan w:val="2"/>
            <w:tcBorders>
              <w:top w:val="single" w:sz="2" w:space="0" w:color="auto"/>
              <w:left w:val="single" w:sz="2" w:space="0" w:color="auto"/>
              <w:bottom w:val="single" w:sz="2" w:space="0" w:color="auto"/>
              <w:right w:val="single" w:sz="12" w:space="0" w:color="000000" w:themeColor="text1"/>
            </w:tcBorders>
            <w:vAlign w:val="center"/>
          </w:tcPr>
          <w:p w14:paraId="01893819" w14:textId="4082C12F" w:rsidR="00433DF8" w:rsidRPr="004D2D92" w:rsidRDefault="00897E36" w:rsidP="00433DF8">
            <w:pPr>
              <w:jc w:val="center"/>
              <w:rPr>
                <w:sz w:val="22"/>
                <w:szCs w:val="22"/>
              </w:rPr>
            </w:pPr>
            <w:r w:rsidRPr="004D2D92">
              <w:rPr>
                <w:sz w:val="22"/>
                <w:szCs w:val="22"/>
              </w:rPr>
              <w:t xml:space="preserve">702.14 </w:t>
            </w:r>
            <w:r w:rsidR="00433DF8" w:rsidRPr="004D2D92">
              <w:rPr>
                <w:sz w:val="22"/>
                <w:szCs w:val="22"/>
              </w:rPr>
              <w:t xml:space="preserve">&gt; </w:t>
            </w:r>
            <w:r w:rsidR="00AF7A26" w:rsidRPr="004D2D92">
              <w:rPr>
                <w:position w:val="-14"/>
                <w:sz w:val="22"/>
                <w:szCs w:val="22"/>
              </w:rPr>
              <w:object w:dxaOrig="1740" w:dyaOrig="400" w14:anchorId="198E9A4F">
                <v:shape id="_x0000_i1184" type="#_x0000_t75" style="width:87.9pt;height:20.95pt" o:ole="">
                  <v:imagedata r:id="rId331" o:title=""/>
                </v:shape>
                <o:OLEObject Type="Embed" ProgID="Equation.DSMT4" ShapeID="_x0000_i1184" DrawAspect="Content" ObjectID="_1851682114" r:id="rId332"/>
              </w:object>
            </w:r>
            <w:r w:rsidR="00433DF8" w:rsidRPr="004D2D92">
              <w:rPr>
                <w:position w:val="-4"/>
                <w:sz w:val="22"/>
                <w:szCs w:val="22"/>
              </w:rPr>
              <w:object w:dxaOrig="180" w:dyaOrig="279" w14:anchorId="7E2CD6B8">
                <v:shape id="_x0000_i1185" type="#_x0000_t75" style="width:8.35pt;height:15.05pt" o:ole="">
                  <v:imagedata r:id="rId333" o:title=""/>
                </v:shape>
                <o:OLEObject Type="Embed" ProgID="Equation.DSMT4" ShapeID="_x0000_i1185" DrawAspect="Content" ObjectID="_1851682115" r:id="rId334"/>
              </w:object>
            </w:r>
          </w:p>
        </w:tc>
      </w:tr>
      <w:tr w:rsidR="00433DF8" w:rsidRPr="004D2D92" w14:paraId="2F6881CF" w14:textId="77777777" w:rsidTr="0000054E">
        <w:tc>
          <w:tcPr>
            <w:tcW w:w="5035" w:type="dxa"/>
            <w:tcBorders>
              <w:top w:val="single" w:sz="2" w:space="0" w:color="auto"/>
              <w:left w:val="single" w:sz="12" w:space="0" w:color="000000" w:themeColor="text1"/>
              <w:bottom w:val="single" w:sz="12" w:space="0" w:color="000000" w:themeColor="text1"/>
              <w:right w:val="single" w:sz="2" w:space="0" w:color="auto"/>
            </w:tcBorders>
          </w:tcPr>
          <w:p w14:paraId="6F04E167" w14:textId="3E66DF20" w:rsidR="00433DF8" w:rsidRPr="004D2D92" w:rsidRDefault="00433DF8" w:rsidP="00433DF8">
            <w:pPr>
              <w:rPr>
                <w:sz w:val="22"/>
                <w:szCs w:val="22"/>
              </w:rPr>
            </w:pPr>
            <w:r w:rsidRPr="004D2D92">
              <w:rPr>
                <w:sz w:val="22"/>
                <w:szCs w:val="22"/>
              </w:rPr>
              <w:t>Average probability of correct prediction</w:t>
            </w:r>
          </w:p>
        </w:tc>
        <w:tc>
          <w:tcPr>
            <w:tcW w:w="1800" w:type="dxa"/>
            <w:tcBorders>
              <w:top w:val="single" w:sz="2" w:space="0" w:color="auto"/>
              <w:left w:val="single" w:sz="2" w:space="0" w:color="auto"/>
              <w:bottom w:val="single" w:sz="12" w:space="0" w:color="000000" w:themeColor="text1"/>
              <w:right w:val="single" w:sz="2" w:space="0" w:color="auto"/>
            </w:tcBorders>
            <w:vAlign w:val="center"/>
          </w:tcPr>
          <w:p w14:paraId="29481F5C" w14:textId="29EACFE1" w:rsidR="00433DF8" w:rsidRPr="004D2D92" w:rsidRDefault="00433DF8" w:rsidP="00433DF8">
            <w:pPr>
              <w:jc w:val="center"/>
              <w:rPr>
                <w:color w:val="000000"/>
                <w:sz w:val="22"/>
                <w:szCs w:val="22"/>
              </w:rPr>
            </w:pPr>
            <w:r w:rsidRPr="004D2D92">
              <w:rPr>
                <w:color w:val="000000"/>
                <w:sz w:val="22"/>
                <w:szCs w:val="22"/>
              </w:rPr>
              <w:t>0.040</w:t>
            </w:r>
          </w:p>
        </w:tc>
        <w:tc>
          <w:tcPr>
            <w:tcW w:w="1800" w:type="dxa"/>
            <w:tcBorders>
              <w:top w:val="single" w:sz="2" w:space="0" w:color="auto"/>
              <w:left w:val="single" w:sz="2" w:space="0" w:color="auto"/>
              <w:bottom w:val="single" w:sz="12" w:space="0" w:color="000000" w:themeColor="text1"/>
              <w:right w:val="single" w:sz="12" w:space="0" w:color="000000" w:themeColor="text1"/>
            </w:tcBorders>
            <w:vAlign w:val="center"/>
          </w:tcPr>
          <w:p w14:paraId="4EE7D879" w14:textId="7C8C5135" w:rsidR="00433DF8" w:rsidRPr="004D2D92" w:rsidRDefault="00433DF8" w:rsidP="00433DF8">
            <w:pPr>
              <w:jc w:val="center"/>
              <w:rPr>
                <w:color w:val="000000"/>
                <w:sz w:val="22"/>
                <w:szCs w:val="22"/>
              </w:rPr>
            </w:pPr>
            <w:r w:rsidRPr="004D2D92">
              <w:rPr>
                <w:color w:val="000000"/>
                <w:sz w:val="22"/>
                <w:szCs w:val="22"/>
              </w:rPr>
              <w:t>0.03</w:t>
            </w:r>
            <w:r w:rsidR="00DD6C8F" w:rsidRPr="004D2D92">
              <w:rPr>
                <w:color w:val="000000"/>
                <w:sz w:val="22"/>
                <w:szCs w:val="22"/>
              </w:rPr>
              <w:t>1</w:t>
            </w:r>
          </w:p>
        </w:tc>
      </w:tr>
    </w:tbl>
    <w:p w14:paraId="1E4A1B55" w14:textId="64E02A59" w:rsidR="00B1777F" w:rsidRPr="00677CE8" w:rsidRDefault="00B1777F">
      <w:pPr>
        <w:rPr>
          <w:b/>
          <w:bCs/>
        </w:rPr>
      </w:pPr>
    </w:p>
    <w:p w14:paraId="790FFAAA" w14:textId="77777777" w:rsidR="00EC192F" w:rsidRPr="00677CE8" w:rsidRDefault="00EC192F">
      <w:pPr>
        <w:rPr>
          <w:b/>
          <w:bCs/>
        </w:rPr>
      </w:pPr>
      <w:r w:rsidRPr="00677CE8">
        <w:br w:type="page"/>
      </w:r>
    </w:p>
    <w:p w14:paraId="2C3C5C1C" w14:textId="77777777" w:rsidR="004D2D92" w:rsidRDefault="004D2D92" w:rsidP="00FF3FFA">
      <w:pPr>
        <w:pStyle w:val="Heading2"/>
        <w:spacing w:after="0" w:line="240" w:lineRule="auto"/>
        <w:sectPr w:rsidR="004D2D92" w:rsidSect="00E83B07">
          <w:pgSz w:w="12240" w:h="15840"/>
          <w:pgMar w:top="1440" w:right="1440" w:bottom="1440" w:left="1440" w:header="720" w:footer="720" w:gutter="0"/>
          <w:cols w:space="720"/>
          <w:docGrid w:linePitch="360"/>
        </w:sectPr>
      </w:pPr>
    </w:p>
    <w:p w14:paraId="6BE7B6CC" w14:textId="77023F1E" w:rsidR="00FF3FFA" w:rsidRPr="00677CE8" w:rsidRDefault="00FF3FFA" w:rsidP="00FF3FFA">
      <w:pPr>
        <w:pStyle w:val="Heading2"/>
        <w:spacing w:after="0" w:line="240" w:lineRule="auto"/>
      </w:pPr>
      <w:r w:rsidRPr="00677CE8">
        <w:lastRenderedPageBreak/>
        <w:t>Table 8: Average Treatment Effects</w:t>
      </w:r>
    </w:p>
    <w:tbl>
      <w:tblPr>
        <w:tblStyle w:val="TableGrid"/>
        <w:tblW w:w="13250"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2700"/>
        <w:gridCol w:w="2700"/>
        <w:gridCol w:w="2955"/>
        <w:gridCol w:w="987"/>
        <w:gridCol w:w="990"/>
        <w:gridCol w:w="1036"/>
        <w:gridCol w:w="955"/>
        <w:gridCol w:w="927"/>
      </w:tblGrid>
      <w:tr w:rsidR="00FF3FFA" w:rsidRPr="00677CE8" w14:paraId="0ECBF4D1" w14:textId="77777777" w:rsidTr="004D2D92">
        <w:tc>
          <w:tcPr>
            <w:tcW w:w="2700" w:type="dxa"/>
            <w:vMerge w:val="restart"/>
            <w:tcBorders>
              <w:top w:val="single" w:sz="12" w:space="0" w:color="auto"/>
              <w:bottom w:val="nil"/>
            </w:tcBorders>
            <w:tcMar>
              <w:left w:w="29" w:type="dxa"/>
              <w:right w:w="29" w:type="dxa"/>
            </w:tcMar>
            <w:vAlign w:val="center"/>
          </w:tcPr>
          <w:p w14:paraId="335CABF8" w14:textId="77777777" w:rsidR="00FF3FFA" w:rsidRPr="00677CE8" w:rsidRDefault="00FF3FFA" w:rsidP="00B56FA5">
            <w:pPr>
              <w:rPr>
                <w:b/>
                <w:bCs/>
                <w:sz w:val="19"/>
                <w:szCs w:val="19"/>
              </w:rPr>
            </w:pPr>
            <w:r w:rsidRPr="00677CE8">
              <w:rPr>
                <w:b/>
                <w:bCs/>
                <w:sz w:val="19"/>
                <w:szCs w:val="19"/>
              </w:rPr>
              <w:t>Variable</w:t>
            </w:r>
          </w:p>
        </w:tc>
        <w:tc>
          <w:tcPr>
            <w:tcW w:w="2700" w:type="dxa"/>
            <w:vMerge w:val="restart"/>
            <w:tcBorders>
              <w:top w:val="single" w:sz="12" w:space="0" w:color="auto"/>
              <w:bottom w:val="nil"/>
            </w:tcBorders>
            <w:tcMar>
              <w:left w:w="29" w:type="dxa"/>
              <w:right w:w="29" w:type="dxa"/>
            </w:tcMar>
            <w:vAlign w:val="center"/>
          </w:tcPr>
          <w:p w14:paraId="053E0650" w14:textId="77777777" w:rsidR="00FF3FFA" w:rsidRPr="00677CE8" w:rsidRDefault="00FF3FFA" w:rsidP="00B56FA5">
            <w:pPr>
              <w:rPr>
                <w:b/>
                <w:bCs/>
                <w:sz w:val="19"/>
                <w:szCs w:val="19"/>
              </w:rPr>
            </w:pPr>
            <w:r w:rsidRPr="00677CE8">
              <w:rPr>
                <w:b/>
                <w:bCs/>
                <w:sz w:val="19"/>
                <w:szCs w:val="19"/>
              </w:rPr>
              <w:t>Base</w:t>
            </w:r>
          </w:p>
        </w:tc>
        <w:tc>
          <w:tcPr>
            <w:tcW w:w="2955" w:type="dxa"/>
            <w:vMerge w:val="restart"/>
            <w:tcBorders>
              <w:top w:val="single" w:sz="12" w:space="0" w:color="auto"/>
              <w:bottom w:val="nil"/>
            </w:tcBorders>
            <w:tcMar>
              <w:left w:w="29" w:type="dxa"/>
              <w:right w:w="29" w:type="dxa"/>
            </w:tcMar>
            <w:vAlign w:val="center"/>
          </w:tcPr>
          <w:p w14:paraId="3784EDE6" w14:textId="77777777" w:rsidR="00FF3FFA" w:rsidRPr="00677CE8" w:rsidRDefault="00FF3FFA" w:rsidP="00B56FA5">
            <w:pPr>
              <w:rPr>
                <w:b/>
                <w:bCs/>
                <w:sz w:val="19"/>
                <w:szCs w:val="19"/>
              </w:rPr>
            </w:pPr>
            <w:r w:rsidRPr="00677CE8">
              <w:rPr>
                <w:b/>
                <w:bCs/>
                <w:sz w:val="19"/>
                <w:szCs w:val="19"/>
              </w:rPr>
              <w:t xml:space="preserve">Treatment </w:t>
            </w:r>
          </w:p>
        </w:tc>
        <w:tc>
          <w:tcPr>
            <w:tcW w:w="4893" w:type="dxa"/>
            <w:gridSpan w:val="5"/>
            <w:tcBorders>
              <w:top w:val="single" w:sz="12" w:space="0" w:color="auto"/>
              <w:bottom w:val="nil"/>
            </w:tcBorders>
            <w:tcMar>
              <w:left w:w="29" w:type="dxa"/>
              <w:right w:w="29" w:type="dxa"/>
            </w:tcMar>
            <w:vAlign w:val="center"/>
          </w:tcPr>
          <w:p w14:paraId="01A76B4C" w14:textId="77777777" w:rsidR="00FF3FFA" w:rsidRPr="00677CE8" w:rsidRDefault="00FF3FFA" w:rsidP="00B56FA5">
            <w:pPr>
              <w:jc w:val="center"/>
              <w:rPr>
                <w:b/>
                <w:bCs/>
                <w:sz w:val="19"/>
                <w:szCs w:val="19"/>
              </w:rPr>
            </w:pPr>
            <w:r w:rsidRPr="00677CE8">
              <w:rPr>
                <w:b/>
                <w:bCs/>
                <w:sz w:val="19"/>
                <w:szCs w:val="19"/>
              </w:rPr>
              <w:t>ATEs</w:t>
            </w:r>
          </w:p>
        </w:tc>
      </w:tr>
      <w:tr w:rsidR="00FF3FFA" w:rsidRPr="00677CE8" w14:paraId="7BB80621" w14:textId="77777777" w:rsidTr="004D2D92">
        <w:tc>
          <w:tcPr>
            <w:tcW w:w="2700" w:type="dxa"/>
            <w:vMerge/>
            <w:tcBorders>
              <w:top w:val="nil"/>
              <w:bottom w:val="single" w:sz="12" w:space="0" w:color="auto"/>
            </w:tcBorders>
            <w:tcMar>
              <w:left w:w="29" w:type="dxa"/>
              <w:right w:w="29" w:type="dxa"/>
            </w:tcMar>
          </w:tcPr>
          <w:p w14:paraId="417B9DDD" w14:textId="77777777" w:rsidR="00FF3FFA" w:rsidRPr="00677CE8" w:rsidRDefault="00FF3FFA" w:rsidP="00B56FA5">
            <w:pPr>
              <w:rPr>
                <w:b/>
                <w:bCs/>
                <w:sz w:val="19"/>
                <w:szCs w:val="19"/>
              </w:rPr>
            </w:pPr>
          </w:p>
        </w:tc>
        <w:tc>
          <w:tcPr>
            <w:tcW w:w="2700" w:type="dxa"/>
            <w:vMerge/>
            <w:tcBorders>
              <w:top w:val="nil"/>
              <w:bottom w:val="single" w:sz="12" w:space="0" w:color="auto"/>
            </w:tcBorders>
            <w:tcMar>
              <w:left w:w="29" w:type="dxa"/>
              <w:right w:w="29" w:type="dxa"/>
            </w:tcMar>
            <w:vAlign w:val="center"/>
          </w:tcPr>
          <w:p w14:paraId="3E640582" w14:textId="77777777" w:rsidR="00FF3FFA" w:rsidRPr="00677CE8" w:rsidRDefault="00FF3FFA" w:rsidP="00B56FA5">
            <w:pPr>
              <w:rPr>
                <w:b/>
                <w:bCs/>
                <w:sz w:val="19"/>
                <w:szCs w:val="19"/>
              </w:rPr>
            </w:pPr>
          </w:p>
        </w:tc>
        <w:tc>
          <w:tcPr>
            <w:tcW w:w="2955" w:type="dxa"/>
            <w:vMerge/>
            <w:tcBorders>
              <w:top w:val="nil"/>
              <w:bottom w:val="single" w:sz="12" w:space="0" w:color="auto"/>
            </w:tcBorders>
            <w:tcMar>
              <w:left w:w="29" w:type="dxa"/>
              <w:right w:w="29" w:type="dxa"/>
            </w:tcMar>
          </w:tcPr>
          <w:p w14:paraId="1E3422B2" w14:textId="77777777" w:rsidR="00FF3FFA" w:rsidRPr="00677CE8" w:rsidRDefault="00FF3FFA" w:rsidP="00B56FA5">
            <w:pPr>
              <w:rPr>
                <w:b/>
                <w:bCs/>
                <w:sz w:val="19"/>
                <w:szCs w:val="19"/>
              </w:rPr>
            </w:pPr>
          </w:p>
        </w:tc>
        <w:tc>
          <w:tcPr>
            <w:tcW w:w="987" w:type="dxa"/>
            <w:tcBorders>
              <w:top w:val="nil"/>
              <w:bottom w:val="single" w:sz="12" w:space="0" w:color="auto"/>
            </w:tcBorders>
            <w:tcMar>
              <w:left w:w="29" w:type="dxa"/>
              <w:right w:w="29" w:type="dxa"/>
            </w:tcMar>
            <w:vAlign w:val="center"/>
          </w:tcPr>
          <w:p w14:paraId="5123D1AB" w14:textId="77777777" w:rsidR="00FF3FFA" w:rsidRPr="00677CE8" w:rsidRDefault="00FF3FFA" w:rsidP="00B56FA5">
            <w:pPr>
              <w:jc w:val="center"/>
              <w:rPr>
                <w:b/>
                <w:bCs/>
                <w:sz w:val="19"/>
                <w:szCs w:val="19"/>
              </w:rPr>
            </w:pPr>
            <w:r w:rsidRPr="00677CE8">
              <w:rPr>
                <w:b/>
                <w:bCs/>
                <w:sz w:val="19"/>
                <w:szCs w:val="19"/>
              </w:rPr>
              <w:t>Air Taxi</w:t>
            </w:r>
          </w:p>
        </w:tc>
        <w:tc>
          <w:tcPr>
            <w:tcW w:w="990" w:type="dxa"/>
            <w:tcBorders>
              <w:top w:val="nil"/>
              <w:bottom w:val="single" w:sz="12" w:space="0" w:color="auto"/>
            </w:tcBorders>
            <w:tcMar>
              <w:left w:w="29" w:type="dxa"/>
              <w:right w:w="29" w:type="dxa"/>
            </w:tcMar>
            <w:vAlign w:val="center"/>
          </w:tcPr>
          <w:p w14:paraId="662F6024" w14:textId="77777777" w:rsidR="00FF3FFA" w:rsidRPr="00677CE8" w:rsidRDefault="00FF3FFA" w:rsidP="00B56FA5">
            <w:pPr>
              <w:jc w:val="center"/>
              <w:rPr>
                <w:b/>
                <w:bCs/>
                <w:sz w:val="19"/>
                <w:szCs w:val="19"/>
              </w:rPr>
            </w:pPr>
            <w:r w:rsidRPr="00677CE8">
              <w:rPr>
                <w:b/>
                <w:bCs/>
                <w:sz w:val="19"/>
                <w:szCs w:val="19"/>
              </w:rPr>
              <w:t>Air Metro</w:t>
            </w:r>
          </w:p>
        </w:tc>
        <w:tc>
          <w:tcPr>
            <w:tcW w:w="1036" w:type="dxa"/>
            <w:tcBorders>
              <w:top w:val="nil"/>
              <w:bottom w:val="single" w:sz="12" w:space="0" w:color="auto"/>
            </w:tcBorders>
            <w:tcMar>
              <w:left w:w="29" w:type="dxa"/>
              <w:right w:w="29" w:type="dxa"/>
            </w:tcMar>
            <w:vAlign w:val="center"/>
          </w:tcPr>
          <w:p w14:paraId="428828CF" w14:textId="77777777" w:rsidR="00FF3FFA" w:rsidRPr="00677CE8" w:rsidRDefault="00FF3FFA" w:rsidP="00B56FA5">
            <w:pPr>
              <w:jc w:val="center"/>
              <w:rPr>
                <w:b/>
                <w:bCs/>
                <w:sz w:val="19"/>
                <w:szCs w:val="19"/>
              </w:rPr>
            </w:pPr>
            <w:r w:rsidRPr="00677CE8">
              <w:rPr>
                <w:b/>
                <w:bCs/>
                <w:sz w:val="19"/>
                <w:szCs w:val="19"/>
              </w:rPr>
              <w:t>Ride-hailing</w:t>
            </w:r>
          </w:p>
        </w:tc>
        <w:tc>
          <w:tcPr>
            <w:tcW w:w="955" w:type="dxa"/>
            <w:tcBorders>
              <w:top w:val="nil"/>
              <w:bottom w:val="single" w:sz="12" w:space="0" w:color="auto"/>
            </w:tcBorders>
            <w:tcMar>
              <w:left w:w="29" w:type="dxa"/>
              <w:right w:w="29" w:type="dxa"/>
            </w:tcMar>
            <w:vAlign w:val="center"/>
          </w:tcPr>
          <w:p w14:paraId="7C925DF8" w14:textId="77777777" w:rsidR="00FF3FFA" w:rsidRPr="00677CE8" w:rsidRDefault="00FF3FFA" w:rsidP="00B56FA5">
            <w:pPr>
              <w:jc w:val="center"/>
              <w:rPr>
                <w:b/>
                <w:bCs/>
                <w:sz w:val="19"/>
                <w:szCs w:val="19"/>
              </w:rPr>
            </w:pPr>
            <w:r w:rsidRPr="00677CE8">
              <w:rPr>
                <w:b/>
                <w:bCs/>
                <w:sz w:val="19"/>
                <w:szCs w:val="19"/>
              </w:rPr>
              <w:t>Public Transp.</w:t>
            </w:r>
          </w:p>
        </w:tc>
        <w:tc>
          <w:tcPr>
            <w:tcW w:w="925" w:type="dxa"/>
            <w:tcBorders>
              <w:top w:val="nil"/>
              <w:bottom w:val="single" w:sz="12" w:space="0" w:color="auto"/>
            </w:tcBorders>
            <w:tcMar>
              <w:left w:w="29" w:type="dxa"/>
              <w:right w:w="29" w:type="dxa"/>
            </w:tcMar>
            <w:vAlign w:val="center"/>
          </w:tcPr>
          <w:p w14:paraId="162BEBF5" w14:textId="77777777" w:rsidR="00FF3FFA" w:rsidRPr="00677CE8" w:rsidRDefault="00FF3FFA" w:rsidP="00B56FA5">
            <w:pPr>
              <w:ind w:left="-394" w:firstLine="394"/>
              <w:jc w:val="center"/>
              <w:rPr>
                <w:b/>
                <w:bCs/>
                <w:sz w:val="19"/>
                <w:szCs w:val="19"/>
              </w:rPr>
            </w:pPr>
            <w:r w:rsidRPr="00677CE8">
              <w:rPr>
                <w:b/>
                <w:bCs/>
                <w:sz w:val="19"/>
                <w:szCs w:val="19"/>
              </w:rPr>
              <w:t>Private</w:t>
            </w:r>
          </w:p>
          <w:p w14:paraId="2E07C908" w14:textId="77777777" w:rsidR="00FF3FFA" w:rsidRPr="00677CE8" w:rsidRDefault="00FF3FFA" w:rsidP="00B56FA5">
            <w:pPr>
              <w:ind w:left="-394" w:firstLine="394"/>
              <w:jc w:val="center"/>
              <w:rPr>
                <w:b/>
                <w:bCs/>
                <w:sz w:val="19"/>
                <w:szCs w:val="19"/>
              </w:rPr>
            </w:pPr>
            <w:r w:rsidRPr="00677CE8">
              <w:rPr>
                <w:b/>
                <w:bCs/>
                <w:sz w:val="19"/>
                <w:szCs w:val="19"/>
              </w:rPr>
              <w:t>Vehicle</w:t>
            </w:r>
          </w:p>
        </w:tc>
      </w:tr>
      <w:tr w:rsidR="00FF3FFA" w:rsidRPr="00677CE8" w14:paraId="125361DD" w14:textId="77777777" w:rsidTr="004D2D92">
        <w:tc>
          <w:tcPr>
            <w:tcW w:w="13250" w:type="dxa"/>
            <w:gridSpan w:val="8"/>
            <w:tcBorders>
              <w:top w:val="single" w:sz="12" w:space="0" w:color="auto"/>
              <w:left w:val="single" w:sz="12" w:space="0" w:color="auto"/>
              <w:bottom w:val="single" w:sz="12" w:space="0" w:color="auto"/>
              <w:right w:val="single" w:sz="12" w:space="0" w:color="auto"/>
            </w:tcBorders>
            <w:tcMar>
              <w:left w:w="29" w:type="dxa"/>
              <w:right w:w="29" w:type="dxa"/>
            </w:tcMar>
            <w:vAlign w:val="center"/>
          </w:tcPr>
          <w:p w14:paraId="5DD0121A" w14:textId="77777777" w:rsidR="00FF3FFA" w:rsidRPr="00677CE8" w:rsidRDefault="00FF3FFA" w:rsidP="00B56FA5">
            <w:pPr>
              <w:rPr>
                <w:b/>
                <w:bCs/>
                <w:i/>
                <w:iCs/>
                <w:color w:val="FFFFFF" w:themeColor="background1"/>
                <w:sz w:val="19"/>
                <w:szCs w:val="19"/>
              </w:rPr>
            </w:pPr>
            <w:r w:rsidRPr="00677CE8">
              <w:rPr>
                <w:b/>
                <w:bCs/>
                <w:i/>
                <w:iCs/>
                <w:color w:val="000000" w:themeColor="text1"/>
                <w:sz w:val="19"/>
                <w:szCs w:val="19"/>
              </w:rPr>
              <w:t>Service Attributes</w:t>
            </w:r>
          </w:p>
        </w:tc>
      </w:tr>
      <w:tr w:rsidR="00FF3FFA" w:rsidRPr="00677CE8" w14:paraId="63CD7141" w14:textId="77777777" w:rsidTr="004D2D92">
        <w:tc>
          <w:tcPr>
            <w:tcW w:w="2700" w:type="dxa"/>
            <w:tcBorders>
              <w:top w:val="single" w:sz="12" w:space="0" w:color="auto"/>
              <w:left w:val="single" w:sz="12" w:space="0" w:color="auto"/>
              <w:bottom w:val="nil"/>
              <w:right w:val="nil"/>
            </w:tcBorders>
            <w:tcMar>
              <w:left w:w="29" w:type="dxa"/>
              <w:right w:w="29" w:type="dxa"/>
            </w:tcMar>
            <w:vAlign w:val="center"/>
          </w:tcPr>
          <w:p w14:paraId="23DE1CC6" w14:textId="77777777" w:rsidR="00FF3FFA" w:rsidRPr="00677CE8" w:rsidRDefault="00FF3FFA" w:rsidP="004D2D92">
            <w:pPr>
              <w:ind w:left="240" w:hanging="193"/>
              <w:rPr>
                <w:sz w:val="19"/>
                <w:szCs w:val="19"/>
              </w:rPr>
            </w:pPr>
            <w:r w:rsidRPr="00677CE8">
              <w:rPr>
                <w:sz w:val="19"/>
                <w:szCs w:val="19"/>
              </w:rPr>
              <w:t>Air Taxi Waiting Time</w:t>
            </w:r>
          </w:p>
        </w:tc>
        <w:tc>
          <w:tcPr>
            <w:tcW w:w="2700" w:type="dxa"/>
            <w:tcBorders>
              <w:top w:val="single" w:sz="12" w:space="0" w:color="auto"/>
              <w:left w:val="nil"/>
              <w:bottom w:val="nil"/>
              <w:right w:val="nil"/>
            </w:tcBorders>
            <w:tcMar>
              <w:left w:w="29" w:type="dxa"/>
              <w:right w:w="29" w:type="dxa"/>
            </w:tcMar>
            <w:vAlign w:val="center"/>
          </w:tcPr>
          <w:p w14:paraId="1B02A855" w14:textId="77777777" w:rsidR="00FF3FFA" w:rsidRPr="00677CE8" w:rsidRDefault="00FF3FFA" w:rsidP="004D2D92">
            <w:pPr>
              <w:ind w:left="137" w:hanging="137"/>
              <w:rPr>
                <w:sz w:val="19"/>
                <w:szCs w:val="19"/>
              </w:rPr>
            </w:pPr>
            <w:r w:rsidRPr="00677CE8">
              <w:rPr>
                <w:sz w:val="19"/>
                <w:szCs w:val="19"/>
              </w:rPr>
              <w:t>5 minutes</w:t>
            </w:r>
          </w:p>
        </w:tc>
        <w:tc>
          <w:tcPr>
            <w:tcW w:w="2955" w:type="dxa"/>
            <w:tcBorders>
              <w:top w:val="single" w:sz="12" w:space="0" w:color="auto"/>
              <w:left w:val="nil"/>
              <w:bottom w:val="nil"/>
              <w:right w:val="nil"/>
            </w:tcBorders>
            <w:tcMar>
              <w:left w:w="29" w:type="dxa"/>
              <w:right w:w="29" w:type="dxa"/>
            </w:tcMar>
            <w:vAlign w:val="center"/>
          </w:tcPr>
          <w:p w14:paraId="50007488" w14:textId="77777777" w:rsidR="00FF3FFA" w:rsidRPr="00677CE8" w:rsidRDefault="00FF3FFA" w:rsidP="00B56FA5">
            <w:pPr>
              <w:rPr>
                <w:sz w:val="19"/>
                <w:szCs w:val="19"/>
              </w:rPr>
            </w:pPr>
            <w:r w:rsidRPr="00677CE8">
              <w:rPr>
                <w:sz w:val="19"/>
                <w:szCs w:val="19"/>
              </w:rPr>
              <w:t>15 minutes</w:t>
            </w:r>
          </w:p>
        </w:tc>
        <w:tc>
          <w:tcPr>
            <w:tcW w:w="987" w:type="dxa"/>
            <w:tcBorders>
              <w:top w:val="single" w:sz="12" w:space="0" w:color="auto"/>
              <w:left w:val="nil"/>
              <w:bottom w:val="nil"/>
              <w:right w:val="nil"/>
            </w:tcBorders>
            <w:tcMar>
              <w:left w:w="29" w:type="dxa"/>
              <w:right w:w="29" w:type="dxa"/>
            </w:tcMar>
            <w:vAlign w:val="center"/>
          </w:tcPr>
          <w:p w14:paraId="3C837354" w14:textId="3C079F29" w:rsidR="00FF3FFA" w:rsidRPr="00677CE8" w:rsidRDefault="00670D3A" w:rsidP="004A3EC1">
            <w:pPr>
              <w:tabs>
                <w:tab w:val="decimal" w:pos="329"/>
              </w:tabs>
              <w:jc w:val="center"/>
              <w:rPr>
                <w:color w:val="000000" w:themeColor="text1"/>
                <w:sz w:val="19"/>
                <w:szCs w:val="19"/>
              </w:rPr>
            </w:pPr>
            <w:r w:rsidRPr="00677CE8">
              <w:rPr>
                <w:color w:val="000000" w:themeColor="text1"/>
                <w:sz w:val="19"/>
                <w:szCs w:val="19"/>
              </w:rPr>
              <w:t>-18.9%</w:t>
            </w:r>
          </w:p>
        </w:tc>
        <w:tc>
          <w:tcPr>
            <w:tcW w:w="990" w:type="dxa"/>
            <w:tcBorders>
              <w:top w:val="single" w:sz="12" w:space="0" w:color="auto"/>
              <w:left w:val="nil"/>
              <w:bottom w:val="nil"/>
              <w:right w:val="nil"/>
            </w:tcBorders>
            <w:tcMar>
              <w:left w:w="29" w:type="dxa"/>
              <w:right w:w="29" w:type="dxa"/>
            </w:tcMar>
            <w:vAlign w:val="center"/>
          </w:tcPr>
          <w:p w14:paraId="19EC22E7" w14:textId="5A1DDD16" w:rsidR="00FF3FFA" w:rsidRPr="00677CE8" w:rsidRDefault="00670D3A" w:rsidP="004A3EC1">
            <w:pPr>
              <w:tabs>
                <w:tab w:val="decimal" w:pos="321"/>
              </w:tabs>
              <w:jc w:val="center"/>
              <w:rPr>
                <w:color w:val="000000" w:themeColor="text1"/>
                <w:sz w:val="19"/>
                <w:szCs w:val="19"/>
              </w:rPr>
            </w:pPr>
            <w:r w:rsidRPr="00677CE8">
              <w:rPr>
                <w:color w:val="000000" w:themeColor="text1"/>
                <w:sz w:val="19"/>
                <w:szCs w:val="19"/>
              </w:rPr>
              <w:t>4.5%</w:t>
            </w:r>
          </w:p>
        </w:tc>
        <w:tc>
          <w:tcPr>
            <w:tcW w:w="1036" w:type="dxa"/>
            <w:tcBorders>
              <w:top w:val="single" w:sz="12" w:space="0" w:color="auto"/>
              <w:left w:val="nil"/>
              <w:bottom w:val="nil"/>
              <w:right w:val="nil"/>
            </w:tcBorders>
            <w:tcMar>
              <w:left w:w="29" w:type="dxa"/>
              <w:right w:w="29" w:type="dxa"/>
            </w:tcMar>
            <w:vAlign w:val="center"/>
          </w:tcPr>
          <w:p w14:paraId="1303B30A" w14:textId="4019A3A9" w:rsidR="00FF3FFA" w:rsidRPr="00677CE8" w:rsidRDefault="00670D3A" w:rsidP="004A3EC1">
            <w:pPr>
              <w:tabs>
                <w:tab w:val="decimal" w:pos="304"/>
              </w:tabs>
              <w:jc w:val="center"/>
              <w:rPr>
                <w:color w:val="000000" w:themeColor="text1"/>
                <w:sz w:val="19"/>
                <w:szCs w:val="19"/>
              </w:rPr>
            </w:pPr>
            <w:r w:rsidRPr="00677CE8">
              <w:rPr>
                <w:color w:val="000000" w:themeColor="text1"/>
                <w:sz w:val="19"/>
                <w:szCs w:val="19"/>
              </w:rPr>
              <w:t>1.8%</w:t>
            </w:r>
          </w:p>
        </w:tc>
        <w:tc>
          <w:tcPr>
            <w:tcW w:w="955" w:type="dxa"/>
            <w:tcBorders>
              <w:top w:val="single" w:sz="12" w:space="0" w:color="auto"/>
              <w:left w:val="nil"/>
              <w:bottom w:val="nil"/>
              <w:right w:val="nil"/>
            </w:tcBorders>
            <w:tcMar>
              <w:left w:w="29" w:type="dxa"/>
              <w:right w:w="29" w:type="dxa"/>
            </w:tcMar>
            <w:vAlign w:val="center"/>
          </w:tcPr>
          <w:p w14:paraId="0FF8462D" w14:textId="696D7573" w:rsidR="00FF3FFA" w:rsidRPr="00677CE8" w:rsidRDefault="00670D3A" w:rsidP="004A3EC1">
            <w:pPr>
              <w:tabs>
                <w:tab w:val="decimal" w:pos="216"/>
              </w:tabs>
              <w:jc w:val="center"/>
              <w:rPr>
                <w:color w:val="000000" w:themeColor="text1"/>
                <w:sz w:val="19"/>
                <w:szCs w:val="19"/>
              </w:rPr>
            </w:pPr>
            <w:r w:rsidRPr="00677CE8">
              <w:rPr>
                <w:color w:val="000000" w:themeColor="text1"/>
                <w:sz w:val="19"/>
                <w:szCs w:val="19"/>
              </w:rPr>
              <w:t>4.4%</w:t>
            </w:r>
          </w:p>
        </w:tc>
        <w:tc>
          <w:tcPr>
            <w:tcW w:w="925" w:type="dxa"/>
            <w:tcBorders>
              <w:top w:val="single" w:sz="12" w:space="0" w:color="auto"/>
              <w:left w:val="nil"/>
              <w:bottom w:val="nil"/>
              <w:right w:val="single" w:sz="12" w:space="0" w:color="auto"/>
            </w:tcBorders>
            <w:tcMar>
              <w:left w:w="29" w:type="dxa"/>
              <w:right w:w="29" w:type="dxa"/>
            </w:tcMar>
            <w:vAlign w:val="center"/>
          </w:tcPr>
          <w:p w14:paraId="42A8E106" w14:textId="0F80D251" w:rsidR="00FF3FFA" w:rsidRPr="00677CE8" w:rsidRDefault="00670D3A" w:rsidP="004A3EC1">
            <w:pPr>
              <w:tabs>
                <w:tab w:val="decimal" w:pos="230"/>
              </w:tabs>
              <w:jc w:val="center"/>
              <w:rPr>
                <w:color w:val="000000" w:themeColor="text1"/>
                <w:sz w:val="19"/>
                <w:szCs w:val="19"/>
              </w:rPr>
            </w:pPr>
            <w:r w:rsidRPr="00677CE8">
              <w:rPr>
                <w:color w:val="000000" w:themeColor="text1"/>
                <w:sz w:val="19"/>
                <w:szCs w:val="19"/>
              </w:rPr>
              <w:t>6.9%</w:t>
            </w:r>
          </w:p>
        </w:tc>
      </w:tr>
      <w:tr w:rsidR="00FF3FFA" w:rsidRPr="00677CE8" w14:paraId="314C69C7" w14:textId="77777777" w:rsidTr="004D2D92">
        <w:tc>
          <w:tcPr>
            <w:tcW w:w="2700" w:type="dxa"/>
            <w:tcBorders>
              <w:top w:val="nil"/>
              <w:left w:val="single" w:sz="12" w:space="0" w:color="auto"/>
              <w:bottom w:val="single" w:sz="4" w:space="0" w:color="auto"/>
              <w:right w:val="nil"/>
            </w:tcBorders>
            <w:tcMar>
              <w:left w:w="29" w:type="dxa"/>
              <w:right w:w="29" w:type="dxa"/>
            </w:tcMar>
            <w:vAlign w:val="center"/>
          </w:tcPr>
          <w:p w14:paraId="5B7EAECB" w14:textId="77777777" w:rsidR="00FF3FFA" w:rsidRPr="00677CE8" w:rsidRDefault="00FF3FFA" w:rsidP="004D2D92">
            <w:pPr>
              <w:ind w:left="240" w:hanging="193"/>
              <w:rPr>
                <w:sz w:val="19"/>
                <w:szCs w:val="19"/>
              </w:rPr>
            </w:pPr>
            <w:r w:rsidRPr="00677CE8">
              <w:rPr>
                <w:sz w:val="19"/>
                <w:szCs w:val="19"/>
              </w:rPr>
              <w:t>Air Metro Waiting Time</w:t>
            </w:r>
          </w:p>
        </w:tc>
        <w:tc>
          <w:tcPr>
            <w:tcW w:w="2700" w:type="dxa"/>
            <w:tcBorders>
              <w:top w:val="nil"/>
              <w:left w:val="nil"/>
              <w:bottom w:val="single" w:sz="4" w:space="0" w:color="auto"/>
              <w:right w:val="nil"/>
            </w:tcBorders>
            <w:tcMar>
              <w:left w:w="29" w:type="dxa"/>
              <w:right w:w="29" w:type="dxa"/>
            </w:tcMar>
            <w:vAlign w:val="center"/>
          </w:tcPr>
          <w:p w14:paraId="260475F8" w14:textId="77777777" w:rsidR="00FF3FFA" w:rsidRPr="00677CE8" w:rsidRDefault="00FF3FFA" w:rsidP="004D2D92">
            <w:pPr>
              <w:ind w:left="137" w:hanging="137"/>
              <w:rPr>
                <w:sz w:val="19"/>
                <w:szCs w:val="19"/>
              </w:rPr>
            </w:pPr>
            <w:r w:rsidRPr="00677CE8">
              <w:rPr>
                <w:sz w:val="19"/>
                <w:szCs w:val="19"/>
              </w:rPr>
              <w:t>10 minutes</w:t>
            </w:r>
          </w:p>
        </w:tc>
        <w:tc>
          <w:tcPr>
            <w:tcW w:w="2955" w:type="dxa"/>
            <w:tcBorders>
              <w:top w:val="nil"/>
              <w:left w:val="nil"/>
              <w:bottom w:val="single" w:sz="4" w:space="0" w:color="auto"/>
              <w:right w:val="nil"/>
            </w:tcBorders>
            <w:tcMar>
              <w:left w:w="29" w:type="dxa"/>
              <w:right w:w="29" w:type="dxa"/>
            </w:tcMar>
            <w:vAlign w:val="center"/>
          </w:tcPr>
          <w:p w14:paraId="142E64DE" w14:textId="77777777" w:rsidR="00FF3FFA" w:rsidRPr="00677CE8" w:rsidRDefault="00FF3FFA" w:rsidP="00B56FA5">
            <w:pPr>
              <w:rPr>
                <w:sz w:val="19"/>
                <w:szCs w:val="19"/>
              </w:rPr>
            </w:pPr>
            <w:r w:rsidRPr="00677CE8">
              <w:rPr>
                <w:sz w:val="19"/>
                <w:szCs w:val="19"/>
              </w:rPr>
              <w:t>30 minutes</w:t>
            </w:r>
          </w:p>
        </w:tc>
        <w:tc>
          <w:tcPr>
            <w:tcW w:w="987" w:type="dxa"/>
            <w:tcBorders>
              <w:top w:val="nil"/>
              <w:left w:val="nil"/>
              <w:bottom w:val="single" w:sz="4" w:space="0" w:color="auto"/>
              <w:right w:val="nil"/>
            </w:tcBorders>
            <w:tcMar>
              <w:left w:w="29" w:type="dxa"/>
              <w:right w:w="29" w:type="dxa"/>
            </w:tcMar>
            <w:vAlign w:val="center"/>
          </w:tcPr>
          <w:p w14:paraId="52E04DD9" w14:textId="6E3FA3F5" w:rsidR="00FF3FFA" w:rsidRPr="00677CE8" w:rsidRDefault="00670D3A" w:rsidP="004A3EC1">
            <w:pPr>
              <w:tabs>
                <w:tab w:val="decimal" w:pos="329"/>
              </w:tabs>
              <w:jc w:val="center"/>
              <w:rPr>
                <w:color w:val="000000" w:themeColor="text1"/>
                <w:sz w:val="19"/>
                <w:szCs w:val="19"/>
              </w:rPr>
            </w:pPr>
            <w:r w:rsidRPr="00677CE8">
              <w:rPr>
                <w:color w:val="000000" w:themeColor="text1"/>
                <w:sz w:val="19"/>
                <w:szCs w:val="19"/>
              </w:rPr>
              <w:t>3.1%</w:t>
            </w:r>
          </w:p>
        </w:tc>
        <w:tc>
          <w:tcPr>
            <w:tcW w:w="990" w:type="dxa"/>
            <w:tcBorders>
              <w:top w:val="nil"/>
              <w:left w:val="nil"/>
              <w:bottom w:val="single" w:sz="4" w:space="0" w:color="auto"/>
              <w:right w:val="nil"/>
            </w:tcBorders>
            <w:tcMar>
              <w:left w:w="29" w:type="dxa"/>
              <w:right w:w="29" w:type="dxa"/>
            </w:tcMar>
            <w:vAlign w:val="center"/>
          </w:tcPr>
          <w:p w14:paraId="02175654" w14:textId="69519A01" w:rsidR="00FF3FFA" w:rsidRPr="00677CE8" w:rsidRDefault="00670D3A" w:rsidP="004A3EC1">
            <w:pPr>
              <w:tabs>
                <w:tab w:val="decimal" w:pos="321"/>
              </w:tabs>
              <w:jc w:val="center"/>
              <w:rPr>
                <w:color w:val="000000" w:themeColor="text1"/>
                <w:sz w:val="19"/>
                <w:szCs w:val="19"/>
              </w:rPr>
            </w:pPr>
            <w:r w:rsidRPr="00677CE8">
              <w:rPr>
                <w:color w:val="000000" w:themeColor="text1"/>
                <w:sz w:val="19"/>
                <w:szCs w:val="19"/>
              </w:rPr>
              <w:t>-14.0%</w:t>
            </w:r>
          </w:p>
        </w:tc>
        <w:tc>
          <w:tcPr>
            <w:tcW w:w="1036" w:type="dxa"/>
            <w:tcBorders>
              <w:top w:val="nil"/>
              <w:left w:val="nil"/>
              <w:bottom w:val="single" w:sz="4" w:space="0" w:color="auto"/>
              <w:right w:val="nil"/>
            </w:tcBorders>
            <w:tcMar>
              <w:left w:w="29" w:type="dxa"/>
              <w:right w:w="29" w:type="dxa"/>
            </w:tcMar>
            <w:vAlign w:val="center"/>
          </w:tcPr>
          <w:p w14:paraId="5457757C" w14:textId="622CB833" w:rsidR="00FF3FFA" w:rsidRPr="00677CE8" w:rsidRDefault="00670D3A" w:rsidP="004A3EC1">
            <w:pPr>
              <w:tabs>
                <w:tab w:val="decimal" w:pos="304"/>
              </w:tabs>
              <w:jc w:val="center"/>
              <w:rPr>
                <w:color w:val="000000" w:themeColor="text1"/>
                <w:sz w:val="19"/>
                <w:szCs w:val="19"/>
              </w:rPr>
            </w:pPr>
            <w:r w:rsidRPr="00677CE8">
              <w:rPr>
                <w:color w:val="000000" w:themeColor="text1"/>
                <w:sz w:val="19"/>
                <w:szCs w:val="19"/>
              </w:rPr>
              <w:t>3.4%</w:t>
            </w:r>
          </w:p>
        </w:tc>
        <w:tc>
          <w:tcPr>
            <w:tcW w:w="955" w:type="dxa"/>
            <w:tcBorders>
              <w:top w:val="nil"/>
              <w:left w:val="nil"/>
              <w:bottom w:val="single" w:sz="4" w:space="0" w:color="auto"/>
              <w:right w:val="nil"/>
            </w:tcBorders>
            <w:tcMar>
              <w:left w:w="29" w:type="dxa"/>
              <w:right w:w="29" w:type="dxa"/>
            </w:tcMar>
            <w:vAlign w:val="center"/>
          </w:tcPr>
          <w:p w14:paraId="3A42ECE4" w14:textId="15669297" w:rsidR="00FF3FFA" w:rsidRPr="00677CE8" w:rsidRDefault="00670D3A" w:rsidP="004A3EC1">
            <w:pPr>
              <w:tabs>
                <w:tab w:val="decimal" w:pos="216"/>
              </w:tabs>
              <w:jc w:val="center"/>
              <w:rPr>
                <w:color w:val="000000" w:themeColor="text1"/>
                <w:sz w:val="19"/>
                <w:szCs w:val="19"/>
              </w:rPr>
            </w:pPr>
            <w:r w:rsidRPr="00677CE8">
              <w:rPr>
                <w:color w:val="000000" w:themeColor="text1"/>
                <w:sz w:val="19"/>
                <w:szCs w:val="19"/>
              </w:rPr>
              <w:t>2.3%</w:t>
            </w:r>
          </w:p>
        </w:tc>
        <w:tc>
          <w:tcPr>
            <w:tcW w:w="925" w:type="dxa"/>
            <w:tcBorders>
              <w:top w:val="nil"/>
              <w:left w:val="nil"/>
              <w:bottom w:val="single" w:sz="4" w:space="0" w:color="auto"/>
              <w:right w:val="single" w:sz="12" w:space="0" w:color="auto"/>
            </w:tcBorders>
            <w:tcMar>
              <w:left w:w="29" w:type="dxa"/>
              <w:right w:w="29" w:type="dxa"/>
            </w:tcMar>
            <w:vAlign w:val="center"/>
          </w:tcPr>
          <w:p w14:paraId="3486C550" w14:textId="54A50033" w:rsidR="00FF3FFA" w:rsidRPr="00677CE8" w:rsidRDefault="00670D3A" w:rsidP="004A3EC1">
            <w:pPr>
              <w:tabs>
                <w:tab w:val="decimal" w:pos="230"/>
              </w:tabs>
              <w:jc w:val="center"/>
              <w:rPr>
                <w:color w:val="000000" w:themeColor="text1"/>
                <w:sz w:val="19"/>
                <w:szCs w:val="19"/>
              </w:rPr>
            </w:pPr>
            <w:r w:rsidRPr="00677CE8">
              <w:rPr>
                <w:color w:val="000000" w:themeColor="text1"/>
                <w:sz w:val="19"/>
                <w:szCs w:val="19"/>
              </w:rPr>
              <w:t>1.8%</w:t>
            </w:r>
          </w:p>
        </w:tc>
      </w:tr>
      <w:tr w:rsidR="00FF3FFA" w:rsidRPr="00677CE8" w14:paraId="4E4F0423" w14:textId="77777777" w:rsidTr="004D2D92">
        <w:tc>
          <w:tcPr>
            <w:tcW w:w="2700" w:type="dxa"/>
            <w:tcBorders>
              <w:top w:val="single" w:sz="4" w:space="0" w:color="auto"/>
              <w:left w:val="single" w:sz="12" w:space="0" w:color="auto"/>
              <w:bottom w:val="nil"/>
              <w:right w:val="nil"/>
            </w:tcBorders>
            <w:tcMar>
              <w:left w:w="29" w:type="dxa"/>
              <w:right w:w="29" w:type="dxa"/>
            </w:tcMar>
            <w:vAlign w:val="center"/>
          </w:tcPr>
          <w:p w14:paraId="5B82B75B" w14:textId="77777777" w:rsidR="00FF3FFA" w:rsidRPr="00677CE8" w:rsidRDefault="00FF3FFA" w:rsidP="004D2D92">
            <w:pPr>
              <w:ind w:left="240" w:hanging="193"/>
              <w:rPr>
                <w:sz w:val="19"/>
                <w:szCs w:val="19"/>
              </w:rPr>
            </w:pPr>
            <w:r w:rsidRPr="00677CE8">
              <w:rPr>
                <w:sz w:val="19"/>
                <w:szCs w:val="19"/>
              </w:rPr>
              <w:t>Air Taxi Distance to Pick-up/ Drop-off Locations</w:t>
            </w:r>
          </w:p>
        </w:tc>
        <w:tc>
          <w:tcPr>
            <w:tcW w:w="2700" w:type="dxa"/>
            <w:tcBorders>
              <w:top w:val="single" w:sz="4" w:space="0" w:color="auto"/>
              <w:left w:val="nil"/>
              <w:bottom w:val="nil"/>
              <w:right w:val="nil"/>
            </w:tcBorders>
            <w:tcMar>
              <w:left w:w="29" w:type="dxa"/>
              <w:right w:w="29" w:type="dxa"/>
            </w:tcMar>
            <w:vAlign w:val="center"/>
          </w:tcPr>
          <w:p w14:paraId="40C10383" w14:textId="77777777" w:rsidR="00FF3FFA" w:rsidRPr="00677CE8" w:rsidRDefault="00FF3FFA" w:rsidP="004D2D92">
            <w:pPr>
              <w:ind w:left="137" w:hanging="137"/>
              <w:rPr>
                <w:sz w:val="19"/>
                <w:szCs w:val="19"/>
              </w:rPr>
            </w:pPr>
            <w:r w:rsidRPr="00677CE8">
              <w:rPr>
                <w:sz w:val="19"/>
                <w:szCs w:val="19"/>
              </w:rPr>
              <w:t>Door-to-door</w:t>
            </w:r>
          </w:p>
        </w:tc>
        <w:tc>
          <w:tcPr>
            <w:tcW w:w="2955" w:type="dxa"/>
            <w:tcBorders>
              <w:top w:val="single" w:sz="4" w:space="0" w:color="auto"/>
              <w:left w:val="nil"/>
              <w:bottom w:val="nil"/>
              <w:right w:val="nil"/>
            </w:tcBorders>
            <w:tcMar>
              <w:left w:w="29" w:type="dxa"/>
              <w:right w:w="29" w:type="dxa"/>
            </w:tcMar>
            <w:vAlign w:val="center"/>
          </w:tcPr>
          <w:p w14:paraId="47B0902E" w14:textId="77777777" w:rsidR="00FF3FFA" w:rsidRPr="00677CE8" w:rsidRDefault="00FF3FFA" w:rsidP="00B56FA5">
            <w:pPr>
              <w:rPr>
                <w:sz w:val="19"/>
                <w:szCs w:val="19"/>
              </w:rPr>
            </w:pPr>
            <w:r w:rsidRPr="00677CE8">
              <w:rPr>
                <w:sz w:val="19"/>
                <w:szCs w:val="19"/>
              </w:rPr>
              <w:t>Within 0.5 miles</w:t>
            </w:r>
          </w:p>
        </w:tc>
        <w:tc>
          <w:tcPr>
            <w:tcW w:w="987" w:type="dxa"/>
            <w:tcBorders>
              <w:top w:val="single" w:sz="4" w:space="0" w:color="auto"/>
              <w:left w:val="nil"/>
              <w:bottom w:val="nil"/>
              <w:right w:val="nil"/>
            </w:tcBorders>
            <w:tcMar>
              <w:left w:w="29" w:type="dxa"/>
              <w:right w:w="29" w:type="dxa"/>
            </w:tcMar>
            <w:vAlign w:val="center"/>
          </w:tcPr>
          <w:p w14:paraId="5B981B83" w14:textId="286B6DD2" w:rsidR="00FF3FFA" w:rsidRPr="00677CE8" w:rsidRDefault="00670D3A" w:rsidP="004A3EC1">
            <w:pPr>
              <w:tabs>
                <w:tab w:val="decimal" w:pos="329"/>
              </w:tabs>
              <w:jc w:val="center"/>
              <w:rPr>
                <w:color w:val="000000" w:themeColor="text1"/>
                <w:sz w:val="19"/>
                <w:szCs w:val="19"/>
              </w:rPr>
            </w:pPr>
            <w:r w:rsidRPr="00677CE8">
              <w:rPr>
                <w:color w:val="000000" w:themeColor="text1"/>
                <w:sz w:val="19"/>
                <w:szCs w:val="19"/>
              </w:rPr>
              <w:t>-21.4%</w:t>
            </w:r>
          </w:p>
        </w:tc>
        <w:tc>
          <w:tcPr>
            <w:tcW w:w="990" w:type="dxa"/>
            <w:tcBorders>
              <w:top w:val="single" w:sz="4" w:space="0" w:color="auto"/>
              <w:left w:val="nil"/>
              <w:bottom w:val="nil"/>
              <w:right w:val="nil"/>
            </w:tcBorders>
            <w:tcMar>
              <w:left w:w="29" w:type="dxa"/>
              <w:right w:w="29" w:type="dxa"/>
            </w:tcMar>
            <w:vAlign w:val="center"/>
          </w:tcPr>
          <w:p w14:paraId="75645285" w14:textId="4CD35F56" w:rsidR="00FF3FFA" w:rsidRPr="00677CE8" w:rsidRDefault="00670D3A" w:rsidP="004A3EC1">
            <w:pPr>
              <w:tabs>
                <w:tab w:val="decimal" w:pos="321"/>
              </w:tabs>
              <w:jc w:val="center"/>
              <w:rPr>
                <w:color w:val="000000" w:themeColor="text1"/>
                <w:sz w:val="19"/>
                <w:szCs w:val="19"/>
              </w:rPr>
            </w:pPr>
            <w:r w:rsidRPr="00677CE8">
              <w:rPr>
                <w:color w:val="000000" w:themeColor="text1"/>
                <w:sz w:val="19"/>
                <w:szCs w:val="19"/>
              </w:rPr>
              <w:t>5.2%</w:t>
            </w:r>
          </w:p>
        </w:tc>
        <w:tc>
          <w:tcPr>
            <w:tcW w:w="1036" w:type="dxa"/>
            <w:tcBorders>
              <w:top w:val="single" w:sz="4" w:space="0" w:color="auto"/>
              <w:left w:val="nil"/>
              <w:bottom w:val="nil"/>
              <w:right w:val="nil"/>
            </w:tcBorders>
            <w:tcMar>
              <w:left w:w="29" w:type="dxa"/>
              <w:right w:w="29" w:type="dxa"/>
            </w:tcMar>
            <w:vAlign w:val="center"/>
          </w:tcPr>
          <w:p w14:paraId="24BEA1AB" w14:textId="236C964C" w:rsidR="00FF3FFA" w:rsidRPr="00677CE8" w:rsidRDefault="00670D3A" w:rsidP="004A3EC1">
            <w:pPr>
              <w:tabs>
                <w:tab w:val="decimal" w:pos="304"/>
              </w:tabs>
              <w:jc w:val="center"/>
              <w:rPr>
                <w:color w:val="000000" w:themeColor="text1"/>
                <w:sz w:val="19"/>
                <w:szCs w:val="19"/>
              </w:rPr>
            </w:pPr>
            <w:r w:rsidRPr="00677CE8">
              <w:rPr>
                <w:color w:val="000000" w:themeColor="text1"/>
                <w:sz w:val="19"/>
                <w:szCs w:val="19"/>
              </w:rPr>
              <w:t>2.1%</w:t>
            </w:r>
          </w:p>
        </w:tc>
        <w:tc>
          <w:tcPr>
            <w:tcW w:w="955" w:type="dxa"/>
            <w:tcBorders>
              <w:top w:val="single" w:sz="4" w:space="0" w:color="auto"/>
              <w:left w:val="nil"/>
              <w:bottom w:val="nil"/>
              <w:right w:val="nil"/>
            </w:tcBorders>
            <w:tcMar>
              <w:left w:w="29" w:type="dxa"/>
              <w:right w:w="29" w:type="dxa"/>
            </w:tcMar>
            <w:vAlign w:val="center"/>
          </w:tcPr>
          <w:p w14:paraId="404CDF95" w14:textId="532C6F22" w:rsidR="00FF3FFA" w:rsidRPr="00677CE8" w:rsidRDefault="00670D3A" w:rsidP="004A3EC1">
            <w:pPr>
              <w:tabs>
                <w:tab w:val="decimal" w:pos="216"/>
              </w:tabs>
              <w:jc w:val="center"/>
              <w:rPr>
                <w:color w:val="000000" w:themeColor="text1"/>
                <w:sz w:val="19"/>
                <w:szCs w:val="19"/>
              </w:rPr>
            </w:pPr>
            <w:r w:rsidRPr="00677CE8">
              <w:rPr>
                <w:color w:val="000000" w:themeColor="text1"/>
                <w:sz w:val="19"/>
                <w:szCs w:val="19"/>
              </w:rPr>
              <w:t>5.0%</w:t>
            </w:r>
          </w:p>
        </w:tc>
        <w:tc>
          <w:tcPr>
            <w:tcW w:w="925" w:type="dxa"/>
            <w:tcBorders>
              <w:top w:val="single" w:sz="4" w:space="0" w:color="auto"/>
              <w:left w:val="nil"/>
              <w:bottom w:val="nil"/>
              <w:right w:val="single" w:sz="12" w:space="0" w:color="auto"/>
            </w:tcBorders>
            <w:tcMar>
              <w:left w:w="29" w:type="dxa"/>
              <w:right w:w="29" w:type="dxa"/>
            </w:tcMar>
            <w:vAlign w:val="center"/>
          </w:tcPr>
          <w:p w14:paraId="602A3563" w14:textId="580143A4" w:rsidR="00FF3FFA" w:rsidRPr="00677CE8" w:rsidRDefault="00670D3A" w:rsidP="004A3EC1">
            <w:pPr>
              <w:tabs>
                <w:tab w:val="decimal" w:pos="230"/>
              </w:tabs>
              <w:jc w:val="center"/>
              <w:rPr>
                <w:color w:val="000000" w:themeColor="text1"/>
                <w:sz w:val="19"/>
                <w:szCs w:val="19"/>
              </w:rPr>
            </w:pPr>
            <w:r w:rsidRPr="00677CE8">
              <w:rPr>
                <w:color w:val="000000" w:themeColor="text1"/>
                <w:sz w:val="19"/>
                <w:szCs w:val="19"/>
              </w:rPr>
              <w:t>7.9%</w:t>
            </w:r>
          </w:p>
        </w:tc>
      </w:tr>
      <w:tr w:rsidR="00FF3FFA" w:rsidRPr="00677CE8" w14:paraId="55EFA919" w14:textId="77777777" w:rsidTr="004D2D92">
        <w:tc>
          <w:tcPr>
            <w:tcW w:w="2700" w:type="dxa"/>
            <w:tcBorders>
              <w:top w:val="nil"/>
              <w:left w:val="single" w:sz="12" w:space="0" w:color="auto"/>
              <w:bottom w:val="single" w:sz="4" w:space="0" w:color="auto"/>
              <w:right w:val="nil"/>
            </w:tcBorders>
            <w:tcMar>
              <w:left w:w="29" w:type="dxa"/>
              <w:right w:w="29" w:type="dxa"/>
            </w:tcMar>
            <w:vAlign w:val="center"/>
          </w:tcPr>
          <w:p w14:paraId="485E7F24" w14:textId="77777777" w:rsidR="00FF3FFA" w:rsidRPr="00677CE8" w:rsidRDefault="00FF3FFA" w:rsidP="004D2D92">
            <w:pPr>
              <w:ind w:left="240" w:hanging="193"/>
              <w:rPr>
                <w:sz w:val="19"/>
                <w:szCs w:val="19"/>
              </w:rPr>
            </w:pPr>
            <w:r w:rsidRPr="00677CE8">
              <w:rPr>
                <w:sz w:val="19"/>
                <w:szCs w:val="19"/>
              </w:rPr>
              <w:t>Air Metro Distance to Pick-up/ Drop-off Locations</w:t>
            </w:r>
          </w:p>
        </w:tc>
        <w:tc>
          <w:tcPr>
            <w:tcW w:w="2700" w:type="dxa"/>
            <w:tcBorders>
              <w:top w:val="nil"/>
              <w:left w:val="nil"/>
              <w:bottom w:val="single" w:sz="4" w:space="0" w:color="auto"/>
              <w:right w:val="nil"/>
            </w:tcBorders>
            <w:tcMar>
              <w:left w:w="29" w:type="dxa"/>
              <w:right w:w="29" w:type="dxa"/>
            </w:tcMar>
            <w:vAlign w:val="center"/>
          </w:tcPr>
          <w:p w14:paraId="6C406C68" w14:textId="09A5D691" w:rsidR="00FF3FFA" w:rsidRPr="00677CE8" w:rsidRDefault="00FF3FFA" w:rsidP="004D2D92">
            <w:pPr>
              <w:ind w:left="137" w:hanging="137"/>
              <w:rPr>
                <w:sz w:val="19"/>
                <w:szCs w:val="19"/>
              </w:rPr>
            </w:pPr>
            <w:r w:rsidRPr="00677CE8">
              <w:rPr>
                <w:sz w:val="19"/>
                <w:szCs w:val="19"/>
              </w:rPr>
              <w:t>Within 0.5</w:t>
            </w:r>
            <w:r w:rsidR="00670D3A" w:rsidRPr="00677CE8">
              <w:rPr>
                <w:sz w:val="19"/>
                <w:szCs w:val="19"/>
              </w:rPr>
              <w:t>-1</w:t>
            </w:r>
            <w:r w:rsidRPr="00677CE8">
              <w:rPr>
                <w:sz w:val="19"/>
                <w:szCs w:val="19"/>
              </w:rPr>
              <w:t xml:space="preserve"> miles</w:t>
            </w:r>
          </w:p>
        </w:tc>
        <w:tc>
          <w:tcPr>
            <w:tcW w:w="2955" w:type="dxa"/>
            <w:tcBorders>
              <w:top w:val="nil"/>
              <w:left w:val="nil"/>
              <w:bottom w:val="single" w:sz="4" w:space="0" w:color="auto"/>
              <w:right w:val="nil"/>
            </w:tcBorders>
            <w:tcMar>
              <w:left w:w="29" w:type="dxa"/>
              <w:right w:w="29" w:type="dxa"/>
            </w:tcMar>
            <w:vAlign w:val="center"/>
          </w:tcPr>
          <w:p w14:paraId="7E8BB3EF" w14:textId="77777777" w:rsidR="00FF3FFA" w:rsidRPr="00677CE8" w:rsidRDefault="00FF3FFA" w:rsidP="00B56FA5">
            <w:pPr>
              <w:rPr>
                <w:sz w:val="19"/>
                <w:szCs w:val="19"/>
              </w:rPr>
            </w:pPr>
            <w:r w:rsidRPr="00677CE8">
              <w:rPr>
                <w:sz w:val="19"/>
                <w:szCs w:val="19"/>
              </w:rPr>
              <w:t>More than 1 mile</w:t>
            </w:r>
          </w:p>
        </w:tc>
        <w:tc>
          <w:tcPr>
            <w:tcW w:w="987" w:type="dxa"/>
            <w:tcBorders>
              <w:top w:val="nil"/>
              <w:left w:val="nil"/>
              <w:bottom w:val="single" w:sz="4" w:space="0" w:color="auto"/>
              <w:right w:val="nil"/>
            </w:tcBorders>
            <w:tcMar>
              <w:left w:w="29" w:type="dxa"/>
              <w:right w:w="29" w:type="dxa"/>
            </w:tcMar>
            <w:vAlign w:val="center"/>
          </w:tcPr>
          <w:p w14:paraId="5082D63A" w14:textId="69E22BDD" w:rsidR="00FF3FFA" w:rsidRPr="00677CE8" w:rsidRDefault="00670D3A" w:rsidP="004A3EC1">
            <w:pPr>
              <w:tabs>
                <w:tab w:val="decimal" w:pos="329"/>
              </w:tabs>
              <w:jc w:val="center"/>
              <w:rPr>
                <w:color w:val="000000" w:themeColor="text1"/>
                <w:sz w:val="19"/>
                <w:szCs w:val="19"/>
              </w:rPr>
            </w:pPr>
            <w:r w:rsidRPr="00677CE8">
              <w:rPr>
                <w:color w:val="000000" w:themeColor="text1"/>
                <w:sz w:val="19"/>
                <w:szCs w:val="19"/>
              </w:rPr>
              <w:t>2.3%</w:t>
            </w:r>
          </w:p>
        </w:tc>
        <w:tc>
          <w:tcPr>
            <w:tcW w:w="990" w:type="dxa"/>
            <w:tcBorders>
              <w:top w:val="nil"/>
              <w:left w:val="nil"/>
              <w:bottom w:val="single" w:sz="4" w:space="0" w:color="auto"/>
              <w:right w:val="nil"/>
            </w:tcBorders>
            <w:tcMar>
              <w:left w:w="29" w:type="dxa"/>
              <w:right w:w="29" w:type="dxa"/>
            </w:tcMar>
            <w:vAlign w:val="center"/>
          </w:tcPr>
          <w:p w14:paraId="46615965" w14:textId="0E23B00A" w:rsidR="00FF3FFA" w:rsidRPr="00677CE8" w:rsidRDefault="00670D3A" w:rsidP="004A3EC1">
            <w:pPr>
              <w:tabs>
                <w:tab w:val="decimal" w:pos="321"/>
              </w:tabs>
              <w:jc w:val="center"/>
              <w:rPr>
                <w:color w:val="000000" w:themeColor="text1"/>
                <w:sz w:val="19"/>
                <w:szCs w:val="19"/>
              </w:rPr>
            </w:pPr>
            <w:r w:rsidRPr="00677CE8">
              <w:rPr>
                <w:color w:val="000000" w:themeColor="text1"/>
                <w:sz w:val="19"/>
                <w:szCs w:val="19"/>
              </w:rPr>
              <w:t>-10.7%</w:t>
            </w:r>
          </w:p>
        </w:tc>
        <w:tc>
          <w:tcPr>
            <w:tcW w:w="1036" w:type="dxa"/>
            <w:tcBorders>
              <w:top w:val="nil"/>
              <w:left w:val="nil"/>
              <w:bottom w:val="single" w:sz="4" w:space="0" w:color="auto"/>
              <w:right w:val="nil"/>
            </w:tcBorders>
            <w:tcMar>
              <w:left w:w="29" w:type="dxa"/>
              <w:right w:w="29" w:type="dxa"/>
            </w:tcMar>
            <w:vAlign w:val="center"/>
          </w:tcPr>
          <w:p w14:paraId="1FAF47DE" w14:textId="749CC57C" w:rsidR="00FF3FFA" w:rsidRPr="00677CE8" w:rsidRDefault="00670D3A" w:rsidP="004A3EC1">
            <w:pPr>
              <w:tabs>
                <w:tab w:val="decimal" w:pos="304"/>
              </w:tabs>
              <w:jc w:val="center"/>
              <w:rPr>
                <w:color w:val="000000" w:themeColor="text1"/>
                <w:sz w:val="19"/>
                <w:szCs w:val="19"/>
              </w:rPr>
            </w:pPr>
            <w:r w:rsidRPr="00677CE8">
              <w:rPr>
                <w:color w:val="000000" w:themeColor="text1"/>
                <w:sz w:val="19"/>
                <w:szCs w:val="19"/>
              </w:rPr>
              <w:t>2.5%</w:t>
            </w:r>
          </w:p>
        </w:tc>
        <w:tc>
          <w:tcPr>
            <w:tcW w:w="955" w:type="dxa"/>
            <w:tcBorders>
              <w:top w:val="nil"/>
              <w:left w:val="nil"/>
              <w:bottom w:val="single" w:sz="4" w:space="0" w:color="auto"/>
              <w:right w:val="nil"/>
            </w:tcBorders>
            <w:tcMar>
              <w:left w:w="29" w:type="dxa"/>
              <w:right w:w="29" w:type="dxa"/>
            </w:tcMar>
            <w:vAlign w:val="center"/>
          </w:tcPr>
          <w:p w14:paraId="2264D0C3" w14:textId="12AAC3A7" w:rsidR="00FF3FFA" w:rsidRPr="00677CE8" w:rsidRDefault="00670D3A" w:rsidP="004A3EC1">
            <w:pPr>
              <w:tabs>
                <w:tab w:val="decimal" w:pos="216"/>
              </w:tabs>
              <w:jc w:val="center"/>
              <w:rPr>
                <w:color w:val="000000" w:themeColor="text1"/>
                <w:sz w:val="19"/>
                <w:szCs w:val="19"/>
              </w:rPr>
            </w:pPr>
            <w:r w:rsidRPr="00677CE8">
              <w:rPr>
                <w:color w:val="000000" w:themeColor="text1"/>
                <w:sz w:val="19"/>
                <w:szCs w:val="19"/>
              </w:rPr>
              <w:t>1.8%</w:t>
            </w:r>
          </w:p>
        </w:tc>
        <w:tc>
          <w:tcPr>
            <w:tcW w:w="925" w:type="dxa"/>
            <w:tcBorders>
              <w:top w:val="nil"/>
              <w:left w:val="nil"/>
              <w:bottom w:val="single" w:sz="4" w:space="0" w:color="auto"/>
              <w:right w:val="single" w:sz="12" w:space="0" w:color="auto"/>
            </w:tcBorders>
            <w:tcMar>
              <w:left w:w="29" w:type="dxa"/>
              <w:right w:w="29" w:type="dxa"/>
            </w:tcMar>
            <w:vAlign w:val="center"/>
          </w:tcPr>
          <w:p w14:paraId="10A99CC3" w14:textId="141F3CA0" w:rsidR="00FF3FFA" w:rsidRPr="00677CE8" w:rsidRDefault="00670D3A" w:rsidP="004A3EC1">
            <w:pPr>
              <w:tabs>
                <w:tab w:val="decimal" w:pos="230"/>
              </w:tabs>
              <w:jc w:val="center"/>
              <w:rPr>
                <w:color w:val="000000" w:themeColor="text1"/>
                <w:sz w:val="19"/>
                <w:szCs w:val="19"/>
              </w:rPr>
            </w:pPr>
            <w:r w:rsidRPr="00677CE8">
              <w:rPr>
                <w:color w:val="000000" w:themeColor="text1"/>
                <w:sz w:val="19"/>
                <w:szCs w:val="19"/>
              </w:rPr>
              <w:t>1.4%</w:t>
            </w:r>
          </w:p>
        </w:tc>
      </w:tr>
      <w:tr w:rsidR="00FF3FFA" w:rsidRPr="00677CE8" w14:paraId="1EBA8E17" w14:textId="77777777" w:rsidTr="004D2D92">
        <w:tc>
          <w:tcPr>
            <w:tcW w:w="2700" w:type="dxa"/>
            <w:tcBorders>
              <w:top w:val="single" w:sz="4" w:space="0" w:color="auto"/>
              <w:left w:val="single" w:sz="12" w:space="0" w:color="auto"/>
              <w:bottom w:val="single" w:sz="4" w:space="0" w:color="auto"/>
              <w:right w:val="nil"/>
            </w:tcBorders>
            <w:tcMar>
              <w:left w:w="29" w:type="dxa"/>
              <w:right w:w="29" w:type="dxa"/>
            </w:tcMar>
            <w:vAlign w:val="center"/>
          </w:tcPr>
          <w:p w14:paraId="66371020" w14:textId="77777777" w:rsidR="00FF3FFA" w:rsidRPr="00677CE8" w:rsidRDefault="00FF3FFA" w:rsidP="004D2D92">
            <w:pPr>
              <w:ind w:left="240" w:hanging="193"/>
              <w:rPr>
                <w:sz w:val="19"/>
                <w:szCs w:val="19"/>
              </w:rPr>
            </w:pPr>
            <w:r w:rsidRPr="00677CE8">
              <w:rPr>
                <w:sz w:val="19"/>
                <w:szCs w:val="19"/>
              </w:rPr>
              <w:t>UAM Availability</w:t>
            </w:r>
          </w:p>
        </w:tc>
        <w:tc>
          <w:tcPr>
            <w:tcW w:w="2700" w:type="dxa"/>
            <w:tcBorders>
              <w:top w:val="single" w:sz="4" w:space="0" w:color="auto"/>
              <w:left w:val="nil"/>
              <w:bottom w:val="single" w:sz="4" w:space="0" w:color="auto"/>
              <w:right w:val="nil"/>
            </w:tcBorders>
            <w:tcMar>
              <w:left w:w="29" w:type="dxa"/>
              <w:right w:w="29" w:type="dxa"/>
            </w:tcMar>
            <w:vAlign w:val="center"/>
          </w:tcPr>
          <w:p w14:paraId="697298FA" w14:textId="77777777" w:rsidR="00FF3FFA" w:rsidRPr="00677CE8" w:rsidRDefault="00FF3FFA" w:rsidP="004D2D92">
            <w:pPr>
              <w:ind w:left="137" w:hanging="137"/>
              <w:rPr>
                <w:sz w:val="19"/>
                <w:szCs w:val="19"/>
              </w:rPr>
            </w:pPr>
            <w:r w:rsidRPr="00677CE8">
              <w:rPr>
                <w:sz w:val="19"/>
                <w:szCs w:val="19"/>
              </w:rPr>
              <w:t>Always available</w:t>
            </w:r>
          </w:p>
        </w:tc>
        <w:tc>
          <w:tcPr>
            <w:tcW w:w="2955" w:type="dxa"/>
            <w:tcBorders>
              <w:top w:val="single" w:sz="4" w:space="0" w:color="auto"/>
              <w:left w:val="nil"/>
              <w:bottom w:val="single" w:sz="4" w:space="0" w:color="auto"/>
              <w:right w:val="nil"/>
            </w:tcBorders>
            <w:tcMar>
              <w:left w:w="29" w:type="dxa"/>
              <w:right w:w="29" w:type="dxa"/>
            </w:tcMar>
            <w:vAlign w:val="center"/>
          </w:tcPr>
          <w:p w14:paraId="6C63AA99" w14:textId="77777777" w:rsidR="00FF3FFA" w:rsidRPr="00677CE8" w:rsidRDefault="00FF3FFA" w:rsidP="00B56FA5">
            <w:pPr>
              <w:rPr>
                <w:sz w:val="19"/>
                <w:szCs w:val="19"/>
              </w:rPr>
            </w:pPr>
            <w:r w:rsidRPr="00677CE8">
              <w:rPr>
                <w:sz w:val="19"/>
                <w:szCs w:val="19"/>
              </w:rPr>
              <w:t>UAM only available in clear weather</w:t>
            </w:r>
          </w:p>
        </w:tc>
        <w:tc>
          <w:tcPr>
            <w:tcW w:w="987" w:type="dxa"/>
            <w:tcBorders>
              <w:top w:val="single" w:sz="4" w:space="0" w:color="auto"/>
              <w:left w:val="nil"/>
              <w:bottom w:val="single" w:sz="4" w:space="0" w:color="auto"/>
              <w:right w:val="nil"/>
            </w:tcBorders>
            <w:tcMar>
              <w:left w:w="29" w:type="dxa"/>
              <w:right w:w="29" w:type="dxa"/>
            </w:tcMar>
            <w:vAlign w:val="center"/>
          </w:tcPr>
          <w:p w14:paraId="4694B27B" w14:textId="25C34006" w:rsidR="00FF3FFA" w:rsidRPr="00677CE8" w:rsidRDefault="00670D3A" w:rsidP="004A3EC1">
            <w:pPr>
              <w:tabs>
                <w:tab w:val="decimal" w:pos="329"/>
              </w:tabs>
              <w:jc w:val="center"/>
              <w:rPr>
                <w:color w:val="000000" w:themeColor="text1"/>
                <w:sz w:val="19"/>
                <w:szCs w:val="19"/>
              </w:rPr>
            </w:pPr>
            <w:r w:rsidRPr="00677CE8">
              <w:rPr>
                <w:color w:val="000000" w:themeColor="text1"/>
                <w:sz w:val="19"/>
                <w:szCs w:val="19"/>
              </w:rPr>
              <w:t>-36.0%</w:t>
            </w:r>
          </w:p>
        </w:tc>
        <w:tc>
          <w:tcPr>
            <w:tcW w:w="990" w:type="dxa"/>
            <w:tcBorders>
              <w:top w:val="single" w:sz="4" w:space="0" w:color="auto"/>
              <w:left w:val="nil"/>
              <w:bottom w:val="single" w:sz="4" w:space="0" w:color="auto"/>
              <w:right w:val="nil"/>
            </w:tcBorders>
            <w:tcMar>
              <w:left w:w="29" w:type="dxa"/>
              <w:right w:w="29" w:type="dxa"/>
            </w:tcMar>
            <w:vAlign w:val="center"/>
          </w:tcPr>
          <w:p w14:paraId="518FFF1C" w14:textId="5CFC504A" w:rsidR="00FF3FFA" w:rsidRPr="00677CE8" w:rsidRDefault="00670D3A" w:rsidP="004A3EC1">
            <w:pPr>
              <w:tabs>
                <w:tab w:val="decimal" w:pos="321"/>
              </w:tabs>
              <w:jc w:val="center"/>
              <w:rPr>
                <w:color w:val="000000" w:themeColor="text1"/>
                <w:sz w:val="19"/>
                <w:szCs w:val="19"/>
              </w:rPr>
            </w:pPr>
            <w:r w:rsidRPr="00677CE8">
              <w:rPr>
                <w:color w:val="000000" w:themeColor="text1"/>
                <w:sz w:val="19"/>
                <w:szCs w:val="19"/>
              </w:rPr>
              <w:t>-27.9%</w:t>
            </w:r>
          </w:p>
        </w:tc>
        <w:tc>
          <w:tcPr>
            <w:tcW w:w="1036" w:type="dxa"/>
            <w:tcBorders>
              <w:top w:val="single" w:sz="4" w:space="0" w:color="auto"/>
              <w:left w:val="nil"/>
              <w:bottom w:val="single" w:sz="4" w:space="0" w:color="auto"/>
              <w:right w:val="nil"/>
            </w:tcBorders>
            <w:tcMar>
              <w:left w:w="29" w:type="dxa"/>
              <w:right w:w="29" w:type="dxa"/>
            </w:tcMar>
            <w:vAlign w:val="center"/>
          </w:tcPr>
          <w:p w14:paraId="1C3ABAA1" w14:textId="52A0A287" w:rsidR="00FF3FFA" w:rsidRPr="00677CE8" w:rsidRDefault="00670D3A" w:rsidP="004A3EC1">
            <w:pPr>
              <w:tabs>
                <w:tab w:val="decimal" w:pos="304"/>
              </w:tabs>
              <w:jc w:val="center"/>
              <w:rPr>
                <w:color w:val="000000" w:themeColor="text1"/>
                <w:sz w:val="19"/>
                <w:szCs w:val="19"/>
              </w:rPr>
            </w:pPr>
            <w:r w:rsidRPr="00677CE8">
              <w:rPr>
                <w:color w:val="000000" w:themeColor="text1"/>
                <w:sz w:val="19"/>
                <w:szCs w:val="19"/>
              </w:rPr>
              <w:t>12.4%</w:t>
            </w:r>
          </w:p>
        </w:tc>
        <w:tc>
          <w:tcPr>
            <w:tcW w:w="955" w:type="dxa"/>
            <w:tcBorders>
              <w:top w:val="single" w:sz="4" w:space="0" w:color="auto"/>
              <w:left w:val="nil"/>
              <w:bottom w:val="single" w:sz="4" w:space="0" w:color="auto"/>
              <w:right w:val="nil"/>
            </w:tcBorders>
            <w:tcMar>
              <w:left w:w="29" w:type="dxa"/>
              <w:right w:w="29" w:type="dxa"/>
            </w:tcMar>
            <w:vAlign w:val="center"/>
          </w:tcPr>
          <w:p w14:paraId="141663B8" w14:textId="624E68FC" w:rsidR="00FF3FFA" w:rsidRPr="00677CE8" w:rsidRDefault="00670D3A" w:rsidP="004A3EC1">
            <w:pPr>
              <w:tabs>
                <w:tab w:val="decimal" w:pos="216"/>
              </w:tabs>
              <w:jc w:val="center"/>
              <w:rPr>
                <w:color w:val="000000" w:themeColor="text1"/>
                <w:sz w:val="19"/>
                <w:szCs w:val="19"/>
              </w:rPr>
            </w:pPr>
            <w:r w:rsidRPr="00677CE8">
              <w:rPr>
                <w:color w:val="000000" w:themeColor="text1"/>
                <w:sz w:val="19"/>
                <w:szCs w:val="19"/>
              </w:rPr>
              <w:t>15.9%</w:t>
            </w:r>
          </w:p>
        </w:tc>
        <w:tc>
          <w:tcPr>
            <w:tcW w:w="925" w:type="dxa"/>
            <w:tcBorders>
              <w:top w:val="single" w:sz="4" w:space="0" w:color="auto"/>
              <w:left w:val="nil"/>
              <w:bottom w:val="single" w:sz="4" w:space="0" w:color="auto"/>
              <w:right w:val="single" w:sz="12" w:space="0" w:color="auto"/>
            </w:tcBorders>
            <w:tcMar>
              <w:left w:w="29" w:type="dxa"/>
              <w:right w:w="29" w:type="dxa"/>
            </w:tcMar>
            <w:vAlign w:val="center"/>
          </w:tcPr>
          <w:p w14:paraId="39FC4A48" w14:textId="1B3C0BDE" w:rsidR="00FF3FFA" w:rsidRPr="00677CE8" w:rsidRDefault="00670D3A" w:rsidP="004A3EC1">
            <w:pPr>
              <w:tabs>
                <w:tab w:val="decimal" w:pos="230"/>
              </w:tabs>
              <w:jc w:val="center"/>
              <w:rPr>
                <w:color w:val="000000" w:themeColor="text1"/>
                <w:sz w:val="19"/>
                <w:szCs w:val="19"/>
              </w:rPr>
            </w:pPr>
            <w:r w:rsidRPr="00677CE8">
              <w:rPr>
                <w:color w:val="000000" w:themeColor="text1"/>
                <w:sz w:val="19"/>
                <w:szCs w:val="19"/>
              </w:rPr>
              <w:t>20.0%</w:t>
            </w:r>
          </w:p>
        </w:tc>
      </w:tr>
      <w:tr w:rsidR="00FF3FFA" w:rsidRPr="00677CE8" w14:paraId="12C80DA3" w14:textId="77777777" w:rsidTr="004D2D92">
        <w:tc>
          <w:tcPr>
            <w:tcW w:w="2700" w:type="dxa"/>
            <w:tcBorders>
              <w:top w:val="single" w:sz="4" w:space="0" w:color="auto"/>
              <w:left w:val="single" w:sz="12" w:space="0" w:color="auto"/>
              <w:bottom w:val="single" w:sz="4" w:space="0" w:color="auto"/>
              <w:right w:val="nil"/>
            </w:tcBorders>
            <w:tcMar>
              <w:left w:w="29" w:type="dxa"/>
              <w:right w:w="29" w:type="dxa"/>
            </w:tcMar>
            <w:vAlign w:val="center"/>
          </w:tcPr>
          <w:p w14:paraId="75E9CB57" w14:textId="77777777" w:rsidR="00FF3FFA" w:rsidRPr="00677CE8" w:rsidRDefault="00FF3FFA" w:rsidP="004D2D92">
            <w:pPr>
              <w:ind w:left="240" w:hanging="193"/>
              <w:rPr>
                <w:sz w:val="19"/>
                <w:szCs w:val="19"/>
              </w:rPr>
            </w:pPr>
            <w:r w:rsidRPr="00677CE8">
              <w:rPr>
                <w:sz w:val="19"/>
                <w:szCs w:val="19"/>
              </w:rPr>
              <w:t>UAM Noise</w:t>
            </w:r>
          </w:p>
        </w:tc>
        <w:tc>
          <w:tcPr>
            <w:tcW w:w="2700" w:type="dxa"/>
            <w:tcBorders>
              <w:top w:val="single" w:sz="4" w:space="0" w:color="auto"/>
              <w:left w:val="nil"/>
              <w:bottom w:val="single" w:sz="4" w:space="0" w:color="auto"/>
              <w:right w:val="nil"/>
            </w:tcBorders>
            <w:tcMar>
              <w:left w:w="29" w:type="dxa"/>
              <w:right w:w="29" w:type="dxa"/>
            </w:tcMar>
            <w:vAlign w:val="center"/>
          </w:tcPr>
          <w:p w14:paraId="252AB148" w14:textId="77777777" w:rsidR="00FF3FFA" w:rsidRPr="00677CE8" w:rsidRDefault="00FF3FFA" w:rsidP="004D2D92">
            <w:pPr>
              <w:ind w:left="137" w:hanging="137"/>
              <w:rPr>
                <w:sz w:val="19"/>
                <w:szCs w:val="19"/>
              </w:rPr>
            </w:pPr>
            <w:r w:rsidRPr="00677CE8">
              <w:rPr>
                <w:sz w:val="19"/>
                <w:szCs w:val="19"/>
              </w:rPr>
              <w:t>Quiet outdoor environment</w:t>
            </w:r>
          </w:p>
        </w:tc>
        <w:tc>
          <w:tcPr>
            <w:tcW w:w="2955" w:type="dxa"/>
            <w:tcBorders>
              <w:top w:val="single" w:sz="4" w:space="0" w:color="auto"/>
              <w:left w:val="nil"/>
              <w:bottom w:val="single" w:sz="4" w:space="0" w:color="auto"/>
              <w:right w:val="nil"/>
            </w:tcBorders>
            <w:tcMar>
              <w:left w:w="29" w:type="dxa"/>
              <w:right w:w="29" w:type="dxa"/>
            </w:tcMar>
            <w:vAlign w:val="center"/>
          </w:tcPr>
          <w:p w14:paraId="71DFE78D" w14:textId="77777777" w:rsidR="00FF3FFA" w:rsidRPr="00677CE8" w:rsidRDefault="00FF3FFA" w:rsidP="00B56FA5">
            <w:pPr>
              <w:rPr>
                <w:sz w:val="19"/>
                <w:szCs w:val="19"/>
              </w:rPr>
            </w:pPr>
            <w:r w:rsidRPr="00677CE8">
              <w:rPr>
                <w:sz w:val="19"/>
                <w:szCs w:val="19"/>
              </w:rPr>
              <w:t>A heavy truck or motorcycle</w:t>
            </w:r>
          </w:p>
        </w:tc>
        <w:tc>
          <w:tcPr>
            <w:tcW w:w="987" w:type="dxa"/>
            <w:tcBorders>
              <w:top w:val="single" w:sz="4" w:space="0" w:color="auto"/>
              <w:left w:val="nil"/>
              <w:bottom w:val="single" w:sz="4" w:space="0" w:color="auto"/>
              <w:right w:val="nil"/>
            </w:tcBorders>
            <w:tcMar>
              <w:left w:w="29" w:type="dxa"/>
              <w:right w:w="29" w:type="dxa"/>
            </w:tcMar>
            <w:vAlign w:val="center"/>
          </w:tcPr>
          <w:p w14:paraId="35C3089B" w14:textId="434E74AF" w:rsidR="00FF3FFA" w:rsidRPr="0038012D" w:rsidRDefault="0038012D" w:rsidP="004A3EC1">
            <w:pPr>
              <w:tabs>
                <w:tab w:val="decimal" w:pos="329"/>
              </w:tabs>
              <w:jc w:val="center"/>
              <w:rPr>
                <w:color w:val="000000" w:themeColor="text1"/>
                <w:sz w:val="19"/>
                <w:szCs w:val="19"/>
              </w:rPr>
            </w:pPr>
            <w:r w:rsidRPr="0038012D">
              <w:rPr>
                <w:color w:val="000000" w:themeColor="text1"/>
                <w:sz w:val="19"/>
                <w:szCs w:val="19"/>
              </w:rPr>
              <w:t>-28.6</w:t>
            </w:r>
            <w:r w:rsidR="00BB1802" w:rsidRPr="0038012D">
              <w:rPr>
                <w:color w:val="000000" w:themeColor="text1"/>
                <w:sz w:val="19"/>
                <w:szCs w:val="19"/>
              </w:rPr>
              <w:t>%</w:t>
            </w:r>
          </w:p>
        </w:tc>
        <w:tc>
          <w:tcPr>
            <w:tcW w:w="990" w:type="dxa"/>
            <w:tcBorders>
              <w:top w:val="single" w:sz="4" w:space="0" w:color="auto"/>
              <w:left w:val="nil"/>
              <w:bottom w:val="single" w:sz="4" w:space="0" w:color="auto"/>
              <w:right w:val="nil"/>
            </w:tcBorders>
            <w:tcMar>
              <w:left w:w="29" w:type="dxa"/>
              <w:right w:w="29" w:type="dxa"/>
            </w:tcMar>
            <w:vAlign w:val="center"/>
          </w:tcPr>
          <w:p w14:paraId="162DE9DE" w14:textId="1D3A24E2" w:rsidR="00FF3FFA" w:rsidRPr="0038012D" w:rsidRDefault="0038012D" w:rsidP="004A3EC1">
            <w:pPr>
              <w:tabs>
                <w:tab w:val="decimal" w:pos="321"/>
              </w:tabs>
              <w:jc w:val="center"/>
              <w:rPr>
                <w:color w:val="000000" w:themeColor="text1"/>
                <w:sz w:val="19"/>
                <w:szCs w:val="19"/>
              </w:rPr>
            </w:pPr>
            <w:r w:rsidRPr="0038012D">
              <w:rPr>
                <w:color w:val="000000" w:themeColor="text1"/>
                <w:sz w:val="19"/>
                <w:szCs w:val="19"/>
              </w:rPr>
              <w:t>-22.5</w:t>
            </w:r>
            <w:r w:rsidR="00BB1802" w:rsidRPr="0038012D">
              <w:rPr>
                <w:color w:val="000000" w:themeColor="text1"/>
                <w:sz w:val="19"/>
                <w:szCs w:val="19"/>
              </w:rPr>
              <w:t>%</w:t>
            </w:r>
          </w:p>
        </w:tc>
        <w:tc>
          <w:tcPr>
            <w:tcW w:w="1036" w:type="dxa"/>
            <w:tcBorders>
              <w:top w:val="single" w:sz="4" w:space="0" w:color="auto"/>
              <w:left w:val="nil"/>
              <w:bottom w:val="single" w:sz="4" w:space="0" w:color="auto"/>
              <w:right w:val="nil"/>
            </w:tcBorders>
            <w:tcMar>
              <w:left w:w="29" w:type="dxa"/>
              <w:right w:w="29" w:type="dxa"/>
            </w:tcMar>
            <w:vAlign w:val="center"/>
          </w:tcPr>
          <w:p w14:paraId="7A71AF07" w14:textId="318CAF03" w:rsidR="00FF3FFA" w:rsidRPr="0038012D" w:rsidRDefault="0038012D" w:rsidP="004A3EC1">
            <w:pPr>
              <w:tabs>
                <w:tab w:val="decimal" w:pos="304"/>
              </w:tabs>
              <w:jc w:val="center"/>
              <w:rPr>
                <w:color w:val="000000" w:themeColor="text1"/>
                <w:sz w:val="19"/>
                <w:szCs w:val="19"/>
              </w:rPr>
            </w:pPr>
            <w:r w:rsidRPr="0038012D">
              <w:rPr>
                <w:color w:val="000000" w:themeColor="text1"/>
                <w:sz w:val="19"/>
                <w:szCs w:val="19"/>
              </w:rPr>
              <w:t>9.2</w:t>
            </w:r>
            <w:r w:rsidR="00BB1802" w:rsidRPr="0038012D">
              <w:rPr>
                <w:color w:val="000000" w:themeColor="text1"/>
                <w:sz w:val="19"/>
                <w:szCs w:val="19"/>
              </w:rPr>
              <w:t>%</w:t>
            </w:r>
          </w:p>
        </w:tc>
        <w:tc>
          <w:tcPr>
            <w:tcW w:w="955" w:type="dxa"/>
            <w:tcBorders>
              <w:top w:val="single" w:sz="4" w:space="0" w:color="auto"/>
              <w:left w:val="nil"/>
              <w:bottom w:val="single" w:sz="4" w:space="0" w:color="auto"/>
              <w:right w:val="nil"/>
            </w:tcBorders>
            <w:tcMar>
              <w:left w:w="29" w:type="dxa"/>
              <w:right w:w="29" w:type="dxa"/>
            </w:tcMar>
            <w:vAlign w:val="center"/>
          </w:tcPr>
          <w:p w14:paraId="7654A763" w14:textId="1251BF1F" w:rsidR="00FF3FFA" w:rsidRPr="0038012D" w:rsidRDefault="0038012D" w:rsidP="004A3EC1">
            <w:pPr>
              <w:tabs>
                <w:tab w:val="decimal" w:pos="216"/>
              </w:tabs>
              <w:jc w:val="center"/>
              <w:rPr>
                <w:color w:val="000000" w:themeColor="text1"/>
                <w:sz w:val="19"/>
                <w:szCs w:val="19"/>
              </w:rPr>
            </w:pPr>
            <w:r w:rsidRPr="0038012D">
              <w:rPr>
                <w:color w:val="000000" w:themeColor="text1"/>
                <w:sz w:val="19"/>
                <w:szCs w:val="19"/>
              </w:rPr>
              <w:t>11.8</w:t>
            </w:r>
            <w:r w:rsidR="00BB1802" w:rsidRPr="0038012D">
              <w:rPr>
                <w:color w:val="000000" w:themeColor="text1"/>
                <w:sz w:val="19"/>
                <w:szCs w:val="19"/>
              </w:rPr>
              <w:t>%</w:t>
            </w:r>
          </w:p>
        </w:tc>
        <w:tc>
          <w:tcPr>
            <w:tcW w:w="925" w:type="dxa"/>
            <w:tcBorders>
              <w:top w:val="single" w:sz="4" w:space="0" w:color="auto"/>
              <w:left w:val="nil"/>
              <w:bottom w:val="single" w:sz="4" w:space="0" w:color="auto"/>
              <w:right w:val="single" w:sz="12" w:space="0" w:color="auto"/>
            </w:tcBorders>
            <w:tcMar>
              <w:left w:w="29" w:type="dxa"/>
              <w:right w:w="29" w:type="dxa"/>
            </w:tcMar>
            <w:vAlign w:val="center"/>
          </w:tcPr>
          <w:p w14:paraId="28A666F2" w14:textId="6098E020" w:rsidR="00FF3FFA" w:rsidRPr="0038012D" w:rsidRDefault="0038012D" w:rsidP="004A3EC1">
            <w:pPr>
              <w:tabs>
                <w:tab w:val="decimal" w:pos="230"/>
              </w:tabs>
              <w:jc w:val="center"/>
              <w:rPr>
                <w:color w:val="000000" w:themeColor="text1"/>
                <w:sz w:val="19"/>
                <w:szCs w:val="19"/>
              </w:rPr>
            </w:pPr>
            <w:r w:rsidRPr="0038012D">
              <w:rPr>
                <w:color w:val="000000" w:themeColor="text1"/>
                <w:sz w:val="19"/>
                <w:szCs w:val="19"/>
              </w:rPr>
              <w:t>14.7</w:t>
            </w:r>
            <w:r w:rsidR="00BB1802" w:rsidRPr="0038012D">
              <w:rPr>
                <w:color w:val="000000" w:themeColor="text1"/>
                <w:sz w:val="19"/>
                <w:szCs w:val="19"/>
              </w:rPr>
              <w:t>%</w:t>
            </w:r>
          </w:p>
        </w:tc>
      </w:tr>
      <w:tr w:rsidR="00FF3FFA" w:rsidRPr="00677CE8" w14:paraId="0FBA32CD" w14:textId="77777777" w:rsidTr="004D2D92">
        <w:tc>
          <w:tcPr>
            <w:tcW w:w="2700" w:type="dxa"/>
            <w:tcBorders>
              <w:top w:val="single" w:sz="4" w:space="0" w:color="auto"/>
              <w:left w:val="single" w:sz="12" w:space="0" w:color="auto"/>
              <w:bottom w:val="single" w:sz="4" w:space="0" w:color="auto"/>
              <w:right w:val="nil"/>
            </w:tcBorders>
            <w:tcMar>
              <w:left w:w="29" w:type="dxa"/>
              <w:right w:w="29" w:type="dxa"/>
            </w:tcMar>
            <w:vAlign w:val="center"/>
          </w:tcPr>
          <w:p w14:paraId="1FBFD0C7" w14:textId="469EE96F" w:rsidR="00FF3FFA" w:rsidRPr="00677CE8" w:rsidRDefault="00FF3FFA" w:rsidP="004D2D92">
            <w:pPr>
              <w:ind w:left="240" w:hanging="193"/>
              <w:rPr>
                <w:sz w:val="19"/>
                <w:szCs w:val="19"/>
              </w:rPr>
            </w:pPr>
            <w:r w:rsidRPr="00677CE8">
              <w:rPr>
                <w:sz w:val="19"/>
                <w:szCs w:val="19"/>
              </w:rPr>
              <w:t>UAM In-flight experience</w:t>
            </w:r>
          </w:p>
        </w:tc>
        <w:tc>
          <w:tcPr>
            <w:tcW w:w="2700" w:type="dxa"/>
            <w:tcBorders>
              <w:top w:val="single" w:sz="4" w:space="0" w:color="auto"/>
              <w:left w:val="nil"/>
              <w:bottom w:val="single" w:sz="4" w:space="0" w:color="auto"/>
              <w:right w:val="nil"/>
            </w:tcBorders>
            <w:tcMar>
              <w:left w:w="29" w:type="dxa"/>
              <w:right w:w="29" w:type="dxa"/>
            </w:tcMar>
            <w:vAlign w:val="center"/>
          </w:tcPr>
          <w:p w14:paraId="1CB91C5D" w14:textId="77777777" w:rsidR="00FF3FFA" w:rsidRPr="00677CE8" w:rsidRDefault="00FF3FFA" w:rsidP="004D2D92">
            <w:pPr>
              <w:ind w:left="137" w:hanging="137"/>
              <w:rPr>
                <w:sz w:val="19"/>
                <w:szCs w:val="19"/>
              </w:rPr>
            </w:pPr>
            <w:r w:rsidRPr="00677CE8">
              <w:rPr>
                <w:sz w:val="19"/>
                <w:szCs w:val="19"/>
              </w:rPr>
              <w:t>Spacious interior</w:t>
            </w:r>
          </w:p>
        </w:tc>
        <w:tc>
          <w:tcPr>
            <w:tcW w:w="2955" w:type="dxa"/>
            <w:tcBorders>
              <w:top w:val="single" w:sz="4" w:space="0" w:color="auto"/>
              <w:left w:val="nil"/>
              <w:bottom w:val="single" w:sz="4" w:space="0" w:color="auto"/>
              <w:right w:val="nil"/>
            </w:tcBorders>
            <w:tcMar>
              <w:left w:w="29" w:type="dxa"/>
              <w:right w:w="29" w:type="dxa"/>
            </w:tcMar>
            <w:vAlign w:val="center"/>
          </w:tcPr>
          <w:p w14:paraId="0481ECDD" w14:textId="77777777" w:rsidR="00FF3FFA" w:rsidRPr="00677CE8" w:rsidRDefault="00FF3FFA" w:rsidP="00B56FA5">
            <w:pPr>
              <w:rPr>
                <w:sz w:val="19"/>
                <w:szCs w:val="19"/>
              </w:rPr>
            </w:pPr>
            <w:r w:rsidRPr="00677CE8">
              <w:rPr>
                <w:sz w:val="19"/>
                <w:szCs w:val="19"/>
              </w:rPr>
              <w:t>Cramped interior</w:t>
            </w:r>
          </w:p>
        </w:tc>
        <w:tc>
          <w:tcPr>
            <w:tcW w:w="987" w:type="dxa"/>
            <w:tcBorders>
              <w:top w:val="single" w:sz="4" w:space="0" w:color="auto"/>
              <w:left w:val="nil"/>
              <w:bottom w:val="single" w:sz="4" w:space="0" w:color="auto"/>
              <w:right w:val="nil"/>
            </w:tcBorders>
            <w:tcMar>
              <w:left w:w="29" w:type="dxa"/>
              <w:right w:w="29" w:type="dxa"/>
            </w:tcMar>
            <w:vAlign w:val="center"/>
          </w:tcPr>
          <w:p w14:paraId="07687BEF" w14:textId="7C8577FD" w:rsidR="00FF3FFA" w:rsidRPr="00677CE8" w:rsidRDefault="00670D3A" w:rsidP="004A3EC1">
            <w:pPr>
              <w:tabs>
                <w:tab w:val="decimal" w:pos="329"/>
              </w:tabs>
              <w:jc w:val="center"/>
              <w:rPr>
                <w:color w:val="000000" w:themeColor="text1"/>
                <w:sz w:val="19"/>
                <w:szCs w:val="19"/>
              </w:rPr>
            </w:pPr>
            <w:r w:rsidRPr="00677CE8">
              <w:rPr>
                <w:color w:val="000000" w:themeColor="text1"/>
                <w:sz w:val="19"/>
                <w:szCs w:val="19"/>
              </w:rPr>
              <w:t>-30.9%</w:t>
            </w:r>
          </w:p>
        </w:tc>
        <w:tc>
          <w:tcPr>
            <w:tcW w:w="990" w:type="dxa"/>
            <w:tcBorders>
              <w:top w:val="single" w:sz="4" w:space="0" w:color="auto"/>
              <w:left w:val="nil"/>
              <w:bottom w:val="single" w:sz="4" w:space="0" w:color="auto"/>
              <w:right w:val="nil"/>
            </w:tcBorders>
            <w:tcMar>
              <w:left w:w="29" w:type="dxa"/>
              <w:right w:w="29" w:type="dxa"/>
            </w:tcMar>
            <w:vAlign w:val="center"/>
          </w:tcPr>
          <w:p w14:paraId="4E67224A" w14:textId="138528C6" w:rsidR="00FF3FFA" w:rsidRPr="00677CE8" w:rsidRDefault="00670D3A" w:rsidP="004A3EC1">
            <w:pPr>
              <w:tabs>
                <w:tab w:val="decimal" w:pos="321"/>
              </w:tabs>
              <w:jc w:val="center"/>
              <w:rPr>
                <w:color w:val="000000" w:themeColor="text1"/>
                <w:sz w:val="19"/>
                <w:szCs w:val="19"/>
              </w:rPr>
            </w:pPr>
            <w:r w:rsidRPr="00677CE8">
              <w:rPr>
                <w:color w:val="000000" w:themeColor="text1"/>
                <w:sz w:val="19"/>
                <w:szCs w:val="19"/>
              </w:rPr>
              <w:t>-23.7%</w:t>
            </w:r>
          </w:p>
        </w:tc>
        <w:tc>
          <w:tcPr>
            <w:tcW w:w="1036" w:type="dxa"/>
            <w:tcBorders>
              <w:top w:val="single" w:sz="4" w:space="0" w:color="auto"/>
              <w:left w:val="nil"/>
              <w:bottom w:val="single" w:sz="4" w:space="0" w:color="auto"/>
              <w:right w:val="nil"/>
            </w:tcBorders>
            <w:tcMar>
              <w:left w:w="29" w:type="dxa"/>
              <w:right w:w="29" w:type="dxa"/>
            </w:tcMar>
            <w:vAlign w:val="center"/>
          </w:tcPr>
          <w:p w14:paraId="659B6000" w14:textId="06737E80" w:rsidR="00FF3FFA" w:rsidRPr="00677CE8" w:rsidRDefault="00670D3A" w:rsidP="004A3EC1">
            <w:pPr>
              <w:tabs>
                <w:tab w:val="decimal" w:pos="304"/>
              </w:tabs>
              <w:jc w:val="center"/>
              <w:rPr>
                <w:color w:val="000000" w:themeColor="text1"/>
                <w:sz w:val="19"/>
                <w:szCs w:val="19"/>
              </w:rPr>
            </w:pPr>
            <w:r w:rsidRPr="00677CE8">
              <w:rPr>
                <w:color w:val="000000" w:themeColor="text1"/>
                <w:sz w:val="19"/>
                <w:szCs w:val="19"/>
              </w:rPr>
              <w:t>10.5%</w:t>
            </w:r>
          </w:p>
        </w:tc>
        <w:tc>
          <w:tcPr>
            <w:tcW w:w="955" w:type="dxa"/>
            <w:tcBorders>
              <w:top w:val="single" w:sz="4" w:space="0" w:color="auto"/>
              <w:left w:val="nil"/>
              <w:bottom w:val="single" w:sz="4" w:space="0" w:color="auto"/>
              <w:right w:val="nil"/>
            </w:tcBorders>
            <w:tcMar>
              <w:left w:w="29" w:type="dxa"/>
              <w:right w:w="29" w:type="dxa"/>
            </w:tcMar>
            <w:vAlign w:val="center"/>
          </w:tcPr>
          <w:p w14:paraId="14BEC827" w14:textId="0972CDFB" w:rsidR="00FF3FFA" w:rsidRPr="00677CE8" w:rsidRDefault="00670D3A" w:rsidP="004A3EC1">
            <w:pPr>
              <w:tabs>
                <w:tab w:val="decimal" w:pos="216"/>
              </w:tabs>
              <w:jc w:val="center"/>
              <w:rPr>
                <w:color w:val="000000" w:themeColor="text1"/>
                <w:sz w:val="19"/>
                <w:szCs w:val="19"/>
              </w:rPr>
            </w:pPr>
            <w:r w:rsidRPr="00677CE8">
              <w:rPr>
                <w:color w:val="000000" w:themeColor="text1"/>
                <w:sz w:val="19"/>
                <w:szCs w:val="19"/>
              </w:rPr>
              <w:t>13.3%</w:t>
            </w:r>
          </w:p>
        </w:tc>
        <w:tc>
          <w:tcPr>
            <w:tcW w:w="925" w:type="dxa"/>
            <w:tcBorders>
              <w:top w:val="single" w:sz="4" w:space="0" w:color="auto"/>
              <w:left w:val="nil"/>
              <w:bottom w:val="single" w:sz="4" w:space="0" w:color="auto"/>
              <w:right w:val="single" w:sz="12" w:space="0" w:color="auto"/>
            </w:tcBorders>
            <w:tcMar>
              <w:left w:w="29" w:type="dxa"/>
              <w:right w:w="29" w:type="dxa"/>
            </w:tcMar>
            <w:vAlign w:val="center"/>
          </w:tcPr>
          <w:p w14:paraId="76114613" w14:textId="75BAB0AC" w:rsidR="00FF3FFA" w:rsidRPr="00677CE8" w:rsidRDefault="00670D3A" w:rsidP="004A3EC1">
            <w:pPr>
              <w:tabs>
                <w:tab w:val="decimal" w:pos="230"/>
              </w:tabs>
              <w:jc w:val="center"/>
              <w:rPr>
                <w:color w:val="000000" w:themeColor="text1"/>
                <w:sz w:val="19"/>
                <w:szCs w:val="19"/>
              </w:rPr>
            </w:pPr>
            <w:r w:rsidRPr="00677CE8">
              <w:rPr>
                <w:color w:val="000000" w:themeColor="text1"/>
                <w:sz w:val="19"/>
                <w:szCs w:val="19"/>
              </w:rPr>
              <w:t>16.8%</w:t>
            </w:r>
          </w:p>
        </w:tc>
      </w:tr>
      <w:tr w:rsidR="00FF3FFA" w:rsidRPr="00677CE8" w14:paraId="5C302055" w14:textId="77777777" w:rsidTr="004D2D92">
        <w:tc>
          <w:tcPr>
            <w:tcW w:w="2700" w:type="dxa"/>
            <w:tcBorders>
              <w:top w:val="single" w:sz="4" w:space="0" w:color="auto"/>
              <w:left w:val="single" w:sz="12" w:space="0" w:color="auto"/>
              <w:bottom w:val="single" w:sz="4" w:space="0" w:color="auto"/>
              <w:right w:val="nil"/>
            </w:tcBorders>
            <w:tcMar>
              <w:left w:w="29" w:type="dxa"/>
              <w:right w:w="29" w:type="dxa"/>
            </w:tcMar>
            <w:vAlign w:val="center"/>
          </w:tcPr>
          <w:p w14:paraId="753BAB86" w14:textId="77777777" w:rsidR="00FF3FFA" w:rsidRPr="00677CE8" w:rsidRDefault="00FF3FFA" w:rsidP="004D2D92">
            <w:pPr>
              <w:ind w:left="240" w:hanging="193"/>
              <w:rPr>
                <w:sz w:val="19"/>
                <w:szCs w:val="19"/>
              </w:rPr>
            </w:pPr>
            <w:r w:rsidRPr="00677CE8">
              <w:rPr>
                <w:sz w:val="19"/>
                <w:szCs w:val="19"/>
              </w:rPr>
              <w:t>UAM Environmental Sustainability</w:t>
            </w:r>
          </w:p>
        </w:tc>
        <w:tc>
          <w:tcPr>
            <w:tcW w:w="2700" w:type="dxa"/>
            <w:tcBorders>
              <w:top w:val="single" w:sz="4" w:space="0" w:color="auto"/>
              <w:left w:val="nil"/>
              <w:bottom w:val="single" w:sz="4" w:space="0" w:color="auto"/>
              <w:right w:val="nil"/>
            </w:tcBorders>
            <w:tcMar>
              <w:left w:w="29" w:type="dxa"/>
              <w:right w:w="29" w:type="dxa"/>
            </w:tcMar>
            <w:vAlign w:val="center"/>
          </w:tcPr>
          <w:p w14:paraId="0D3037B5" w14:textId="77777777" w:rsidR="00FF3FFA" w:rsidRPr="00677CE8" w:rsidRDefault="00FF3FFA" w:rsidP="004D2D92">
            <w:pPr>
              <w:ind w:left="137" w:hanging="137"/>
              <w:rPr>
                <w:sz w:val="19"/>
                <w:szCs w:val="19"/>
              </w:rPr>
            </w:pPr>
            <w:r w:rsidRPr="00677CE8">
              <w:rPr>
                <w:sz w:val="19"/>
                <w:szCs w:val="19"/>
              </w:rPr>
              <w:t>High environmental impact</w:t>
            </w:r>
          </w:p>
        </w:tc>
        <w:tc>
          <w:tcPr>
            <w:tcW w:w="2955" w:type="dxa"/>
            <w:tcBorders>
              <w:top w:val="single" w:sz="4" w:space="0" w:color="auto"/>
              <w:left w:val="nil"/>
              <w:bottom w:val="single" w:sz="4" w:space="0" w:color="auto"/>
              <w:right w:val="nil"/>
            </w:tcBorders>
            <w:tcMar>
              <w:left w:w="29" w:type="dxa"/>
              <w:right w:w="29" w:type="dxa"/>
            </w:tcMar>
            <w:vAlign w:val="center"/>
          </w:tcPr>
          <w:p w14:paraId="0DD5D055" w14:textId="77777777" w:rsidR="00FF3FFA" w:rsidRPr="00677CE8" w:rsidRDefault="00FF3FFA" w:rsidP="00B56FA5">
            <w:pPr>
              <w:rPr>
                <w:sz w:val="19"/>
                <w:szCs w:val="19"/>
              </w:rPr>
            </w:pPr>
            <w:r w:rsidRPr="00677CE8">
              <w:rPr>
                <w:sz w:val="19"/>
                <w:szCs w:val="19"/>
              </w:rPr>
              <w:t>Low environmental impact</w:t>
            </w:r>
          </w:p>
        </w:tc>
        <w:tc>
          <w:tcPr>
            <w:tcW w:w="987" w:type="dxa"/>
            <w:tcBorders>
              <w:top w:val="single" w:sz="4" w:space="0" w:color="auto"/>
              <w:left w:val="nil"/>
              <w:bottom w:val="single" w:sz="4" w:space="0" w:color="auto"/>
              <w:right w:val="nil"/>
            </w:tcBorders>
            <w:tcMar>
              <w:left w:w="29" w:type="dxa"/>
              <w:right w:w="29" w:type="dxa"/>
            </w:tcMar>
            <w:vAlign w:val="center"/>
          </w:tcPr>
          <w:p w14:paraId="5EA5FB7C" w14:textId="0795E5AE" w:rsidR="00FF3FFA" w:rsidRPr="00677CE8" w:rsidRDefault="00670D3A" w:rsidP="004A3EC1">
            <w:pPr>
              <w:tabs>
                <w:tab w:val="decimal" w:pos="329"/>
              </w:tabs>
              <w:jc w:val="center"/>
              <w:rPr>
                <w:color w:val="000000" w:themeColor="text1"/>
                <w:sz w:val="19"/>
                <w:szCs w:val="19"/>
              </w:rPr>
            </w:pPr>
            <w:r w:rsidRPr="00677CE8">
              <w:rPr>
                <w:color w:val="000000" w:themeColor="text1"/>
                <w:sz w:val="19"/>
                <w:szCs w:val="19"/>
              </w:rPr>
              <w:t>18.4%</w:t>
            </w:r>
          </w:p>
        </w:tc>
        <w:tc>
          <w:tcPr>
            <w:tcW w:w="990" w:type="dxa"/>
            <w:tcBorders>
              <w:top w:val="single" w:sz="4" w:space="0" w:color="auto"/>
              <w:left w:val="nil"/>
              <w:bottom w:val="single" w:sz="4" w:space="0" w:color="auto"/>
              <w:right w:val="nil"/>
            </w:tcBorders>
            <w:tcMar>
              <w:left w:w="29" w:type="dxa"/>
              <w:right w:w="29" w:type="dxa"/>
            </w:tcMar>
            <w:vAlign w:val="center"/>
          </w:tcPr>
          <w:p w14:paraId="20AD9D24" w14:textId="03543CF6" w:rsidR="00FF3FFA" w:rsidRPr="00677CE8" w:rsidRDefault="00670D3A" w:rsidP="004A3EC1">
            <w:pPr>
              <w:tabs>
                <w:tab w:val="decimal" w:pos="321"/>
              </w:tabs>
              <w:jc w:val="center"/>
              <w:rPr>
                <w:color w:val="000000" w:themeColor="text1"/>
                <w:sz w:val="19"/>
                <w:szCs w:val="19"/>
              </w:rPr>
            </w:pPr>
            <w:r w:rsidRPr="00677CE8">
              <w:rPr>
                <w:color w:val="000000" w:themeColor="text1"/>
                <w:sz w:val="19"/>
                <w:szCs w:val="19"/>
              </w:rPr>
              <w:t>13.6%</w:t>
            </w:r>
          </w:p>
        </w:tc>
        <w:tc>
          <w:tcPr>
            <w:tcW w:w="1036" w:type="dxa"/>
            <w:tcBorders>
              <w:top w:val="single" w:sz="4" w:space="0" w:color="auto"/>
              <w:left w:val="nil"/>
              <w:bottom w:val="single" w:sz="4" w:space="0" w:color="auto"/>
              <w:right w:val="nil"/>
            </w:tcBorders>
            <w:tcMar>
              <w:left w:w="29" w:type="dxa"/>
              <w:right w:w="29" w:type="dxa"/>
            </w:tcMar>
            <w:vAlign w:val="center"/>
          </w:tcPr>
          <w:p w14:paraId="3F72206E" w14:textId="20932C58" w:rsidR="00FF3FFA" w:rsidRPr="00677CE8" w:rsidRDefault="00670D3A" w:rsidP="004A3EC1">
            <w:pPr>
              <w:tabs>
                <w:tab w:val="decimal" w:pos="304"/>
              </w:tabs>
              <w:jc w:val="center"/>
              <w:rPr>
                <w:color w:val="000000" w:themeColor="text1"/>
                <w:sz w:val="19"/>
                <w:szCs w:val="19"/>
              </w:rPr>
            </w:pPr>
            <w:r w:rsidRPr="00677CE8">
              <w:rPr>
                <w:color w:val="000000" w:themeColor="text1"/>
                <w:sz w:val="19"/>
                <w:szCs w:val="19"/>
              </w:rPr>
              <w:t>-5.9%</w:t>
            </w:r>
          </w:p>
        </w:tc>
        <w:tc>
          <w:tcPr>
            <w:tcW w:w="955" w:type="dxa"/>
            <w:tcBorders>
              <w:top w:val="single" w:sz="4" w:space="0" w:color="auto"/>
              <w:left w:val="nil"/>
              <w:bottom w:val="single" w:sz="4" w:space="0" w:color="auto"/>
              <w:right w:val="nil"/>
            </w:tcBorders>
            <w:tcMar>
              <w:left w:w="29" w:type="dxa"/>
              <w:right w:w="29" w:type="dxa"/>
            </w:tcMar>
            <w:vAlign w:val="center"/>
          </w:tcPr>
          <w:p w14:paraId="1852F833" w14:textId="52D2A1FB" w:rsidR="00FF3FFA" w:rsidRPr="00677CE8" w:rsidRDefault="00670D3A" w:rsidP="004A3EC1">
            <w:pPr>
              <w:tabs>
                <w:tab w:val="decimal" w:pos="216"/>
              </w:tabs>
              <w:jc w:val="center"/>
              <w:rPr>
                <w:color w:val="000000" w:themeColor="text1"/>
                <w:sz w:val="19"/>
                <w:szCs w:val="19"/>
              </w:rPr>
            </w:pPr>
            <w:r w:rsidRPr="00677CE8">
              <w:rPr>
                <w:color w:val="000000" w:themeColor="text1"/>
                <w:sz w:val="19"/>
                <w:szCs w:val="19"/>
              </w:rPr>
              <w:t>-7.2%</w:t>
            </w:r>
          </w:p>
        </w:tc>
        <w:tc>
          <w:tcPr>
            <w:tcW w:w="925" w:type="dxa"/>
            <w:tcBorders>
              <w:top w:val="single" w:sz="4" w:space="0" w:color="auto"/>
              <w:left w:val="nil"/>
              <w:bottom w:val="single" w:sz="4" w:space="0" w:color="auto"/>
              <w:right w:val="single" w:sz="12" w:space="0" w:color="auto"/>
            </w:tcBorders>
            <w:tcMar>
              <w:left w:w="29" w:type="dxa"/>
              <w:right w:w="29" w:type="dxa"/>
            </w:tcMar>
            <w:vAlign w:val="center"/>
          </w:tcPr>
          <w:p w14:paraId="42088702" w14:textId="5EB632CF" w:rsidR="00FF3FFA" w:rsidRPr="00677CE8" w:rsidRDefault="00670D3A" w:rsidP="004A3EC1">
            <w:pPr>
              <w:tabs>
                <w:tab w:val="decimal" w:pos="230"/>
              </w:tabs>
              <w:jc w:val="center"/>
              <w:rPr>
                <w:color w:val="000000" w:themeColor="text1"/>
                <w:sz w:val="19"/>
                <w:szCs w:val="19"/>
              </w:rPr>
            </w:pPr>
            <w:r w:rsidRPr="00677CE8">
              <w:rPr>
                <w:color w:val="000000" w:themeColor="text1"/>
                <w:sz w:val="19"/>
                <w:szCs w:val="19"/>
              </w:rPr>
              <w:t>-9.0%</w:t>
            </w:r>
          </w:p>
        </w:tc>
      </w:tr>
      <w:tr w:rsidR="00FF3FFA" w:rsidRPr="00677CE8" w14:paraId="3536C281" w14:textId="77777777" w:rsidTr="004D2D92">
        <w:tc>
          <w:tcPr>
            <w:tcW w:w="2700" w:type="dxa"/>
            <w:tcBorders>
              <w:top w:val="single" w:sz="4" w:space="0" w:color="auto"/>
              <w:left w:val="single" w:sz="12" w:space="0" w:color="auto"/>
              <w:bottom w:val="single" w:sz="4" w:space="0" w:color="auto"/>
              <w:right w:val="nil"/>
            </w:tcBorders>
            <w:tcMar>
              <w:left w:w="29" w:type="dxa"/>
              <w:right w:w="29" w:type="dxa"/>
            </w:tcMar>
            <w:vAlign w:val="center"/>
          </w:tcPr>
          <w:p w14:paraId="3D553718" w14:textId="10E51228" w:rsidR="00FF3FFA" w:rsidRPr="00677CE8" w:rsidRDefault="00FF3FFA" w:rsidP="004D2D92">
            <w:pPr>
              <w:ind w:left="240" w:hanging="193"/>
              <w:rPr>
                <w:sz w:val="19"/>
                <w:szCs w:val="19"/>
              </w:rPr>
            </w:pPr>
            <w:r w:rsidRPr="00677CE8">
              <w:rPr>
                <w:sz w:val="19"/>
                <w:szCs w:val="19"/>
              </w:rPr>
              <w:t xml:space="preserve">UAM </w:t>
            </w:r>
            <w:r w:rsidR="005A41F0">
              <w:rPr>
                <w:sz w:val="19"/>
                <w:szCs w:val="19"/>
              </w:rPr>
              <w:t xml:space="preserve">Crash-Related </w:t>
            </w:r>
            <w:r w:rsidRPr="00677CE8">
              <w:rPr>
                <w:sz w:val="19"/>
                <w:szCs w:val="19"/>
              </w:rPr>
              <w:t>Safety</w:t>
            </w:r>
            <w:r w:rsidR="005A41F0">
              <w:rPr>
                <w:sz w:val="19"/>
                <w:szCs w:val="19"/>
              </w:rPr>
              <w:t xml:space="preserve"> Level</w:t>
            </w:r>
          </w:p>
        </w:tc>
        <w:tc>
          <w:tcPr>
            <w:tcW w:w="2700" w:type="dxa"/>
            <w:tcBorders>
              <w:top w:val="single" w:sz="4" w:space="0" w:color="auto"/>
              <w:left w:val="nil"/>
              <w:bottom w:val="single" w:sz="4" w:space="0" w:color="auto"/>
              <w:right w:val="nil"/>
            </w:tcBorders>
            <w:tcMar>
              <w:left w:w="29" w:type="dxa"/>
              <w:right w:w="29" w:type="dxa"/>
            </w:tcMar>
            <w:vAlign w:val="center"/>
          </w:tcPr>
          <w:p w14:paraId="092F61DF" w14:textId="77777777" w:rsidR="00FF3FFA" w:rsidRPr="00677CE8" w:rsidRDefault="00FF3FFA" w:rsidP="004D2D92">
            <w:pPr>
              <w:ind w:left="137" w:hanging="137"/>
              <w:rPr>
                <w:sz w:val="19"/>
                <w:szCs w:val="19"/>
              </w:rPr>
            </w:pPr>
            <w:r w:rsidRPr="00677CE8">
              <w:rPr>
                <w:sz w:val="19"/>
                <w:szCs w:val="19"/>
              </w:rPr>
              <w:t>Fewer crashes per mile than ground modes</w:t>
            </w:r>
          </w:p>
        </w:tc>
        <w:tc>
          <w:tcPr>
            <w:tcW w:w="2955" w:type="dxa"/>
            <w:tcBorders>
              <w:top w:val="single" w:sz="4" w:space="0" w:color="auto"/>
              <w:left w:val="nil"/>
              <w:bottom w:val="single" w:sz="4" w:space="0" w:color="auto"/>
              <w:right w:val="nil"/>
            </w:tcBorders>
            <w:tcMar>
              <w:left w:w="29" w:type="dxa"/>
              <w:right w:w="29" w:type="dxa"/>
            </w:tcMar>
            <w:vAlign w:val="center"/>
          </w:tcPr>
          <w:p w14:paraId="79CA6CCB" w14:textId="77777777" w:rsidR="00FF3FFA" w:rsidRPr="00677CE8" w:rsidRDefault="00FF3FFA" w:rsidP="00B56FA5">
            <w:pPr>
              <w:rPr>
                <w:sz w:val="19"/>
                <w:szCs w:val="19"/>
              </w:rPr>
            </w:pPr>
            <w:r w:rsidRPr="00677CE8">
              <w:rPr>
                <w:sz w:val="19"/>
                <w:szCs w:val="19"/>
              </w:rPr>
              <w:t>More crashes per mile than ground modes</w:t>
            </w:r>
          </w:p>
        </w:tc>
        <w:tc>
          <w:tcPr>
            <w:tcW w:w="987" w:type="dxa"/>
            <w:tcBorders>
              <w:top w:val="single" w:sz="4" w:space="0" w:color="auto"/>
              <w:left w:val="nil"/>
              <w:bottom w:val="single" w:sz="4" w:space="0" w:color="auto"/>
              <w:right w:val="nil"/>
            </w:tcBorders>
            <w:tcMar>
              <w:left w:w="29" w:type="dxa"/>
              <w:right w:w="29" w:type="dxa"/>
            </w:tcMar>
            <w:vAlign w:val="center"/>
          </w:tcPr>
          <w:p w14:paraId="65BC9E35" w14:textId="777C2961" w:rsidR="00FF3FFA" w:rsidRPr="00677CE8" w:rsidRDefault="00670D3A" w:rsidP="004A3EC1">
            <w:pPr>
              <w:tabs>
                <w:tab w:val="decimal" w:pos="329"/>
              </w:tabs>
              <w:jc w:val="center"/>
              <w:rPr>
                <w:color w:val="000000" w:themeColor="text1"/>
                <w:sz w:val="19"/>
                <w:szCs w:val="19"/>
              </w:rPr>
            </w:pPr>
            <w:r w:rsidRPr="00677CE8">
              <w:rPr>
                <w:color w:val="000000" w:themeColor="text1"/>
                <w:sz w:val="19"/>
                <w:szCs w:val="19"/>
              </w:rPr>
              <w:t>-32.3%</w:t>
            </w:r>
          </w:p>
        </w:tc>
        <w:tc>
          <w:tcPr>
            <w:tcW w:w="990" w:type="dxa"/>
            <w:tcBorders>
              <w:top w:val="single" w:sz="4" w:space="0" w:color="auto"/>
              <w:left w:val="nil"/>
              <w:bottom w:val="single" w:sz="4" w:space="0" w:color="auto"/>
              <w:right w:val="nil"/>
            </w:tcBorders>
            <w:tcMar>
              <w:left w:w="29" w:type="dxa"/>
              <w:right w:w="29" w:type="dxa"/>
            </w:tcMar>
            <w:vAlign w:val="center"/>
          </w:tcPr>
          <w:p w14:paraId="100E37D7" w14:textId="51266C8B" w:rsidR="00FF3FFA" w:rsidRPr="00677CE8" w:rsidRDefault="00670D3A" w:rsidP="004A3EC1">
            <w:pPr>
              <w:tabs>
                <w:tab w:val="decimal" w:pos="321"/>
              </w:tabs>
              <w:jc w:val="center"/>
              <w:rPr>
                <w:color w:val="000000" w:themeColor="text1"/>
                <w:sz w:val="19"/>
                <w:szCs w:val="19"/>
              </w:rPr>
            </w:pPr>
            <w:r w:rsidRPr="00677CE8">
              <w:rPr>
                <w:color w:val="000000" w:themeColor="text1"/>
                <w:sz w:val="19"/>
                <w:szCs w:val="19"/>
              </w:rPr>
              <w:t>-24.0%</w:t>
            </w:r>
          </w:p>
        </w:tc>
        <w:tc>
          <w:tcPr>
            <w:tcW w:w="1036" w:type="dxa"/>
            <w:tcBorders>
              <w:top w:val="single" w:sz="4" w:space="0" w:color="auto"/>
              <w:left w:val="nil"/>
              <w:bottom w:val="single" w:sz="4" w:space="0" w:color="auto"/>
              <w:right w:val="nil"/>
            </w:tcBorders>
            <w:tcMar>
              <w:left w:w="29" w:type="dxa"/>
              <w:right w:w="29" w:type="dxa"/>
            </w:tcMar>
            <w:vAlign w:val="center"/>
          </w:tcPr>
          <w:p w14:paraId="0C80EBC1" w14:textId="1A0B0450" w:rsidR="00FF3FFA" w:rsidRPr="00677CE8" w:rsidRDefault="00670D3A" w:rsidP="004A3EC1">
            <w:pPr>
              <w:tabs>
                <w:tab w:val="decimal" w:pos="304"/>
              </w:tabs>
              <w:jc w:val="center"/>
              <w:rPr>
                <w:color w:val="000000" w:themeColor="text1"/>
                <w:sz w:val="19"/>
                <w:szCs w:val="19"/>
              </w:rPr>
            </w:pPr>
            <w:r w:rsidRPr="00677CE8">
              <w:rPr>
                <w:color w:val="000000" w:themeColor="text1"/>
                <w:sz w:val="19"/>
                <w:szCs w:val="19"/>
              </w:rPr>
              <w:t>12.1%</w:t>
            </w:r>
          </w:p>
        </w:tc>
        <w:tc>
          <w:tcPr>
            <w:tcW w:w="955" w:type="dxa"/>
            <w:tcBorders>
              <w:top w:val="single" w:sz="4" w:space="0" w:color="auto"/>
              <w:left w:val="nil"/>
              <w:bottom w:val="single" w:sz="4" w:space="0" w:color="auto"/>
              <w:right w:val="nil"/>
            </w:tcBorders>
            <w:tcMar>
              <w:left w:w="29" w:type="dxa"/>
              <w:right w:w="29" w:type="dxa"/>
            </w:tcMar>
            <w:vAlign w:val="center"/>
          </w:tcPr>
          <w:p w14:paraId="48E10AE1" w14:textId="52582451" w:rsidR="00FF3FFA" w:rsidRPr="00677CE8" w:rsidRDefault="00670D3A" w:rsidP="004A3EC1">
            <w:pPr>
              <w:tabs>
                <w:tab w:val="decimal" w:pos="216"/>
              </w:tabs>
              <w:jc w:val="center"/>
              <w:rPr>
                <w:color w:val="000000" w:themeColor="text1"/>
                <w:sz w:val="19"/>
                <w:szCs w:val="19"/>
              </w:rPr>
            </w:pPr>
            <w:r w:rsidRPr="00677CE8">
              <w:rPr>
                <w:color w:val="000000" w:themeColor="text1"/>
                <w:sz w:val="19"/>
                <w:szCs w:val="19"/>
              </w:rPr>
              <w:t>14.8%</w:t>
            </w:r>
          </w:p>
        </w:tc>
        <w:tc>
          <w:tcPr>
            <w:tcW w:w="925" w:type="dxa"/>
            <w:tcBorders>
              <w:top w:val="single" w:sz="4" w:space="0" w:color="auto"/>
              <w:left w:val="nil"/>
              <w:bottom w:val="single" w:sz="4" w:space="0" w:color="auto"/>
              <w:right w:val="single" w:sz="12" w:space="0" w:color="auto"/>
            </w:tcBorders>
            <w:tcMar>
              <w:left w:w="29" w:type="dxa"/>
              <w:right w:w="29" w:type="dxa"/>
            </w:tcMar>
            <w:vAlign w:val="center"/>
          </w:tcPr>
          <w:p w14:paraId="7C6B2351" w14:textId="75ED4157" w:rsidR="00FF3FFA" w:rsidRPr="00677CE8" w:rsidRDefault="00670D3A" w:rsidP="004A3EC1">
            <w:pPr>
              <w:tabs>
                <w:tab w:val="decimal" w:pos="230"/>
              </w:tabs>
              <w:jc w:val="center"/>
              <w:rPr>
                <w:color w:val="000000" w:themeColor="text1"/>
                <w:sz w:val="19"/>
                <w:szCs w:val="19"/>
              </w:rPr>
            </w:pPr>
            <w:r w:rsidRPr="00677CE8">
              <w:rPr>
                <w:color w:val="000000" w:themeColor="text1"/>
                <w:sz w:val="19"/>
                <w:szCs w:val="19"/>
              </w:rPr>
              <w:t>19.4%</w:t>
            </w:r>
          </w:p>
        </w:tc>
      </w:tr>
      <w:tr w:rsidR="00FF3FFA" w:rsidRPr="00677CE8" w14:paraId="70476201" w14:textId="77777777" w:rsidTr="004D2D92">
        <w:tc>
          <w:tcPr>
            <w:tcW w:w="2700" w:type="dxa"/>
            <w:tcBorders>
              <w:top w:val="single" w:sz="4" w:space="0" w:color="auto"/>
              <w:left w:val="single" w:sz="12" w:space="0" w:color="auto"/>
              <w:bottom w:val="single" w:sz="12" w:space="0" w:color="auto"/>
              <w:right w:val="nil"/>
            </w:tcBorders>
            <w:tcMar>
              <w:left w:w="29" w:type="dxa"/>
              <w:right w:w="29" w:type="dxa"/>
            </w:tcMar>
            <w:vAlign w:val="center"/>
          </w:tcPr>
          <w:p w14:paraId="10D08DE2" w14:textId="77777777" w:rsidR="00FF3FFA" w:rsidRPr="00677CE8" w:rsidRDefault="00FF3FFA" w:rsidP="004D2D92">
            <w:pPr>
              <w:ind w:left="240" w:hanging="193"/>
              <w:rPr>
                <w:sz w:val="19"/>
                <w:szCs w:val="19"/>
              </w:rPr>
            </w:pPr>
            <w:r w:rsidRPr="00677CE8">
              <w:rPr>
                <w:sz w:val="19"/>
                <w:szCs w:val="19"/>
              </w:rPr>
              <w:t>UAM Level of Automation</w:t>
            </w:r>
          </w:p>
        </w:tc>
        <w:tc>
          <w:tcPr>
            <w:tcW w:w="2700" w:type="dxa"/>
            <w:tcBorders>
              <w:top w:val="single" w:sz="4" w:space="0" w:color="auto"/>
              <w:left w:val="nil"/>
              <w:bottom w:val="single" w:sz="12" w:space="0" w:color="auto"/>
              <w:right w:val="nil"/>
            </w:tcBorders>
            <w:tcMar>
              <w:left w:w="29" w:type="dxa"/>
              <w:right w:w="29" w:type="dxa"/>
            </w:tcMar>
            <w:vAlign w:val="center"/>
          </w:tcPr>
          <w:p w14:paraId="2BDFC15D" w14:textId="77777777" w:rsidR="00FF3FFA" w:rsidRPr="00677CE8" w:rsidRDefault="00FF3FFA" w:rsidP="004D2D92">
            <w:pPr>
              <w:ind w:left="137" w:hanging="137"/>
              <w:rPr>
                <w:sz w:val="19"/>
                <w:szCs w:val="19"/>
              </w:rPr>
            </w:pPr>
            <w:r w:rsidRPr="00677CE8">
              <w:rPr>
                <w:sz w:val="19"/>
                <w:szCs w:val="19"/>
              </w:rPr>
              <w:t>In-vehicle pilot</w:t>
            </w:r>
          </w:p>
        </w:tc>
        <w:tc>
          <w:tcPr>
            <w:tcW w:w="2955" w:type="dxa"/>
            <w:tcBorders>
              <w:top w:val="single" w:sz="4" w:space="0" w:color="auto"/>
              <w:left w:val="nil"/>
              <w:bottom w:val="single" w:sz="12" w:space="0" w:color="auto"/>
              <w:right w:val="nil"/>
            </w:tcBorders>
            <w:tcMar>
              <w:left w:w="29" w:type="dxa"/>
              <w:right w:w="29" w:type="dxa"/>
            </w:tcMar>
            <w:vAlign w:val="center"/>
          </w:tcPr>
          <w:p w14:paraId="4209D158" w14:textId="77777777" w:rsidR="00FF3FFA" w:rsidRPr="00677CE8" w:rsidRDefault="00FF3FFA" w:rsidP="00B56FA5">
            <w:pPr>
              <w:rPr>
                <w:sz w:val="19"/>
                <w:szCs w:val="19"/>
              </w:rPr>
            </w:pPr>
            <w:r w:rsidRPr="00677CE8">
              <w:rPr>
                <w:sz w:val="19"/>
                <w:szCs w:val="19"/>
              </w:rPr>
              <w:t xml:space="preserve">Fully autonomous </w:t>
            </w:r>
          </w:p>
        </w:tc>
        <w:tc>
          <w:tcPr>
            <w:tcW w:w="987" w:type="dxa"/>
            <w:tcBorders>
              <w:top w:val="single" w:sz="4" w:space="0" w:color="auto"/>
              <w:left w:val="nil"/>
              <w:bottom w:val="single" w:sz="12" w:space="0" w:color="auto"/>
              <w:right w:val="nil"/>
            </w:tcBorders>
            <w:tcMar>
              <w:left w:w="29" w:type="dxa"/>
              <w:right w:w="29" w:type="dxa"/>
            </w:tcMar>
            <w:vAlign w:val="center"/>
          </w:tcPr>
          <w:p w14:paraId="0DB0FE87" w14:textId="29696DB8" w:rsidR="00FF3FFA" w:rsidRPr="00677CE8" w:rsidRDefault="00166BBB" w:rsidP="004A3EC1">
            <w:pPr>
              <w:tabs>
                <w:tab w:val="decimal" w:pos="329"/>
              </w:tabs>
              <w:jc w:val="center"/>
              <w:rPr>
                <w:color w:val="000000" w:themeColor="text1"/>
                <w:sz w:val="19"/>
                <w:szCs w:val="19"/>
              </w:rPr>
            </w:pPr>
            <w:r w:rsidRPr="00677CE8">
              <w:rPr>
                <w:color w:val="000000" w:themeColor="text1"/>
                <w:sz w:val="19"/>
                <w:szCs w:val="19"/>
              </w:rPr>
              <w:t>-38.8%</w:t>
            </w:r>
          </w:p>
        </w:tc>
        <w:tc>
          <w:tcPr>
            <w:tcW w:w="990" w:type="dxa"/>
            <w:tcBorders>
              <w:top w:val="single" w:sz="4" w:space="0" w:color="auto"/>
              <w:left w:val="nil"/>
              <w:bottom w:val="single" w:sz="12" w:space="0" w:color="auto"/>
              <w:right w:val="nil"/>
            </w:tcBorders>
            <w:tcMar>
              <w:left w:w="29" w:type="dxa"/>
              <w:right w:w="29" w:type="dxa"/>
            </w:tcMar>
            <w:vAlign w:val="center"/>
          </w:tcPr>
          <w:p w14:paraId="5A21478D" w14:textId="4A72851E" w:rsidR="00FF3FFA" w:rsidRPr="00677CE8" w:rsidRDefault="00166BBB" w:rsidP="004A3EC1">
            <w:pPr>
              <w:tabs>
                <w:tab w:val="decimal" w:pos="321"/>
              </w:tabs>
              <w:jc w:val="center"/>
              <w:rPr>
                <w:color w:val="000000" w:themeColor="text1"/>
                <w:sz w:val="19"/>
                <w:szCs w:val="19"/>
              </w:rPr>
            </w:pPr>
            <w:r w:rsidRPr="00677CE8">
              <w:rPr>
                <w:color w:val="000000" w:themeColor="text1"/>
                <w:sz w:val="19"/>
                <w:szCs w:val="19"/>
              </w:rPr>
              <w:t>-30.9%</w:t>
            </w:r>
          </w:p>
        </w:tc>
        <w:tc>
          <w:tcPr>
            <w:tcW w:w="1036" w:type="dxa"/>
            <w:tcBorders>
              <w:top w:val="single" w:sz="4" w:space="0" w:color="auto"/>
              <w:left w:val="nil"/>
              <w:bottom w:val="single" w:sz="12" w:space="0" w:color="auto"/>
              <w:right w:val="nil"/>
            </w:tcBorders>
            <w:tcMar>
              <w:left w:w="29" w:type="dxa"/>
              <w:right w:w="29" w:type="dxa"/>
            </w:tcMar>
            <w:vAlign w:val="center"/>
          </w:tcPr>
          <w:p w14:paraId="49C2C324" w14:textId="0F8DB4E8" w:rsidR="00FF3FFA" w:rsidRPr="00677CE8" w:rsidRDefault="00166BBB" w:rsidP="004A3EC1">
            <w:pPr>
              <w:tabs>
                <w:tab w:val="decimal" w:pos="304"/>
              </w:tabs>
              <w:jc w:val="center"/>
              <w:rPr>
                <w:color w:val="000000" w:themeColor="text1"/>
                <w:sz w:val="19"/>
                <w:szCs w:val="19"/>
              </w:rPr>
            </w:pPr>
            <w:r w:rsidRPr="00677CE8">
              <w:rPr>
                <w:color w:val="000000" w:themeColor="text1"/>
                <w:sz w:val="19"/>
                <w:szCs w:val="19"/>
              </w:rPr>
              <w:t>14.2%</w:t>
            </w:r>
          </w:p>
        </w:tc>
        <w:tc>
          <w:tcPr>
            <w:tcW w:w="955" w:type="dxa"/>
            <w:tcBorders>
              <w:top w:val="single" w:sz="4" w:space="0" w:color="auto"/>
              <w:left w:val="nil"/>
              <w:bottom w:val="single" w:sz="12" w:space="0" w:color="auto"/>
              <w:right w:val="nil"/>
            </w:tcBorders>
            <w:tcMar>
              <w:left w:w="29" w:type="dxa"/>
              <w:right w:w="29" w:type="dxa"/>
            </w:tcMar>
            <w:vAlign w:val="center"/>
          </w:tcPr>
          <w:p w14:paraId="4FC50A87" w14:textId="3E2CC0B8" w:rsidR="00FF3FFA" w:rsidRPr="00677CE8" w:rsidRDefault="00166BBB" w:rsidP="004A3EC1">
            <w:pPr>
              <w:tabs>
                <w:tab w:val="decimal" w:pos="216"/>
              </w:tabs>
              <w:jc w:val="center"/>
              <w:rPr>
                <w:color w:val="000000" w:themeColor="text1"/>
                <w:sz w:val="19"/>
                <w:szCs w:val="19"/>
              </w:rPr>
            </w:pPr>
            <w:r w:rsidRPr="00677CE8">
              <w:rPr>
                <w:color w:val="000000" w:themeColor="text1"/>
                <w:sz w:val="19"/>
                <w:szCs w:val="19"/>
              </w:rPr>
              <w:t>17.9%</w:t>
            </w:r>
          </w:p>
        </w:tc>
        <w:tc>
          <w:tcPr>
            <w:tcW w:w="925" w:type="dxa"/>
            <w:tcBorders>
              <w:top w:val="single" w:sz="4" w:space="0" w:color="auto"/>
              <w:left w:val="nil"/>
              <w:bottom w:val="single" w:sz="12" w:space="0" w:color="auto"/>
              <w:right w:val="single" w:sz="12" w:space="0" w:color="auto"/>
            </w:tcBorders>
            <w:tcMar>
              <w:left w:w="29" w:type="dxa"/>
              <w:right w:w="29" w:type="dxa"/>
            </w:tcMar>
            <w:vAlign w:val="center"/>
          </w:tcPr>
          <w:p w14:paraId="5531BDB3" w14:textId="32C901B7" w:rsidR="00FF3FFA" w:rsidRPr="00677CE8" w:rsidRDefault="00166BBB" w:rsidP="004A3EC1">
            <w:pPr>
              <w:tabs>
                <w:tab w:val="decimal" w:pos="230"/>
              </w:tabs>
              <w:jc w:val="center"/>
              <w:rPr>
                <w:color w:val="000000" w:themeColor="text1"/>
                <w:sz w:val="19"/>
                <w:szCs w:val="19"/>
              </w:rPr>
            </w:pPr>
            <w:r w:rsidRPr="00677CE8">
              <w:rPr>
                <w:color w:val="000000" w:themeColor="text1"/>
                <w:sz w:val="19"/>
                <w:szCs w:val="19"/>
              </w:rPr>
              <w:t>22.6%</w:t>
            </w:r>
          </w:p>
        </w:tc>
      </w:tr>
      <w:tr w:rsidR="00FF3FFA" w:rsidRPr="00677CE8" w14:paraId="576CE077" w14:textId="77777777" w:rsidTr="004D2D92">
        <w:tc>
          <w:tcPr>
            <w:tcW w:w="13250" w:type="dxa"/>
            <w:gridSpan w:val="8"/>
            <w:tcBorders>
              <w:top w:val="single" w:sz="12" w:space="0" w:color="auto"/>
              <w:bottom w:val="single" w:sz="12" w:space="0" w:color="auto"/>
            </w:tcBorders>
            <w:tcMar>
              <w:left w:w="29" w:type="dxa"/>
              <w:right w:w="29" w:type="dxa"/>
            </w:tcMar>
            <w:vAlign w:val="center"/>
          </w:tcPr>
          <w:p w14:paraId="7D87A25E" w14:textId="77777777" w:rsidR="00FF3FFA" w:rsidRPr="00677CE8" w:rsidRDefault="00FF3FFA" w:rsidP="004D2D92">
            <w:pPr>
              <w:tabs>
                <w:tab w:val="decimal" w:pos="216"/>
              </w:tabs>
              <w:ind w:left="137" w:hanging="137"/>
              <w:rPr>
                <w:b/>
                <w:bCs/>
                <w:i/>
                <w:iCs/>
                <w:color w:val="FFFFFF" w:themeColor="background1"/>
                <w:sz w:val="19"/>
                <w:szCs w:val="19"/>
              </w:rPr>
            </w:pPr>
            <w:r w:rsidRPr="00677CE8">
              <w:rPr>
                <w:b/>
                <w:bCs/>
                <w:i/>
                <w:iCs/>
                <w:color w:val="000000" w:themeColor="text1"/>
                <w:sz w:val="19"/>
                <w:szCs w:val="19"/>
              </w:rPr>
              <w:t>Trip Context</w:t>
            </w:r>
          </w:p>
        </w:tc>
      </w:tr>
      <w:tr w:rsidR="00FF3FFA" w:rsidRPr="00677CE8" w14:paraId="532BAE11" w14:textId="77777777" w:rsidTr="004D2D92">
        <w:tc>
          <w:tcPr>
            <w:tcW w:w="2700" w:type="dxa"/>
            <w:vMerge w:val="restart"/>
            <w:tcBorders>
              <w:top w:val="single" w:sz="12" w:space="0" w:color="auto"/>
              <w:left w:val="single" w:sz="12" w:space="0" w:color="auto"/>
              <w:bottom w:val="nil"/>
            </w:tcBorders>
            <w:tcMar>
              <w:left w:w="29" w:type="dxa"/>
              <w:right w:w="29" w:type="dxa"/>
            </w:tcMar>
            <w:vAlign w:val="center"/>
          </w:tcPr>
          <w:p w14:paraId="06EC19DD" w14:textId="77777777" w:rsidR="00FF3FFA" w:rsidRPr="00677CE8" w:rsidRDefault="00FF3FFA" w:rsidP="004D2D92">
            <w:pPr>
              <w:ind w:left="240" w:hanging="193"/>
              <w:rPr>
                <w:sz w:val="19"/>
                <w:szCs w:val="19"/>
              </w:rPr>
            </w:pPr>
            <w:r w:rsidRPr="00677CE8">
              <w:rPr>
                <w:sz w:val="19"/>
                <w:szCs w:val="19"/>
              </w:rPr>
              <w:t>Trip Purpose</w:t>
            </w:r>
          </w:p>
        </w:tc>
        <w:tc>
          <w:tcPr>
            <w:tcW w:w="2700" w:type="dxa"/>
            <w:tcBorders>
              <w:top w:val="single" w:sz="12" w:space="0" w:color="auto"/>
              <w:bottom w:val="nil"/>
            </w:tcBorders>
            <w:tcMar>
              <w:left w:w="29" w:type="dxa"/>
              <w:right w:w="29" w:type="dxa"/>
            </w:tcMar>
            <w:vAlign w:val="center"/>
          </w:tcPr>
          <w:p w14:paraId="2AA8E497" w14:textId="77777777" w:rsidR="00FF3FFA" w:rsidRPr="00677CE8" w:rsidRDefault="00FF3FFA" w:rsidP="004D2D92">
            <w:pPr>
              <w:ind w:left="137" w:hanging="137"/>
              <w:rPr>
                <w:sz w:val="19"/>
                <w:szCs w:val="19"/>
              </w:rPr>
            </w:pPr>
            <w:r w:rsidRPr="00677CE8">
              <w:rPr>
                <w:sz w:val="19"/>
                <w:szCs w:val="19"/>
              </w:rPr>
              <w:t>Work commute</w:t>
            </w:r>
          </w:p>
        </w:tc>
        <w:tc>
          <w:tcPr>
            <w:tcW w:w="2955" w:type="dxa"/>
            <w:tcBorders>
              <w:top w:val="single" w:sz="12" w:space="0" w:color="auto"/>
              <w:bottom w:val="nil"/>
            </w:tcBorders>
            <w:tcMar>
              <w:left w:w="29" w:type="dxa"/>
              <w:right w:w="29" w:type="dxa"/>
            </w:tcMar>
          </w:tcPr>
          <w:p w14:paraId="2C563C43" w14:textId="77777777" w:rsidR="00FF3FFA" w:rsidRPr="00677CE8" w:rsidRDefault="00FF3FFA" w:rsidP="00B56FA5">
            <w:pPr>
              <w:rPr>
                <w:sz w:val="19"/>
                <w:szCs w:val="19"/>
              </w:rPr>
            </w:pPr>
            <w:r w:rsidRPr="00677CE8">
              <w:rPr>
                <w:sz w:val="19"/>
                <w:szCs w:val="19"/>
              </w:rPr>
              <w:t>Errands</w:t>
            </w:r>
          </w:p>
        </w:tc>
        <w:tc>
          <w:tcPr>
            <w:tcW w:w="987" w:type="dxa"/>
            <w:tcBorders>
              <w:top w:val="single" w:sz="12" w:space="0" w:color="auto"/>
              <w:bottom w:val="nil"/>
            </w:tcBorders>
            <w:tcMar>
              <w:left w:w="29" w:type="dxa"/>
              <w:right w:w="29" w:type="dxa"/>
            </w:tcMar>
          </w:tcPr>
          <w:p w14:paraId="0352B427" w14:textId="06C15591" w:rsidR="00FF3FFA" w:rsidRPr="00677CE8" w:rsidRDefault="00166BBB" w:rsidP="004A3EC1">
            <w:pPr>
              <w:tabs>
                <w:tab w:val="decimal" w:pos="329"/>
              </w:tabs>
              <w:jc w:val="center"/>
              <w:rPr>
                <w:color w:val="000000" w:themeColor="text1"/>
                <w:sz w:val="19"/>
                <w:szCs w:val="19"/>
              </w:rPr>
            </w:pPr>
            <w:r w:rsidRPr="00677CE8">
              <w:rPr>
                <w:color w:val="000000" w:themeColor="text1"/>
                <w:sz w:val="19"/>
                <w:szCs w:val="19"/>
              </w:rPr>
              <w:t>12.5%</w:t>
            </w:r>
          </w:p>
        </w:tc>
        <w:tc>
          <w:tcPr>
            <w:tcW w:w="990" w:type="dxa"/>
            <w:tcBorders>
              <w:top w:val="single" w:sz="12" w:space="0" w:color="auto"/>
              <w:bottom w:val="nil"/>
            </w:tcBorders>
            <w:tcMar>
              <w:left w:w="29" w:type="dxa"/>
              <w:right w:w="29" w:type="dxa"/>
            </w:tcMar>
          </w:tcPr>
          <w:p w14:paraId="16D5FF88" w14:textId="5F7E0764" w:rsidR="00FF3FFA" w:rsidRPr="00677CE8" w:rsidRDefault="00166BBB" w:rsidP="004A3EC1">
            <w:pPr>
              <w:tabs>
                <w:tab w:val="decimal" w:pos="321"/>
              </w:tabs>
              <w:jc w:val="center"/>
              <w:rPr>
                <w:color w:val="000000" w:themeColor="text1"/>
                <w:sz w:val="19"/>
                <w:szCs w:val="19"/>
              </w:rPr>
            </w:pPr>
            <w:r w:rsidRPr="00677CE8">
              <w:rPr>
                <w:color w:val="000000" w:themeColor="text1"/>
                <w:sz w:val="19"/>
                <w:szCs w:val="19"/>
              </w:rPr>
              <w:t>13.9%</w:t>
            </w:r>
          </w:p>
        </w:tc>
        <w:tc>
          <w:tcPr>
            <w:tcW w:w="1036" w:type="dxa"/>
            <w:tcBorders>
              <w:top w:val="single" w:sz="12" w:space="0" w:color="auto"/>
              <w:bottom w:val="nil"/>
            </w:tcBorders>
            <w:tcMar>
              <w:left w:w="29" w:type="dxa"/>
              <w:right w:w="29" w:type="dxa"/>
            </w:tcMar>
          </w:tcPr>
          <w:p w14:paraId="2AB8C333" w14:textId="1380F315" w:rsidR="00FF3FFA" w:rsidRPr="00677CE8" w:rsidRDefault="00166BBB" w:rsidP="000E7216">
            <w:pPr>
              <w:tabs>
                <w:tab w:val="decimal" w:pos="304"/>
              </w:tabs>
              <w:jc w:val="center"/>
              <w:rPr>
                <w:color w:val="000000" w:themeColor="text1"/>
                <w:sz w:val="19"/>
                <w:szCs w:val="19"/>
              </w:rPr>
            </w:pPr>
            <w:r w:rsidRPr="00677CE8">
              <w:rPr>
                <w:color w:val="000000" w:themeColor="text1"/>
                <w:sz w:val="19"/>
                <w:szCs w:val="19"/>
              </w:rPr>
              <w:t>1.6%</w:t>
            </w:r>
          </w:p>
        </w:tc>
        <w:tc>
          <w:tcPr>
            <w:tcW w:w="955" w:type="dxa"/>
            <w:tcBorders>
              <w:top w:val="single" w:sz="12" w:space="0" w:color="auto"/>
              <w:bottom w:val="nil"/>
            </w:tcBorders>
            <w:tcMar>
              <w:left w:w="29" w:type="dxa"/>
              <w:right w:w="29" w:type="dxa"/>
            </w:tcMar>
          </w:tcPr>
          <w:p w14:paraId="0D254E40" w14:textId="159F46B7" w:rsidR="00FF3FFA" w:rsidRPr="00677CE8" w:rsidRDefault="00166BBB" w:rsidP="004A3EC1">
            <w:pPr>
              <w:tabs>
                <w:tab w:val="decimal" w:pos="216"/>
              </w:tabs>
              <w:jc w:val="center"/>
              <w:rPr>
                <w:color w:val="000000" w:themeColor="text1"/>
                <w:sz w:val="19"/>
                <w:szCs w:val="19"/>
              </w:rPr>
            </w:pPr>
            <w:r w:rsidRPr="00677CE8">
              <w:rPr>
                <w:color w:val="000000" w:themeColor="text1"/>
                <w:sz w:val="19"/>
                <w:szCs w:val="19"/>
              </w:rPr>
              <w:t>-23.0%</w:t>
            </w:r>
          </w:p>
        </w:tc>
        <w:tc>
          <w:tcPr>
            <w:tcW w:w="925" w:type="dxa"/>
            <w:tcBorders>
              <w:top w:val="single" w:sz="12" w:space="0" w:color="auto"/>
              <w:bottom w:val="nil"/>
              <w:right w:val="single" w:sz="12" w:space="0" w:color="auto"/>
            </w:tcBorders>
            <w:tcMar>
              <w:left w:w="29" w:type="dxa"/>
              <w:right w:w="29" w:type="dxa"/>
            </w:tcMar>
          </w:tcPr>
          <w:p w14:paraId="6B37B51B" w14:textId="4F9B24D6" w:rsidR="00FF3FFA" w:rsidRPr="00677CE8" w:rsidRDefault="00166BBB" w:rsidP="004A3EC1">
            <w:pPr>
              <w:tabs>
                <w:tab w:val="decimal" w:pos="230"/>
              </w:tabs>
              <w:jc w:val="center"/>
              <w:rPr>
                <w:color w:val="000000" w:themeColor="text1"/>
                <w:sz w:val="19"/>
                <w:szCs w:val="19"/>
              </w:rPr>
            </w:pPr>
            <w:r w:rsidRPr="00677CE8">
              <w:rPr>
                <w:color w:val="000000" w:themeColor="text1"/>
                <w:sz w:val="19"/>
                <w:szCs w:val="19"/>
              </w:rPr>
              <w:t>-2.9%</w:t>
            </w:r>
          </w:p>
        </w:tc>
      </w:tr>
      <w:tr w:rsidR="00FF3FFA" w:rsidRPr="00677CE8" w14:paraId="5FBD2264" w14:textId="77777777" w:rsidTr="004D2D92">
        <w:tc>
          <w:tcPr>
            <w:tcW w:w="2700" w:type="dxa"/>
            <w:vMerge/>
            <w:tcBorders>
              <w:top w:val="nil"/>
              <w:left w:val="single" w:sz="12" w:space="0" w:color="auto"/>
              <w:bottom w:val="nil"/>
            </w:tcBorders>
            <w:tcMar>
              <w:left w:w="29" w:type="dxa"/>
              <w:right w:w="29" w:type="dxa"/>
            </w:tcMar>
            <w:vAlign w:val="center"/>
          </w:tcPr>
          <w:p w14:paraId="4DC19353" w14:textId="77777777" w:rsidR="00FF3FFA" w:rsidRPr="00677CE8" w:rsidRDefault="00FF3FFA" w:rsidP="004D2D92">
            <w:pPr>
              <w:ind w:left="240" w:hanging="193"/>
              <w:rPr>
                <w:sz w:val="19"/>
                <w:szCs w:val="19"/>
              </w:rPr>
            </w:pPr>
          </w:p>
        </w:tc>
        <w:tc>
          <w:tcPr>
            <w:tcW w:w="2700" w:type="dxa"/>
            <w:tcBorders>
              <w:top w:val="nil"/>
              <w:bottom w:val="nil"/>
            </w:tcBorders>
            <w:tcMar>
              <w:left w:w="29" w:type="dxa"/>
              <w:right w:w="29" w:type="dxa"/>
            </w:tcMar>
            <w:vAlign w:val="center"/>
          </w:tcPr>
          <w:p w14:paraId="163DA621" w14:textId="77777777" w:rsidR="00FF3FFA" w:rsidRPr="00677CE8" w:rsidRDefault="00FF3FFA" w:rsidP="004D2D92">
            <w:pPr>
              <w:ind w:left="137" w:hanging="137"/>
              <w:rPr>
                <w:sz w:val="19"/>
                <w:szCs w:val="19"/>
              </w:rPr>
            </w:pPr>
            <w:r w:rsidRPr="00677CE8">
              <w:rPr>
                <w:sz w:val="19"/>
                <w:szCs w:val="19"/>
              </w:rPr>
              <w:t>Work commute</w:t>
            </w:r>
          </w:p>
        </w:tc>
        <w:tc>
          <w:tcPr>
            <w:tcW w:w="2955" w:type="dxa"/>
            <w:tcBorders>
              <w:top w:val="nil"/>
              <w:bottom w:val="nil"/>
            </w:tcBorders>
            <w:tcMar>
              <w:left w:w="29" w:type="dxa"/>
              <w:right w:w="29" w:type="dxa"/>
            </w:tcMar>
          </w:tcPr>
          <w:p w14:paraId="561B04B2" w14:textId="77777777" w:rsidR="00FF3FFA" w:rsidRPr="00677CE8" w:rsidRDefault="00FF3FFA" w:rsidP="00B56FA5">
            <w:pPr>
              <w:rPr>
                <w:sz w:val="19"/>
                <w:szCs w:val="19"/>
              </w:rPr>
            </w:pPr>
            <w:r w:rsidRPr="00677CE8">
              <w:rPr>
                <w:sz w:val="19"/>
                <w:szCs w:val="19"/>
              </w:rPr>
              <w:t>Leisure</w:t>
            </w:r>
          </w:p>
        </w:tc>
        <w:tc>
          <w:tcPr>
            <w:tcW w:w="987" w:type="dxa"/>
            <w:tcBorders>
              <w:top w:val="nil"/>
              <w:bottom w:val="nil"/>
            </w:tcBorders>
            <w:tcMar>
              <w:left w:w="29" w:type="dxa"/>
              <w:right w:w="29" w:type="dxa"/>
            </w:tcMar>
          </w:tcPr>
          <w:p w14:paraId="65901028" w14:textId="030D29EE" w:rsidR="00FF3FFA" w:rsidRPr="00677CE8" w:rsidRDefault="00166BBB" w:rsidP="004A3EC1">
            <w:pPr>
              <w:tabs>
                <w:tab w:val="decimal" w:pos="329"/>
              </w:tabs>
              <w:jc w:val="center"/>
              <w:rPr>
                <w:color w:val="000000" w:themeColor="text1"/>
                <w:sz w:val="19"/>
                <w:szCs w:val="19"/>
              </w:rPr>
            </w:pPr>
            <w:r w:rsidRPr="00677CE8">
              <w:rPr>
                <w:color w:val="000000" w:themeColor="text1"/>
                <w:sz w:val="19"/>
                <w:szCs w:val="19"/>
              </w:rPr>
              <w:t>-2.0%</w:t>
            </w:r>
          </w:p>
        </w:tc>
        <w:tc>
          <w:tcPr>
            <w:tcW w:w="990" w:type="dxa"/>
            <w:tcBorders>
              <w:top w:val="nil"/>
              <w:bottom w:val="nil"/>
            </w:tcBorders>
            <w:tcMar>
              <w:left w:w="29" w:type="dxa"/>
              <w:right w:w="29" w:type="dxa"/>
            </w:tcMar>
          </w:tcPr>
          <w:p w14:paraId="62C8B328" w14:textId="4455A96B" w:rsidR="00FF3FFA" w:rsidRPr="00677CE8" w:rsidRDefault="00166BBB" w:rsidP="004A3EC1">
            <w:pPr>
              <w:tabs>
                <w:tab w:val="decimal" w:pos="321"/>
              </w:tabs>
              <w:jc w:val="center"/>
              <w:rPr>
                <w:color w:val="000000" w:themeColor="text1"/>
                <w:sz w:val="19"/>
                <w:szCs w:val="19"/>
              </w:rPr>
            </w:pPr>
            <w:r w:rsidRPr="00677CE8">
              <w:rPr>
                <w:color w:val="000000" w:themeColor="text1"/>
                <w:sz w:val="19"/>
                <w:szCs w:val="19"/>
              </w:rPr>
              <w:t>-5.3%</w:t>
            </w:r>
          </w:p>
        </w:tc>
        <w:tc>
          <w:tcPr>
            <w:tcW w:w="1036" w:type="dxa"/>
            <w:tcBorders>
              <w:top w:val="nil"/>
              <w:bottom w:val="nil"/>
            </w:tcBorders>
            <w:tcMar>
              <w:left w:w="29" w:type="dxa"/>
              <w:right w:w="29" w:type="dxa"/>
            </w:tcMar>
          </w:tcPr>
          <w:p w14:paraId="488E038F" w14:textId="0C96AAD8" w:rsidR="00FF3FFA" w:rsidRPr="00677CE8" w:rsidRDefault="00166BBB" w:rsidP="000E7216">
            <w:pPr>
              <w:tabs>
                <w:tab w:val="decimal" w:pos="304"/>
              </w:tabs>
              <w:jc w:val="center"/>
              <w:rPr>
                <w:color w:val="000000" w:themeColor="text1"/>
                <w:sz w:val="19"/>
                <w:szCs w:val="19"/>
              </w:rPr>
            </w:pPr>
            <w:r w:rsidRPr="00677CE8">
              <w:rPr>
                <w:color w:val="000000" w:themeColor="text1"/>
                <w:sz w:val="19"/>
                <w:szCs w:val="19"/>
              </w:rPr>
              <w:t>12.1%</w:t>
            </w:r>
          </w:p>
        </w:tc>
        <w:tc>
          <w:tcPr>
            <w:tcW w:w="955" w:type="dxa"/>
            <w:tcBorders>
              <w:top w:val="nil"/>
              <w:bottom w:val="nil"/>
            </w:tcBorders>
            <w:tcMar>
              <w:left w:w="29" w:type="dxa"/>
              <w:right w:w="29" w:type="dxa"/>
            </w:tcMar>
          </w:tcPr>
          <w:p w14:paraId="0B2B72B9" w14:textId="7935BDBD" w:rsidR="00FF3FFA" w:rsidRPr="00677CE8" w:rsidRDefault="00166BBB" w:rsidP="004A3EC1">
            <w:pPr>
              <w:tabs>
                <w:tab w:val="decimal" w:pos="216"/>
              </w:tabs>
              <w:jc w:val="center"/>
              <w:rPr>
                <w:color w:val="000000" w:themeColor="text1"/>
                <w:sz w:val="19"/>
                <w:szCs w:val="19"/>
              </w:rPr>
            </w:pPr>
            <w:r w:rsidRPr="00677CE8">
              <w:rPr>
                <w:color w:val="000000" w:themeColor="text1"/>
                <w:sz w:val="19"/>
                <w:szCs w:val="19"/>
              </w:rPr>
              <w:t>-4.7%</w:t>
            </w:r>
          </w:p>
        </w:tc>
        <w:tc>
          <w:tcPr>
            <w:tcW w:w="925" w:type="dxa"/>
            <w:tcBorders>
              <w:top w:val="nil"/>
              <w:bottom w:val="nil"/>
              <w:right w:val="single" w:sz="12" w:space="0" w:color="auto"/>
            </w:tcBorders>
            <w:tcMar>
              <w:left w:w="29" w:type="dxa"/>
              <w:right w:w="29" w:type="dxa"/>
            </w:tcMar>
          </w:tcPr>
          <w:p w14:paraId="1CDCDAA8" w14:textId="4D58B2FD" w:rsidR="00FF3FFA" w:rsidRPr="00677CE8" w:rsidRDefault="00166BBB" w:rsidP="004A3EC1">
            <w:pPr>
              <w:tabs>
                <w:tab w:val="decimal" w:pos="230"/>
              </w:tabs>
              <w:jc w:val="center"/>
              <w:rPr>
                <w:color w:val="000000" w:themeColor="text1"/>
                <w:sz w:val="19"/>
                <w:szCs w:val="19"/>
              </w:rPr>
            </w:pPr>
            <w:r w:rsidRPr="00677CE8">
              <w:rPr>
                <w:color w:val="000000" w:themeColor="text1"/>
                <w:sz w:val="19"/>
                <w:szCs w:val="19"/>
              </w:rPr>
              <w:t>-2.1%</w:t>
            </w:r>
          </w:p>
        </w:tc>
      </w:tr>
      <w:tr w:rsidR="00FF3FFA" w:rsidRPr="00677CE8" w14:paraId="7C9DA317" w14:textId="77777777" w:rsidTr="004D2D92">
        <w:tc>
          <w:tcPr>
            <w:tcW w:w="2700" w:type="dxa"/>
            <w:vMerge/>
            <w:tcBorders>
              <w:top w:val="nil"/>
              <w:left w:val="single" w:sz="12" w:space="0" w:color="auto"/>
              <w:bottom w:val="single" w:sz="4" w:space="0" w:color="auto"/>
            </w:tcBorders>
            <w:tcMar>
              <w:left w:w="29" w:type="dxa"/>
              <w:right w:w="29" w:type="dxa"/>
            </w:tcMar>
            <w:vAlign w:val="center"/>
          </w:tcPr>
          <w:p w14:paraId="75DD3B7A" w14:textId="77777777" w:rsidR="00FF3FFA" w:rsidRPr="00677CE8" w:rsidRDefault="00FF3FFA" w:rsidP="004D2D92">
            <w:pPr>
              <w:ind w:left="240" w:hanging="193"/>
              <w:rPr>
                <w:sz w:val="19"/>
                <w:szCs w:val="19"/>
              </w:rPr>
            </w:pPr>
          </w:p>
        </w:tc>
        <w:tc>
          <w:tcPr>
            <w:tcW w:w="2700" w:type="dxa"/>
            <w:tcBorders>
              <w:top w:val="nil"/>
              <w:bottom w:val="single" w:sz="4" w:space="0" w:color="auto"/>
            </w:tcBorders>
            <w:tcMar>
              <w:left w:w="29" w:type="dxa"/>
              <w:right w:w="29" w:type="dxa"/>
            </w:tcMar>
            <w:vAlign w:val="center"/>
          </w:tcPr>
          <w:p w14:paraId="433FBFC4" w14:textId="77777777" w:rsidR="00FF3FFA" w:rsidRPr="00677CE8" w:rsidRDefault="00FF3FFA" w:rsidP="004D2D92">
            <w:pPr>
              <w:ind w:left="137" w:hanging="137"/>
              <w:rPr>
                <w:sz w:val="19"/>
                <w:szCs w:val="19"/>
              </w:rPr>
            </w:pPr>
            <w:r w:rsidRPr="00677CE8">
              <w:rPr>
                <w:sz w:val="19"/>
                <w:szCs w:val="19"/>
              </w:rPr>
              <w:t>Work commute</w:t>
            </w:r>
          </w:p>
        </w:tc>
        <w:tc>
          <w:tcPr>
            <w:tcW w:w="2955" w:type="dxa"/>
            <w:tcBorders>
              <w:top w:val="nil"/>
              <w:bottom w:val="single" w:sz="4" w:space="0" w:color="auto"/>
            </w:tcBorders>
            <w:tcMar>
              <w:left w:w="29" w:type="dxa"/>
              <w:right w:w="29" w:type="dxa"/>
            </w:tcMar>
          </w:tcPr>
          <w:p w14:paraId="7FAC9332" w14:textId="6DA0ADBE" w:rsidR="00FF3FFA" w:rsidRPr="00677CE8" w:rsidRDefault="00FF3FFA" w:rsidP="00B56FA5">
            <w:pPr>
              <w:rPr>
                <w:sz w:val="19"/>
                <w:szCs w:val="19"/>
              </w:rPr>
            </w:pPr>
            <w:r w:rsidRPr="00677CE8">
              <w:rPr>
                <w:sz w:val="19"/>
                <w:szCs w:val="19"/>
              </w:rPr>
              <w:t xml:space="preserve">Emergency medical </w:t>
            </w:r>
            <w:r w:rsidR="00BB1802" w:rsidRPr="00677CE8">
              <w:rPr>
                <w:sz w:val="19"/>
                <w:szCs w:val="19"/>
              </w:rPr>
              <w:t>t</w:t>
            </w:r>
            <w:r w:rsidRPr="00677CE8">
              <w:rPr>
                <w:sz w:val="19"/>
                <w:szCs w:val="19"/>
              </w:rPr>
              <w:t>ransport</w:t>
            </w:r>
          </w:p>
        </w:tc>
        <w:tc>
          <w:tcPr>
            <w:tcW w:w="987" w:type="dxa"/>
            <w:tcBorders>
              <w:top w:val="nil"/>
              <w:bottom w:val="single" w:sz="4" w:space="0" w:color="auto"/>
            </w:tcBorders>
            <w:tcMar>
              <w:left w:w="29" w:type="dxa"/>
              <w:right w:w="29" w:type="dxa"/>
            </w:tcMar>
          </w:tcPr>
          <w:p w14:paraId="1A97F2EE" w14:textId="1B3E5BDB" w:rsidR="00FF3FFA" w:rsidRPr="00677CE8" w:rsidRDefault="00166BBB" w:rsidP="004A3EC1">
            <w:pPr>
              <w:tabs>
                <w:tab w:val="decimal" w:pos="329"/>
              </w:tabs>
              <w:jc w:val="center"/>
              <w:rPr>
                <w:color w:val="000000" w:themeColor="text1"/>
                <w:sz w:val="19"/>
                <w:szCs w:val="19"/>
              </w:rPr>
            </w:pPr>
            <w:r w:rsidRPr="00677CE8">
              <w:rPr>
                <w:color w:val="000000" w:themeColor="text1"/>
                <w:sz w:val="19"/>
                <w:szCs w:val="19"/>
              </w:rPr>
              <w:t>-1.4%</w:t>
            </w:r>
          </w:p>
        </w:tc>
        <w:tc>
          <w:tcPr>
            <w:tcW w:w="990" w:type="dxa"/>
            <w:tcBorders>
              <w:top w:val="nil"/>
              <w:bottom w:val="single" w:sz="4" w:space="0" w:color="auto"/>
            </w:tcBorders>
            <w:tcMar>
              <w:left w:w="29" w:type="dxa"/>
              <w:right w:w="29" w:type="dxa"/>
            </w:tcMar>
          </w:tcPr>
          <w:p w14:paraId="524F6169" w14:textId="3A5B2AC2" w:rsidR="00FF3FFA" w:rsidRPr="00677CE8" w:rsidRDefault="00166BBB" w:rsidP="004A3EC1">
            <w:pPr>
              <w:tabs>
                <w:tab w:val="decimal" w:pos="321"/>
              </w:tabs>
              <w:jc w:val="center"/>
              <w:rPr>
                <w:color w:val="000000" w:themeColor="text1"/>
                <w:sz w:val="19"/>
                <w:szCs w:val="19"/>
              </w:rPr>
            </w:pPr>
            <w:r w:rsidRPr="00677CE8">
              <w:rPr>
                <w:color w:val="000000" w:themeColor="text1"/>
                <w:sz w:val="19"/>
                <w:szCs w:val="19"/>
              </w:rPr>
              <w:t>-5.0%</w:t>
            </w:r>
          </w:p>
        </w:tc>
        <w:tc>
          <w:tcPr>
            <w:tcW w:w="1036" w:type="dxa"/>
            <w:tcBorders>
              <w:top w:val="nil"/>
              <w:bottom w:val="single" w:sz="4" w:space="0" w:color="auto"/>
            </w:tcBorders>
            <w:tcMar>
              <w:left w:w="29" w:type="dxa"/>
              <w:right w:w="29" w:type="dxa"/>
            </w:tcMar>
          </w:tcPr>
          <w:p w14:paraId="4A58E7E3" w14:textId="52F18C61" w:rsidR="00FF3FFA" w:rsidRPr="00677CE8" w:rsidRDefault="00166BBB" w:rsidP="000E7216">
            <w:pPr>
              <w:tabs>
                <w:tab w:val="decimal" w:pos="304"/>
              </w:tabs>
              <w:jc w:val="center"/>
              <w:rPr>
                <w:color w:val="000000" w:themeColor="text1"/>
                <w:sz w:val="19"/>
                <w:szCs w:val="19"/>
              </w:rPr>
            </w:pPr>
            <w:r w:rsidRPr="00677CE8">
              <w:rPr>
                <w:color w:val="000000" w:themeColor="text1"/>
                <w:sz w:val="19"/>
                <w:szCs w:val="19"/>
              </w:rPr>
              <w:t>8.9%</w:t>
            </w:r>
          </w:p>
        </w:tc>
        <w:tc>
          <w:tcPr>
            <w:tcW w:w="955" w:type="dxa"/>
            <w:tcBorders>
              <w:top w:val="nil"/>
              <w:bottom w:val="single" w:sz="4" w:space="0" w:color="auto"/>
            </w:tcBorders>
            <w:tcMar>
              <w:left w:w="29" w:type="dxa"/>
              <w:right w:w="29" w:type="dxa"/>
            </w:tcMar>
          </w:tcPr>
          <w:p w14:paraId="4FC4DB23" w14:textId="71B6BBAB" w:rsidR="00FF3FFA" w:rsidRPr="00677CE8" w:rsidRDefault="00166BBB" w:rsidP="004A3EC1">
            <w:pPr>
              <w:tabs>
                <w:tab w:val="decimal" w:pos="216"/>
              </w:tabs>
              <w:jc w:val="center"/>
              <w:rPr>
                <w:color w:val="000000" w:themeColor="text1"/>
                <w:sz w:val="19"/>
                <w:szCs w:val="19"/>
              </w:rPr>
            </w:pPr>
            <w:r w:rsidRPr="00677CE8">
              <w:rPr>
                <w:color w:val="000000" w:themeColor="text1"/>
                <w:sz w:val="19"/>
                <w:szCs w:val="19"/>
              </w:rPr>
              <w:t>-17.8%</w:t>
            </w:r>
          </w:p>
        </w:tc>
        <w:tc>
          <w:tcPr>
            <w:tcW w:w="925" w:type="dxa"/>
            <w:tcBorders>
              <w:top w:val="nil"/>
              <w:bottom w:val="single" w:sz="4" w:space="0" w:color="auto"/>
              <w:right w:val="single" w:sz="12" w:space="0" w:color="auto"/>
            </w:tcBorders>
            <w:tcMar>
              <w:left w:w="29" w:type="dxa"/>
              <w:right w:w="29" w:type="dxa"/>
            </w:tcMar>
          </w:tcPr>
          <w:p w14:paraId="4E17A83A" w14:textId="7CC41941" w:rsidR="00FF3FFA" w:rsidRPr="00677CE8" w:rsidRDefault="00166BBB" w:rsidP="004A3EC1">
            <w:pPr>
              <w:tabs>
                <w:tab w:val="decimal" w:pos="230"/>
              </w:tabs>
              <w:jc w:val="center"/>
              <w:rPr>
                <w:color w:val="000000" w:themeColor="text1"/>
                <w:sz w:val="19"/>
                <w:szCs w:val="19"/>
              </w:rPr>
            </w:pPr>
            <w:r w:rsidRPr="00677CE8">
              <w:rPr>
                <w:color w:val="000000" w:themeColor="text1"/>
                <w:sz w:val="19"/>
                <w:szCs w:val="19"/>
              </w:rPr>
              <w:t>6.1%</w:t>
            </w:r>
          </w:p>
        </w:tc>
      </w:tr>
      <w:tr w:rsidR="00FF3FFA" w:rsidRPr="00677CE8" w14:paraId="4DA048FB" w14:textId="77777777" w:rsidTr="004D2D92">
        <w:tc>
          <w:tcPr>
            <w:tcW w:w="2700" w:type="dxa"/>
            <w:tcBorders>
              <w:top w:val="single" w:sz="4" w:space="0" w:color="auto"/>
              <w:left w:val="single" w:sz="12" w:space="0" w:color="auto"/>
              <w:bottom w:val="single" w:sz="12" w:space="0" w:color="auto"/>
              <w:right w:val="nil"/>
            </w:tcBorders>
            <w:tcMar>
              <w:left w:w="29" w:type="dxa"/>
              <w:right w:w="29" w:type="dxa"/>
            </w:tcMar>
            <w:vAlign w:val="center"/>
          </w:tcPr>
          <w:p w14:paraId="4686AA62" w14:textId="77777777" w:rsidR="00FF3FFA" w:rsidRPr="00677CE8" w:rsidRDefault="00FF3FFA" w:rsidP="004D2D92">
            <w:pPr>
              <w:ind w:left="240" w:hanging="193"/>
              <w:rPr>
                <w:sz w:val="19"/>
                <w:szCs w:val="19"/>
              </w:rPr>
            </w:pPr>
            <w:r w:rsidRPr="00677CE8">
              <w:rPr>
                <w:sz w:val="19"/>
                <w:szCs w:val="19"/>
              </w:rPr>
              <w:t>Trip Distance</w:t>
            </w:r>
          </w:p>
        </w:tc>
        <w:tc>
          <w:tcPr>
            <w:tcW w:w="2700" w:type="dxa"/>
            <w:tcBorders>
              <w:top w:val="single" w:sz="4" w:space="0" w:color="auto"/>
              <w:left w:val="nil"/>
              <w:bottom w:val="single" w:sz="12" w:space="0" w:color="auto"/>
              <w:right w:val="nil"/>
            </w:tcBorders>
            <w:tcMar>
              <w:left w:w="29" w:type="dxa"/>
              <w:right w:w="29" w:type="dxa"/>
            </w:tcMar>
            <w:vAlign w:val="center"/>
          </w:tcPr>
          <w:p w14:paraId="37434359" w14:textId="77777777" w:rsidR="00FF3FFA" w:rsidRPr="00677CE8" w:rsidRDefault="00FF3FFA" w:rsidP="004D2D92">
            <w:pPr>
              <w:ind w:left="137" w:hanging="137"/>
              <w:rPr>
                <w:sz w:val="19"/>
                <w:szCs w:val="19"/>
              </w:rPr>
            </w:pPr>
            <w:r w:rsidRPr="00677CE8">
              <w:rPr>
                <w:sz w:val="19"/>
                <w:szCs w:val="19"/>
              </w:rPr>
              <w:t>Short intra-city trip (~10 miles one-way)</w:t>
            </w:r>
          </w:p>
        </w:tc>
        <w:tc>
          <w:tcPr>
            <w:tcW w:w="2955" w:type="dxa"/>
            <w:tcBorders>
              <w:top w:val="single" w:sz="4" w:space="0" w:color="auto"/>
              <w:left w:val="nil"/>
              <w:bottom w:val="single" w:sz="12" w:space="0" w:color="auto"/>
              <w:right w:val="nil"/>
            </w:tcBorders>
            <w:tcMar>
              <w:left w:w="29" w:type="dxa"/>
              <w:right w:w="29" w:type="dxa"/>
            </w:tcMar>
          </w:tcPr>
          <w:p w14:paraId="2A7B8DB1" w14:textId="77777777" w:rsidR="00FF3FFA" w:rsidRPr="00677CE8" w:rsidRDefault="00FF3FFA" w:rsidP="00B56FA5">
            <w:pPr>
              <w:rPr>
                <w:sz w:val="19"/>
                <w:szCs w:val="19"/>
              </w:rPr>
            </w:pPr>
            <w:r w:rsidRPr="00677CE8">
              <w:rPr>
                <w:sz w:val="19"/>
                <w:szCs w:val="19"/>
              </w:rPr>
              <w:t>Inter-city trip (~120 miles one-way)</w:t>
            </w:r>
          </w:p>
        </w:tc>
        <w:tc>
          <w:tcPr>
            <w:tcW w:w="987" w:type="dxa"/>
            <w:tcBorders>
              <w:top w:val="single" w:sz="4" w:space="0" w:color="auto"/>
              <w:left w:val="nil"/>
              <w:bottom w:val="single" w:sz="12" w:space="0" w:color="auto"/>
              <w:right w:val="nil"/>
            </w:tcBorders>
            <w:tcMar>
              <w:left w:w="29" w:type="dxa"/>
              <w:right w:w="29" w:type="dxa"/>
            </w:tcMar>
          </w:tcPr>
          <w:p w14:paraId="60F78967" w14:textId="4243FB5A" w:rsidR="00FF3FFA" w:rsidRPr="00677CE8" w:rsidRDefault="004A3EC1" w:rsidP="004A3EC1">
            <w:pPr>
              <w:tabs>
                <w:tab w:val="decimal" w:pos="329"/>
              </w:tabs>
              <w:jc w:val="center"/>
              <w:rPr>
                <w:color w:val="000000" w:themeColor="text1"/>
                <w:sz w:val="19"/>
                <w:szCs w:val="19"/>
              </w:rPr>
            </w:pPr>
            <w:r w:rsidRPr="00677CE8">
              <w:rPr>
                <w:color w:val="000000" w:themeColor="text1"/>
                <w:sz w:val="19"/>
                <w:szCs w:val="19"/>
              </w:rPr>
              <w:t>77.4%</w:t>
            </w:r>
          </w:p>
        </w:tc>
        <w:tc>
          <w:tcPr>
            <w:tcW w:w="990" w:type="dxa"/>
            <w:tcBorders>
              <w:top w:val="single" w:sz="4" w:space="0" w:color="auto"/>
              <w:left w:val="nil"/>
              <w:bottom w:val="single" w:sz="12" w:space="0" w:color="auto"/>
              <w:right w:val="nil"/>
            </w:tcBorders>
            <w:tcMar>
              <w:left w:w="29" w:type="dxa"/>
              <w:right w:w="29" w:type="dxa"/>
            </w:tcMar>
          </w:tcPr>
          <w:p w14:paraId="135F26E9" w14:textId="0E86E477" w:rsidR="00FF3FFA" w:rsidRPr="00677CE8" w:rsidRDefault="004A3EC1" w:rsidP="004A3EC1">
            <w:pPr>
              <w:tabs>
                <w:tab w:val="decimal" w:pos="321"/>
              </w:tabs>
              <w:jc w:val="center"/>
              <w:rPr>
                <w:color w:val="000000" w:themeColor="text1"/>
                <w:sz w:val="19"/>
                <w:szCs w:val="19"/>
              </w:rPr>
            </w:pPr>
            <w:r w:rsidRPr="00677CE8">
              <w:rPr>
                <w:color w:val="000000" w:themeColor="text1"/>
                <w:sz w:val="19"/>
                <w:szCs w:val="19"/>
              </w:rPr>
              <w:t>41.5%</w:t>
            </w:r>
          </w:p>
        </w:tc>
        <w:tc>
          <w:tcPr>
            <w:tcW w:w="1036" w:type="dxa"/>
            <w:tcBorders>
              <w:top w:val="single" w:sz="4" w:space="0" w:color="auto"/>
              <w:left w:val="nil"/>
              <w:bottom w:val="single" w:sz="12" w:space="0" w:color="auto"/>
              <w:right w:val="nil"/>
            </w:tcBorders>
            <w:tcMar>
              <w:left w:w="29" w:type="dxa"/>
              <w:right w:w="29" w:type="dxa"/>
            </w:tcMar>
          </w:tcPr>
          <w:p w14:paraId="4464811A" w14:textId="1D82CC22" w:rsidR="00FF3FFA" w:rsidRPr="00677CE8" w:rsidRDefault="004A3EC1" w:rsidP="000E7216">
            <w:pPr>
              <w:tabs>
                <w:tab w:val="decimal" w:pos="304"/>
              </w:tabs>
              <w:jc w:val="center"/>
              <w:rPr>
                <w:color w:val="000000" w:themeColor="text1"/>
                <w:sz w:val="19"/>
                <w:szCs w:val="19"/>
              </w:rPr>
            </w:pPr>
            <w:r w:rsidRPr="00677CE8">
              <w:rPr>
                <w:color w:val="000000" w:themeColor="text1"/>
                <w:sz w:val="19"/>
                <w:szCs w:val="19"/>
              </w:rPr>
              <w:t>-13.4%</w:t>
            </w:r>
          </w:p>
        </w:tc>
        <w:tc>
          <w:tcPr>
            <w:tcW w:w="955" w:type="dxa"/>
            <w:tcBorders>
              <w:top w:val="single" w:sz="4" w:space="0" w:color="auto"/>
              <w:left w:val="nil"/>
              <w:bottom w:val="single" w:sz="12" w:space="0" w:color="auto"/>
              <w:right w:val="nil"/>
            </w:tcBorders>
            <w:tcMar>
              <w:left w:w="29" w:type="dxa"/>
              <w:right w:w="29" w:type="dxa"/>
            </w:tcMar>
          </w:tcPr>
          <w:p w14:paraId="5EB98EB9" w14:textId="7602AF6E" w:rsidR="00FF3FFA" w:rsidRPr="00677CE8" w:rsidRDefault="004A3EC1" w:rsidP="004A3EC1">
            <w:pPr>
              <w:tabs>
                <w:tab w:val="decimal" w:pos="216"/>
              </w:tabs>
              <w:jc w:val="center"/>
              <w:rPr>
                <w:color w:val="000000" w:themeColor="text1"/>
                <w:sz w:val="19"/>
                <w:szCs w:val="19"/>
              </w:rPr>
            </w:pPr>
            <w:r w:rsidRPr="00677CE8">
              <w:rPr>
                <w:color w:val="000000" w:themeColor="text1"/>
                <w:sz w:val="19"/>
                <w:szCs w:val="19"/>
              </w:rPr>
              <w:t>-17.3%</w:t>
            </w:r>
          </w:p>
        </w:tc>
        <w:tc>
          <w:tcPr>
            <w:tcW w:w="925" w:type="dxa"/>
            <w:tcBorders>
              <w:top w:val="single" w:sz="4" w:space="0" w:color="auto"/>
              <w:left w:val="nil"/>
              <w:bottom w:val="single" w:sz="12" w:space="0" w:color="auto"/>
              <w:right w:val="single" w:sz="12" w:space="0" w:color="auto"/>
            </w:tcBorders>
            <w:tcMar>
              <w:left w:w="29" w:type="dxa"/>
              <w:right w:w="29" w:type="dxa"/>
            </w:tcMar>
          </w:tcPr>
          <w:p w14:paraId="0FA5259A" w14:textId="767C6598" w:rsidR="00FF3FFA" w:rsidRPr="00677CE8" w:rsidRDefault="004A3EC1" w:rsidP="004A3EC1">
            <w:pPr>
              <w:tabs>
                <w:tab w:val="decimal" w:pos="230"/>
              </w:tabs>
              <w:jc w:val="center"/>
              <w:rPr>
                <w:color w:val="000000" w:themeColor="text1"/>
                <w:sz w:val="19"/>
                <w:szCs w:val="19"/>
              </w:rPr>
            </w:pPr>
            <w:r w:rsidRPr="00677CE8">
              <w:rPr>
                <w:color w:val="000000" w:themeColor="text1"/>
                <w:sz w:val="19"/>
                <w:szCs w:val="19"/>
              </w:rPr>
              <w:t>-21.5%</w:t>
            </w:r>
          </w:p>
        </w:tc>
      </w:tr>
      <w:tr w:rsidR="00FF3FFA" w:rsidRPr="00677CE8" w14:paraId="79A5FF81" w14:textId="77777777" w:rsidTr="004D2D92">
        <w:tc>
          <w:tcPr>
            <w:tcW w:w="13250" w:type="dxa"/>
            <w:gridSpan w:val="8"/>
            <w:tcBorders>
              <w:top w:val="single" w:sz="12" w:space="0" w:color="auto"/>
              <w:left w:val="single" w:sz="12" w:space="0" w:color="000000" w:themeColor="text1"/>
              <w:bottom w:val="single" w:sz="12" w:space="0" w:color="auto"/>
              <w:right w:val="single" w:sz="12" w:space="0" w:color="000000" w:themeColor="text1"/>
            </w:tcBorders>
            <w:tcMar>
              <w:left w:w="29" w:type="dxa"/>
              <w:right w:w="29" w:type="dxa"/>
            </w:tcMar>
            <w:vAlign w:val="center"/>
          </w:tcPr>
          <w:p w14:paraId="191C9C54" w14:textId="77777777" w:rsidR="00FF3FFA" w:rsidRPr="00677CE8" w:rsidRDefault="00FF3FFA" w:rsidP="004D2D92">
            <w:pPr>
              <w:tabs>
                <w:tab w:val="decimal" w:pos="216"/>
              </w:tabs>
              <w:ind w:left="137" w:hanging="137"/>
              <w:rPr>
                <w:sz w:val="19"/>
                <w:szCs w:val="19"/>
              </w:rPr>
            </w:pPr>
            <w:r w:rsidRPr="00677CE8">
              <w:rPr>
                <w:b/>
                <w:bCs/>
                <w:i/>
                <w:iCs/>
                <w:sz w:val="19"/>
                <w:szCs w:val="19"/>
              </w:rPr>
              <w:t>Demographics</w:t>
            </w:r>
          </w:p>
        </w:tc>
      </w:tr>
      <w:tr w:rsidR="00FF3FFA" w:rsidRPr="00677CE8" w14:paraId="501B6F5B" w14:textId="77777777" w:rsidTr="004D2D92">
        <w:tc>
          <w:tcPr>
            <w:tcW w:w="2700" w:type="dxa"/>
            <w:tcBorders>
              <w:top w:val="single" w:sz="12" w:space="0" w:color="auto"/>
              <w:left w:val="single" w:sz="12" w:space="0" w:color="auto"/>
              <w:bottom w:val="single" w:sz="4" w:space="0" w:color="auto"/>
              <w:right w:val="nil"/>
            </w:tcBorders>
            <w:tcMar>
              <w:left w:w="29" w:type="dxa"/>
              <w:right w:w="29" w:type="dxa"/>
            </w:tcMar>
          </w:tcPr>
          <w:p w14:paraId="7047F285" w14:textId="77777777" w:rsidR="00FF3FFA" w:rsidRPr="00677CE8" w:rsidRDefault="00FF3FFA" w:rsidP="004D2D92">
            <w:pPr>
              <w:ind w:left="240" w:hanging="193"/>
              <w:rPr>
                <w:sz w:val="19"/>
                <w:szCs w:val="19"/>
              </w:rPr>
            </w:pPr>
            <w:r w:rsidRPr="00677CE8">
              <w:rPr>
                <w:sz w:val="19"/>
                <w:szCs w:val="19"/>
              </w:rPr>
              <w:t>Gender</w:t>
            </w:r>
          </w:p>
        </w:tc>
        <w:tc>
          <w:tcPr>
            <w:tcW w:w="2700" w:type="dxa"/>
            <w:tcBorders>
              <w:top w:val="single" w:sz="12" w:space="0" w:color="auto"/>
              <w:left w:val="nil"/>
              <w:bottom w:val="single" w:sz="4" w:space="0" w:color="auto"/>
              <w:right w:val="nil"/>
            </w:tcBorders>
            <w:tcMar>
              <w:left w:w="29" w:type="dxa"/>
              <w:right w:w="29" w:type="dxa"/>
            </w:tcMar>
          </w:tcPr>
          <w:p w14:paraId="132FBF7F" w14:textId="77777777" w:rsidR="00FF3FFA" w:rsidRPr="00677CE8" w:rsidRDefault="00FF3FFA" w:rsidP="004D2D92">
            <w:pPr>
              <w:ind w:left="137" w:hanging="137"/>
              <w:rPr>
                <w:sz w:val="19"/>
                <w:szCs w:val="19"/>
              </w:rPr>
            </w:pPr>
            <w:r w:rsidRPr="00677CE8">
              <w:rPr>
                <w:sz w:val="19"/>
                <w:szCs w:val="19"/>
              </w:rPr>
              <w:t>Woman, Other gender</w:t>
            </w:r>
          </w:p>
        </w:tc>
        <w:tc>
          <w:tcPr>
            <w:tcW w:w="2955" w:type="dxa"/>
            <w:tcBorders>
              <w:top w:val="single" w:sz="12" w:space="0" w:color="auto"/>
              <w:left w:val="nil"/>
              <w:bottom w:val="single" w:sz="4" w:space="0" w:color="auto"/>
              <w:right w:val="nil"/>
            </w:tcBorders>
            <w:tcMar>
              <w:left w:w="29" w:type="dxa"/>
              <w:right w:w="29" w:type="dxa"/>
            </w:tcMar>
          </w:tcPr>
          <w:p w14:paraId="29D22342" w14:textId="77777777" w:rsidR="00FF3FFA" w:rsidRPr="00677CE8" w:rsidRDefault="00FF3FFA" w:rsidP="00B56FA5">
            <w:pPr>
              <w:rPr>
                <w:sz w:val="19"/>
                <w:szCs w:val="19"/>
              </w:rPr>
            </w:pPr>
            <w:r w:rsidRPr="00677CE8">
              <w:rPr>
                <w:sz w:val="19"/>
                <w:szCs w:val="19"/>
              </w:rPr>
              <w:t>Man</w:t>
            </w:r>
          </w:p>
        </w:tc>
        <w:tc>
          <w:tcPr>
            <w:tcW w:w="987" w:type="dxa"/>
            <w:tcBorders>
              <w:top w:val="single" w:sz="12" w:space="0" w:color="auto"/>
              <w:left w:val="nil"/>
              <w:bottom w:val="single" w:sz="4" w:space="0" w:color="auto"/>
              <w:right w:val="nil"/>
            </w:tcBorders>
            <w:tcMar>
              <w:left w:w="29" w:type="dxa"/>
              <w:right w:w="29" w:type="dxa"/>
            </w:tcMar>
          </w:tcPr>
          <w:p w14:paraId="7D9F76AF" w14:textId="7AE68DCD" w:rsidR="00FF3FFA" w:rsidRPr="00677CE8" w:rsidRDefault="00670D3A" w:rsidP="004A3EC1">
            <w:pPr>
              <w:tabs>
                <w:tab w:val="decimal" w:pos="329"/>
              </w:tabs>
              <w:jc w:val="center"/>
              <w:rPr>
                <w:color w:val="000000" w:themeColor="text1"/>
                <w:sz w:val="19"/>
                <w:szCs w:val="19"/>
              </w:rPr>
            </w:pPr>
            <w:r w:rsidRPr="00677CE8">
              <w:rPr>
                <w:color w:val="000000" w:themeColor="text1"/>
                <w:sz w:val="19"/>
                <w:szCs w:val="19"/>
              </w:rPr>
              <w:t>67.9%</w:t>
            </w:r>
          </w:p>
        </w:tc>
        <w:tc>
          <w:tcPr>
            <w:tcW w:w="990" w:type="dxa"/>
            <w:tcBorders>
              <w:top w:val="single" w:sz="12" w:space="0" w:color="auto"/>
              <w:left w:val="nil"/>
              <w:bottom w:val="single" w:sz="4" w:space="0" w:color="auto"/>
              <w:right w:val="nil"/>
            </w:tcBorders>
            <w:tcMar>
              <w:left w:w="29" w:type="dxa"/>
              <w:right w:w="29" w:type="dxa"/>
            </w:tcMar>
          </w:tcPr>
          <w:p w14:paraId="6999245D" w14:textId="571A59EB" w:rsidR="00FF3FFA" w:rsidRPr="00677CE8" w:rsidRDefault="00670D3A" w:rsidP="004A3EC1">
            <w:pPr>
              <w:tabs>
                <w:tab w:val="decimal" w:pos="321"/>
              </w:tabs>
              <w:jc w:val="center"/>
              <w:rPr>
                <w:color w:val="000000" w:themeColor="text1"/>
                <w:sz w:val="19"/>
                <w:szCs w:val="19"/>
              </w:rPr>
            </w:pPr>
            <w:r w:rsidRPr="00677CE8">
              <w:rPr>
                <w:color w:val="000000" w:themeColor="text1"/>
                <w:sz w:val="19"/>
                <w:szCs w:val="19"/>
              </w:rPr>
              <w:t>18.6%</w:t>
            </w:r>
          </w:p>
        </w:tc>
        <w:tc>
          <w:tcPr>
            <w:tcW w:w="1036" w:type="dxa"/>
            <w:tcBorders>
              <w:top w:val="single" w:sz="12" w:space="0" w:color="auto"/>
              <w:left w:val="nil"/>
              <w:bottom w:val="single" w:sz="4" w:space="0" w:color="auto"/>
              <w:right w:val="nil"/>
            </w:tcBorders>
            <w:tcMar>
              <w:left w:w="29" w:type="dxa"/>
              <w:right w:w="29" w:type="dxa"/>
            </w:tcMar>
          </w:tcPr>
          <w:p w14:paraId="3314E950" w14:textId="07852686" w:rsidR="00FF3FFA" w:rsidRPr="00677CE8" w:rsidRDefault="00670D3A" w:rsidP="000E7216">
            <w:pPr>
              <w:tabs>
                <w:tab w:val="decimal" w:pos="304"/>
              </w:tabs>
              <w:jc w:val="center"/>
              <w:rPr>
                <w:color w:val="000000" w:themeColor="text1"/>
                <w:sz w:val="19"/>
                <w:szCs w:val="19"/>
              </w:rPr>
            </w:pPr>
            <w:r w:rsidRPr="00677CE8">
              <w:rPr>
                <w:color w:val="000000" w:themeColor="text1"/>
                <w:sz w:val="19"/>
                <w:szCs w:val="19"/>
              </w:rPr>
              <w:t>-7.1%</w:t>
            </w:r>
          </w:p>
        </w:tc>
        <w:tc>
          <w:tcPr>
            <w:tcW w:w="955" w:type="dxa"/>
            <w:tcBorders>
              <w:top w:val="single" w:sz="12" w:space="0" w:color="auto"/>
              <w:left w:val="nil"/>
              <w:bottom w:val="single" w:sz="4" w:space="0" w:color="auto"/>
              <w:right w:val="nil"/>
            </w:tcBorders>
            <w:tcMar>
              <w:left w:w="29" w:type="dxa"/>
              <w:right w:w="29" w:type="dxa"/>
            </w:tcMar>
          </w:tcPr>
          <w:p w14:paraId="4447809F" w14:textId="0B5C63AA" w:rsidR="00FF3FFA" w:rsidRPr="00677CE8" w:rsidRDefault="00670D3A" w:rsidP="004A3EC1">
            <w:pPr>
              <w:tabs>
                <w:tab w:val="decimal" w:pos="216"/>
              </w:tabs>
              <w:jc w:val="center"/>
              <w:rPr>
                <w:color w:val="000000" w:themeColor="text1"/>
                <w:sz w:val="19"/>
                <w:szCs w:val="19"/>
              </w:rPr>
            </w:pPr>
            <w:r w:rsidRPr="00677CE8">
              <w:rPr>
                <w:color w:val="000000" w:themeColor="text1"/>
                <w:sz w:val="19"/>
                <w:szCs w:val="19"/>
              </w:rPr>
              <w:t>-22.4%</w:t>
            </w:r>
          </w:p>
        </w:tc>
        <w:tc>
          <w:tcPr>
            <w:tcW w:w="925" w:type="dxa"/>
            <w:tcBorders>
              <w:top w:val="single" w:sz="12" w:space="0" w:color="auto"/>
              <w:left w:val="nil"/>
              <w:bottom w:val="single" w:sz="4" w:space="0" w:color="auto"/>
              <w:right w:val="single" w:sz="12" w:space="0" w:color="auto"/>
            </w:tcBorders>
            <w:tcMar>
              <w:left w:w="29" w:type="dxa"/>
              <w:right w:w="29" w:type="dxa"/>
            </w:tcMar>
          </w:tcPr>
          <w:p w14:paraId="061E3672" w14:textId="140D6A9F" w:rsidR="00FF3FFA" w:rsidRPr="00677CE8" w:rsidRDefault="00670D3A" w:rsidP="004A3EC1">
            <w:pPr>
              <w:tabs>
                <w:tab w:val="decimal" w:pos="230"/>
              </w:tabs>
              <w:jc w:val="center"/>
              <w:rPr>
                <w:color w:val="000000" w:themeColor="text1"/>
                <w:sz w:val="19"/>
                <w:szCs w:val="19"/>
              </w:rPr>
            </w:pPr>
            <w:r w:rsidRPr="00677CE8">
              <w:rPr>
                <w:color w:val="000000" w:themeColor="text1"/>
                <w:sz w:val="19"/>
                <w:szCs w:val="19"/>
              </w:rPr>
              <w:t>-17.1%</w:t>
            </w:r>
          </w:p>
        </w:tc>
      </w:tr>
      <w:tr w:rsidR="008E65DF" w:rsidRPr="00677CE8" w14:paraId="1BF507A9" w14:textId="77777777" w:rsidTr="004D2D92">
        <w:tc>
          <w:tcPr>
            <w:tcW w:w="2700" w:type="dxa"/>
            <w:vMerge w:val="restart"/>
            <w:tcBorders>
              <w:top w:val="single" w:sz="4" w:space="0" w:color="auto"/>
              <w:left w:val="single" w:sz="12" w:space="0" w:color="auto"/>
              <w:bottom w:val="nil"/>
              <w:right w:val="nil"/>
            </w:tcBorders>
            <w:tcMar>
              <w:left w:w="29" w:type="dxa"/>
              <w:right w:w="29" w:type="dxa"/>
            </w:tcMar>
            <w:vAlign w:val="center"/>
          </w:tcPr>
          <w:p w14:paraId="478BDBE3" w14:textId="77777777" w:rsidR="008E65DF" w:rsidRPr="00677CE8" w:rsidRDefault="008E65DF" w:rsidP="004D2D92">
            <w:pPr>
              <w:ind w:left="240" w:hanging="193"/>
              <w:rPr>
                <w:sz w:val="19"/>
                <w:szCs w:val="19"/>
              </w:rPr>
            </w:pPr>
            <w:r w:rsidRPr="00677CE8">
              <w:rPr>
                <w:sz w:val="19"/>
                <w:szCs w:val="19"/>
              </w:rPr>
              <w:t>Age</w:t>
            </w:r>
          </w:p>
        </w:tc>
        <w:tc>
          <w:tcPr>
            <w:tcW w:w="2700" w:type="dxa"/>
            <w:tcBorders>
              <w:top w:val="single" w:sz="4" w:space="0" w:color="auto"/>
              <w:left w:val="nil"/>
              <w:bottom w:val="nil"/>
              <w:right w:val="nil"/>
            </w:tcBorders>
            <w:tcMar>
              <w:left w:w="29" w:type="dxa"/>
              <w:right w:w="29" w:type="dxa"/>
            </w:tcMar>
          </w:tcPr>
          <w:p w14:paraId="5B7F6788" w14:textId="4C7B4451" w:rsidR="008E65DF" w:rsidRPr="00677CE8" w:rsidRDefault="008E65DF" w:rsidP="004D2D92">
            <w:pPr>
              <w:ind w:left="137" w:hanging="137"/>
              <w:rPr>
                <w:sz w:val="19"/>
                <w:szCs w:val="19"/>
              </w:rPr>
            </w:pPr>
            <w:r w:rsidRPr="00677CE8">
              <w:rPr>
                <w:sz w:val="19"/>
                <w:szCs w:val="19"/>
              </w:rPr>
              <w:t>Age 18-3</w:t>
            </w:r>
            <w:r w:rsidR="004A4A47">
              <w:rPr>
                <w:sz w:val="19"/>
                <w:szCs w:val="19"/>
              </w:rPr>
              <w:t>4</w:t>
            </w:r>
          </w:p>
        </w:tc>
        <w:tc>
          <w:tcPr>
            <w:tcW w:w="2955" w:type="dxa"/>
            <w:tcBorders>
              <w:top w:val="single" w:sz="4" w:space="0" w:color="auto"/>
              <w:left w:val="nil"/>
              <w:bottom w:val="nil"/>
              <w:right w:val="nil"/>
            </w:tcBorders>
            <w:tcMar>
              <w:left w:w="29" w:type="dxa"/>
              <w:right w:w="29" w:type="dxa"/>
            </w:tcMar>
          </w:tcPr>
          <w:p w14:paraId="41B3C4F7" w14:textId="658C4CF9" w:rsidR="008E65DF" w:rsidRPr="00677CE8" w:rsidRDefault="008E65DF" w:rsidP="00B56FA5">
            <w:pPr>
              <w:rPr>
                <w:sz w:val="19"/>
                <w:szCs w:val="19"/>
              </w:rPr>
            </w:pPr>
            <w:r w:rsidRPr="00677CE8">
              <w:rPr>
                <w:sz w:val="19"/>
                <w:szCs w:val="19"/>
              </w:rPr>
              <w:t>Age 35-54</w:t>
            </w:r>
          </w:p>
        </w:tc>
        <w:tc>
          <w:tcPr>
            <w:tcW w:w="987" w:type="dxa"/>
            <w:tcBorders>
              <w:top w:val="single" w:sz="4" w:space="0" w:color="auto"/>
              <w:left w:val="nil"/>
              <w:bottom w:val="nil"/>
              <w:right w:val="nil"/>
            </w:tcBorders>
            <w:tcMar>
              <w:left w:w="29" w:type="dxa"/>
              <w:right w:w="29" w:type="dxa"/>
            </w:tcMar>
          </w:tcPr>
          <w:p w14:paraId="28981B89" w14:textId="7A8961A4" w:rsidR="008E65DF" w:rsidRPr="00677CE8" w:rsidRDefault="008E65DF" w:rsidP="004A3EC1">
            <w:pPr>
              <w:tabs>
                <w:tab w:val="decimal" w:pos="329"/>
              </w:tabs>
              <w:jc w:val="center"/>
              <w:rPr>
                <w:color w:val="000000" w:themeColor="text1"/>
                <w:sz w:val="19"/>
                <w:szCs w:val="19"/>
              </w:rPr>
            </w:pPr>
            <w:r w:rsidRPr="00677CE8">
              <w:rPr>
                <w:color w:val="000000" w:themeColor="text1"/>
                <w:sz w:val="19"/>
                <w:szCs w:val="19"/>
              </w:rPr>
              <w:t>7.6%</w:t>
            </w:r>
          </w:p>
        </w:tc>
        <w:tc>
          <w:tcPr>
            <w:tcW w:w="990" w:type="dxa"/>
            <w:tcBorders>
              <w:top w:val="single" w:sz="4" w:space="0" w:color="auto"/>
              <w:left w:val="nil"/>
              <w:bottom w:val="nil"/>
              <w:right w:val="nil"/>
            </w:tcBorders>
            <w:tcMar>
              <w:left w:w="29" w:type="dxa"/>
              <w:right w:w="29" w:type="dxa"/>
            </w:tcMar>
          </w:tcPr>
          <w:p w14:paraId="6E652E82" w14:textId="0C6E1390" w:rsidR="008E65DF" w:rsidRPr="00677CE8" w:rsidRDefault="008E65DF" w:rsidP="004A3EC1">
            <w:pPr>
              <w:tabs>
                <w:tab w:val="decimal" w:pos="321"/>
              </w:tabs>
              <w:jc w:val="center"/>
              <w:rPr>
                <w:color w:val="000000" w:themeColor="text1"/>
                <w:sz w:val="19"/>
                <w:szCs w:val="19"/>
              </w:rPr>
            </w:pPr>
            <w:r w:rsidRPr="00677CE8">
              <w:rPr>
                <w:color w:val="000000" w:themeColor="text1"/>
                <w:sz w:val="19"/>
                <w:szCs w:val="19"/>
              </w:rPr>
              <w:t>-14.2%</w:t>
            </w:r>
          </w:p>
        </w:tc>
        <w:tc>
          <w:tcPr>
            <w:tcW w:w="1036" w:type="dxa"/>
            <w:tcBorders>
              <w:top w:val="single" w:sz="4" w:space="0" w:color="auto"/>
              <w:left w:val="nil"/>
              <w:bottom w:val="nil"/>
              <w:right w:val="nil"/>
            </w:tcBorders>
            <w:tcMar>
              <w:left w:w="29" w:type="dxa"/>
              <w:right w:w="29" w:type="dxa"/>
            </w:tcMar>
          </w:tcPr>
          <w:p w14:paraId="3AB625F7" w14:textId="1FFF7512" w:rsidR="008E65DF" w:rsidRPr="00677CE8" w:rsidRDefault="008E65DF" w:rsidP="000E7216">
            <w:pPr>
              <w:tabs>
                <w:tab w:val="decimal" w:pos="304"/>
              </w:tabs>
              <w:jc w:val="center"/>
              <w:rPr>
                <w:color w:val="000000" w:themeColor="text1"/>
                <w:sz w:val="19"/>
                <w:szCs w:val="19"/>
              </w:rPr>
            </w:pPr>
            <w:r w:rsidRPr="00677CE8">
              <w:rPr>
                <w:color w:val="000000" w:themeColor="text1"/>
                <w:sz w:val="19"/>
                <w:szCs w:val="19"/>
              </w:rPr>
              <w:t>2.9%</w:t>
            </w:r>
          </w:p>
        </w:tc>
        <w:tc>
          <w:tcPr>
            <w:tcW w:w="955" w:type="dxa"/>
            <w:tcBorders>
              <w:top w:val="single" w:sz="4" w:space="0" w:color="auto"/>
              <w:left w:val="nil"/>
              <w:bottom w:val="nil"/>
              <w:right w:val="nil"/>
            </w:tcBorders>
            <w:tcMar>
              <w:left w:w="29" w:type="dxa"/>
              <w:right w:w="29" w:type="dxa"/>
            </w:tcMar>
          </w:tcPr>
          <w:p w14:paraId="78DB4E91" w14:textId="62F359CF" w:rsidR="008E65DF" w:rsidRPr="00677CE8" w:rsidRDefault="008E65DF" w:rsidP="004A3EC1">
            <w:pPr>
              <w:tabs>
                <w:tab w:val="decimal" w:pos="216"/>
              </w:tabs>
              <w:jc w:val="center"/>
              <w:rPr>
                <w:color w:val="000000" w:themeColor="text1"/>
                <w:sz w:val="19"/>
                <w:szCs w:val="19"/>
              </w:rPr>
            </w:pPr>
            <w:r w:rsidRPr="00677CE8">
              <w:rPr>
                <w:color w:val="000000" w:themeColor="text1"/>
                <w:sz w:val="19"/>
                <w:szCs w:val="19"/>
              </w:rPr>
              <w:t>1.4%</w:t>
            </w:r>
          </w:p>
        </w:tc>
        <w:tc>
          <w:tcPr>
            <w:tcW w:w="925" w:type="dxa"/>
            <w:tcBorders>
              <w:top w:val="single" w:sz="4" w:space="0" w:color="auto"/>
              <w:left w:val="nil"/>
              <w:bottom w:val="nil"/>
              <w:right w:val="single" w:sz="12" w:space="0" w:color="auto"/>
            </w:tcBorders>
            <w:tcMar>
              <w:left w:w="29" w:type="dxa"/>
              <w:right w:w="29" w:type="dxa"/>
            </w:tcMar>
          </w:tcPr>
          <w:p w14:paraId="106208B7" w14:textId="46972694" w:rsidR="008E65DF" w:rsidRPr="00677CE8" w:rsidRDefault="008E65DF" w:rsidP="004A3EC1">
            <w:pPr>
              <w:tabs>
                <w:tab w:val="decimal" w:pos="230"/>
              </w:tabs>
              <w:jc w:val="center"/>
              <w:rPr>
                <w:color w:val="000000" w:themeColor="text1"/>
                <w:sz w:val="19"/>
                <w:szCs w:val="19"/>
              </w:rPr>
            </w:pPr>
            <w:r w:rsidRPr="00677CE8">
              <w:rPr>
                <w:color w:val="000000" w:themeColor="text1"/>
                <w:sz w:val="19"/>
                <w:szCs w:val="19"/>
              </w:rPr>
              <w:t>0.3%</w:t>
            </w:r>
          </w:p>
        </w:tc>
      </w:tr>
      <w:tr w:rsidR="008E65DF" w:rsidRPr="00677CE8" w14:paraId="719AC1AC" w14:textId="77777777" w:rsidTr="004D2D92">
        <w:tc>
          <w:tcPr>
            <w:tcW w:w="2700" w:type="dxa"/>
            <w:vMerge/>
            <w:tcBorders>
              <w:top w:val="nil"/>
              <w:left w:val="single" w:sz="12" w:space="0" w:color="auto"/>
              <w:bottom w:val="single" w:sz="4" w:space="0" w:color="auto"/>
              <w:right w:val="nil"/>
            </w:tcBorders>
            <w:tcMar>
              <w:left w:w="29" w:type="dxa"/>
              <w:right w:w="29" w:type="dxa"/>
            </w:tcMar>
            <w:vAlign w:val="center"/>
          </w:tcPr>
          <w:p w14:paraId="4B9A1FF4" w14:textId="77777777" w:rsidR="008E65DF" w:rsidRPr="00677CE8" w:rsidRDefault="008E65DF" w:rsidP="004D2D92">
            <w:pPr>
              <w:ind w:left="240" w:hanging="193"/>
              <w:rPr>
                <w:sz w:val="19"/>
                <w:szCs w:val="19"/>
              </w:rPr>
            </w:pPr>
          </w:p>
        </w:tc>
        <w:tc>
          <w:tcPr>
            <w:tcW w:w="2700" w:type="dxa"/>
            <w:tcBorders>
              <w:top w:val="nil"/>
              <w:left w:val="nil"/>
              <w:bottom w:val="single" w:sz="4" w:space="0" w:color="auto"/>
              <w:right w:val="nil"/>
            </w:tcBorders>
            <w:tcMar>
              <w:left w:w="29" w:type="dxa"/>
              <w:right w:w="29" w:type="dxa"/>
            </w:tcMar>
          </w:tcPr>
          <w:p w14:paraId="72C8BF4F" w14:textId="2611C6AF" w:rsidR="008E65DF" w:rsidRPr="00677CE8" w:rsidRDefault="008E65DF" w:rsidP="004D2D92">
            <w:pPr>
              <w:ind w:left="137" w:hanging="137"/>
              <w:rPr>
                <w:sz w:val="19"/>
                <w:szCs w:val="19"/>
              </w:rPr>
            </w:pPr>
            <w:r w:rsidRPr="00677CE8">
              <w:rPr>
                <w:sz w:val="19"/>
                <w:szCs w:val="19"/>
              </w:rPr>
              <w:t>Age 18-35</w:t>
            </w:r>
          </w:p>
        </w:tc>
        <w:tc>
          <w:tcPr>
            <w:tcW w:w="2955" w:type="dxa"/>
            <w:tcBorders>
              <w:top w:val="nil"/>
              <w:left w:val="nil"/>
              <w:bottom w:val="single" w:sz="4" w:space="0" w:color="auto"/>
              <w:right w:val="nil"/>
            </w:tcBorders>
            <w:tcMar>
              <w:left w:w="29" w:type="dxa"/>
              <w:right w:w="29" w:type="dxa"/>
            </w:tcMar>
          </w:tcPr>
          <w:p w14:paraId="1A603A94" w14:textId="49D566FE" w:rsidR="008E65DF" w:rsidRPr="00677CE8" w:rsidRDefault="008E65DF" w:rsidP="00B56FA5">
            <w:pPr>
              <w:rPr>
                <w:sz w:val="19"/>
                <w:szCs w:val="19"/>
              </w:rPr>
            </w:pPr>
            <w:r w:rsidRPr="00677CE8">
              <w:rPr>
                <w:sz w:val="19"/>
                <w:szCs w:val="19"/>
              </w:rPr>
              <w:t>Age 65+</w:t>
            </w:r>
          </w:p>
        </w:tc>
        <w:tc>
          <w:tcPr>
            <w:tcW w:w="987" w:type="dxa"/>
            <w:tcBorders>
              <w:top w:val="nil"/>
              <w:left w:val="nil"/>
              <w:bottom w:val="single" w:sz="4" w:space="0" w:color="auto"/>
              <w:right w:val="nil"/>
            </w:tcBorders>
            <w:tcMar>
              <w:left w:w="29" w:type="dxa"/>
              <w:right w:w="29" w:type="dxa"/>
            </w:tcMar>
          </w:tcPr>
          <w:p w14:paraId="78B4036C" w14:textId="74AA8908" w:rsidR="008E65DF" w:rsidRPr="00677CE8" w:rsidRDefault="008E65DF" w:rsidP="004A3EC1">
            <w:pPr>
              <w:tabs>
                <w:tab w:val="decimal" w:pos="329"/>
              </w:tabs>
              <w:jc w:val="center"/>
              <w:rPr>
                <w:color w:val="000000" w:themeColor="text1"/>
                <w:sz w:val="19"/>
                <w:szCs w:val="19"/>
              </w:rPr>
            </w:pPr>
            <w:r w:rsidRPr="00677CE8">
              <w:rPr>
                <w:color w:val="000000" w:themeColor="text1"/>
                <w:sz w:val="19"/>
                <w:szCs w:val="19"/>
              </w:rPr>
              <w:t>-27.6%</w:t>
            </w:r>
          </w:p>
        </w:tc>
        <w:tc>
          <w:tcPr>
            <w:tcW w:w="990" w:type="dxa"/>
            <w:tcBorders>
              <w:top w:val="nil"/>
              <w:left w:val="nil"/>
              <w:bottom w:val="single" w:sz="4" w:space="0" w:color="auto"/>
              <w:right w:val="nil"/>
            </w:tcBorders>
            <w:tcMar>
              <w:left w:w="29" w:type="dxa"/>
              <w:right w:w="29" w:type="dxa"/>
            </w:tcMar>
          </w:tcPr>
          <w:p w14:paraId="2CF44743" w14:textId="1A2042F7" w:rsidR="008E65DF" w:rsidRPr="00677CE8" w:rsidRDefault="008E65DF" w:rsidP="004A3EC1">
            <w:pPr>
              <w:tabs>
                <w:tab w:val="decimal" w:pos="321"/>
              </w:tabs>
              <w:jc w:val="center"/>
              <w:rPr>
                <w:color w:val="000000" w:themeColor="text1"/>
                <w:sz w:val="19"/>
                <w:szCs w:val="19"/>
              </w:rPr>
            </w:pPr>
            <w:r w:rsidRPr="00677CE8">
              <w:rPr>
                <w:color w:val="000000" w:themeColor="text1"/>
                <w:sz w:val="19"/>
                <w:szCs w:val="19"/>
              </w:rPr>
              <w:t>-20.9%</w:t>
            </w:r>
          </w:p>
        </w:tc>
        <w:tc>
          <w:tcPr>
            <w:tcW w:w="1036" w:type="dxa"/>
            <w:tcBorders>
              <w:top w:val="nil"/>
              <w:left w:val="nil"/>
              <w:bottom w:val="single" w:sz="4" w:space="0" w:color="auto"/>
              <w:right w:val="nil"/>
            </w:tcBorders>
            <w:tcMar>
              <w:left w:w="29" w:type="dxa"/>
              <w:right w:w="29" w:type="dxa"/>
            </w:tcMar>
          </w:tcPr>
          <w:p w14:paraId="325EA716" w14:textId="63C75308" w:rsidR="008E65DF" w:rsidRPr="00677CE8" w:rsidRDefault="008E65DF" w:rsidP="000E7216">
            <w:pPr>
              <w:tabs>
                <w:tab w:val="decimal" w:pos="304"/>
              </w:tabs>
              <w:jc w:val="center"/>
              <w:rPr>
                <w:color w:val="000000" w:themeColor="text1"/>
                <w:sz w:val="19"/>
                <w:szCs w:val="19"/>
              </w:rPr>
            </w:pPr>
            <w:r w:rsidRPr="00677CE8">
              <w:rPr>
                <w:color w:val="000000" w:themeColor="text1"/>
                <w:sz w:val="19"/>
                <w:szCs w:val="19"/>
              </w:rPr>
              <w:t>6.1%</w:t>
            </w:r>
          </w:p>
        </w:tc>
        <w:tc>
          <w:tcPr>
            <w:tcW w:w="955" w:type="dxa"/>
            <w:tcBorders>
              <w:top w:val="nil"/>
              <w:left w:val="nil"/>
              <w:bottom w:val="single" w:sz="4" w:space="0" w:color="auto"/>
              <w:right w:val="nil"/>
            </w:tcBorders>
            <w:tcMar>
              <w:left w:w="29" w:type="dxa"/>
              <w:right w:w="29" w:type="dxa"/>
            </w:tcMar>
          </w:tcPr>
          <w:p w14:paraId="743CD759" w14:textId="129BD985" w:rsidR="008E65DF" w:rsidRPr="00677CE8" w:rsidRDefault="008E65DF" w:rsidP="004A3EC1">
            <w:pPr>
              <w:tabs>
                <w:tab w:val="decimal" w:pos="216"/>
              </w:tabs>
              <w:jc w:val="center"/>
              <w:rPr>
                <w:color w:val="000000" w:themeColor="text1"/>
                <w:sz w:val="19"/>
                <w:szCs w:val="19"/>
              </w:rPr>
            </w:pPr>
            <w:r w:rsidRPr="00677CE8">
              <w:rPr>
                <w:color w:val="000000" w:themeColor="text1"/>
                <w:sz w:val="19"/>
                <w:szCs w:val="19"/>
              </w:rPr>
              <w:t>25.3%</w:t>
            </w:r>
          </w:p>
        </w:tc>
        <w:tc>
          <w:tcPr>
            <w:tcW w:w="925" w:type="dxa"/>
            <w:tcBorders>
              <w:top w:val="nil"/>
              <w:left w:val="nil"/>
              <w:bottom w:val="single" w:sz="4" w:space="0" w:color="auto"/>
              <w:right w:val="single" w:sz="12" w:space="0" w:color="auto"/>
            </w:tcBorders>
            <w:tcMar>
              <w:left w:w="29" w:type="dxa"/>
              <w:right w:w="29" w:type="dxa"/>
            </w:tcMar>
          </w:tcPr>
          <w:p w14:paraId="5D1E61CC" w14:textId="78D0C81C" w:rsidR="008E65DF" w:rsidRPr="00677CE8" w:rsidRDefault="008E65DF" w:rsidP="004A3EC1">
            <w:pPr>
              <w:tabs>
                <w:tab w:val="decimal" w:pos="230"/>
              </w:tabs>
              <w:jc w:val="center"/>
              <w:rPr>
                <w:color w:val="000000" w:themeColor="text1"/>
                <w:sz w:val="19"/>
                <w:szCs w:val="19"/>
              </w:rPr>
            </w:pPr>
            <w:r w:rsidRPr="00677CE8">
              <w:rPr>
                <w:color w:val="000000" w:themeColor="text1"/>
                <w:sz w:val="19"/>
                <w:szCs w:val="19"/>
              </w:rPr>
              <w:t>13.5%</w:t>
            </w:r>
          </w:p>
        </w:tc>
      </w:tr>
      <w:tr w:rsidR="00FF3FFA" w:rsidRPr="00677CE8" w14:paraId="1E547D68" w14:textId="77777777" w:rsidTr="004D2D92">
        <w:tc>
          <w:tcPr>
            <w:tcW w:w="2700" w:type="dxa"/>
            <w:tcBorders>
              <w:top w:val="single" w:sz="4" w:space="0" w:color="auto"/>
              <w:left w:val="single" w:sz="12" w:space="0" w:color="auto"/>
              <w:bottom w:val="single" w:sz="4" w:space="0" w:color="auto"/>
              <w:right w:val="nil"/>
            </w:tcBorders>
            <w:tcMar>
              <w:left w:w="29" w:type="dxa"/>
              <w:right w:w="29" w:type="dxa"/>
            </w:tcMar>
            <w:vAlign w:val="center"/>
          </w:tcPr>
          <w:p w14:paraId="22339432" w14:textId="77777777" w:rsidR="00FF3FFA" w:rsidRPr="00677CE8" w:rsidRDefault="00FF3FFA" w:rsidP="004D2D92">
            <w:pPr>
              <w:ind w:left="240" w:hanging="193"/>
              <w:rPr>
                <w:sz w:val="19"/>
                <w:szCs w:val="19"/>
              </w:rPr>
            </w:pPr>
            <w:r w:rsidRPr="00677CE8">
              <w:rPr>
                <w:sz w:val="19"/>
                <w:szCs w:val="19"/>
              </w:rPr>
              <w:t>Education</w:t>
            </w:r>
          </w:p>
        </w:tc>
        <w:tc>
          <w:tcPr>
            <w:tcW w:w="2700" w:type="dxa"/>
            <w:tcBorders>
              <w:top w:val="single" w:sz="4" w:space="0" w:color="auto"/>
              <w:left w:val="nil"/>
              <w:bottom w:val="single" w:sz="4" w:space="0" w:color="auto"/>
              <w:right w:val="nil"/>
            </w:tcBorders>
            <w:tcMar>
              <w:left w:w="29" w:type="dxa"/>
              <w:right w:w="29" w:type="dxa"/>
            </w:tcMar>
          </w:tcPr>
          <w:p w14:paraId="2FC905AD" w14:textId="77777777" w:rsidR="00FF3FFA" w:rsidRPr="00677CE8" w:rsidRDefault="00FF3FFA" w:rsidP="004D2D92">
            <w:pPr>
              <w:ind w:left="137" w:hanging="137"/>
              <w:rPr>
                <w:sz w:val="19"/>
                <w:szCs w:val="19"/>
              </w:rPr>
            </w:pPr>
            <w:r w:rsidRPr="00677CE8">
              <w:rPr>
                <w:sz w:val="19"/>
                <w:szCs w:val="19"/>
              </w:rPr>
              <w:t>Bachelor’s degree or higher</w:t>
            </w:r>
          </w:p>
        </w:tc>
        <w:tc>
          <w:tcPr>
            <w:tcW w:w="2955" w:type="dxa"/>
            <w:tcBorders>
              <w:top w:val="single" w:sz="4" w:space="0" w:color="auto"/>
              <w:left w:val="nil"/>
              <w:bottom w:val="single" w:sz="4" w:space="0" w:color="auto"/>
              <w:right w:val="nil"/>
            </w:tcBorders>
            <w:tcMar>
              <w:left w:w="29" w:type="dxa"/>
              <w:right w:w="29" w:type="dxa"/>
            </w:tcMar>
          </w:tcPr>
          <w:p w14:paraId="4DEB8A93" w14:textId="2E62C39D" w:rsidR="00FF3FFA" w:rsidRPr="00677CE8" w:rsidRDefault="00FF3FFA" w:rsidP="00B56FA5">
            <w:pPr>
              <w:rPr>
                <w:sz w:val="19"/>
                <w:szCs w:val="19"/>
              </w:rPr>
            </w:pPr>
            <w:r w:rsidRPr="00677CE8">
              <w:rPr>
                <w:sz w:val="19"/>
                <w:szCs w:val="19"/>
              </w:rPr>
              <w:t xml:space="preserve">Less than a </w:t>
            </w:r>
            <w:r w:rsidR="00B61852">
              <w:rPr>
                <w:sz w:val="19"/>
                <w:szCs w:val="19"/>
              </w:rPr>
              <w:t>b</w:t>
            </w:r>
            <w:r w:rsidRPr="00677CE8">
              <w:rPr>
                <w:sz w:val="19"/>
                <w:szCs w:val="19"/>
              </w:rPr>
              <w:t>achelor’s degree</w:t>
            </w:r>
          </w:p>
        </w:tc>
        <w:tc>
          <w:tcPr>
            <w:tcW w:w="987" w:type="dxa"/>
            <w:tcBorders>
              <w:top w:val="single" w:sz="4" w:space="0" w:color="auto"/>
              <w:left w:val="nil"/>
              <w:bottom w:val="single" w:sz="4" w:space="0" w:color="auto"/>
              <w:right w:val="nil"/>
            </w:tcBorders>
            <w:tcMar>
              <w:left w:w="29" w:type="dxa"/>
              <w:right w:w="29" w:type="dxa"/>
            </w:tcMar>
          </w:tcPr>
          <w:p w14:paraId="6030033D" w14:textId="53021BE3" w:rsidR="00FF3FFA" w:rsidRPr="00677CE8" w:rsidRDefault="008E65DF" w:rsidP="004A3EC1">
            <w:pPr>
              <w:tabs>
                <w:tab w:val="decimal" w:pos="329"/>
              </w:tabs>
              <w:jc w:val="center"/>
              <w:rPr>
                <w:color w:val="000000" w:themeColor="text1"/>
                <w:sz w:val="19"/>
                <w:szCs w:val="19"/>
              </w:rPr>
            </w:pPr>
            <w:r w:rsidRPr="00677CE8">
              <w:rPr>
                <w:color w:val="000000" w:themeColor="text1"/>
                <w:sz w:val="19"/>
                <w:szCs w:val="19"/>
              </w:rPr>
              <w:t>-3.4%</w:t>
            </w:r>
          </w:p>
        </w:tc>
        <w:tc>
          <w:tcPr>
            <w:tcW w:w="990" w:type="dxa"/>
            <w:tcBorders>
              <w:top w:val="single" w:sz="4" w:space="0" w:color="auto"/>
              <w:left w:val="nil"/>
              <w:bottom w:val="single" w:sz="4" w:space="0" w:color="auto"/>
              <w:right w:val="nil"/>
            </w:tcBorders>
            <w:tcMar>
              <w:left w:w="29" w:type="dxa"/>
              <w:right w:w="29" w:type="dxa"/>
            </w:tcMar>
          </w:tcPr>
          <w:p w14:paraId="2CF93332" w14:textId="00CF0E36" w:rsidR="00FF3FFA" w:rsidRPr="00677CE8" w:rsidRDefault="008E65DF" w:rsidP="004A3EC1">
            <w:pPr>
              <w:tabs>
                <w:tab w:val="decimal" w:pos="321"/>
              </w:tabs>
              <w:jc w:val="center"/>
              <w:rPr>
                <w:color w:val="000000" w:themeColor="text1"/>
                <w:sz w:val="19"/>
                <w:szCs w:val="19"/>
              </w:rPr>
            </w:pPr>
            <w:r w:rsidRPr="00677CE8">
              <w:rPr>
                <w:color w:val="000000" w:themeColor="text1"/>
                <w:sz w:val="19"/>
                <w:szCs w:val="19"/>
              </w:rPr>
              <w:t>-2.6%</w:t>
            </w:r>
          </w:p>
        </w:tc>
        <w:tc>
          <w:tcPr>
            <w:tcW w:w="1036" w:type="dxa"/>
            <w:tcBorders>
              <w:top w:val="single" w:sz="4" w:space="0" w:color="auto"/>
              <w:left w:val="nil"/>
              <w:bottom w:val="single" w:sz="4" w:space="0" w:color="auto"/>
              <w:right w:val="nil"/>
            </w:tcBorders>
            <w:tcMar>
              <w:left w:w="29" w:type="dxa"/>
              <w:right w:w="29" w:type="dxa"/>
            </w:tcMar>
          </w:tcPr>
          <w:p w14:paraId="6F2DDE8D" w14:textId="73BAE7CC" w:rsidR="00FF3FFA" w:rsidRPr="00677CE8" w:rsidRDefault="008E65DF" w:rsidP="000E7216">
            <w:pPr>
              <w:tabs>
                <w:tab w:val="decimal" w:pos="304"/>
              </w:tabs>
              <w:jc w:val="center"/>
              <w:rPr>
                <w:color w:val="000000" w:themeColor="text1"/>
                <w:sz w:val="19"/>
                <w:szCs w:val="19"/>
              </w:rPr>
            </w:pPr>
            <w:r w:rsidRPr="00677CE8">
              <w:rPr>
                <w:color w:val="000000" w:themeColor="text1"/>
                <w:sz w:val="19"/>
                <w:szCs w:val="19"/>
              </w:rPr>
              <w:t>3.7%</w:t>
            </w:r>
          </w:p>
        </w:tc>
        <w:tc>
          <w:tcPr>
            <w:tcW w:w="955" w:type="dxa"/>
            <w:tcBorders>
              <w:top w:val="single" w:sz="4" w:space="0" w:color="auto"/>
              <w:left w:val="nil"/>
              <w:bottom w:val="single" w:sz="4" w:space="0" w:color="auto"/>
              <w:right w:val="nil"/>
            </w:tcBorders>
            <w:tcMar>
              <w:left w:w="29" w:type="dxa"/>
              <w:right w:w="29" w:type="dxa"/>
            </w:tcMar>
          </w:tcPr>
          <w:p w14:paraId="4DBFBBD0" w14:textId="0DFA35F7" w:rsidR="00FF3FFA" w:rsidRPr="00677CE8" w:rsidRDefault="008E65DF" w:rsidP="004A3EC1">
            <w:pPr>
              <w:tabs>
                <w:tab w:val="decimal" w:pos="216"/>
              </w:tabs>
              <w:jc w:val="center"/>
              <w:rPr>
                <w:color w:val="000000" w:themeColor="text1"/>
                <w:sz w:val="19"/>
                <w:szCs w:val="19"/>
              </w:rPr>
            </w:pPr>
            <w:r w:rsidRPr="00677CE8">
              <w:rPr>
                <w:color w:val="000000" w:themeColor="text1"/>
                <w:sz w:val="19"/>
                <w:szCs w:val="19"/>
              </w:rPr>
              <w:t>-5.6%</w:t>
            </w:r>
          </w:p>
        </w:tc>
        <w:tc>
          <w:tcPr>
            <w:tcW w:w="925" w:type="dxa"/>
            <w:tcBorders>
              <w:top w:val="single" w:sz="4" w:space="0" w:color="auto"/>
              <w:left w:val="nil"/>
              <w:bottom w:val="single" w:sz="4" w:space="0" w:color="auto"/>
              <w:right w:val="single" w:sz="12" w:space="0" w:color="auto"/>
            </w:tcBorders>
            <w:tcMar>
              <w:left w:w="29" w:type="dxa"/>
              <w:right w:w="29" w:type="dxa"/>
            </w:tcMar>
          </w:tcPr>
          <w:p w14:paraId="4F94E650" w14:textId="14627436" w:rsidR="00FF3FFA" w:rsidRPr="00677CE8" w:rsidRDefault="008E65DF" w:rsidP="004A3EC1">
            <w:pPr>
              <w:tabs>
                <w:tab w:val="decimal" w:pos="230"/>
              </w:tabs>
              <w:jc w:val="center"/>
              <w:rPr>
                <w:color w:val="000000" w:themeColor="text1"/>
                <w:sz w:val="19"/>
                <w:szCs w:val="19"/>
              </w:rPr>
            </w:pPr>
            <w:r w:rsidRPr="00677CE8">
              <w:rPr>
                <w:color w:val="000000" w:themeColor="text1"/>
                <w:sz w:val="19"/>
                <w:szCs w:val="19"/>
              </w:rPr>
              <w:t>3.3%</w:t>
            </w:r>
          </w:p>
        </w:tc>
      </w:tr>
      <w:tr w:rsidR="004A4A47" w:rsidRPr="00677CE8" w14:paraId="592ED0CC" w14:textId="77777777" w:rsidTr="004D2D92">
        <w:tc>
          <w:tcPr>
            <w:tcW w:w="2700" w:type="dxa"/>
            <w:vMerge w:val="restart"/>
            <w:tcBorders>
              <w:top w:val="single" w:sz="4" w:space="0" w:color="auto"/>
              <w:left w:val="single" w:sz="12" w:space="0" w:color="auto"/>
              <w:right w:val="nil"/>
            </w:tcBorders>
            <w:tcMar>
              <w:left w:w="29" w:type="dxa"/>
              <w:right w:w="29" w:type="dxa"/>
            </w:tcMar>
            <w:vAlign w:val="center"/>
          </w:tcPr>
          <w:p w14:paraId="2A5BB94D" w14:textId="77777777" w:rsidR="004A4A47" w:rsidRPr="00677CE8" w:rsidRDefault="004A4A47" w:rsidP="004D2D92">
            <w:pPr>
              <w:ind w:left="240" w:hanging="193"/>
              <w:rPr>
                <w:sz w:val="19"/>
                <w:szCs w:val="19"/>
              </w:rPr>
            </w:pPr>
            <w:r w:rsidRPr="00677CE8">
              <w:rPr>
                <w:sz w:val="19"/>
                <w:szCs w:val="19"/>
              </w:rPr>
              <w:t>Race</w:t>
            </w:r>
          </w:p>
        </w:tc>
        <w:tc>
          <w:tcPr>
            <w:tcW w:w="2700" w:type="dxa"/>
            <w:tcBorders>
              <w:top w:val="single" w:sz="4" w:space="0" w:color="auto"/>
              <w:left w:val="nil"/>
              <w:bottom w:val="nil"/>
              <w:right w:val="nil"/>
            </w:tcBorders>
            <w:tcMar>
              <w:left w:w="29" w:type="dxa"/>
              <w:right w:w="29" w:type="dxa"/>
            </w:tcMar>
          </w:tcPr>
          <w:p w14:paraId="1BE0937F" w14:textId="77777777" w:rsidR="004A4A47" w:rsidRPr="00677CE8" w:rsidRDefault="004A4A47" w:rsidP="004D2D92">
            <w:pPr>
              <w:ind w:left="137" w:hanging="137"/>
              <w:rPr>
                <w:sz w:val="19"/>
                <w:szCs w:val="19"/>
              </w:rPr>
            </w:pPr>
            <w:r w:rsidRPr="00677CE8">
              <w:rPr>
                <w:sz w:val="19"/>
                <w:szCs w:val="19"/>
              </w:rPr>
              <w:t>White</w:t>
            </w:r>
          </w:p>
        </w:tc>
        <w:tc>
          <w:tcPr>
            <w:tcW w:w="2955" w:type="dxa"/>
            <w:tcBorders>
              <w:top w:val="single" w:sz="4" w:space="0" w:color="auto"/>
              <w:left w:val="nil"/>
              <w:bottom w:val="nil"/>
              <w:right w:val="nil"/>
            </w:tcBorders>
            <w:tcMar>
              <w:left w:w="29" w:type="dxa"/>
              <w:right w:w="29" w:type="dxa"/>
            </w:tcMar>
          </w:tcPr>
          <w:p w14:paraId="11871E6B" w14:textId="77777777" w:rsidR="004A4A47" w:rsidRPr="00677CE8" w:rsidRDefault="004A4A47" w:rsidP="00B56FA5">
            <w:pPr>
              <w:rPr>
                <w:sz w:val="19"/>
                <w:szCs w:val="19"/>
              </w:rPr>
            </w:pPr>
            <w:r w:rsidRPr="00677CE8">
              <w:rPr>
                <w:sz w:val="19"/>
                <w:szCs w:val="19"/>
              </w:rPr>
              <w:t>Black</w:t>
            </w:r>
          </w:p>
        </w:tc>
        <w:tc>
          <w:tcPr>
            <w:tcW w:w="987" w:type="dxa"/>
            <w:tcBorders>
              <w:top w:val="single" w:sz="4" w:space="0" w:color="auto"/>
              <w:left w:val="nil"/>
              <w:bottom w:val="nil"/>
              <w:right w:val="nil"/>
            </w:tcBorders>
            <w:tcMar>
              <w:left w:w="29" w:type="dxa"/>
              <w:right w:w="29" w:type="dxa"/>
            </w:tcMar>
          </w:tcPr>
          <w:p w14:paraId="07A6B9F4" w14:textId="78317155" w:rsidR="004A4A47" w:rsidRPr="00677CE8" w:rsidRDefault="004A4A47" w:rsidP="004A3EC1">
            <w:pPr>
              <w:tabs>
                <w:tab w:val="decimal" w:pos="329"/>
              </w:tabs>
              <w:jc w:val="center"/>
              <w:rPr>
                <w:color w:val="000000" w:themeColor="text1"/>
                <w:sz w:val="19"/>
                <w:szCs w:val="19"/>
              </w:rPr>
            </w:pPr>
            <w:r w:rsidRPr="00677CE8">
              <w:rPr>
                <w:color w:val="000000" w:themeColor="text1"/>
                <w:sz w:val="19"/>
                <w:szCs w:val="19"/>
              </w:rPr>
              <w:t>28.7%</w:t>
            </w:r>
          </w:p>
        </w:tc>
        <w:tc>
          <w:tcPr>
            <w:tcW w:w="990" w:type="dxa"/>
            <w:tcBorders>
              <w:top w:val="single" w:sz="4" w:space="0" w:color="auto"/>
              <w:left w:val="nil"/>
              <w:bottom w:val="nil"/>
              <w:right w:val="nil"/>
            </w:tcBorders>
            <w:tcMar>
              <w:left w:w="29" w:type="dxa"/>
              <w:right w:w="29" w:type="dxa"/>
            </w:tcMar>
          </w:tcPr>
          <w:p w14:paraId="22387945" w14:textId="7814F42E" w:rsidR="004A4A47" w:rsidRPr="00677CE8" w:rsidRDefault="004A4A47" w:rsidP="004A3EC1">
            <w:pPr>
              <w:tabs>
                <w:tab w:val="decimal" w:pos="321"/>
              </w:tabs>
              <w:jc w:val="center"/>
              <w:rPr>
                <w:color w:val="000000" w:themeColor="text1"/>
                <w:sz w:val="19"/>
                <w:szCs w:val="19"/>
              </w:rPr>
            </w:pPr>
            <w:r w:rsidRPr="00677CE8">
              <w:rPr>
                <w:color w:val="000000" w:themeColor="text1"/>
                <w:sz w:val="19"/>
                <w:szCs w:val="19"/>
              </w:rPr>
              <w:t>20.9%</w:t>
            </w:r>
          </w:p>
        </w:tc>
        <w:tc>
          <w:tcPr>
            <w:tcW w:w="1036" w:type="dxa"/>
            <w:tcBorders>
              <w:top w:val="single" w:sz="4" w:space="0" w:color="auto"/>
              <w:left w:val="nil"/>
              <w:bottom w:val="nil"/>
              <w:right w:val="nil"/>
            </w:tcBorders>
            <w:tcMar>
              <w:left w:w="29" w:type="dxa"/>
              <w:right w:w="29" w:type="dxa"/>
            </w:tcMar>
          </w:tcPr>
          <w:p w14:paraId="6B91054F" w14:textId="6FA7C902" w:rsidR="004A4A47" w:rsidRPr="00677CE8" w:rsidRDefault="004A4A47" w:rsidP="000E7216">
            <w:pPr>
              <w:tabs>
                <w:tab w:val="decimal" w:pos="304"/>
              </w:tabs>
              <w:jc w:val="center"/>
              <w:rPr>
                <w:color w:val="000000" w:themeColor="text1"/>
                <w:sz w:val="19"/>
                <w:szCs w:val="19"/>
              </w:rPr>
            </w:pPr>
            <w:r w:rsidRPr="00677CE8">
              <w:rPr>
                <w:color w:val="000000" w:themeColor="text1"/>
                <w:sz w:val="19"/>
                <w:szCs w:val="19"/>
              </w:rPr>
              <w:t>-0.6%</w:t>
            </w:r>
          </w:p>
        </w:tc>
        <w:tc>
          <w:tcPr>
            <w:tcW w:w="955" w:type="dxa"/>
            <w:tcBorders>
              <w:top w:val="single" w:sz="4" w:space="0" w:color="auto"/>
              <w:left w:val="nil"/>
              <w:bottom w:val="nil"/>
              <w:right w:val="nil"/>
            </w:tcBorders>
            <w:tcMar>
              <w:left w:w="29" w:type="dxa"/>
              <w:right w:w="29" w:type="dxa"/>
            </w:tcMar>
          </w:tcPr>
          <w:p w14:paraId="35859F36" w14:textId="0F6D82B7" w:rsidR="004A4A47" w:rsidRPr="00677CE8" w:rsidRDefault="004A4A47" w:rsidP="004A3EC1">
            <w:pPr>
              <w:tabs>
                <w:tab w:val="decimal" w:pos="216"/>
              </w:tabs>
              <w:jc w:val="center"/>
              <w:rPr>
                <w:color w:val="000000" w:themeColor="text1"/>
                <w:sz w:val="19"/>
                <w:szCs w:val="19"/>
              </w:rPr>
            </w:pPr>
            <w:r w:rsidRPr="00677CE8">
              <w:rPr>
                <w:color w:val="000000" w:themeColor="text1"/>
                <w:sz w:val="19"/>
                <w:szCs w:val="19"/>
              </w:rPr>
              <w:t>-31.6%</w:t>
            </w:r>
          </w:p>
        </w:tc>
        <w:tc>
          <w:tcPr>
            <w:tcW w:w="925" w:type="dxa"/>
            <w:tcBorders>
              <w:top w:val="single" w:sz="4" w:space="0" w:color="auto"/>
              <w:left w:val="nil"/>
              <w:bottom w:val="nil"/>
              <w:right w:val="single" w:sz="12" w:space="0" w:color="auto"/>
            </w:tcBorders>
            <w:tcMar>
              <w:left w:w="29" w:type="dxa"/>
              <w:right w:w="29" w:type="dxa"/>
            </w:tcMar>
          </w:tcPr>
          <w:p w14:paraId="6239A9AA" w14:textId="77CE8873" w:rsidR="004A4A47" w:rsidRPr="00677CE8" w:rsidRDefault="004A4A47" w:rsidP="004A3EC1">
            <w:pPr>
              <w:tabs>
                <w:tab w:val="decimal" w:pos="230"/>
              </w:tabs>
              <w:jc w:val="center"/>
              <w:rPr>
                <w:color w:val="000000" w:themeColor="text1"/>
                <w:sz w:val="19"/>
                <w:szCs w:val="19"/>
              </w:rPr>
            </w:pPr>
            <w:r w:rsidRPr="00677CE8">
              <w:rPr>
                <w:color w:val="000000" w:themeColor="text1"/>
                <w:sz w:val="19"/>
                <w:szCs w:val="19"/>
              </w:rPr>
              <w:t>-8.3%</w:t>
            </w:r>
          </w:p>
        </w:tc>
      </w:tr>
      <w:tr w:rsidR="004A4A47" w:rsidRPr="00677CE8" w14:paraId="28322CD0" w14:textId="77777777" w:rsidTr="004D2D92">
        <w:tc>
          <w:tcPr>
            <w:tcW w:w="2700" w:type="dxa"/>
            <w:vMerge/>
            <w:tcBorders>
              <w:left w:val="single" w:sz="12" w:space="0" w:color="auto"/>
              <w:bottom w:val="single" w:sz="4" w:space="0" w:color="auto"/>
              <w:right w:val="nil"/>
            </w:tcBorders>
            <w:tcMar>
              <w:left w:w="29" w:type="dxa"/>
              <w:right w:w="29" w:type="dxa"/>
            </w:tcMar>
            <w:vAlign w:val="center"/>
          </w:tcPr>
          <w:p w14:paraId="740D0D7B" w14:textId="77777777" w:rsidR="004A4A47" w:rsidRPr="00677CE8" w:rsidRDefault="004A4A47" w:rsidP="004D2D92">
            <w:pPr>
              <w:ind w:left="240" w:hanging="193"/>
              <w:rPr>
                <w:sz w:val="19"/>
                <w:szCs w:val="19"/>
              </w:rPr>
            </w:pPr>
          </w:p>
        </w:tc>
        <w:tc>
          <w:tcPr>
            <w:tcW w:w="2700" w:type="dxa"/>
            <w:tcBorders>
              <w:top w:val="nil"/>
              <w:left w:val="nil"/>
              <w:bottom w:val="single" w:sz="4" w:space="0" w:color="auto"/>
              <w:right w:val="nil"/>
            </w:tcBorders>
            <w:tcMar>
              <w:left w:w="29" w:type="dxa"/>
              <w:right w:w="29" w:type="dxa"/>
            </w:tcMar>
          </w:tcPr>
          <w:p w14:paraId="33CB0CB0" w14:textId="77777777" w:rsidR="004A4A47" w:rsidRPr="00677CE8" w:rsidRDefault="004A4A47" w:rsidP="004D2D92">
            <w:pPr>
              <w:ind w:left="137" w:hanging="137"/>
              <w:rPr>
                <w:sz w:val="19"/>
                <w:szCs w:val="19"/>
              </w:rPr>
            </w:pPr>
            <w:r w:rsidRPr="00677CE8">
              <w:rPr>
                <w:sz w:val="19"/>
                <w:szCs w:val="19"/>
              </w:rPr>
              <w:t>White</w:t>
            </w:r>
          </w:p>
        </w:tc>
        <w:tc>
          <w:tcPr>
            <w:tcW w:w="2955" w:type="dxa"/>
            <w:tcBorders>
              <w:top w:val="nil"/>
              <w:left w:val="nil"/>
              <w:bottom w:val="single" w:sz="4" w:space="0" w:color="auto"/>
              <w:right w:val="nil"/>
            </w:tcBorders>
            <w:tcMar>
              <w:left w:w="29" w:type="dxa"/>
              <w:right w:w="29" w:type="dxa"/>
            </w:tcMar>
          </w:tcPr>
          <w:p w14:paraId="0FB29016" w14:textId="77777777" w:rsidR="004A4A47" w:rsidRPr="00677CE8" w:rsidRDefault="004A4A47" w:rsidP="00B56FA5">
            <w:pPr>
              <w:rPr>
                <w:sz w:val="19"/>
                <w:szCs w:val="19"/>
              </w:rPr>
            </w:pPr>
            <w:proofErr w:type="gramStart"/>
            <w:r w:rsidRPr="00677CE8">
              <w:rPr>
                <w:sz w:val="19"/>
                <w:szCs w:val="19"/>
              </w:rPr>
              <w:t>Other</w:t>
            </w:r>
            <w:proofErr w:type="gramEnd"/>
            <w:r w:rsidRPr="00677CE8">
              <w:rPr>
                <w:sz w:val="19"/>
                <w:szCs w:val="19"/>
              </w:rPr>
              <w:t xml:space="preserve"> race</w:t>
            </w:r>
          </w:p>
        </w:tc>
        <w:tc>
          <w:tcPr>
            <w:tcW w:w="987" w:type="dxa"/>
            <w:tcBorders>
              <w:top w:val="nil"/>
              <w:left w:val="nil"/>
              <w:bottom w:val="single" w:sz="4" w:space="0" w:color="auto"/>
              <w:right w:val="nil"/>
            </w:tcBorders>
            <w:tcMar>
              <w:left w:w="29" w:type="dxa"/>
              <w:right w:w="29" w:type="dxa"/>
            </w:tcMar>
          </w:tcPr>
          <w:p w14:paraId="504E4ECB" w14:textId="65971AA9" w:rsidR="004A4A47" w:rsidRPr="00677CE8" w:rsidRDefault="004A4A47" w:rsidP="004A3EC1">
            <w:pPr>
              <w:tabs>
                <w:tab w:val="decimal" w:pos="329"/>
              </w:tabs>
              <w:jc w:val="center"/>
              <w:rPr>
                <w:color w:val="000000" w:themeColor="text1"/>
                <w:sz w:val="19"/>
                <w:szCs w:val="19"/>
              </w:rPr>
            </w:pPr>
            <w:r w:rsidRPr="00677CE8">
              <w:rPr>
                <w:color w:val="000000" w:themeColor="text1"/>
                <w:sz w:val="19"/>
                <w:szCs w:val="19"/>
              </w:rPr>
              <w:t>16.1%</w:t>
            </w:r>
          </w:p>
        </w:tc>
        <w:tc>
          <w:tcPr>
            <w:tcW w:w="990" w:type="dxa"/>
            <w:tcBorders>
              <w:top w:val="nil"/>
              <w:left w:val="nil"/>
              <w:bottom w:val="single" w:sz="4" w:space="0" w:color="auto"/>
              <w:right w:val="nil"/>
            </w:tcBorders>
            <w:tcMar>
              <w:left w:w="29" w:type="dxa"/>
              <w:right w:w="29" w:type="dxa"/>
            </w:tcMar>
          </w:tcPr>
          <w:p w14:paraId="6731A16D" w14:textId="4DFFF4CD" w:rsidR="004A4A47" w:rsidRPr="00677CE8" w:rsidRDefault="004A4A47" w:rsidP="004A3EC1">
            <w:pPr>
              <w:tabs>
                <w:tab w:val="decimal" w:pos="321"/>
              </w:tabs>
              <w:jc w:val="center"/>
              <w:rPr>
                <w:color w:val="000000" w:themeColor="text1"/>
                <w:sz w:val="19"/>
                <w:szCs w:val="19"/>
              </w:rPr>
            </w:pPr>
            <w:r w:rsidRPr="00677CE8">
              <w:rPr>
                <w:color w:val="000000" w:themeColor="text1"/>
                <w:sz w:val="19"/>
                <w:szCs w:val="19"/>
              </w:rPr>
              <w:t>11.8%</w:t>
            </w:r>
          </w:p>
        </w:tc>
        <w:tc>
          <w:tcPr>
            <w:tcW w:w="1036" w:type="dxa"/>
            <w:tcBorders>
              <w:top w:val="nil"/>
              <w:left w:val="nil"/>
              <w:bottom w:val="single" w:sz="4" w:space="0" w:color="auto"/>
              <w:right w:val="nil"/>
            </w:tcBorders>
            <w:tcMar>
              <w:left w:w="29" w:type="dxa"/>
              <w:right w:w="29" w:type="dxa"/>
            </w:tcMar>
          </w:tcPr>
          <w:p w14:paraId="760AD113" w14:textId="6103B178" w:rsidR="004A4A47" w:rsidRPr="00677CE8" w:rsidRDefault="004A4A47" w:rsidP="000E7216">
            <w:pPr>
              <w:tabs>
                <w:tab w:val="decimal" w:pos="304"/>
              </w:tabs>
              <w:jc w:val="center"/>
              <w:rPr>
                <w:color w:val="000000" w:themeColor="text1"/>
                <w:sz w:val="19"/>
                <w:szCs w:val="19"/>
              </w:rPr>
            </w:pPr>
            <w:r w:rsidRPr="00677CE8">
              <w:rPr>
                <w:color w:val="000000" w:themeColor="text1"/>
                <w:sz w:val="19"/>
                <w:szCs w:val="19"/>
              </w:rPr>
              <w:t>-3.0%</w:t>
            </w:r>
          </w:p>
        </w:tc>
        <w:tc>
          <w:tcPr>
            <w:tcW w:w="955" w:type="dxa"/>
            <w:tcBorders>
              <w:top w:val="nil"/>
              <w:left w:val="nil"/>
              <w:bottom w:val="single" w:sz="4" w:space="0" w:color="auto"/>
              <w:right w:val="nil"/>
            </w:tcBorders>
            <w:tcMar>
              <w:left w:w="29" w:type="dxa"/>
              <w:right w:w="29" w:type="dxa"/>
            </w:tcMar>
          </w:tcPr>
          <w:p w14:paraId="1803B71F" w14:textId="7D76BC7E" w:rsidR="004A4A47" w:rsidRPr="00677CE8" w:rsidRDefault="004A4A47" w:rsidP="004A3EC1">
            <w:pPr>
              <w:tabs>
                <w:tab w:val="decimal" w:pos="216"/>
              </w:tabs>
              <w:jc w:val="center"/>
              <w:rPr>
                <w:color w:val="000000" w:themeColor="text1"/>
                <w:sz w:val="19"/>
                <w:szCs w:val="19"/>
              </w:rPr>
            </w:pPr>
            <w:r w:rsidRPr="00677CE8">
              <w:rPr>
                <w:color w:val="000000" w:themeColor="text1"/>
                <w:sz w:val="19"/>
                <w:szCs w:val="19"/>
              </w:rPr>
              <w:t>-10.6%</w:t>
            </w:r>
          </w:p>
        </w:tc>
        <w:tc>
          <w:tcPr>
            <w:tcW w:w="925" w:type="dxa"/>
            <w:tcBorders>
              <w:top w:val="nil"/>
              <w:left w:val="nil"/>
              <w:bottom w:val="single" w:sz="4" w:space="0" w:color="auto"/>
              <w:right w:val="single" w:sz="12" w:space="0" w:color="auto"/>
            </w:tcBorders>
            <w:tcMar>
              <w:left w:w="29" w:type="dxa"/>
              <w:right w:w="29" w:type="dxa"/>
            </w:tcMar>
          </w:tcPr>
          <w:p w14:paraId="6194E56B" w14:textId="3FD6B8C8" w:rsidR="004A4A47" w:rsidRPr="00677CE8" w:rsidRDefault="004A4A47" w:rsidP="004A3EC1">
            <w:pPr>
              <w:tabs>
                <w:tab w:val="decimal" w:pos="230"/>
              </w:tabs>
              <w:jc w:val="center"/>
              <w:rPr>
                <w:color w:val="000000" w:themeColor="text1"/>
                <w:sz w:val="19"/>
                <w:szCs w:val="19"/>
              </w:rPr>
            </w:pPr>
            <w:r w:rsidRPr="00677CE8">
              <w:rPr>
                <w:color w:val="000000" w:themeColor="text1"/>
                <w:sz w:val="19"/>
                <w:szCs w:val="19"/>
              </w:rPr>
              <w:t>-6.3%</w:t>
            </w:r>
          </w:p>
        </w:tc>
      </w:tr>
      <w:tr w:rsidR="004A4A47" w:rsidRPr="00677CE8" w14:paraId="669EDAB6" w14:textId="77777777" w:rsidTr="004D2D92">
        <w:tc>
          <w:tcPr>
            <w:tcW w:w="2700" w:type="dxa"/>
            <w:vMerge w:val="restart"/>
            <w:tcBorders>
              <w:top w:val="single" w:sz="4" w:space="0" w:color="auto"/>
              <w:left w:val="single" w:sz="12" w:space="0" w:color="auto"/>
              <w:bottom w:val="nil"/>
              <w:right w:val="nil"/>
            </w:tcBorders>
            <w:tcMar>
              <w:left w:w="29" w:type="dxa"/>
              <w:right w:w="29" w:type="dxa"/>
            </w:tcMar>
            <w:vAlign w:val="center"/>
          </w:tcPr>
          <w:p w14:paraId="27EDF377" w14:textId="77777777" w:rsidR="004A4A47" w:rsidRPr="00677CE8" w:rsidRDefault="004A4A47" w:rsidP="004D2D92">
            <w:pPr>
              <w:ind w:left="240" w:hanging="193"/>
              <w:rPr>
                <w:sz w:val="19"/>
                <w:szCs w:val="19"/>
              </w:rPr>
            </w:pPr>
            <w:r w:rsidRPr="00677CE8">
              <w:rPr>
                <w:sz w:val="19"/>
                <w:szCs w:val="19"/>
              </w:rPr>
              <w:t>Household Income</w:t>
            </w:r>
          </w:p>
        </w:tc>
        <w:tc>
          <w:tcPr>
            <w:tcW w:w="2700" w:type="dxa"/>
            <w:tcBorders>
              <w:top w:val="single" w:sz="4" w:space="0" w:color="auto"/>
              <w:left w:val="nil"/>
              <w:bottom w:val="nil"/>
              <w:right w:val="nil"/>
            </w:tcBorders>
            <w:tcMar>
              <w:left w:w="29" w:type="dxa"/>
              <w:right w:w="29" w:type="dxa"/>
            </w:tcMar>
          </w:tcPr>
          <w:p w14:paraId="6EA1F624" w14:textId="77777777" w:rsidR="004A4A47" w:rsidRPr="00677CE8" w:rsidRDefault="004A4A47" w:rsidP="004D2D92">
            <w:pPr>
              <w:ind w:left="137" w:hanging="137"/>
              <w:rPr>
                <w:sz w:val="19"/>
                <w:szCs w:val="19"/>
              </w:rPr>
            </w:pPr>
            <w:r w:rsidRPr="00677CE8">
              <w:rPr>
                <w:sz w:val="19"/>
                <w:szCs w:val="19"/>
              </w:rPr>
              <w:t>Low income (less than $35,000)</w:t>
            </w:r>
          </w:p>
        </w:tc>
        <w:tc>
          <w:tcPr>
            <w:tcW w:w="2955" w:type="dxa"/>
            <w:tcBorders>
              <w:top w:val="single" w:sz="4" w:space="0" w:color="auto"/>
              <w:left w:val="nil"/>
              <w:bottom w:val="nil"/>
              <w:right w:val="nil"/>
            </w:tcBorders>
            <w:tcMar>
              <w:left w:w="29" w:type="dxa"/>
              <w:right w:w="29" w:type="dxa"/>
            </w:tcMar>
          </w:tcPr>
          <w:p w14:paraId="566CC215" w14:textId="77777777" w:rsidR="004A4A47" w:rsidRPr="00677CE8" w:rsidRDefault="004A4A47" w:rsidP="00B56FA5">
            <w:pPr>
              <w:rPr>
                <w:sz w:val="19"/>
                <w:szCs w:val="19"/>
              </w:rPr>
            </w:pPr>
            <w:r w:rsidRPr="00677CE8">
              <w:rPr>
                <w:sz w:val="19"/>
                <w:szCs w:val="19"/>
              </w:rPr>
              <w:t>Medium income ($35,000-$100,000)</w:t>
            </w:r>
          </w:p>
        </w:tc>
        <w:tc>
          <w:tcPr>
            <w:tcW w:w="987" w:type="dxa"/>
            <w:tcBorders>
              <w:top w:val="single" w:sz="4" w:space="0" w:color="auto"/>
              <w:left w:val="nil"/>
              <w:bottom w:val="nil"/>
              <w:right w:val="nil"/>
            </w:tcBorders>
            <w:tcMar>
              <w:left w:w="29" w:type="dxa"/>
              <w:right w:w="29" w:type="dxa"/>
            </w:tcMar>
          </w:tcPr>
          <w:p w14:paraId="255E74F9" w14:textId="1553BE63" w:rsidR="004A4A47" w:rsidRPr="00677CE8" w:rsidRDefault="004A4A47" w:rsidP="004A3EC1">
            <w:pPr>
              <w:tabs>
                <w:tab w:val="decimal" w:pos="329"/>
              </w:tabs>
              <w:jc w:val="center"/>
              <w:rPr>
                <w:color w:val="000000" w:themeColor="text1"/>
                <w:sz w:val="19"/>
                <w:szCs w:val="19"/>
              </w:rPr>
            </w:pPr>
            <w:r w:rsidRPr="00677CE8">
              <w:rPr>
                <w:color w:val="000000" w:themeColor="text1"/>
                <w:sz w:val="19"/>
                <w:szCs w:val="19"/>
              </w:rPr>
              <w:t>19.7%</w:t>
            </w:r>
          </w:p>
        </w:tc>
        <w:tc>
          <w:tcPr>
            <w:tcW w:w="990" w:type="dxa"/>
            <w:tcBorders>
              <w:top w:val="single" w:sz="4" w:space="0" w:color="auto"/>
              <w:left w:val="nil"/>
              <w:bottom w:val="nil"/>
              <w:right w:val="nil"/>
            </w:tcBorders>
            <w:tcMar>
              <w:left w:w="29" w:type="dxa"/>
              <w:right w:w="29" w:type="dxa"/>
            </w:tcMar>
          </w:tcPr>
          <w:p w14:paraId="33BA4A07" w14:textId="10C9027F" w:rsidR="004A4A47" w:rsidRPr="00677CE8" w:rsidRDefault="004A4A47" w:rsidP="004A3EC1">
            <w:pPr>
              <w:tabs>
                <w:tab w:val="decimal" w:pos="321"/>
              </w:tabs>
              <w:jc w:val="center"/>
              <w:rPr>
                <w:color w:val="000000" w:themeColor="text1"/>
                <w:sz w:val="19"/>
                <w:szCs w:val="19"/>
              </w:rPr>
            </w:pPr>
            <w:r w:rsidRPr="00677CE8">
              <w:rPr>
                <w:color w:val="000000" w:themeColor="text1"/>
                <w:sz w:val="19"/>
                <w:szCs w:val="19"/>
              </w:rPr>
              <w:t>12.8%</w:t>
            </w:r>
          </w:p>
        </w:tc>
        <w:tc>
          <w:tcPr>
            <w:tcW w:w="1036" w:type="dxa"/>
            <w:tcBorders>
              <w:top w:val="single" w:sz="4" w:space="0" w:color="auto"/>
              <w:left w:val="nil"/>
              <w:bottom w:val="nil"/>
              <w:right w:val="nil"/>
            </w:tcBorders>
            <w:tcMar>
              <w:left w:w="29" w:type="dxa"/>
              <w:right w:w="29" w:type="dxa"/>
            </w:tcMar>
          </w:tcPr>
          <w:p w14:paraId="0CB6B2A8" w14:textId="2F50801C" w:rsidR="004A4A47" w:rsidRPr="00677CE8" w:rsidRDefault="004A4A47" w:rsidP="000E7216">
            <w:pPr>
              <w:tabs>
                <w:tab w:val="decimal" w:pos="304"/>
              </w:tabs>
              <w:jc w:val="center"/>
              <w:rPr>
                <w:color w:val="000000" w:themeColor="text1"/>
                <w:sz w:val="19"/>
                <w:szCs w:val="19"/>
              </w:rPr>
            </w:pPr>
            <w:r w:rsidRPr="00677CE8">
              <w:rPr>
                <w:color w:val="000000" w:themeColor="text1"/>
                <w:sz w:val="19"/>
                <w:szCs w:val="19"/>
              </w:rPr>
              <w:t>-2.5%</w:t>
            </w:r>
          </w:p>
        </w:tc>
        <w:tc>
          <w:tcPr>
            <w:tcW w:w="955" w:type="dxa"/>
            <w:tcBorders>
              <w:top w:val="single" w:sz="4" w:space="0" w:color="auto"/>
              <w:left w:val="nil"/>
              <w:bottom w:val="nil"/>
              <w:right w:val="nil"/>
            </w:tcBorders>
            <w:tcMar>
              <w:left w:w="29" w:type="dxa"/>
              <w:right w:w="29" w:type="dxa"/>
            </w:tcMar>
          </w:tcPr>
          <w:p w14:paraId="57F08EC7" w14:textId="7D4D9416" w:rsidR="004A4A47" w:rsidRPr="00677CE8" w:rsidRDefault="004A4A47" w:rsidP="004A3EC1">
            <w:pPr>
              <w:tabs>
                <w:tab w:val="decimal" w:pos="216"/>
              </w:tabs>
              <w:jc w:val="center"/>
              <w:rPr>
                <w:color w:val="000000" w:themeColor="text1"/>
                <w:sz w:val="19"/>
                <w:szCs w:val="19"/>
              </w:rPr>
            </w:pPr>
            <w:r w:rsidRPr="00677CE8">
              <w:rPr>
                <w:color w:val="000000" w:themeColor="text1"/>
                <w:sz w:val="19"/>
                <w:szCs w:val="19"/>
              </w:rPr>
              <w:t>-9.8%</w:t>
            </w:r>
          </w:p>
        </w:tc>
        <w:tc>
          <w:tcPr>
            <w:tcW w:w="925" w:type="dxa"/>
            <w:tcBorders>
              <w:top w:val="single" w:sz="4" w:space="0" w:color="auto"/>
              <w:left w:val="nil"/>
              <w:bottom w:val="nil"/>
              <w:right w:val="single" w:sz="12" w:space="0" w:color="auto"/>
            </w:tcBorders>
            <w:tcMar>
              <w:left w:w="29" w:type="dxa"/>
              <w:right w:w="29" w:type="dxa"/>
            </w:tcMar>
          </w:tcPr>
          <w:p w14:paraId="42A24787" w14:textId="075EFBD2" w:rsidR="004A4A47" w:rsidRPr="00677CE8" w:rsidRDefault="004A4A47" w:rsidP="004A3EC1">
            <w:pPr>
              <w:tabs>
                <w:tab w:val="decimal" w:pos="230"/>
              </w:tabs>
              <w:jc w:val="center"/>
              <w:rPr>
                <w:color w:val="000000" w:themeColor="text1"/>
                <w:sz w:val="19"/>
                <w:szCs w:val="19"/>
              </w:rPr>
            </w:pPr>
            <w:r w:rsidRPr="00677CE8">
              <w:rPr>
                <w:color w:val="000000" w:themeColor="text1"/>
                <w:sz w:val="19"/>
                <w:szCs w:val="19"/>
              </w:rPr>
              <w:t>-5.8%</w:t>
            </w:r>
          </w:p>
        </w:tc>
      </w:tr>
      <w:tr w:rsidR="004A4A47" w:rsidRPr="00677CE8" w14:paraId="16FDFC22" w14:textId="77777777" w:rsidTr="004D2D92">
        <w:tc>
          <w:tcPr>
            <w:tcW w:w="2700" w:type="dxa"/>
            <w:vMerge/>
            <w:tcBorders>
              <w:top w:val="nil"/>
              <w:left w:val="single" w:sz="12" w:space="0" w:color="auto"/>
              <w:bottom w:val="single" w:sz="4" w:space="0" w:color="auto"/>
              <w:right w:val="nil"/>
            </w:tcBorders>
            <w:tcMar>
              <w:left w:w="29" w:type="dxa"/>
              <w:right w:w="29" w:type="dxa"/>
            </w:tcMar>
            <w:vAlign w:val="center"/>
          </w:tcPr>
          <w:p w14:paraId="77395BB2" w14:textId="77777777" w:rsidR="004A4A47" w:rsidRPr="00677CE8" w:rsidRDefault="004A4A47" w:rsidP="004D2D92">
            <w:pPr>
              <w:ind w:left="240" w:hanging="193"/>
              <w:rPr>
                <w:sz w:val="19"/>
                <w:szCs w:val="19"/>
              </w:rPr>
            </w:pPr>
          </w:p>
        </w:tc>
        <w:tc>
          <w:tcPr>
            <w:tcW w:w="2700" w:type="dxa"/>
            <w:tcBorders>
              <w:top w:val="nil"/>
              <w:left w:val="nil"/>
              <w:bottom w:val="single" w:sz="4" w:space="0" w:color="auto"/>
              <w:right w:val="nil"/>
            </w:tcBorders>
            <w:tcMar>
              <w:left w:w="29" w:type="dxa"/>
              <w:right w:w="29" w:type="dxa"/>
            </w:tcMar>
          </w:tcPr>
          <w:p w14:paraId="6E7FA4DC" w14:textId="77777777" w:rsidR="004A4A47" w:rsidRPr="00677CE8" w:rsidRDefault="004A4A47" w:rsidP="004D2D92">
            <w:pPr>
              <w:ind w:left="137" w:hanging="137"/>
              <w:rPr>
                <w:sz w:val="19"/>
                <w:szCs w:val="19"/>
              </w:rPr>
            </w:pPr>
            <w:r w:rsidRPr="00677CE8">
              <w:rPr>
                <w:sz w:val="19"/>
                <w:szCs w:val="19"/>
              </w:rPr>
              <w:t>Low income (less than $35,000)</w:t>
            </w:r>
          </w:p>
        </w:tc>
        <w:tc>
          <w:tcPr>
            <w:tcW w:w="2955" w:type="dxa"/>
            <w:tcBorders>
              <w:top w:val="nil"/>
              <w:left w:val="nil"/>
              <w:bottom w:val="single" w:sz="4" w:space="0" w:color="auto"/>
              <w:right w:val="nil"/>
            </w:tcBorders>
            <w:tcMar>
              <w:left w:w="29" w:type="dxa"/>
              <w:right w:w="29" w:type="dxa"/>
            </w:tcMar>
          </w:tcPr>
          <w:p w14:paraId="31E48D06" w14:textId="77777777" w:rsidR="004A4A47" w:rsidRPr="00677CE8" w:rsidRDefault="004A4A47" w:rsidP="00B56FA5">
            <w:pPr>
              <w:rPr>
                <w:sz w:val="19"/>
                <w:szCs w:val="19"/>
              </w:rPr>
            </w:pPr>
            <w:r w:rsidRPr="00677CE8">
              <w:rPr>
                <w:sz w:val="19"/>
                <w:szCs w:val="19"/>
              </w:rPr>
              <w:t>High income (more than $100,000)</w:t>
            </w:r>
          </w:p>
        </w:tc>
        <w:tc>
          <w:tcPr>
            <w:tcW w:w="987" w:type="dxa"/>
            <w:tcBorders>
              <w:top w:val="nil"/>
              <w:left w:val="nil"/>
              <w:bottom w:val="single" w:sz="4" w:space="0" w:color="auto"/>
              <w:right w:val="nil"/>
            </w:tcBorders>
            <w:tcMar>
              <w:left w:w="29" w:type="dxa"/>
              <w:right w:w="29" w:type="dxa"/>
            </w:tcMar>
          </w:tcPr>
          <w:p w14:paraId="2802F7D2" w14:textId="2967D12D" w:rsidR="004A4A47" w:rsidRPr="00677CE8" w:rsidRDefault="004A4A47" w:rsidP="004A3EC1">
            <w:pPr>
              <w:tabs>
                <w:tab w:val="decimal" w:pos="329"/>
              </w:tabs>
              <w:jc w:val="center"/>
              <w:rPr>
                <w:color w:val="000000" w:themeColor="text1"/>
                <w:sz w:val="19"/>
                <w:szCs w:val="19"/>
              </w:rPr>
            </w:pPr>
            <w:r w:rsidRPr="00677CE8">
              <w:rPr>
                <w:color w:val="000000" w:themeColor="text1"/>
                <w:sz w:val="19"/>
                <w:szCs w:val="19"/>
              </w:rPr>
              <w:t>52.2%</w:t>
            </w:r>
          </w:p>
        </w:tc>
        <w:tc>
          <w:tcPr>
            <w:tcW w:w="990" w:type="dxa"/>
            <w:tcBorders>
              <w:top w:val="nil"/>
              <w:left w:val="nil"/>
              <w:bottom w:val="single" w:sz="4" w:space="0" w:color="auto"/>
              <w:right w:val="nil"/>
            </w:tcBorders>
            <w:tcMar>
              <w:left w:w="29" w:type="dxa"/>
              <w:right w:w="29" w:type="dxa"/>
            </w:tcMar>
          </w:tcPr>
          <w:p w14:paraId="14EA088F" w14:textId="250D8295" w:rsidR="004A4A47" w:rsidRPr="00677CE8" w:rsidRDefault="004A4A47" w:rsidP="004A3EC1">
            <w:pPr>
              <w:tabs>
                <w:tab w:val="decimal" w:pos="321"/>
              </w:tabs>
              <w:jc w:val="center"/>
              <w:rPr>
                <w:color w:val="000000" w:themeColor="text1"/>
                <w:sz w:val="19"/>
                <w:szCs w:val="19"/>
              </w:rPr>
            </w:pPr>
            <w:r w:rsidRPr="00677CE8">
              <w:rPr>
                <w:color w:val="000000" w:themeColor="text1"/>
                <w:sz w:val="19"/>
                <w:szCs w:val="19"/>
              </w:rPr>
              <w:t>30.0%</w:t>
            </w:r>
          </w:p>
        </w:tc>
        <w:tc>
          <w:tcPr>
            <w:tcW w:w="1036" w:type="dxa"/>
            <w:tcBorders>
              <w:top w:val="nil"/>
              <w:left w:val="nil"/>
              <w:bottom w:val="single" w:sz="4" w:space="0" w:color="auto"/>
              <w:right w:val="nil"/>
            </w:tcBorders>
            <w:tcMar>
              <w:left w:w="29" w:type="dxa"/>
              <w:right w:w="29" w:type="dxa"/>
            </w:tcMar>
          </w:tcPr>
          <w:p w14:paraId="7157248C" w14:textId="64DDA5AB" w:rsidR="004A4A47" w:rsidRPr="00677CE8" w:rsidRDefault="004A4A47" w:rsidP="000E7216">
            <w:pPr>
              <w:tabs>
                <w:tab w:val="decimal" w:pos="304"/>
              </w:tabs>
              <w:jc w:val="center"/>
              <w:rPr>
                <w:color w:val="000000" w:themeColor="text1"/>
                <w:sz w:val="19"/>
                <w:szCs w:val="19"/>
              </w:rPr>
            </w:pPr>
            <w:r w:rsidRPr="00677CE8">
              <w:rPr>
                <w:color w:val="000000" w:themeColor="text1"/>
                <w:sz w:val="19"/>
                <w:szCs w:val="19"/>
              </w:rPr>
              <w:t>-2.6%</w:t>
            </w:r>
          </w:p>
        </w:tc>
        <w:tc>
          <w:tcPr>
            <w:tcW w:w="955" w:type="dxa"/>
            <w:tcBorders>
              <w:top w:val="nil"/>
              <w:left w:val="nil"/>
              <w:bottom w:val="single" w:sz="4" w:space="0" w:color="auto"/>
              <w:right w:val="nil"/>
            </w:tcBorders>
            <w:tcMar>
              <w:left w:w="29" w:type="dxa"/>
              <w:right w:w="29" w:type="dxa"/>
            </w:tcMar>
          </w:tcPr>
          <w:p w14:paraId="3721FD74" w14:textId="6FA584A1" w:rsidR="004A4A47" w:rsidRPr="00677CE8" w:rsidRDefault="004A4A47" w:rsidP="004A3EC1">
            <w:pPr>
              <w:tabs>
                <w:tab w:val="decimal" w:pos="216"/>
              </w:tabs>
              <w:jc w:val="center"/>
              <w:rPr>
                <w:color w:val="000000" w:themeColor="text1"/>
                <w:sz w:val="19"/>
                <w:szCs w:val="19"/>
              </w:rPr>
            </w:pPr>
            <w:r w:rsidRPr="00677CE8">
              <w:rPr>
                <w:color w:val="000000" w:themeColor="text1"/>
                <w:sz w:val="19"/>
                <w:szCs w:val="19"/>
              </w:rPr>
              <w:t>-33.1%</w:t>
            </w:r>
          </w:p>
        </w:tc>
        <w:tc>
          <w:tcPr>
            <w:tcW w:w="925" w:type="dxa"/>
            <w:tcBorders>
              <w:top w:val="nil"/>
              <w:left w:val="nil"/>
              <w:bottom w:val="single" w:sz="4" w:space="0" w:color="auto"/>
              <w:right w:val="single" w:sz="12" w:space="0" w:color="auto"/>
            </w:tcBorders>
            <w:tcMar>
              <w:left w:w="29" w:type="dxa"/>
              <w:right w:w="29" w:type="dxa"/>
            </w:tcMar>
          </w:tcPr>
          <w:p w14:paraId="2E0528E1" w14:textId="291A0E00" w:rsidR="004A4A47" w:rsidRPr="00677CE8" w:rsidRDefault="004A4A47" w:rsidP="004A3EC1">
            <w:pPr>
              <w:tabs>
                <w:tab w:val="decimal" w:pos="230"/>
              </w:tabs>
              <w:jc w:val="center"/>
              <w:rPr>
                <w:color w:val="000000" w:themeColor="text1"/>
                <w:sz w:val="19"/>
                <w:szCs w:val="19"/>
              </w:rPr>
            </w:pPr>
            <w:r w:rsidRPr="00677CE8">
              <w:rPr>
                <w:color w:val="000000" w:themeColor="text1"/>
                <w:sz w:val="19"/>
                <w:szCs w:val="19"/>
              </w:rPr>
              <w:t>-12.8%</w:t>
            </w:r>
          </w:p>
        </w:tc>
      </w:tr>
      <w:tr w:rsidR="00FF3FFA" w:rsidRPr="00677CE8" w14:paraId="774FCB1A" w14:textId="77777777" w:rsidTr="004D2D92">
        <w:tc>
          <w:tcPr>
            <w:tcW w:w="2700" w:type="dxa"/>
            <w:tcBorders>
              <w:top w:val="single" w:sz="4" w:space="0" w:color="auto"/>
              <w:left w:val="single" w:sz="12" w:space="0" w:color="auto"/>
              <w:bottom w:val="single" w:sz="4" w:space="0" w:color="auto"/>
              <w:right w:val="nil"/>
            </w:tcBorders>
            <w:tcMar>
              <w:left w:w="29" w:type="dxa"/>
              <w:right w:w="29" w:type="dxa"/>
            </w:tcMar>
            <w:vAlign w:val="center"/>
          </w:tcPr>
          <w:p w14:paraId="28BE6744" w14:textId="77777777" w:rsidR="00FF3FFA" w:rsidRPr="00677CE8" w:rsidRDefault="00FF3FFA" w:rsidP="004D2D92">
            <w:pPr>
              <w:ind w:left="240" w:hanging="193"/>
              <w:rPr>
                <w:sz w:val="19"/>
                <w:szCs w:val="19"/>
              </w:rPr>
            </w:pPr>
            <w:r w:rsidRPr="00677CE8">
              <w:rPr>
                <w:sz w:val="19"/>
                <w:szCs w:val="19"/>
              </w:rPr>
              <w:t>Housing Tenure</w:t>
            </w:r>
          </w:p>
        </w:tc>
        <w:tc>
          <w:tcPr>
            <w:tcW w:w="2700" w:type="dxa"/>
            <w:tcBorders>
              <w:top w:val="single" w:sz="4" w:space="0" w:color="auto"/>
              <w:left w:val="nil"/>
              <w:bottom w:val="single" w:sz="4" w:space="0" w:color="auto"/>
              <w:right w:val="nil"/>
            </w:tcBorders>
            <w:tcMar>
              <w:left w:w="29" w:type="dxa"/>
              <w:right w:w="29" w:type="dxa"/>
            </w:tcMar>
          </w:tcPr>
          <w:p w14:paraId="2B8C570C" w14:textId="77777777" w:rsidR="00FF3FFA" w:rsidRPr="00677CE8" w:rsidRDefault="00FF3FFA" w:rsidP="004D2D92">
            <w:pPr>
              <w:ind w:left="137" w:hanging="137"/>
              <w:rPr>
                <w:sz w:val="19"/>
                <w:szCs w:val="19"/>
              </w:rPr>
            </w:pPr>
            <w:r w:rsidRPr="00677CE8">
              <w:rPr>
                <w:sz w:val="19"/>
                <w:szCs w:val="19"/>
              </w:rPr>
              <w:t>Homeowner</w:t>
            </w:r>
          </w:p>
        </w:tc>
        <w:tc>
          <w:tcPr>
            <w:tcW w:w="2955" w:type="dxa"/>
            <w:tcBorders>
              <w:top w:val="single" w:sz="4" w:space="0" w:color="auto"/>
              <w:left w:val="nil"/>
              <w:bottom w:val="single" w:sz="4" w:space="0" w:color="auto"/>
              <w:right w:val="nil"/>
            </w:tcBorders>
            <w:tcMar>
              <w:left w:w="29" w:type="dxa"/>
              <w:right w:w="29" w:type="dxa"/>
            </w:tcMar>
          </w:tcPr>
          <w:p w14:paraId="41F43BCE" w14:textId="77777777" w:rsidR="00FF3FFA" w:rsidRPr="00677CE8" w:rsidRDefault="00FF3FFA" w:rsidP="00B56FA5">
            <w:pPr>
              <w:rPr>
                <w:sz w:val="19"/>
                <w:szCs w:val="19"/>
              </w:rPr>
            </w:pPr>
            <w:r w:rsidRPr="00677CE8">
              <w:rPr>
                <w:sz w:val="19"/>
                <w:szCs w:val="19"/>
              </w:rPr>
              <w:t>Non-homeownership arrangements</w:t>
            </w:r>
          </w:p>
        </w:tc>
        <w:tc>
          <w:tcPr>
            <w:tcW w:w="987" w:type="dxa"/>
            <w:tcBorders>
              <w:top w:val="single" w:sz="4" w:space="0" w:color="auto"/>
              <w:left w:val="nil"/>
              <w:bottom w:val="single" w:sz="4" w:space="0" w:color="auto"/>
              <w:right w:val="nil"/>
            </w:tcBorders>
            <w:tcMar>
              <w:left w:w="29" w:type="dxa"/>
              <w:right w:w="29" w:type="dxa"/>
            </w:tcMar>
          </w:tcPr>
          <w:p w14:paraId="51A71C83" w14:textId="39194641" w:rsidR="00FF3FFA" w:rsidRPr="00677CE8" w:rsidRDefault="00FF3FFA" w:rsidP="004A3EC1">
            <w:pPr>
              <w:tabs>
                <w:tab w:val="decimal" w:pos="329"/>
              </w:tabs>
              <w:jc w:val="center"/>
              <w:rPr>
                <w:color w:val="000000" w:themeColor="text1"/>
                <w:sz w:val="19"/>
                <w:szCs w:val="19"/>
              </w:rPr>
            </w:pPr>
            <w:r w:rsidRPr="00677CE8">
              <w:rPr>
                <w:color w:val="000000" w:themeColor="text1"/>
                <w:sz w:val="19"/>
                <w:szCs w:val="19"/>
              </w:rPr>
              <w:t>1.2%</w:t>
            </w:r>
          </w:p>
        </w:tc>
        <w:tc>
          <w:tcPr>
            <w:tcW w:w="990" w:type="dxa"/>
            <w:tcBorders>
              <w:top w:val="single" w:sz="4" w:space="0" w:color="auto"/>
              <w:left w:val="nil"/>
              <w:bottom w:val="single" w:sz="4" w:space="0" w:color="auto"/>
              <w:right w:val="nil"/>
            </w:tcBorders>
            <w:tcMar>
              <w:left w:w="29" w:type="dxa"/>
              <w:right w:w="29" w:type="dxa"/>
            </w:tcMar>
          </w:tcPr>
          <w:p w14:paraId="12FD9CCB" w14:textId="70E87069" w:rsidR="00FF3FFA" w:rsidRPr="00677CE8" w:rsidRDefault="00FF3FFA" w:rsidP="004A3EC1">
            <w:pPr>
              <w:tabs>
                <w:tab w:val="decimal" w:pos="321"/>
              </w:tabs>
              <w:jc w:val="center"/>
              <w:rPr>
                <w:color w:val="000000" w:themeColor="text1"/>
                <w:sz w:val="19"/>
                <w:szCs w:val="19"/>
              </w:rPr>
            </w:pPr>
            <w:r w:rsidRPr="00677CE8">
              <w:rPr>
                <w:color w:val="000000" w:themeColor="text1"/>
                <w:sz w:val="19"/>
                <w:szCs w:val="19"/>
              </w:rPr>
              <w:t>0.9%</w:t>
            </w:r>
          </w:p>
        </w:tc>
        <w:tc>
          <w:tcPr>
            <w:tcW w:w="1036" w:type="dxa"/>
            <w:tcBorders>
              <w:top w:val="single" w:sz="4" w:space="0" w:color="auto"/>
              <w:left w:val="nil"/>
              <w:bottom w:val="single" w:sz="4" w:space="0" w:color="auto"/>
              <w:right w:val="nil"/>
            </w:tcBorders>
            <w:tcMar>
              <w:left w:w="29" w:type="dxa"/>
              <w:right w:w="29" w:type="dxa"/>
            </w:tcMar>
          </w:tcPr>
          <w:p w14:paraId="2674CB00" w14:textId="204A7D1C" w:rsidR="00FF3FFA" w:rsidRPr="00677CE8" w:rsidRDefault="00FF3FFA" w:rsidP="000E7216">
            <w:pPr>
              <w:tabs>
                <w:tab w:val="decimal" w:pos="304"/>
              </w:tabs>
              <w:jc w:val="center"/>
              <w:rPr>
                <w:color w:val="000000" w:themeColor="text1"/>
                <w:sz w:val="19"/>
                <w:szCs w:val="19"/>
              </w:rPr>
            </w:pPr>
            <w:r w:rsidRPr="00677CE8">
              <w:rPr>
                <w:color w:val="000000" w:themeColor="text1"/>
                <w:sz w:val="19"/>
                <w:szCs w:val="19"/>
              </w:rPr>
              <w:t>-0.4%</w:t>
            </w:r>
          </w:p>
        </w:tc>
        <w:tc>
          <w:tcPr>
            <w:tcW w:w="955" w:type="dxa"/>
            <w:tcBorders>
              <w:top w:val="single" w:sz="4" w:space="0" w:color="auto"/>
              <w:left w:val="nil"/>
              <w:bottom w:val="single" w:sz="4" w:space="0" w:color="auto"/>
              <w:right w:val="nil"/>
            </w:tcBorders>
            <w:tcMar>
              <w:left w:w="29" w:type="dxa"/>
              <w:right w:w="29" w:type="dxa"/>
            </w:tcMar>
          </w:tcPr>
          <w:p w14:paraId="699C7BC4" w14:textId="73C22217" w:rsidR="00FF3FFA" w:rsidRPr="00677CE8" w:rsidRDefault="00FF3FFA" w:rsidP="004A3EC1">
            <w:pPr>
              <w:tabs>
                <w:tab w:val="decimal" w:pos="216"/>
              </w:tabs>
              <w:jc w:val="center"/>
              <w:rPr>
                <w:color w:val="000000" w:themeColor="text1"/>
                <w:sz w:val="19"/>
                <w:szCs w:val="19"/>
              </w:rPr>
            </w:pPr>
            <w:r w:rsidRPr="00677CE8">
              <w:rPr>
                <w:color w:val="000000" w:themeColor="text1"/>
                <w:sz w:val="19"/>
                <w:szCs w:val="19"/>
              </w:rPr>
              <w:t>-0.5%</w:t>
            </w:r>
          </w:p>
        </w:tc>
        <w:tc>
          <w:tcPr>
            <w:tcW w:w="925" w:type="dxa"/>
            <w:tcBorders>
              <w:top w:val="single" w:sz="4" w:space="0" w:color="auto"/>
              <w:left w:val="nil"/>
              <w:bottom w:val="single" w:sz="4" w:space="0" w:color="auto"/>
              <w:right w:val="single" w:sz="12" w:space="0" w:color="auto"/>
            </w:tcBorders>
            <w:tcMar>
              <w:left w:w="29" w:type="dxa"/>
              <w:right w:w="29" w:type="dxa"/>
            </w:tcMar>
          </w:tcPr>
          <w:p w14:paraId="3344F3F5" w14:textId="15205A7A" w:rsidR="00FF3FFA" w:rsidRPr="00677CE8" w:rsidRDefault="00FF3FFA" w:rsidP="004A3EC1">
            <w:pPr>
              <w:tabs>
                <w:tab w:val="decimal" w:pos="230"/>
              </w:tabs>
              <w:jc w:val="center"/>
              <w:rPr>
                <w:color w:val="000000" w:themeColor="text1"/>
                <w:sz w:val="19"/>
                <w:szCs w:val="19"/>
              </w:rPr>
            </w:pPr>
            <w:r w:rsidRPr="00677CE8">
              <w:rPr>
                <w:color w:val="000000" w:themeColor="text1"/>
                <w:sz w:val="19"/>
                <w:szCs w:val="19"/>
              </w:rPr>
              <w:t>-0.6%</w:t>
            </w:r>
          </w:p>
        </w:tc>
      </w:tr>
      <w:tr w:rsidR="00FF3FFA" w:rsidRPr="00677CE8" w14:paraId="47A82007" w14:textId="77777777" w:rsidTr="004D2D92">
        <w:tc>
          <w:tcPr>
            <w:tcW w:w="2700" w:type="dxa"/>
            <w:tcBorders>
              <w:top w:val="single" w:sz="4" w:space="0" w:color="auto"/>
              <w:left w:val="single" w:sz="12" w:space="0" w:color="auto"/>
              <w:bottom w:val="single" w:sz="4" w:space="0" w:color="auto"/>
              <w:right w:val="nil"/>
            </w:tcBorders>
            <w:tcMar>
              <w:left w:w="29" w:type="dxa"/>
              <w:right w:w="29" w:type="dxa"/>
            </w:tcMar>
            <w:vAlign w:val="center"/>
          </w:tcPr>
          <w:p w14:paraId="4B2FA120" w14:textId="77777777" w:rsidR="00FF3FFA" w:rsidRPr="00677CE8" w:rsidRDefault="00FF3FFA" w:rsidP="004D2D92">
            <w:pPr>
              <w:ind w:left="240" w:hanging="193"/>
              <w:rPr>
                <w:sz w:val="19"/>
                <w:szCs w:val="19"/>
              </w:rPr>
            </w:pPr>
            <w:r w:rsidRPr="00677CE8">
              <w:rPr>
                <w:sz w:val="19"/>
                <w:szCs w:val="19"/>
              </w:rPr>
              <w:t>Housing Type</w:t>
            </w:r>
          </w:p>
        </w:tc>
        <w:tc>
          <w:tcPr>
            <w:tcW w:w="2700" w:type="dxa"/>
            <w:tcBorders>
              <w:top w:val="single" w:sz="4" w:space="0" w:color="auto"/>
              <w:left w:val="nil"/>
              <w:bottom w:val="single" w:sz="4" w:space="0" w:color="auto"/>
              <w:right w:val="nil"/>
            </w:tcBorders>
            <w:tcMar>
              <w:left w:w="29" w:type="dxa"/>
              <w:right w:w="29" w:type="dxa"/>
            </w:tcMar>
          </w:tcPr>
          <w:p w14:paraId="7D452C0D" w14:textId="1015D475" w:rsidR="00FF3FFA" w:rsidRPr="00677CE8" w:rsidRDefault="00132424" w:rsidP="004D2D92">
            <w:pPr>
              <w:ind w:left="137" w:hanging="137"/>
              <w:rPr>
                <w:sz w:val="19"/>
                <w:szCs w:val="19"/>
              </w:rPr>
            </w:pPr>
            <w:r w:rsidRPr="00677CE8">
              <w:rPr>
                <w:sz w:val="19"/>
                <w:szCs w:val="19"/>
              </w:rPr>
              <w:t>Other housing type</w:t>
            </w:r>
          </w:p>
        </w:tc>
        <w:tc>
          <w:tcPr>
            <w:tcW w:w="2955" w:type="dxa"/>
            <w:tcBorders>
              <w:top w:val="single" w:sz="4" w:space="0" w:color="auto"/>
              <w:left w:val="nil"/>
              <w:bottom w:val="single" w:sz="4" w:space="0" w:color="auto"/>
              <w:right w:val="nil"/>
            </w:tcBorders>
            <w:tcMar>
              <w:left w:w="29" w:type="dxa"/>
              <w:right w:w="29" w:type="dxa"/>
            </w:tcMar>
          </w:tcPr>
          <w:p w14:paraId="61B7F059" w14:textId="6F8903DA" w:rsidR="00FF3FFA" w:rsidRPr="00677CE8" w:rsidRDefault="00132424" w:rsidP="00B56FA5">
            <w:pPr>
              <w:rPr>
                <w:sz w:val="19"/>
                <w:szCs w:val="19"/>
              </w:rPr>
            </w:pPr>
            <w:r w:rsidRPr="00677CE8">
              <w:rPr>
                <w:sz w:val="19"/>
                <w:szCs w:val="19"/>
              </w:rPr>
              <w:t>Single family home</w:t>
            </w:r>
          </w:p>
        </w:tc>
        <w:tc>
          <w:tcPr>
            <w:tcW w:w="987" w:type="dxa"/>
            <w:tcBorders>
              <w:top w:val="single" w:sz="4" w:space="0" w:color="auto"/>
              <w:left w:val="nil"/>
              <w:bottom w:val="single" w:sz="4" w:space="0" w:color="auto"/>
              <w:right w:val="nil"/>
            </w:tcBorders>
            <w:tcMar>
              <w:left w:w="29" w:type="dxa"/>
              <w:right w:w="29" w:type="dxa"/>
            </w:tcMar>
          </w:tcPr>
          <w:p w14:paraId="688C6976" w14:textId="0D91C374" w:rsidR="00FF3FFA" w:rsidRPr="00677CE8" w:rsidRDefault="00132424" w:rsidP="004A3EC1">
            <w:pPr>
              <w:tabs>
                <w:tab w:val="decimal" w:pos="329"/>
              </w:tabs>
              <w:jc w:val="center"/>
              <w:rPr>
                <w:color w:val="000000" w:themeColor="text1"/>
                <w:sz w:val="19"/>
                <w:szCs w:val="19"/>
              </w:rPr>
            </w:pPr>
            <w:r w:rsidRPr="00677CE8">
              <w:rPr>
                <w:color w:val="000000" w:themeColor="text1"/>
                <w:sz w:val="19"/>
                <w:szCs w:val="19"/>
              </w:rPr>
              <w:t>10.8%</w:t>
            </w:r>
          </w:p>
        </w:tc>
        <w:tc>
          <w:tcPr>
            <w:tcW w:w="990" w:type="dxa"/>
            <w:tcBorders>
              <w:top w:val="single" w:sz="4" w:space="0" w:color="auto"/>
              <w:left w:val="nil"/>
              <w:bottom w:val="single" w:sz="4" w:space="0" w:color="auto"/>
              <w:right w:val="nil"/>
            </w:tcBorders>
            <w:tcMar>
              <w:left w:w="29" w:type="dxa"/>
              <w:right w:w="29" w:type="dxa"/>
            </w:tcMar>
          </w:tcPr>
          <w:p w14:paraId="6DB6B99E" w14:textId="2A96F980" w:rsidR="00FF3FFA" w:rsidRPr="00677CE8" w:rsidRDefault="00132424" w:rsidP="004A3EC1">
            <w:pPr>
              <w:tabs>
                <w:tab w:val="decimal" w:pos="321"/>
              </w:tabs>
              <w:jc w:val="center"/>
              <w:rPr>
                <w:color w:val="000000" w:themeColor="text1"/>
                <w:sz w:val="19"/>
                <w:szCs w:val="19"/>
              </w:rPr>
            </w:pPr>
            <w:r w:rsidRPr="00677CE8">
              <w:rPr>
                <w:color w:val="000000" w:themeColor="text1"/>
                <w:sz w:val="19"/>
                <w:szCs w:val="19"/>
              </w:rPr>
              <w:t>-6.1%</w:t>
            </w:r>
          </w:p>
        </w:tc>
        <w:tc>
          <w:tcPr>
            <w:tcW w:w="1036" w:type="dxa"/>
            <w:tcBorders>
              <w:top w:val="single" w:sz="4" w:space="0" w:color="auto"/>
              <w:left w:val="nil"/>
              <w:bottom w:val="single" w:sz="4" w:space="0" w:color="auto"/>
              <w:right w:val="nil"/>
            </w:tcBorders>
            <w:tcMar>
              <w:left w:w="29" w:type="dxa"/>
              <w:right w:w="29" w:type="dxa"/>
            </w:tcMar>
          </w:tcPr>
          <w:p w14:paraId="15FBD5DE" w14:textId="3990A6EE" w:rsidR="00FF3FFA" w:rsidRPr="00677CE8" w:rsidRDefault="00132424" w:rsidP="000E7216">
            <w:pPr>
              <w:tabs>
                <w:tab w:val="decimal" w:pos="304"/>
              </w:tabs>
              <w:jc w:val="center"/>
              <w:rPr>
                <w:color w:val="000000" w:themeColor="text1"/>
                <w:sz w:val="19"/>
                <w:szCs w:val="19"/>
              </w:rPr>
            </w:pPr>
            <w:r w:rsidRPr="00677CE8">
              <w:rPr>
                <w:color w:val="000000" w:themeColor="text1"/>
                <w:sz w:val="19"/>
                <w:szCs w:val="19"/>
              </w:rPr>
              <w:t>-0.3%</w:t>
            </w:r>
          </w:p>
        </w:tc>
        <w:tc>
          <w:tcPr>
            <w:tcW w:w="955" w:type="dxa"/>
            <w:tcBorders>
              <w:top w:val="single" w:sz="4" w:space="0" w:color="auto"/>
              <w:left w:val="nil"/>
              <w:bottom w:val="single" w:sz="4" w:space="0" w:color="auto"/>
              <w:right w:val="nil"/>
            </w:tcBorders>
            <w:tcMar>
              <w:left w:w="29" w:type="dxa"/>
              <w:right w:w="29" w:type="dxa"/>
            </w:tcMar>
          </w:tcPr>
          <w:p w14:paraId="794855AD" w14:textId="2C62CBCC" w:rsidR="00FF3FFA" w:rsidRPr="00677CE8" w:rsidRDefault="00132424" w:rsidP="004A3EC1">
            <w:pPr>
              <w:tabs>
                <w:tab w:val="decimal" w:pos="216"/>
              </w:tabs>
              <w:jc w:val="center"/>
              <w:rPr>
                <w:color w:val="000000" w:themeColor="text1"/>
                <w:sz w:val="19"/>
                <w:szCs w:val="19"/>
              </w:rPr>
            </w:pPr>
            <w:r w:rsidRPr="00677CE8">
              <w:rPr>
                <w:color w:val="000000" w:themeColor="text1"/>
                <w:sz w:val="19"/>
                <w:szCs w:val="19"/>
              </w:rPr>
              <w:t>-14.8%</w:t>
            </w:r>
          </w:p>
        </w:tc>
        <w:tc>
          <w:tcPr>
            <w:tcW w:w="925" w:type="dxa"/>
            <w:tcBorders>
              <w:top w:val="single" w:sz="4" w:space="0" w:color="auto"/>
              <w:left w:val="nil"/>
              <w:bottom w:val="single" w:sz="4" w:space="0" w:color="auto"/>
              <w:right w:val="single" w:sz="12" w:space="0" w:color="auto"/>
            </w:tcBorders>
            <w:tcMar>
              <w:left w:w="29" w:type="dxa"/>
              <w:right w:w="29" w:type="dxa"/>
            </w:tcMar>
          </w:tcPr>
          <w:p w14:paraId="670BB83E" w14:textId="31111609" w:rsidR="00FF3FFA" w:rsidRPr="00677CE8" w:rsidRDefault="00132424" w:rsidP="004A3EC1">
            <w:pPr>
              <w:tabs>
                <w:tab w:val="decimal" w:pos="230"/>
              </w:tabs>
              <w:jc w:val="center"/>
              <w:rPr>
                <w:color w:val="000000" w:themeColor="text1"/>
                <w:sz w:val="19"/>
                <w:szCs w:val="19"/>
              </w:rPr>
            </w:pPr>
            <w:r w:rsidRPr="00677CE8">
              <w:rPr>
                <w:color w:val="000000" w:themeColor="text1"/>
                <w:sz w:val="19"/>
                <w:szCs w:val="19"/>
              </w:rPr>
              <w:t>5.2%</w:t>
            </w:r>
          </w:p>
        </w:tc>
      </w:tr>
      <w:tr w:rsidR="00FF3FFA" w:rsidRPr="00677CE8" w14:paraId="72581FF3" w14:textId="77777777" w:rsidTr="004D2D92">
        <w:tc>
          <w:tcPr>
            <w:tcW w:w="2700" w:type="dxa"/>
            <w:tcBorders>
              <w:top w:val="single" w:sz="4" w:space="0" w:color="auto"/>
              <w:left w:val="single" w:sz="12" w:space="0" w:color="auto"/>
              <w:bottom w:val="single" w:sz="4" w:space="0" w:color="auto"/>
              <w:right w:val="nil"/>
            </w:tcBorders>
            <w:tcMar>
              <w:left w:w="29" w:type="dxa"/>
              <w:right w:w="29" w:type="dxa"/>
            </w:tcMar>
            <w:vAlign w:val="center"/>
          </w:tcPr>
          <w:p w14:paraId="17E18FE7" w14:textId="77777777" w:rsidR="00FF3FFA" w:rsidRPr="00677CE8" w:rsidRDefault="00FF3FFA" w:rsidP="004D2D92">
            <w:pPr>
              <w:ind w:left="240" w:hanging="193"/>
              <w:rPr>
                <w:sz w:val="19"/>
                <w:szCs w:val="19"/>
              </w:rPr>
            </w:pPr>
            <w:r w:rsidRPr="00677CE8">
              <w:rPr>
                <w:sz w:val="19"/>
                <w:szCs w:val="19"/>
              </w:rPr>
              <w:t>Household Composition</w:t>
            </w:r>
          </w:p>
        </w:tc>
        <w:tc>
          <w:tcPr>
            <w:tcW w:w="2700" w:type="dxa"/>
            <w:tcBorders>
              <w:top w:val="single" w:sz="4" w:space="0" w:color="auto"/>
              <w:left w:val="nil"/>
              <w:bottom w:val="single" w:sz="4" w:space="0" w:color="auto"/>
              <w:right w:val="nil"/>
            </w:tcBorders>
            <w:tcMar>
              <w:left w:w="29" w:type="dxa"/>
              <w:right w:w="29" w:type="dxa"/>
            </w:tcMar>
          </w:tcPr>
          <w:p w14:paraId="435A3ED9" w14:textId="77777777" w:rsidR="00FF3FFA" w:rsidRPr="00677CE8" w:rsidRDefault="00FF3FFA" w:rsidP="004D2D92">
            <w:pPr>
              <w:ind w:left="137" w:hanging="137"/>
              <w:rPr>
                <w:sz w:val="19"/>
                <w:szCs w:val="19"/>
              </w:rPr>
            </w:pPr>
            <w:r w:rsidRPr="00677CE8">
              <w:rPr>
                <w:sz w:val="19"/>
                <w:szCs w:val="19"/>
              </w:rPr>
              <w:t>Child(ren) under 13</w:t>
            </w:r>
          </w:p>
        </w:tc>
        <w:tc>
          <w:tcPr>
            <w:tcW w:w="2955" w:type="dxa"/>
            <w:tcBorders>
              <w:top w:val="single" w:sz="4" w:space="0" w:color="auto"/>
              <w:left w:val="nil"/>
              <w:bottom w:val="single" w:sz="4" w:space="0" w:color="auto"/>
              <w:right w:val="nil"/>
            </w:tcBorders>
            <w:tcMar>
              <w:left w:w="29" w:type="dxa"/>
              <w:right w:w="29" w:type="dxa"/>
            </w:tcMar>
          </w:tcPr>
          <w:p w14:paraId="7829F1EE" w14:textId="77777777" w:rsidR="00FF3FFA" w:rsidRPr="00677CE8" w:rsidRDefault="00FF3FFA" w:rsidP="00B56FA5">
            <w:pPr>
              <w:rPr>
                <w:sz w:val="19"/>
                <w:szCs w:val="19"/>
              </w:rPr>
            </w:pPr>
            <w:r w:rsidRPr="00677CE8">
              <w:rPr>
                <w:sz w:val="19"/>
                <w:szCs w:val="19"/>
              </w:rPr>
              <w:t>No child(ren) under 13</w:t>
            </w:r>
          </w:p>
        </w:tc>
        <w:tc>
          <w:tcPr>
            <w:tcW w:w="987" w:type="dxa"/>
            <w:tcBorders>
              <w:top w:val="single" w:sz="4" w:space="0" w:color="auto"/>
              <w:left w:val="nil"/>
              <w:bottom w:val="single" w:sz="4" w:space="0" w:color="auto"/>
              <w:right w:val="nil"/>
            </w:tcBorders>
            <w:tcMar>
              <w:left w:w="29" w:type="dxa"/>
              <w:right w:w="29" w:type="dxa"/>
            </w:tcMar>
          </w:tcPr>
          <w:p w14:paraId="7C333543" w14:textId="701A3559" w:rsidR="00FF3FFA" w:rsidRPr="00677CE8" w:rsidRDefault="00FF3FFA" w:rsidP="004A3EC1">
            <w:pPr>
              <w:tabs>
                <w:tab w:val="decimal" w:pos="329"/>
              </w:tabs>
              <w:jc w:val="center"/>
              <w:rPr>
                <w:color w:val="000000" w:themeColor="text1"/>
                <w:sz w:val="19"/>
                <w:szCs w:val="19"/>
              </w:rPr>
            </w:pPr>
            <w:r w:rsidRPr="00677CE8">
              <w:rPr>
                <w:color w:val="000000" w:themeColor="text1"/>
                <w:sz w:val="19"/>
                <w:szCs w:val="19"/>
              </w:rPr>
              <w:t>-1.7%</w:t>
            </w:r>
          </w:p>
        </w:tc>
        <w:tc>
          <w:tcPr>
            <w:tcW w:w="990" w:type="dxa"/>
            <w:tcBorders>
              <w:top w:val="single" w:sz="4" w:space="0" w:color="auto"/>
              <w:left w:val="nil"/>
              <w:bottom w:val="single" w:sz="4" w:space="0" w:color="auto"/>
              <w:right w:val="nil"/>
            </w:tcBorders>
            <w:tcMar>
              <w:left w:w="29" w:type="dxa"/>
              <w:right w:w="29" w:type="dxa"/>
            </w:tcMar>
          </w:tcPr>
          <w:p w14:paraId="538F4AA4" w14:textId="160F552C" w:rsidR="00FF3FFA" w:rsidRPr="00677CE8" w:rsidRDefault="00FF3FFA" w:rsidP="004A3EC1">
            <w:pPr>
              <w:tabs>
                <w:tab w:val="decimal" w:pos="321"/>
              </w:tabs>
              <w:jc w:val="center"/>
              <w:rPr>
                <w:color w:val="000000" w:themeColor="text1"/>
                <w:sz w:val="19"/>
                <w:szCs w:val="19"/>
              </w:rPr>
            </w:pPr>
            <w:r w:rsidRPr="00677CE8">
              <w:rPr>
                <w:color w:val="000000" w:themeColor="text1"/>
                <w:sz w:val="19"/>
                <w:szCs w:val="19"/>
              </w:rPr>
              <w:t>-1.3%</w:t>
            </w:r>
          </w:p>
        </w:tc>
        <w:tc>
          <w:tcPr>
            <w:tcW w:w="1036" w:type="dxa"/>
            <w:tcBorders>
              <w:top w:val="single" w:sz="4" w:space="0" w:color="auto"/>
              <w:left w:val="nil"/>
              <w:bottom w:val="single" w:sz="4" w:space="0" w:color="auto"/>
              <w:right w:val="nil"/>
            </w:tcBorders>
            <w:tcMar>
              <w:left w:w="29" w:type="dxa"/>
              <w:right w:w="29" w:type="dxa"/>
            </w:tcMar>
          </w:tcPr>
          <w:p w14:paraId="3B2F66CC" w14:textId="04E11A26" w:rsidR="00FF3FFA" w:rsidRPr="00677CE8" w:rsidRDefault="00FF3FFA" w:rsidP="000E7216">
            <w:pPr>
              <w:tabs>
                <w:tab w:val="decimal" w:pos="304"/>
              </w:tabs>
              <w:jc w:val="center"/>
              <w:rPr>
                <w:color w:val="000000" w:themeColor="text1"/>
                <w:sz w:val="19"/>
                <w:szCs w:val="19"/>
              </w:rPr>
            </w:pPr>
            <w:r w:rsidRPr="00677CE8">
              <w:rPr>
                <w:color w:val="000000" w:themeColor="text1"/>
                <w:sz w:val="19"/>
                <w:szCs w:val="19"/>
              </w:rPr>
              <w:t>0.6%</w:t>
            </w:r>
          </w:p>
        </w:tc>
        <w:tc>
          <w:tcPr>
            <w:tcW w:w="955" w:type="dxa"/>
            <w:tcBorders>
              <w:top w:val="single" w:sz="4" w:space="0" w:color="auto"/>
              <w:left w:val="nil"/>
              <w:bottom w:val="single" w:sz="4" w:space="0" w:color="auto"/>
              <w:right w:val="nil"/>
            </w:tcBorders>
            <w:tcMar>
              <w:left w:w="29" w:type="dxa"/>
              <w:right w:w="29" w:type="dxa"/>
            </w:tcMar>
          </w:tcPr>
          <w:p w14:paraId="24876532" w14:textId="22E7A3DC" w:rsidR="00FF3FFA" w:rsidRPr="00677CE8" w:rsidRDefault="00FF3FFA" w:rsidP="004A3EC1">
            <w:pPr>
              <w:tabs>
                <w:tab w:val="decimal" w:pos="216"/>
              </w:tabs>
              <w:jc w:val="center"/>
              <w:rPr>
                <w:color w:val="000000" w:themeColor="text1"/>
                <w:sz w:val="19"/>
                <w:szCs w:val="19"/>
              </w:rPr>
            </w:pPr>
            <w:r w:rsidRPr="00677CE8">
              <w:rPr>
                <w:color w:val="000000" w:themeColor="text1"/>
                <w:sz w:val="19"/>
                <w:szCs w:val="19"/>
              </w:rPr>
              <w:t>0.7%</w:t>
            </w:r>
          </w:p>
        </w:tc>
        <w:tc>
          <w:tcPr>
            <w:tcW w:w="925" w:type="dxa"/>
            <w:tcBorders>
              <w:top w:val="single" w:sz="4" w:space="0" w:color="auto"/>
              <w:left w:val="nil"/>
              <w:bottom w:val="single" w:sz="4" w:space="0" w:color="auto"/>
              <w:right w:val="single" w:sz="12" w:space="0" w:color="auto"/>
            </w:tcBorders>
            <w:tcMar>
              <w:left w:w="29" w:type="dxa"/>
              <w:right w:w="29" w:type="dxa"/>
            </w:tcMar>
          </w:tcPr>
          <w:p w14:paraId="7941F4C5" w14:textId="075EE3DB" w:rsidR="00FF3FFA" w:rsidRPr="00677CE8" w:rsidRDefault="00FF3FFA" w:rsidP="004A3EC1">
            <w:pPr>
              <w:tabs>
                <w:tab w:val="decimal" w:pos="230"/>
              </w:tabs>
              <w:jc w:val="center"/>
              <w:rPr>
                <w:color w:val="000000" w:themeColor="text1"/>
                <w:sz w:val="19"/>
                <w:szCs w:val="19"/>
              </w:rPr>
            </w:pPr>
            <w:r w:rsidRPr="00677CE8">
              <w:rPr>
                <w:color w:val="000000" w:themeColor="text1"/>
                <w:sz w:val="19"/>
                <w:szCs w:val="19"/>
              </w:rPr>
              <w:t>0.9%</w:t>
            </w:r>
          </w:p>
        </w:tc>
      </w:tr>
      <w:tr w:rsidR="00FF3FFA" w:rsidRPr="00677CE8" w14:paraId="506593E1" w14:textId="77777777" w:rsidTr="004D2D92">
        <w:tc>
          <w:tcPr>
            <w:tcW w:w="2700" w:type="dxa"/>
            <w:tcBorders>
              <w:top w:val="single" w:sz="4" w:space="0" w:color="auto"/>
              <w:left w:val="single" w:sz="12" w:space="0" w:color="auto"/>
              <w:bottom w:val="single" w:sz="12" w:space="0" w:color="auto"/>
              <w:right w:val="nil"/>
            </w:tcBorders>
            <w:tcMar>
              <w:left w:w="29" w:type="dxa"/>
              <w:right w:w="29" w:type="dxa"/>
            </w:tcMar>
            <w:vAlign w:val="center"/>
          </w:tcPr>
          <w:p w14:paraId="39CEAD2E" w14:textId="77777777" w:rsidR="00FF3FFA" w:rsidRPr="00677CE8" w:rsidRDefault="00FF3FFA" w:rsidP="004D2D92">
            <w:pPr>
              <w:ind w:left="240" w:hanging="193"/>
              <w:rPr>
                <w:sz w:val="19"/>
                <w:szCs w:val="19"/>
              </w:rPr>
            </w:pPr>
            <w:r w:rsidRPr="00677CE8">
              <w:rPr>
                <w:sz w:val="19"/>
                <w:szCs w:val="19"/>
              </w:rPr>
              <w:t>State of Residence</w:t>
            </w:r>
          </w:p>
        </w:tc>
        <w:tc>
          <w:tcPr>
            <w:tcW w:w="2700" w:type="dxa"/>
            <w:tcBorders>
              <w:top w:val="single" w:sz="4" w:space="0" w:color="auto"/>
              <w:left w:val="nil"/>
              <w:bottom w:val="single" w:sz="12" w:space="0" w:color="auto"/>
              <w:right w:val="nil"/>
            </w:tcBorders>
            <w:tcMar>
              <w:left w:w="29" w:type="dxa"/>
              <w:right w:w="29" w:type="dxa"/>
            </w:tcMar>
          </w:tcPr>
          <w:p w14:paraId="48D699F3" w14:textId="77777777" w:rsidR="00FF3FFA" w:rsidRPr="00677CE8" w:rsidRDefault="00FF3FFA" w:rsidP="004D2D92">
            <w:pPr>
              <w:ind w:left="137" w:hanging="137"/>
              <w:rPr>
                <w:sz w:val="19"/>
                <w:szCs w:val="19"/>
              </w:rPr>
            </w:pPr>
            <w:r w:rsidRPr="00677CE8">
              <w:rPr>
                <w:sz w:val="19"/>
                <w:szCs w:val="19"/>
              </w:rPr>
              <w:t>Non-Texan</w:t>
            </w:r>
          </w:p>
        </w:tc>
        <w:tc>
          <w:tcPr>
            <w:tcW w:w="2955" w:type="dxa"/>
            <w:tcBorders>
              <w:top w:val="single" w:sz="4" w:space="0" w:color="auto"/>
              <w:left w:val="nil"/>
              <w:bottom w:val="single" w:sz="12" w:space="0" w:color="auto"/>
              <w:right w:val="nil"/>
            </w:tcBorders>
            <w:tcMar>
              <w:left w:w="29" w:type="dxa"/>
              <w:right w:w="29" w:type="dxa"/>
            </w:tcMar>
          </w:tcPr>
          <w:p w14:paraId="6BDCC9C1" w14:textId="77777777" w:rsidR="00FF3FFA" w:rsidRPr="00677CE8" w:rsidRDefault="00FF3FFA" w:rsidP="00B56FA5">
            <w:pPr>
              <w:rPr>
                <w:sz w:val="19"/>
                <w:szCs w:val="19"/>
              </w:rPr>
            </w:pPr>
            <w:r w:rsidRPr="00677CE8">
              <w:rPr>
                <w:sz w:val="19"/>
                <w:szCs w:val="19"/>
              </w:rPr>
              <w:t>Texan</w:t>
            </w:r>
          </w:p>
        </w:tc>
        <w:tc>
          <w:tcPr>
            <w:tcW w:w="987" w:type="dxa"/>
            <w:tcBorders>
              <w:top w:val="single" w:sz="4" w:space="0" w:color="auto"/>
              <w:left w:val="nil"/>
              <w:bottom w:val="single" w:sz="12" w:space="0" w:color="auto"/>
              <w:right w:val="nil"/>
            </w:tcBorders>
            <w:tcMar>
              <w:left w:w="29" w:type="dxa"/>
              <w:right w:w="29" w:type="dxa"/>
            </w:tcMar>
          </w:tcPr>
          <w:p w14:paraId="1034E016" w14:textId="6574DCCA" w:rsidR="00FF3FFA" w:rsidRPr="00677CE8" w:rsidRDefault="00FF3FFA" w:rsidP="004A3EC1">
            <w:pPr>
              <w:tabs>
                <w:tab w:val="decimal" w:pos="329"/>
              </w:tabs>
              <w:jc w:val="center"/>
              <w:rPr>
                <w:color w:val="000000" w:themeColor="text1"/>
                <w:sz w:val="19"/>
                <w:szCs w:val="19"/>
              </w:rPr>
            </w:pPr>
            <w:r w:rsidRPr="00677CE8">
              <w:rPr>
                <w:color w:val="000000" w:themeColor="text1"/>
                <w:sz w:val="19"/>
                <w:szCs w:val="19"/>
              </w:rPr>
              <w:t>-20.3%</w:t>
            </w:r>
          </w:p>
        </w:tc>
        <w:tc>
          <w:tcPr>
            <w:tcW w:w="990" w:type="dxa"/>
            <w:tcBorders>
              <w:top w:val="single" w:sz="4" w:space="0" w:color="auto"/>
              <w:left w:val="nil"/>
              <w:bottom w:val="single" w:sz="12" w:space="0" w:color="auto"/>
              <w:right w:val="nil"/>
            </w:tcBorders>
            <w:tcMar>
              <w:left w:w="29" w:type="dxa"/>
              <w:right w:w="29" w:type="dxa"/>
            </w:tcMar>
          </w:tcPr>
          <w:p w14:paraId="57855FEB" w14:textId="43269E7C" w:rsidR="00FF3FFA" w:rsidRPr="00677CE8" w:rsidRDefault="00FF3FFA" w:rsidP="004A3EC1">
            <w:pPr>
              <w:tabs>
                <w:tab w:val="decimal" w:pos="321"/>
              </w:tabs>
              <w:jc w:val="center"/>
              <w:rPr>
                <w:color w:val="000000" w:themeColor="text1"/>
                <w:sz w:val="19"/>
                <w:szCs w:val="19"/>
              </w:rPr>
            </w:pPr>
            <w:r w:rsidRPr="00677CE8">
              <w:rPr>
                <w:color w:val="000000" w:themeColor="text1"/>
                <w:sz w:val="19"/>
                <w:szCs w:val="19"/>
              </w:rPr>
              <w:t>-13.0%</w:t>
            </w:r>
          </w:p>
        </w:tc>
        <w:tc>
          <w:tcPr>
            <w:tcW w:w="1036" w:type="dxa"/>
            <w:tcBorders>
              <w:top w:val="single" w:sz="4" w:space="0" w:color="auto"/>
              <w:left w:val="nil"/>
              <w:bottom w:val="single" w:sz="12" w:space="0" w:color="auto"/>
              <w:right w:val="nil"/>
            </w:tcBorders>
            <w:tcMar>
              <w:left w:w="29" w:type="dxa"/>
              <w:right w:w="29" w:type="dxa"/>
            </w:tcMar>
          </w:tcPr>
          <w:p w14:paraId="32BD8F7E" w14:textId="03A10AA8" w:rsidR="00FF3FFA" w:rsidRPr="00677CE8" w:rsidRDefault="00FF3FFA" w:rsidP="000E7216">
            <w:pPr>
              <w:tabs>
                <w:tab w:val="decimal" w:pos="304"/>
              </w:tabs>
              <w:jc w:val="center"/>
              <w:rPr>
                <w:color w:val="000000" w:themeColor="text1"/>
                <w:sz w:val="19"/>
                <w:szCs w:val="19"/>
              </w:rPr>
            </w:pPr>
            <w:r w:rsidRPr="00677CE8">
              <w:rPr>
                <w:color w:val="000000" w:themeColor="text1"/>
                <w:sz w:val="19"/>
                <w:szCs w:val="19"/>
              </w:rPr>
              <w:t>6.3%</w:t>
            </w:r>
          </w:p>
        </w:tc>
        <w:tc>
          <w:tcPr>
            <w:tcW w:w="955" w:type="dxa"/>
            <w:tcBorders>
              <w:top w:val="single" w:sz="4" w:space="0" w:color="auto"/>
              <w:left w:val="nil"/>
              <w:bottom w:val="single" w:sz="12" w:space="0" w:color="auto"/>
              <w:right w:val="nil"/>
            </w:tcBorders>
            <w:tcMar>
              <w:left w:w="29" w:type="dxa"/>
              <w:right w:w="29" w:type="dxa"/>
            </w:tcMar>
          </w:tcPr>
          <w:p w14:paraId="2D369570" w14:textId="6CC0BAA8" w:rsidR="00FF3FFA" w:rsidRPr="00677CE8" w:rsidRDefault="00FF3FFA" w:rsidP="004A3EC1">
            <w:pPr>
              <w:tabs>
                <w:tab w:val="decimal" w:pos="216"/>
              </w:tabs>
              <w:jc w:val="center"/>
              <w:rPr>
                <w:color w:val="000000" w:themeColor="text1"/>
                <w:sz w:val="19"/>
                <w:szCs w:val="19"/>
              </w:rPr>
            </w:pPr>
            <w:r w:rsidRPr="00677CE8">
              <w:rPr>
                <w:color w:val="000000" w:themeColor="text1"/>
                <w:sz w:val="19"/>
                <w:szCs w:val="19"/>
              </w:rPr>
              <w:t>-4.9%</w:t>
            </w:r>
          </w:p>
        </w:tc>
        <w:tc>
          <w:tcPr>
            <w:tcW w:w="925" w:type="dxa"/>
            <w:tcBorders>
              <w:top w:val="single" w:sz="4" w:space="0" w:color="auto"/>
              <w:left w:val="nil"/>
              <w:bottom w:val="single" w:sz="12" w:space="0" w:color="auto"/>
              <w:right w:val="single" w:sz="12" w:space="0" w:color="auto"/>
            </w:tcBorders>
            <w:tcMar>
              <w:left w:w="29" w:type="dxa"/>
              <w:right w:w="29" w:type="dxa"/>
            </w:tcMar>
          </w:tcPr>
          <w:p w14:paraId="220FBA2A" w14:textId="4F631ABB" w:rsidR="00FF3FFA" w:rsidRPr="00677CE8" w:rsidRDefault="00FF3FFA" w:rsidP="004A3EC1">
            <w:pPr>
              <w:tabs>
                <w:tab w:val="decimal" w:pos="230"/>
              </w:tabs>
              <w:jc w:val="center"/>
              <w:rPr>
                <w:color w:val="000000" w:themeColor="text1"/>
                <w:sz w:val="19"/>
                <w:szCs w:val="19"/>
              </w:rPr>
            </w:pPr>
            <w:r w:rsidRPr="00677CE8">
              <w:rPr>
                <w:color w:val="000000" w:themeColor="text1"/>
                <w:sz w:val="19"/>
                <w:szCs w:val="19"/>
              </w:rPr>
              <w:t>22.6%</w:t>
            </w:r>
          </w:p>
        </w:tc>
      </w:tr>
    </w:tbl>
    <w:p w14:paraId="5B8122F7" w14:textId="6CD25F72" w:rsidR="004E2BF5" w:rsidRPr="00677CE8" w:rsidRDefault="004E2BF5" w:rsidP="00387F3F">
      <w:pPr>
        <w:sectPr w:rsidR="004E2BF5" w:rsidRPr="00677CE8" w:rsidSect="004D2D92">
          <w:pgSz w:w="15840" w:h="12240" w:orient="landscape"/>
          <w:pgMar w:top="1440" w:right="1440" w:bottom="1440" w:left="1440" w:header="720" w:footer="720" w:gutter="0"/>
          <w:cols w:space="720"/>
          <w:docGrid w:linePitch="360"/>
        </w:sectPr>
      </w:pPr>
    </w:p>
    <w:p w14:paraId="61A48A31" w14:textId="00F6A8F5" w:rsidR="000E0C96" w:rsidRPr="00677CE8" w:rsidRDefault="00D313CA" w:rsidP="007B293E">
      <w:pPr>
        <w:spacing w:line="240" w:lineRule="auto"/>
      </w:pPr>
      <w:r>
        <w:rPr>
          <w:noProof/>
        </w:rPr>
        <w:lastRenderedPageBreak/>
        <w:drawing>
          <wp:inline distT="0" distB="0" distL="0" distR="0" wp14:anchorId="155600B8" wp14:editId="79BAC451">
            <wp:extent cx="8430768" cy="4361688"/>
            <wp:effectExtent l="0" t="0" r="0" b="0"/>
            <wp:docPr id="8265261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430768" cy="4361688"/>
                    </a:xfrm>
                    <a:prstGeom prst="rect">
                      <a:avLst/>
                    </a:prstGeom>
                    <a:noFill/>
                  </pic:spPr>
                </pic:pic>
              </a:graphicData>
            </a:graphic>
          </wp:inline>
        </w:drawing>
      </w:r>
    </w:p>
    <w:p w14:paraId="235CD9C5" w14:textId="150BAB3C" w:rsidR="000E0C96" w:rsidRPr="00677CE8" w:rsidRDefault="000E0C96" w:rsidP="00FF3FFA">
      <w:pPr>
        <w:pStyle w:val="Heading2"/>
        <w:spacing w:line="240" w:lineRule="auto"/>
        <w:jc w:val="center"/>
        <w:sectPr w:rsidR="000E0C96" w:rsidRPr="00677CE8" w:rsidSect="003F6A6B">
          <w:pgSz w:w="15840" w:h="12240" w:orient="landscape"/>
          <w:pgMar w:top="1440" w:right="1440" w:bottom="1440" w:left="1440" w:header="720" w:footer="720" w:gutter="0"/>
          <w:cols w:space="720"/>
          <w:docGrid w:linePitch="360"/>
        </w:sectPr>
      </w:pPr>
      <w:r w:rsidRPr="00677CE8">
        <w:t>Figure 1: Analytic Framework</w:t>
      </w:r>
    </w:p>
    <w:p w14:paraId="706C58DA" w14:textId="77777777" w:rsidR="0060608A" w:rsidRPr="00677CE8" w:rsidRDefault="0060608A" w:rsidP="007B293E">
      <w:pPr>
        <w:spacing w:line="240" w:lineRule="auto"/>
        <w:jc w:val="center"/>
      </w:pPr>
    </w:p>
    <w:p w14:paraId="3E9FAEC1" w14:textId="2A042B83" w:rsidR="0060608A" w:rsidRPr="00677CE8" w:rsidRDefault="00925654" w:rsidP="007B293E">
      <w:pPr>
        <w:spacing w:line="240" w:lineRule="auto"/>
        <w:jc w:val="center"/>
      </w:pPr>
      <w:r w:rsidRPr="00677CE8">
        <w:rPr>
          <w:noProof/>
        </w:rPr>
        <w:drawing>
          <wp:inline distT="0" distB="0" distL="0" distR="0" wp14:anchorId="7D060E10" wp14:editId="0996A238">
            <wp:extent cx="8088431" cy="3786785"/>
            <wp:effectExtent l="0" t="0" r="8255" b="4445"/>
            <wp:docPr id="435624291" name="Chart 1">
              <a:extLst xmlns:a="http://schemas.openxmlformats.org/drawingml/2006/main">
                <a:ext uri="{FF2B5EF4-FFF2-40B4-BE49-F238E27FC236}">
                  <a16:creationId xmlns:a16="http://schemas.microsoft.com/office/drawing/2014/main" id="{62F2B20A-1D25-9DB7-280C-DE39F82615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6"/>
              </a:graphicData>
            </a:graphic>
          </wp:inline>
        </w:drawing>
      </w:r>
    </w:p>
    <w:p w14:paraId="36B8DDBC" w14:textId="6A066B5B" w:rsidR="00104285" w:rsidRPr="00677CE8" w:rsidRDefault="00F05AAD" w:rsidP="007B293E">
      <w:pPr>
        <w:pStyle w:val="Heading2"/>
        <w:spacing w:line="240" w:lineRule="auto"/>
        <w:jc w:val="center"/>
      </w:pPr>
      <w:r w:rsidRPr="00677CE8">
        <w:t>Figure 2: Distribution of Indicators of Latent Constructs</w:t>
      </w:r>
    </w:p>
    <w:p w14:paraId="13518483" w14:textId="77777777" w:rsidR="00104285" w:rsidRPr="00677CE8" w:rsidRDefault="00104285">
      <w:pPr>
        <w:rPr>
          <w:b/>
          <w:bCs/>
        </w:rPr>
      </w:pPr>
      <w:r w:rsidRPr="00677CE8">
        <w:br w:type="page"/>
      </w:r>
    </w:p>
    <w:p w14:paraId="53AE89D0" w14:textId="77777777" w:rsidR="00AC67FD" w:rsidRPr="00677CE8" w:rsidRDefault="00AC67FD" w:rsidP="00AC67FD">
      <w:pPr>
        <w:jc w:val="center"/>
      </w:pPr>
    </w:p>
    <w:p w14:paraId="00C65C17" w14:textId="5F0D20F8" w:rsidR="00104285" w:rsidRPr="00677CE8" w:rsidRDefault="00E01B6F" w:rsidP="00AC67FD">
      <w:pPr>
        <w:jc w:val="center"/>
      </w:pPr>
      <w:r>
        <w:rPr>
          <w:noProof/>
        </w:rPr>
        <w:drawing>
          <wp:inline distT="0" distB="0" distL="0" distR="0" wp14:anchorId="15B6AFA0" wp14:editId="3F27DDC3">
            <wp:extent cx="8229600" cy="4348480"/>
            <wp:effectExtent l="0" t="0" r="0" b="0"/>
            <wp:docPr id="874307554" name="Chart 1">
              <a:extLst xmlns:a="http://schemas.openxmlformats.org/drawingml/2006/main">
                <a:ext uri="{FF2B5EF4-FFF2-40B4-BE49-F238E27FC236}">
                  <a16:creationId xmlns:a16="http://schemas.microsoft.com/office/drawing/2014/main" id="{AAD44C30-41A4-4CFB-2C40-96DDF8FCF9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7"/>
              </a:graphicData>
            </a:graphic>
          </wp:inline>
        </w:drawing>
      </w:r>
    </w:p>
    <w:p w14:paraId="2422E70C" w14:textId="26007421" w:rsidR="00994620" w:rsidRPr="00677CE8" w:rsidRDefault="00104285" w:rsidP="007B293E">
      <w:pPr>
        <w:pStyle w:val="Heading2"/>
        <w:spacing w:line="240" w:lineRule="auto"/>
        <w:jc w:val="center"/>
      </w:pPr>
      <w:r w:rsidRPr="00677CE8">
        <w:t xml:space="preserve">Figure 3: </w:t>
      </w:r>
      <w:r w:rsidR="00D7239C" w:rsidRPr="00677CE8">
        <w:t>UAM</w:t>
      </w:r>
      <w:r w:rsidR="00E01B6F">
        <w:t xml:space="preserve"> In-Vehicle</w:t>
      </w:r>
      <w:r w:rsidR="00D7239C" w:rsidRPr="00677CE8">
        <w:t xml:space="preserve"> </w:t>
      </w:r>
      <w:r w:rsidRPr="00677CE8">
        <w:t>Value of Travel Time Savings</w:t>
      </w:r>
    </w:p>
    <w:p w14:paraId="246F444A" w14:textId="22810045" w:rsidR="00F416D4" w:rsidRPr="00677CE8" w:rsidRDefault="00F416D4" w:rsidP="007B293E">
      <w:pPr>
        <w:spacing w:line="240" w:lineRule="auto"/>
      </w:pPr>
    </w:p>
    <w:sectPr w:rsidR="00F416D4" w:rsidRPr="00677CE8" w:rsidSect="003F6A6B">
      <w:headerReference w:type="even" r:id="rId338"/>
      <w:headerReference w:type="default" r:id="rId339"/>
      <w:footerReference w:type="even" r:id="rId340"/>
      <w:footerReference w:type="default" r:id="rId341"/>
      <w:headerReference w:type="first" r:id="rId342"/>
      <w:footerReference w:type="first" r:id="rId34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BCBDF" w14:textId="77777777" w:rsidR="00E901DC" w:rsidRDefault="00E901DC" w:rsidP="006E7F71">
      <w:pPr>
        <w:spacing w:after="0" w:line="240" w:lineRule="auto"/>
      </w:pPr>
      <w:r>
        <w:separator/>
      </w:r>
    </w:p>
  </w:endnote>
  <w:endnote w:type="continuationSeparator" w:id="0">
    <w:p w14:paraId="7CC5CBAD" w14:textId="77777777" w:rsidR="00E901DC" w:rsidRDefault="00E901DC" w:rsidP="006E7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vanish/>
        <w:highlight w:val="yellow"/>
      </w:rPr>
      <w:id w:val="519357432"/>
      <w:docPartObj>
        <w:docPartGallery w:val="Page Numbers (Bottom of Page)"/>
        <w:docPartUnique/>
      </w:docPartObj>
    </w:sdtPr>
    <w:sdtEndPr>
      <w:rPr>
        <w:noProof/>
      </w:rPr>
    </w:sdtEndPr>
    <w:sdtContent>
      <w:p w14:paraId="2124D6C2" w14:textId="55F27444" w:rsidR="008C54C0" w:rsidRDefault="00E901DC" w:rsidP="00FC32C9">
        <w:pPr>
          <w:pStyle w:val="Footer"/>
          <w:jc w:val="cente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4582999"/>
      <w:docPartObj>
        <w:docPartGallery w:val="Page Numbers (Bottom of Page)"/>
        <w:docPartUnique/>
      </w:docPartObj>
    </w:sdtPr>
    <w:sdtEndPr>
      <w:rPr>
        <w:noProof/>
      </w:rPr>
    </w:sdtEndPr>
    <w:sdtContent>
      <w:p w14:paraId="1B534030" w14:textId="65E2EF1E" w:rsidR="00FC32C9" w:rsidRDefault="00FC32C9" w:rsidP="00FC32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6CCD2" w14:textId="77777777" w:rsidR="008C54C0" w:rsidRDefault="008C54C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vanish/>
        <w:highlight w:val="yellow"/>
      </w:rPr>
      <w:id w:val="610556613"/>
      <w:docPartObj>
        <w:docPartGallery w:val="Page Numbers (Bottom of Page)"/>
        <w:docPartUnique/>
      </w:docPartObj>
    </w:sdtPr>
    <w:sdtEndPr>
      <w:rPr>
        <w:noProof/>
      </w:rPr>
    </w:sdtEndPr>
    <w:sdtContent>
      <w:p w14:paraId="00FAAA97" w14:textId="563A1A53" w:rsidR="008C54C0" w:rsidRDefault="008C54C0" w:rsidP="000E721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EE14B" w14:textId="77777777" w:rsidR="008C54C0" w:rsidRDefault="008C54C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AF4DF" w14:textId="77777777" w:rsidR="000E0C96" w:rsidRDefault="000E0C9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vanish/>
        <w:highlight w:val="yellow"/>
      </w:rPr>
      <w:id w:val="-1509515909"/>
      <w:docPartObj>
        <w:docPartGallery w:val="Page Numbers (Bottom of Page)"/>
        <w:docPartUnique/>
      </w:docPartObj>
    </w:sdtPr>
    <w:sdtEndPr>
      <w:rPr>
        <w:noProof/>
      </w:rPr>
    </w:sdtEndPr>
    <w:sdtContent>
      <w:p w14:paraId="08ADC168" w14:textId="10E25741" w:rsidR="000E0C96" w:rsidRDefault="000E0C96" w:rsidP="000E721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928D3" w14:textId="77777777" w:rsidR="000E0C96" w:rsidRDefault="000E0C9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CCF79" w14:textId="77777777" w:rsidR="006E7F71" w:rsidRDefault="006E7F7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vanish/>
        <w:highlight w:val="yellow"/>
      </w:rPr>
      <w:id w:val="859708463"/>
      <w:docPartObj>
        <w:docPartGallery w:val="Page Numbers (Bottom of Page)"/>
        <w:docPartUnique/>
      </w:docPartObj>
    </w:sdtPr>
    <w:sdtEndPr>
      <w:rPr>
        <w:noProof/>
      </w:rPr>
    </w:sdtEndPr>
    <w:sdtContent>
      <w:p w14:paraId="1FBD2B42" w14:textId="68DA119B" w:rsidR="006E7F71" w:rsidRDefault="006E7F71" w:rsidP="000E721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470E2" w14:textId="77777777" w:rsidR="006E7F71" w:rsidRDefault="006E7F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7BF7E" w14:textId="77777777" w:rsidR="00E901DC" w:rsidRDefault="00E901DC" w:rsidP="006E7F71">
      <w:pPr>
        <w:spacing w:after="0" w:line="240" w:lineRule="auto"/>
      </w:pPr>
      <w:r>
        <w:separator/>
      </w:r>
    </w:p>
  </w:footnote>
  <w:footnote w:type="continuationSeparator" w:id="0">
    <w:p w14:paraId="46804C83" w14:textId="77777777" w:rsidR="00E901DC" w:rsidRDefault="00E901DC" w:rsidP="006E7F71">
      <w:pPr>
        <w:spacing w:after="0" w:line="240" w:lineRule="auto"/>
      </w:pPr>
      <w:r>
        <w:continuationSeparator/>
      </w:r>
    </w:p>
  </w:footnote>
  <w:footnote w:id="1">
    <w:p w14:paraId="7DA02D48" w14:textId="581C3724" w:rsidR="002D4864" w:rsidRPr="00572CCA" w:rsidRDefault="002D4864" w:rsidP="002F26E5">
      <w:pPr>
        <w:pStyle w:val="FootnoteText"/>
        <w:jc w:val="both"/>
      </w:pPr>
      <w:r w:rsidRPr="00C91D5B">
        <w:rPr>
          <w:rStyle w:val="FootnoteReference"/>
        </w:rPr>
        <w:footnoteRef/>
      </w:r>
      <w:r w:rsidRPr="00572CCA">
        <w:t xml:space="preserve"> While not included in Table 1</w:t>
      </w:r>
      <w:r w:rsidR="004F09E6" w:rsidRPr="00572CCA">
        <w:t xml:space="preserve">, the reader is also referred to several studies that do not explicitly examine UAM </w:t>
      </w:r>
      <w:r w:rsidR="005F032A" w:rsidRPr="00572CCA">
        <w:t>adoption but</w:t>
      </w:r>
      <w:r w:rsidR="009B5D11" w:rsidRPr="00572CCA">
        <w:t xml:space="preserve"> instead focus on </w:t>
      </w:r>
      <w:r w:rsidR="00E9569B" w:rsidRPr="00572CCA">
        <w:t>specific perceptions regarding UAM. For instance,</w:t>
      </w:r>
      <w:r w:rsidR="004F09E6" w:rsidRPr="00572CCA">
        <w:t xml:space="preserve"> </w:t>
      </w:r>
      <w:r w:rsidR="00896B74" w:rsidRPr="00572CCA">
        <w:fldChar w:fldCharType="begin"/>
      </w:r>
      <w:r w:rsidR="00B7697D">
        <w:instrText xml:space="preserve"> ADDIN ZOTERO_ITEM CSL_CITATION {"citationID":"k80gCK2t","properties":{"formattedCitation":"(Connors, 2019; Mostofi et al., 2024; Yedavalli &amp; Mooberry, 2019)","plainCitation":"(Connors, 2019; Mostofi et al., 2024; Yedavalli &amp; Mooberry, 2019)","dontUpdate":true,"noteIndex":1},"citationItems":[{"id":1357,"uris":["http://zotero.org/groups/6194892/items/MY6V2L4Q"],"itemData":{"id":1357,"type":"report","abstract":"Noise has been identified as a major challenge to community acceptance of Urban Air Mobility Systems. The purpose of this paper is to assist designers, developers, and implementers in understanding the various factorsâ€“from the noise source itself to the conditions of the communityâ€“that influence how the community is likely to respond to the introduction of a new noise source. Particular consideration is given to the role of non-acoustical factors and suggestions are offered as to how future research could help advance the understanding of community acceptance of Urban Air Mobility and other emergent vehicle systems.","note":"NTRS Author Affiliations: NASA Ames Research Center\nNTRS Document ID: 20190032256\nNTRS Research Center: Ames Research Center (ARC)","number":"ARC-E-DAA-TN70489","source":"NASA NTRS","title":"Factors that Influence Community’s Acceptance of Noise: An Introduction for Urban Air Mobility","title-short":"Factors that Influence Community’s Acceptance of Noise","URL":"https://ntrs.nasa.gov/citations/20190032256","author":[{"family":"Connors","given":"Mary M."}],"accessed":{"date-parts":[["2026",2,13]]},"issued":{"date-parts":[["2019",7,1]]}}},{"id":1339,"uris":["http://zotero.org/groups/6194892/items/LX4YIDQF"],"itemData":{"id":1339,"type":"article-journal","abstract":"Urban air mobility (UAM) holds great promise as an expansion of the transportation system in cities. Despite the progress in UAM technology, there remains significant uncertainty surrounding how the public will accept and react to these mobility services. This study employed a structural equation model (SEM) to construct a comprehensive framework that delves into the factors influencing public attitudes toward air taxis. Data for the model is derived from a sequential exploratory mixed methods approach. The initial phase involved identifying acceptance factors towards air taxis through five focus groups, laying the foundation for the subsequent structural model development. A survey involving 819 participants was conducted in Germany in the next phase. The latent variables in this model are the expected benefits, expected risks, and the personal level of technophilia. The results show that rising stress levels through new air traffic flows, noise, and blocking sky views affect negative attitudes toward air taxis in public spaces. In contrast, the user expectation of avoiding traffic jams and achieving time savings contributes positively. Additionally, people who are more technophilic tend to have a more positive attitude toward air taxis. However, the perceived negative consequences of air taxis exert more substantial and stronger influences on public attitude than the expected benefits. By introducing the acceptance factors and relevant dimensions of a public attitude, this study provides insights to shape the design of UAM in accordance with the common good.","container-title":"Transportation Research Interdisciplinary Perspectives","DOI":"10.1016/j.trip.2024.101045","ISSN":"2590-1982","journalAbbreviation":"Transportation Research Interdisciplinary Perspectives","page":"101045","source":"ScienceDirect","title":"Modelling public attitude towards air taxis in Germany","volume":"24","author":[{"family":"Mostofi","given":"Hamid"},{"family":"Biehle","given":"Tobias"},{"family":"Kellermann","given":"Robin"},{"family":"Dienel","given":"Hans-Liudger"}],"issued":{"date-parts":[["2024",3,1]]}}},{"id":1338,"uris":["http://zotero.org/groups/6194892/items/J3Z69VX5"],"itemData":{"id":1338,"type":"report","DOI":"urban","publisher":"Airbus","title":"An Assesment of Public Perception of Urban Air Mobility (UAM)","URL":"https://www.airbus.com/sites/g/files/jlcbta136/files/2022-07/Airbus-UTM-public-perception-study%20-urban-air-mobility.pdf","author":[{"family":"Yedavalli","given":"Pavan"},{"family":"Mooberry","given":"Jessie"}],"issued":{"date-parts":[["2019"]]}}}],"schema":"https://github.com/citation-style-language/schema/raw/master/csl-citation.json"} </w:instrText>
      </w:r>
      <w:r w:rsidR="00896B74" w:rsidRPr="00572CCA">
        <w:fldChar w:fldCharType="separate"/>
      </w:r>
      <w:r w:rsidR="00896B74" w:rsidRPr="00572CCA">
        <w:t xml:space="preserve">Connors </w:t>
      </w:r>
      <w:r w:rsidR="00826810" w:rsidRPr="002F26E5">
        <w:t>(</w:t>
      </w:r>
      <w:r w:rsidR="00896B74" w:rsidRPr="00572CCA">
        <w:t>2019</w:t>
      </w:r>
      <w:r w:rsidR="00826810" w:rsidRPr="002F26E5">
        <w:t>)</w:t>
      </w:r>
      <w:r w:rsidR="0065205C">
        <w:t>,</w:t>
      </w:r>
      <w:r w:rsidR="00896B74" w:rsidRPr="00572CCA">
        <w:t xml:space="preserve"> and Yedavalli and Mooberry </w:t>
      </w:r>
      <w:r w:rsidR="00826810" w:rsidRPr="002F26E5">
        <w:t>(</w:t>
      </w:r>
      <w:r w:rsidR="00896B74" w:rsidRPr="00572CCA">
        <w:t>2019</w:t>
      </w:r>
      <w:r w:rsidR="00896B74" w:rsidRPr="00572CCA">
        <w:fldChar w:fldCharType="end"/>
      </w:r>
      <w:r w:rsidR="00826810" w:rsidRPr="002F26E5">
        <w:t>)</w:t>
      </w:r>
      <w:r w:rsidR="0065205C">
        <w:t>,</w:t>
      </w:r>
      <w:r w:rsidR="00826810" w:rsidRPr="002F26E5">
        <w:t xml:space="preserve"> </w:t>
      </w:r>
      <w:r w:rsidR="005F032A">
        <w:t>investigate</w:t>
      </w:r>
      <w:r w:rsidR="00F41E11" w:rsidRPr="00572CCA">
        <w:t xml:space="preserve"> </w:t>
      </w:r>
      <w:r w:rsidR="00F3387F" w:rsidRPr="00572CCA">
        <w:t>UAM noise perceptions in different environmental conditions</w:t>
      </w:r>
      <w:r w:rsidR="00666E80">
        <w:t>;</w:t>
      </w:r>
      <w:r w:rsidR="00F3387F" w:rsidRPr="00572CCA">
        <w:t xml:space="preserve"> Ragbir et al. (2020) consider </w:t>
      </w:r>
      <w:r w:rsidR="00826810" w:rsidRPr="002F26E5">
        <w:t xml:space="preserve">how </w:t>
      </w:r>
      <w:r w:rsidR="00496D97" w:rsidRPr="00572CCA">
        <w:t xml:space="preserve">perceptions of UAM </w:t>
      </w:r>
      <w:r w:rsidR="00826810" w:rsidRPr="002F26E5">
        <w:t>vary with external factors such as</w:t>
      </w:r>
      <w:r w:rsidR="00496D97" w:rsidRPr="00572CCA">
        <w:t xml:space="preserve"> weather conditions</w:t>
      </w:r>
      <w:r w:rsidR="00826810" w:rsidRPr="002F26E5">
        <w:t xml:space="preserve"> or surrounding terrain</w:t>
      </w:r>
      <w:r w:rsidR="00666E80">
        <w:t>;</w:t>
      </w:r>
      <w:r w:rsidR="00496D97" w:rsidRPr="00572CCA">
        <w:t xml:space="preserve"> </w:t>
      </w:r>
      <w:r w:rsidR="008E046C" w:rsidRPr="00572CCA">
        <w:t>Mostofi et al. (2024)</w:t>
      </w:r>
      <w:r w:rsidR="006B1F11">
        <w:t xml:space="preserve"> </w:t>
      </w:r>
      <w:r w:rsidR="0064301C" w:rsidRPr="00572CCA">
        <w:t>examine</w:t>
      </w:r>
      <w:r w:rsidR="00431207">
        <w:t>s</w:t>
      </w:r>
      <w:r w:rsidR="00666E80">
        <w:t xml:space="preserve"> </w:t>
      </w:r>
      <w:r w:rsidR="0064301C" w:rsidRPr="00572CCA">
        <w:t xml:space="preserve">general </w:t>
      </w:r>
      <w:r w:rsidR="006B1F11">
        <w:t>perceptions</w:t>
      </w:r>
      <w:r w:rsidR="0064301C" w:rsidRPr="00572CCA">
        <w:t xml:space="preserve"> of UAM rather than </w:t>
      </w:r>
      <w:r w:rsidR="00666E80">
        <w:t xml:space="preserve">potential </w:t>
      </w:r>
      <w:r w:rsidR="0064301C" w:rsidRPr="00572CCA">
        <w:t>user adoption</w:t>
      </w:r>
      <w:r w:rsidR="00666E80">
        <w:t xml:space="preserve"> intentions;</w:t>
      </w:r>
      <w:r w:rsidR="006B1F11">
        <w:t xml:space="preserve"> </w:t>
      </w:r>
      <w:r w:rsidR="009C007B">
        <w:t>and</w:t>
      </w:r>
      <w:r w:rsidR="006B1F11">
        <w:t xml:space="preserve"> </w:t>
      </w:r>
      <w:r w:rsidR="00DC5014" w:rsidRPr="00561EC0">
        <w:t xml:space="preserve">Stolz et al. </w:t>
      </w:r>
      <w:r w:rsidR="00DC5014">
        <w:t>(</w:t>
      </w:r>
      <w:r w:rsidR="00DC5014" w:rsidRPr="00561EC0">
        <w:t>2021)</w:t>
      </w:r>
      <w:r w:rsidR="00DC5014">
        <w:t xml:space="preserve"> and </w:t>
      </w:r>
      <w:r w:rsidR="006B1F11">
        <w:fldChar w:fldCharType="begin"/>
      </w:r>
      <w:r w:rsidR="00B7697D">
        <w:instrText xml:space="preserve"> ADDIN ZOTERO_ITEM CSL_CITATION {"citationID":"ooz0gfTC","properties":{"formattedCitation":"(Reimer et al., 2025; Stolz et al., 2021)","plainCitation":"(Reimer et al., 2025; Stolz et al., 2021)","dontUpdate":true,"noteIndex":1},"citationItems":[{"id":1347,"uris":["http://zotero.org/groups/6194892/items/DVFEA7FG"],"itemData":{"id":1347,"type":"article-journal","abstract":"Design Thinking is essential for user-centered cabin design concepts in future transportation vehicles, as it facilitates the identification of user needs, creative problem-solving and iterative development to ensure optimal user experiences and satisfaction. In the exploration of future air taxi cabins, user acceptance is widely recognized as a critical factor. To ensure a high level of acceptance for such concepts, the direct involvement of potential user groups in the early design process through user-centered design approaches, offers a highly effective solution to provide a time efficient and requirement-based concept development process for novel transportation concepts. In the course of developing digital and future aviation cabin concepts at the German Aerospace Center, the exploration of user-centered and acceptance-enhancing methods plays a central role. The challenge here is to identify the flexible range of requirements of different user groups for a previously non-existent transport concept, to translate these into a concept and to generate a rapid evaluation process by the user groups. Therefore, this paper aims to demonstrate the application of the user-centered Design Thinking method in the design of cabin for future air taxis. Based on the Design Thinking approach and its iterative process steps, the direct implementation is described on the combined airport shuttle and intracity UAM concept. The main focus is on the identification of key user requirements by means of a focus group study and the evaluation of initial cabin designs and key ideas by means of an online survey. Consequently, the creative design process of a digital prototype will be presented. In addition to an increased awareness and acceptance among the population towards a novel mode of transportation, the application of the Design Thinking methodology offers a flexible and user centered approach for further testing and simulation scenarios.","container-title":"CEAS Aeronautical Journal","DOI":"10.1007/s13272-025-00821-6","ISSN":"1869-5590","issue":"3","journalAbbreviation":"CEAS Aeronaut J","language":"en","page":"957-972","source":"Springer Link","title":"Applied Design Thinking in urban air mobility: creating the airtaxi cabin design of the future from a user perspective","title-short":"Applied Design Thinking in urban air mobility","volume":"16","author":[{"family":"Reimer","given":"F."},{"family":"Herzig","given":"J."},{"family":"Winkler","given":"L."},{"family":"Biedermann","given":"J."},{"family":"Meller","given":"F."},{"family":"Nagel","given":"B."}],"issued":{"date-parts":[["2025",7,1]]}}},{"id":1349,"uris":["http://zotero.org/groups/6194892/items/UW4PNCYI"],"itemData":{"id":1349,"type":"paper-conference","abstract":"Various manufacturers express the vision of using air taxis for passenger transport in cities within a few years. However, current research shows that the society is still sceptical about air taxis. There are numerous factors influencing acceptance and willingness to use air taxis. One of them is a pleasant and comfortable cabin design. Within a user-centered-approach, this research investigates, what preferences people have on the interior design of future air taxis. For this purpose, a focus group study was conducted within the project HorizonUAM, including different demographic groups. On the one hand, a differentiation was made based on age, with a group of 18-39- year-olds and another of 40-65-year-olds participating. On the other hand, a distinction was made according to residential location in two additional groups. One group entailed small- and medium-town residents and the other group entailed metropolitans. In a first step, the participants were asked to name their requirements on vehicles and its cabin. In a second step, they were asked to develop a design concept for an air taxi cabin according to their preferences. The findings indicate, that the notion of air taxis meets the participants’ basic transportation requirements like flexibility and short travel times. In terms of cabin design, aspects that are significant to all participants have been discovered. These include noise, windows and room temperature. However, in the design concepts of the individual groups the main emphasis differs. The group of the 18-39-year-olds emphasizes modern technologies and eco-friendliness. The 40-65-year-olds prefer a modular cabin-set-up. Residents from small- and medium-towns favor a cabin design, which includes different groups of people such as families or cyclists. Finally, metropolitans put their focus on individuality. Consequently, future cabin design concepts of air taxis should consider the identified preferences and requirements.","container-title":"2021 IEEE/AIAA 40th Digital Avionics Systems Conference (DASC)","DOI":"10.1109/DASC52595.2021.9594438","event-title":"2021 IEEE/AIAA 40th Digital Avionics Systems Conference (DASC)","ISSN":"2155-7209","note":"ISSN: 2155-7209","page":"1-7","source":"IEEE Xplore","title":"A User-Centered Cabin Design Approach to Investigate Peoples Preferences on the Interior Design of Future Air Taxis","URL":"https://ieeexplore.ieee.org/abstract/document/9594438","author":[{"family":"Stolz","given":"Maria"},{"family":"Reimer","given":"Fabian"},{"family":"Moerland-Masic","given":"Ivana"},{"family":"Hardie","given":"Tom"}],"accessed":{"date-parts":[["2026",2,12]]},"issued":{"date-parts":[["2021",10]]}}}],"schema":"https://github.com/citation-style-language/schema/raw/master/csl-citation.json"} </w:instrText>
      </w:r>
      <w:r w:rsidR="006B1F11">
        <w:fldChar w:fldCharType="separate"/>
      </w:r>
      <w:r w:rsidR="006B1F11" w:rsidRPr="00561EC0">
        <w:t xml:space="preserve">Reimer et al. </w:t>
      </w:r>
      <w:r w:rsidR="006B1F11">
        <w:t>(</w:t>
      </w:r>
      <w:r w:rsidR="006B1F11" w:rsidRPr="00561EC0">
        <w:t>2025</w:t>
      </w:r>
      <w:r w:rsidR="006B1F11">
        <w:t xml:space="preserve">) </w:t>
      </w:r>
      <w:r w:rsidR="006B1F11">
        <w:fldChar w:fldCharType="end"/>
      </w:r>
      <w:r w:rsidR="006B1F11">
        <w:t xml:space="preserve">provide market research into interior UAM design preferences </w:t>
      </w:r>
      <w:r w:rsidR="00666E80">
        <w:t>but do not study user adoption considerations</w:t>
      </w:r>
      <w:r w:rsidR="006B1F11">
        <w:t>.</w:t>
      </w:r>
    </w:p>
  </w:footnote>
  <w:footnote w:id="2">
    <w:p w14:paraId="0AC6AFDC" w14:textId="3639D07E" w:rsidR="000B5145" w:rsidRDefault="000B5145" w:rsidP="000B5145">
      <w:pPr>
        <w:pStyle w:val="FootnoteText"/>
        <w:keepNext/>
        <w:keepLines/>
        <w:jc w:val="both"/>
      </w:pPr>
      <w:r w:rsidRPr="00C91D5B">
        <w:rPr>
          <w:rStyle w:val="FootnoteReference"/>
        </w:rPr>
        <w:footnoteRef/>
      </w:r>
      <w:r>
        <w:t xml:space="preserve"> </w:t>
      </w:r>
      <w:r w:rsidRPr="00604391">
        <w:t xml:space="preserve">To mitigate response bias, UAM‑specific attitudinal statements were </w:t>
      </w:r>
      <w:r>
        <w:t xml:space="preserve">presented using </w:t>
      </w:r>
      <w:r w:rsidRPr="00604391">
        <w:t>both positive and negative f</w:t>
      </w:r>
      <w:r>
        <w:t>ramings</w:t>
      </w:r>
      <w:r w:rsidRPr="00604391">
        <w:t>, with each version presented to half of the sample.</w:t>
      </w:r>
      <w:r>
        <w:t xml:space="preserve"> For example, the first indicator of UAM noise sensitivity was phrased, “I am concerned about UAM making too much noise in residential areas” as well as</w:t>
      </w:r>
      <w:r w:rsidR="00556040">
        <w:t>,</w:t>
      </w:r>
      <w:r>
        <w:t xml:space="preserve"> “I am not too concerned about UAM making too much noise in residential areas.” The third indicator of tech-savviness and both indicators of UAM noise sensitivity were collected in this manner, and half of the </w:t>
      </w:r>
      <w:r w:rsidRPr="00931973">
        <w:t>responses were</w:t>
      </w:r>
      <w:r>
        <w:t xml:space="preserve"> subsequently</w:t>
      </w:r>
      <w:r w:rsidRPr="00931973">
        <w:t xml:space="preserve"> reverse coded</w:t>
      </w:r>
      <w:r>
        <w:t xml:space="preserve"> to ensure consistency in interpretation.</w:t>
      </w:r>
      <w:r w:rsidRPr="00931973">
        <w:t xml:space="preserve"> </w:t>
      </w:r>
      <w:r>
        <w:t>T</w:t>
      </w:r>
      <w:r w:rsidRPr="00931973">
        <w:t xml:space="preserve">he </w:t>
      </w:r>
      <w:r>
        <w:t>unified</w:t>
      </w:r>
      <w:r w:rsidRPr="00931973">
        <w:t xml:space="preserve"> </w:t>
      </w:r>
      <w:r>
        <w:t xml:space="preserve">responses, shown in Figure 2, </w:t>
      </w:r>
      <w:r w:rsidRPr="00931973">
        <w:t xml:space="preserve">were used in latent construct </w:t>
      </w:r>
      <w:r>
        <w:t xml:space="preserve">estimation. </w:t>
      </w:r>
      <w:r w:rsidRPr="00604391">
        <w:t xml:space="preserve">All remaining indicators were </w:t>
      </w:r>
      <w:r>
        <w:t>presented</w:t>
      </w:r>
      <w:r w:rsidRPr="00604391">
        <w:t xml:space="preserve"> using a single </w:t>
      </w:r>
      <w:r>
        <w:t>wording.</w:t>
      </w:r>
    </w:p>
  </w:footnote>
  <w:footnote w:id="3">
    <w:p w14:paraId="053DBD7F" w14:textId="42811F6E" w:rsidR="0007519F" w:rsidRPr="002F26E5" w:rsidRDefault="0007519F" w:rsidP="00021884">
      <w:pPr>
        <w:pStyle w:val="FootnoteText"/>
        <w:keepNext/>
        <w:spacing w:after="60"/>
        <w:jc w:val="both"/>
      </w:pPr>
      <w:r w:rsidRPr="00C91D5B">
        <w:rPr>
          <w:rStyle w:val="FootnoteReference"/>
        </w:rPr>
        <w:footnoteRef/>
      </w:r>
      <w:r w:rsidRPr="00121176">
        <w:t xml:space="preserve"> </w:t>
      </w:r>
      <w:r>
        <w:t xml:space="preserve">Some additional justification is warranted regarding our use of </w:t>
      </w:r>
      <w:r w:rsidRPr="002F26E5">
        <w:t>a</w:t>
      </w:r>
      <w:r>
        <w:t>n</w:t>
      </w:r>
      <w:r w:rsidRPr="002F26E5">
        <w:t xml:space="preserve"> 80% confidence level (0.20 level of significance). </w:t>
      </w:r>
      <w:r>
        <w:t>Specifically</w:t>
      </w:r>
      <w:r w:rsidRPr="002F26E5">
        <w:t xml:space="preserve">, the selection of a confidence level involves balancing the risks of </w:t>
      </w:r>
      <w:r>
        <w:t>incorrectly including variables that have no true impact and incorrectly excluding meaningful variables</w:t>
      </w:r>
      <w:r w:rsidRPr="002F26E5">
        <w:t xml:space="preserve">. As </w:t>
      </w:r>
      <w:r>
        <w:t>recommended</w:t>
      </w:r>
      <w:r w:rsidRPr="002F26E5">
        <w:t xml:space="preserve"> by the American Statistical Association </w:t>
      </w:r>
      <w:r w:rsidRPr="002F26E5">
        <w:fldChar w:fldCharType="begin"/>
      </w:r>
      <w:r w:rsidR="00B7697D">
        <w:instrText xml:space="preserve"> ADDIN ZOTERO_ITEM CSL_CITATION {"citationID":"BvCOfiim","properties":{"unsorted":false,"formattedCitation":"(Wasserstein et al., 2019; Wasserstein &amp; Lazar, 2016)","plainCitation":"(Wasserstein et al., 2019; Wasserstein &amp; Lazar, 2016)","dontUpdate":true,"noteIndex":3},"citationItems":[{"id":2152,"uris":["http://zotero.org/groups/6194892/items/4E9VP2TC"],"itemData":{"id":2152,"type":"article-journal","container-title":"The American Statistician","DOI":"10.1080/00031305.2019.1583913","ISSN":"0003-1305","issue":"sup1","note":"_eprint: https://doi.org/10.1080/00031305.2019.1583913","page":"1-19","publisher":"Taylor &amp; Francis","source":"Taylor and Francis+NEJM","title":"Moving to a World Beyond “p &lt; 0.05”","volume":"73","author":[{"family":"Wasserstein","given":"Ronald L."},{"family":"Schirm","given":"Allen L."},{"family":"Lazar","given":"Nicole A."}],"issued":{"date-parts":[["2019",3,29]]}}},{"id":2150,"uris":["http://zotero.org/groups/6194892/items/A22PCQC2"],"itemData":{"id":2150,"type":"article-journal","container-title":"The American Statistician","DOI":"https://doi.org/10.1080/00031305.2016.1154108","issue":"2","title":"The ASA Statement on p-Values: Context, Process, and Purpose","URL":"https://www.tandfonline.com/doi/full/10.1080/00031305.2016.1154108","volume":"70","author":[{"family":"Wasserstein","given":"Ronald L."},{"family":"Lazar","given":"Nicole A."}],"accessed":{"date-parts":[["2026",6,26]]},"issued":{"date-parts":[["2016"]]}}}],"schema":"https://github.com/citation-style-language/schema/raw/master/csl-citation.json"} </w:instrText>
      </w:r>
      <w:r w:rsidRPr="002F26E5">
        <w:fldChar w:fldCharType="separate"/>
      </w:r>
      <w:r w:rsidRPr="002F26E5">
        <w:t>(</w:t>
      </w:r>
      <w:r>
        <w:t xml:space="preserve">see </w:t>
      </w:r>
      <w:r w:rsidRPr="002F26E5">
        <w:t>Wasserstein and Lazar, 2016</w:t>
      </w:r>
      <w:r>
        <w:t xml:space="preserve">; </w:t>
      </w:r>
      <w:r w:rsidRPr="002F26E5">
        <w:t>Wasserstein et al., 2019)</w:t>
      </w:r>
      <w:r w:rsidRPr="002F26E5">
        <w:fldChar w:fldCharType="end"/>
      </w:r>
      <w:r w:rsidRPr="002F26E5">
        <w:t xml:space="preserve">, researchers </w:t>
      </w:r>
      <w:r>
        <w:t>should</w:t>
      </w:r>
      <w:r w:rsidRPr="002F26E5">
        <w:t xml:space="preserve"> exercise context-specific judgement to employ appropriate statistical thresholds, rather than applying </w:t>
      </w:r>
      <w:r>
        <w:t>any confidence level across all contexts</w:t>
      </w:r>
      <w:r w:rsidRPr="002F26E5">
        <w:t>. In this analysis, due to the modest sample size</w:t>
      </w:r>
      <w:r>
        <w:t xml:space="preserve"> (while there are a good number of choice occasions, the sample includes a more limited number of distinct respondents, reducing the efficiency of individual- and household-level effects)</w:t>
      </w:r>
      <w:r w:rsidRPr="002F26E5">
        <w:t xml:space="preserve"> and selective availability of certain service attributes</w:t>
      </w:r>
      <w:r>
        <w:t xml:space="preserve"> (due to the blocked survey design intended to allow for a large number of attributes to be considered)</w:t>
      </w:r>
      <w:r w:rsidRPr="002F26E5">
        <w:t xml:space="preserve">, we prioritize </w:t>
      </w:r>
      <w:r>
        <w:t xml:space="preserve">including variables that are theoretically meaningful at a slightly lower level of confidence even if this entails a slightly increased chance of including variables with no true impact. </w:t>
      </w:r>
      <w:r w:rsidRPr="002F26E5">
        <w:t>This deliberate tradeoff allows us to identify relationships with a relatively high significance in the current dataset that may guide future investigations benefiting from larger sample sizes.</w:t>
      </w:r>
      <w:r>
        <w:t xml:space="preserve"> Also, as noted above, only two variables turn out to be significant at the 80% confidence level and not the 90% confidence level.</w:t>
      </w:r>
    </w:p>
  </w:footnote>
  <w:footnote w:id="4">
    <w:p w14:paraId="1B8F38A7" w14:textId="273E814D" w:rsidR="006943BE" w:rsidRPr="00121176" w:rsidRDefault="006943BE" w:rsidP="0070019B">
      <w:pPr>
        <w:pStyle w:val="FootnoteText"/>
        <w:jc w:val="both"/>
      </w:pPr>
      <w:r w:rsidRPr="00C91D5B">
        <w:rPr>
          <w:rStyle w:val="FootnoteReference"/>
        </w:rPr>
        <w:footnoteRef/>
      </w:r>
      <w:r w:rsidRPr="00121176">
        <w:t xml:space="preserve"> </w:t>
      </w:r>
      <w:r w:rsidRPr="002F26E5">
        <w:t xml:space="preserve">The limited statistical power of </w:t>
      </w:r>
      <w:r w:rsidR="0070019B" w:rsidRPr="002F26E5">
        <w:t xml:space="preserve">interaction effects between the </w:t>
      </w:r>
      <w:r w:rsidRPr="002F26E5">
        <w:t xml:space="preserve">“Texan” </w:t>
      </w:r>
      <w:r w:rsidR="0070019B" w:rsidRPr="002F26E5">
        <w:t xml:space="preserve">indicator </w:t>
      </w:r>
      <w:r w:rsidR="00556040">
        <w:t xml:space="preserve">variable </w:t>
      </w:r>
      <w:r w:rsidRPr="002F26E5">
        <w:t xml:space="preserve">and </w:t>
      </w:r>
      <w:r w:rsidR="00556040">
        <w:t>service attributes/trip</w:t>
      </w:r>
      <w:r w:rsidRPr="002F26E5">
        <w:t xml:space="preserve"> </w:t>
      </w:r>
      <w:r w:rsidR="00556040">
        <w:t>context</w:t>
      </w:r>
      <w:r w:rsidRPr="002F26E5">
        <w:t xml:space="preserve"> </w:t>
      </w:r>
      <w:r w:rsidR="0070019B" w:rsidRPr="002F26E5">
        <w:t>is likely attributable</w:t>
      </w:r>
      <w:r w:rsidRPr="002F26E5">
        <w:t xml:space="preserve"> to the</w:t>
      </w:r>
      <w:r w:rsidR="0070019B" w:rsidRPr="002F26E5">
        <w:t xml:space="preserve"> relatively</w:t>
      </w:r>
      <w:r w:rsidRPr="002F26E5">
        <w:t xml:space="preserve"> </w:t>
      </w:r>
      <w:r w:rsidR="008A6929" w:rsidRPr="002F26E5">
        <w:t>small</w:t>
      </w:r>
      <w:r w:rsidRPr="002F26E5">
        <w:t xml:space="preserve"> sample size of non-Texas respondents (173 individuals, 16.</w:t>
      </w:r>
      <w:r w:rsidR="00BB0179" w:rsidRPr="002F26E5">
        <w:t>4</w:t>
      </w:r>
      <w:r w:rsidRPr="002F26E5">
        <w:t>% of the</w:t>
      </w:r>
      <w:r w:rsidR="0070019B" w:rsidRPr="002F26E5">
        <w:t xml:space="preserve"> overall</w:t>
      </w:r>
      <w:r w:rsidRPr="002F26E5">
        <w:t xml:space="preserve"> sample)</w:t>
      </w:r>
      <w:r w:rsidR="008A6929" w:rsidRPr="002F26E5">
        <w:t xml:space="preserve">. </w:t>
      </w:r>
      <w:r w:rsidR="0070019B" w:rsidRPr="002F26E5">
        <w:t>As mentioned in Section 7, future studies based on larger and more geographically balanced samples may offer additional insight into potential regional heterogeneity in UAM adoption patterns</w:t>
      </w:r>
      <w:r w:rsidR="0070019B" w:rsidRPr="00121176">
        <w:t>.</w:t>
      </w:r>
      <w:r w:rsidR="008A6929" w:rsidRPr="00121176">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639E2" w14:textId="77777777" w:rsidR="008C54C0" w:rsidRDefault="008C54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3E5CB" w14:textId="77777777" w:rsidR="008C54C0" w:rsidRDefault="008C54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5812B" w14:textId="77777777" w:rsidR="008C54C0" w:rsidRDefault="008C54C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3E07E" w14:textId="77777777" w:rsidR="000E0C96" w:rsidRDefault="000E0C9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03622" w14:textId="77777777" w:rsidR="000E0C96" w:rsidRDefault="000E0C9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9D960" w14:textId="77777777" w:rsidR="000E0C96" w:rsidRDefault="000E0C9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FE9D5" w14:textId="77777777" w:rsidR="006E7F71" w:rsidRDefault="006E7F7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F0BEF" w14:textId="77777777" w:rsidR="006E7F71" w:rsidRDefault="006E7F7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425D7" w14:textId="77777777" w:rsidR="006E7F71" w:rsidRDefault="006E7F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E32D4"/>
    <w:multiLevelType w:val="hybridMultilevel"/>
    <w:tmpl w:val="73726B12"/>
    <w:lvl w:ilvl="0" w:tplc="A1C6CCB8">
      <w:start w:val="1"/>
      <w:numFmt w:val="decimal"/>
      <w:pStyle w:val="Heading1"/>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06644B"/>
    <w:multiLevelType w:val="multilevel"/>
    <w:tmpl w:val="7A349108"/>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72A4D78"/>
    <w:multiLevelType w:val="multilevel"/>
    <w:tmpl w:val="546E5292"/>
    <w:lvl w:ilvl="0">
      <w:start w:val="1"/>
      <w:numFmt w:val="decimal"/>
      <w:lvlText w:val="%1."/>
      <w:lvlJc w:val="left"/>
      <w:pPr>
        <w:ind w:left="0" w:firstLine="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28447039"/>
    <w:multiLevelType w:val="multilevel"/>
    <w:tmpl w:val="1B4A3294"/>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99E4CEC"/>
    <w:multiLevelType w:val="hybridMultilevel"/>
    <w:tmpl w:val="774C0D7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EF7C2D"/>
    <w:multiLevelType w:val="multilevel"/>
    <w:tmpl w:val="5ACEF03C"/>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3DB2059"/>
    <w:multiLevelType w:val="multilevel"/>
    <w:tmpl w:val="552613F4"/>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8780321"/>
    <w:multiLevelType w:val="hybridMultilevel"/>
    <w:tmpl w:val="D4FECE0A"/>
    <w:lvl w:ilvl="0" w:tplc="FC4CAF4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A122F8"/>
    <w:multiLevelType w:val="multilevel"/>
    <w:tmpl w:val="79368AFA"/>
    <w:lvl w:ilvl="0">
      <w:start w:val="4"/>
      <w:numFmt w:val="decimal"/>
      <w:lvlText w:val="%1."/>
      <w:lvlJc w:val="left"/>
      <w:pPr>
        <w:ind w:left="0" w:firstLine="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6B6E3987"/>
    <w:multiLevelType w:val="hybridMultilevel"/>
    <w:tmpl w:val="149A9544"/>
    <w:lvl w:ilvl="0" w:tplc="42227F1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0219459">
    <w:abstractNumId w:val="0"/>
  </w:num>
  <w:num w:numId="2" w16cid:durableId="1044721136">
    <w:abstractNumId w:val="2"/>
  </w:num>
  <w:num w:numId="3" w16cid:durableId="433289962">
    <w:abstractNumId w:val="4"/>
  </w:num>
  <w:num w:numId="4" w16cid:durableId="696543901">
    <w:abstractNumId w:val="6"/>
  </w:num>
  <w:num w:numId="5" w16cid:durableId="1924416165">
    <w:abstractNumId w:val="5"/>
  </w:num>
  <w:num w:numId="6" w16cid:durableId="1215656042">
    <w:abstractNumId w:val="3"/>
  </w:num>
  <w:num w:numId="7" w16cid:durableId="122162344">
    <w:abstractNumId w:val="8"/>
  </w:num>
  <w:num w:numId="8" w16cid:durableId="21446435">
    <w:abstractNumId w:val="1"/>
  </w:num>
  <w:num w:numId="9" w16cid:durableId="1564759125">
    <w:abstractNumId w:val="7"/>
  </w:num>
  <w:num w:numId="10" w16cid:durableId="1301690851">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5A9"/>
    <w:rsid w:val="000000A1"/>
    <w:rsid w:val="0000054E"/>
    <w:rsid w:val="00002622"/>
    <w:rsid w:val="0000295B"/>
    <w:rsid w:val="00003495"/>
    <w:rsid w:val="00004014"/>
    <w:rsid w:val="00005295"/>
    <w:rsid w:val="00005579"/>
    <w:rsid w:val="0000640C"/>
    <w:rsid w:val="00006EB5"/>
    <w:rsid w:val="000074B8"/>
    <w:rsid w:val="00007FF5"/>
    <w:rsid w:val="000114A6"/>
    <w:rsid w:val="00011A35"/>
    <w:rsid w:val="000125CC"/>
    <w:rsid w:val="00012F87"/>
    <w:rsid w:val="00021884"/>
    <w:rsid w:val="00022DC0"/>
    <w:rsid w:val="000230B6"/>
    <w:rsid w:val="00024729"/>
    <w:rsid w:val="00026FC7"/>
    <w:rsid w:val="0002734D"/>
    <w:rsid w:val="00032C30"/>
    <w:rsid w:val="00034F48"/>
    <w:rsid w:val="0003616F"/>
    <w:rsid w:val="000371A6"/>
    <w:rsid w:val="00040734"/>
    <w:rsid w:val="0004086D"/>
    <w:rsid w:val="0004101E"/>
    <w:rsid w:val="00041046"/>
    <w:rsid w:val="00042205"/>
    <w:rsid w:val="0004239A"/>
    <w:rsid w:val="0004357A"/>
    <w:rsid w:val="00045CC4"/>
    <w:rsid w:val="00045D74"/>
    <w:rsid w:val="000460D3"/>
    <w:rsid w:val="000472C6"/>
    <w:rsid w:val="00047757"/>
    <w:rsid w:val="00047F87"/>
    <w:rsid w:val="0005008E"/>
    <w:rsid w:val="00050387"/>
    <w:rsid w:val="000511CF"/>
    <w:rsid w:val="000515B6"/>
    <w:rsid w:val="00054395"/>
    <w:rsid w:val="00054DB0"/>
    <w:rsid w:val="0005543F"/>
    <w:rsid w:val="00055674"/>
    <w:rsid w:val="00055F1E"/>
    <w:rsid w:val="00056BF4"/>
    <w:rsid w:val="000628A6"/>
    <w:rsid w:val="00063E4E"/>
    <w:rsid w:val="000643F2"/>
    <w:rsid w:val="0006457D"/>
    <w:rsid w:val="00067040"/>
    <w:rsid w:val="0006796B"/>
    <w:rsid w:val="000719D6"/>
    <w:rsid w:val="00072952"/>
    <w:rsid w:val="000731FC"/>
    <w:rsid w:val="00073929"/>
    <w:rsid w:val="00074F61"/>
    <w:rsid w:val="0007519F"/>
    <w:rsid w:val="00076089"/>
    <w:rsid w:val="000761DA"/>
    <w:rsid w:val="00080226"/>
    <w:rsid w:val="00080B9D"/>
    <w:rsid w:val="00081F73"/>
    <w:rsid w:val="00082037"/>
    <w:rsid w:val="000829DA"/>
    <w:rsid w:val="000839FD"/>
    <w:rsid w:val="0008491A"/>
    <w:rsid w:val="00087EE1"/>
    <w:rsid w:val="00090A7C"/>
    <w:rsid w:val="00090E30"/>
    <w:rsid w:val="00092D15"/>
    <w:rsid w:val="0009401B"/>
    <w:rsid w:val="00094539"/>
    <w:rsid w:val="00094634"/>
    <w:rsid w:val="00096655"/>
    <w:rsid w:val="00096B50"/>
    <w:rsid w:val="00096BF5"/>
    <w:rsid w:val="000A09D1"/>
    <w:rsid w:val="000A0A20"/>
    <w:rsid w:val="000A2A49"/>
    <w:rsid w:val="000A359F"/>
    <w:rsid w:val="000A3B64"/>
    <w:rsid w:val="000A3DE7"/>
    <w:rsid w:val="000A4D55"/>
    <w:rsid w:val="000A5D19"/>
    <w:rsid w:val="000A67EF"/>
    <w:rsid w:val="000A6D0C"/>
    <w:rsid w:val="000A7CB0"/>
    <w:rsid w:val="000B0957"/>
    <w:rsid w:val="000B0FFA"/>
    <w:rsid w:val="000B4486"/>
    <w:rsid w:val="000B48A6"/>
    <w:rsid w:val="000B501F"/>
    <w:rsid w:val="000B5145"/>
    <w:rsid w:val="000B51D4"/>
    <w:rsid w:val="000B5913"/>
    <w:rsid w:val="000B752C"/>
    <w:rsid w:val="000B7858"/>
    <w:rsid w:val="000C14E4"/>
    <w:rsid w:val="000C4E60"/>
    <w:rsid w:val="000C51C9"/>
    <w:rsid w:val="000C5201"/>
    <w:rsid w:val="000C5249"/>
    <w:rsid w:val="000C5A54"/>
    <w:rsid w:val="000C7038"/>
    <w:rsid w:val="000D044A"/>
    <w:rsid w:val="000D1DC0"/>
    <w:rsid w:val="000D2A89"/>
    <w:rsid w:val="000D3A20"/>
    <w:rsid w:val="000D3D9A"/>
    <w:rsid w:val="000D4094"/>
    <w:rsid w:val="000D429A"/>
    <w:rsid w:val="000D4419"/>
    <w:rsid w:val="000D63AF"/>
    <w:rsid w:val="000D652E"/>
    <w:rsid w:val="000D7183"/>
    <w:rsid w:val="000D71EB"/>
    <w:rsid w:val="000D7A91"/>
    <w:rsid w:val="000D7AD7"/>
    <w:rsid w:val="000E0C96"/>
    <w:rsid w:val="000E13EC"/>
    <w:rsid w:val="000E16A8"/>
    <w:rsid w:val="000E2176"/>
    <w:rsid w:val="000E25BA"/>
    <w:rsid w:val="000E5B57"/>
    <w:rsid w:val="000E717C"/>
    <w:rsid w:val="000E7216"/>
    <w:rsid w:val="000E7704"/>
    <w:rsid w:val="000E7DC6"/>
    <w:rsid w:val="000F30D5"/>
    <w:rsid w:val="000F4588"/>
    <w:rsid w:val="000F45C3"/>
    <w:rsid w:val="000F4D2A"/>
    <w:rsid w:val="000F6520"/>
    <w:rsid w:val="001002EE"/>
    <w:rsid w:val="00100F02"/>
    <w:rsid w:val="00100F8F"/>
    <w:rsid w:val="00101238"/>
    <w:rsid w:val="00102636"/>
    <w:rsid w:val="00102B8B"/>
    <w:rsid w:val="00103EB7"/>
    <w:rsid w:val="001041DD"/>
    <w:rsid w:val="00104285"/>
    <w:rsid w:val="0010447D"/>
    <w:rsid w:val="001055CF"/>
    <w:rsid w:val="001073E6"/>
    <w:rsid w:val="001076E0"/>
    <w:rsid w:val="001113A1"/>
    <w:rsid w:val="00111989"/>
    <w:rsid w:val="0011393A"/>
    <w:rsid w:val="0011417D"/>
    <w:rsid w:val="00115AE5"/>
    <w:rsid w:val="00121176"/>
    <w:rsid w:val="0012135F"/>
    <w:rsid w:val="001223D1"/>
    <w:rsid w:val="00123F25"/>
    <w:rsid w:val="00124282"/>
    <w:rsid w:val="00124D3F"/>
    <w:rsid w:val="001259F0"/>
    <w:rsid w:val="001261D5"/>
    <w:rsid w:val="00127095"/>
    <w:rsid w:val="0013073C"/>
    <w:rsid w:val="0013170E"/>
    <w:rsid w:val="00131A94"/>
    <w:rsid w:val="00132424"/>
    <w:rsid w:val="0013259B"/>
    <w:rsid w:val="00133115"/>
    <w:rsid w:val="00133A36"/>
    <w:rsid w:val="00133CB0"/>
    <w:rsid w:val="00136446"/>
    <w:rsid w:val="0013652D"/>
    <w:rsid w:val="001365DD"/>
    <w:rsid w:val="00136A82"/>
    <w:rsid w:val="00140481"/>
    <w:rsid w:val="00140495"/>
    <w:rsid w:val="001405AB"/>
    <w:rsid w:val="00140797"/>
    <w:rsid w:val="00140E78"/>
    <w:rsid w:val="001416C2"/>
    <w:rsid w:val="0014212A"/>
    <w:rsid w:val="0014418B"/>
    <w:rsid w:val="00145176"/>
    <w:rsid w:val="00146346"/>
    <w:rsid w:val="001471B7"/>
    <w:rsid w:val="00150C08"/>
    <w:rsid w:val="00152628"/>
    <w:rsid w:val="00154E17"/>
    <w:rsid w:val="001573EF"/>
    <w:rsid w:val="0015778D"/>
    <w:rsid w:val="001607A9"/>
    <w:rsid w:val="00160C91"/>
    <w:rsid w:val="0016277D"/>
    <w:rsid w:val="00162E8A"/>
    <w:rsid w:val="0016328C"/>
    <w:rsid w:val="0016353D"/>
    <w:rsid w:val="001637D7"/>
    <w:rsid w:val="0016492E"/>
    <w:rsid w:val="00164FA4"/>
    <w:rsid w:val="00166BBB"/>
    <w:rsid w:val="00170732"/>
    <w:rsid w:val="0017075E"/>
    <w:rsid w:val="00170C42"/>
    <w:rsid w:val="00170D87"/>
    <w:rsid w:val="001732E1"/>
    <w:rsid w:val="00174601"/>
    <w:rsid w:val="00174A51"/>
    <w:rsid w:val="00174D7D"/>
    <w:rsid w:val="00175035"/>
    <w:rsid w:val="0017610F"/>
    <w:rsid w:val="00177023"/>
    <w:rsid w:val="00182A40"/>
    <w:rsid w:val="001859CD"/>
    <w:rsid w:val="001869FA"/>
    <w:rsid w:val="001902CD"/>
    <w:rsid w:val="00193EF6"/>
    <w:rsid w:val="0019430A"/>
    <w:rsid w:val="00194F31"/>
    <w:rsid w:val="00195423"/>
    <w:rsid w:val="001A068B"/>
    <w:rsid w:val="001A0A0A"/>
    <w:rsid w:val="001A0F63"/>
    <w:rsid w:val="001A1A9D"/>
    <w:rsid w:val="001A1C3F"/>
    <w:rsid w:val="001A25AB"/>
    <w:rsid w:val="001A3C9E"/>
    <w:rsid w:val="001A4084"/>
    <w:rsid w:val="001A4258"/>
    <w:rsid w:val="001A4F3E"/>
    <w:rsid w:val="001A6644"/>
    <w:rsid w:val="001A6AEC"/>
    <w:rsid w:val="001A70BD"/>
    <w:rsid w:val="001A7A3D"/>
    <w:rsid w:val="001B1594"/>
    <w:rsid w:val="001B17AA"/>
    <w:rsid w:val="001B19FE"/>
    <w:rsid w:val="001B1D07"/>
    <w:rsid w:val="001B23FA"/>
    <w:rsid w:val="001B3E95"/>
    <w:rsid w:val="001B4E98"/>
    <w:rsid w:val="001B4F98"/>
    <w:rsid w:val="001B5951"/>
    <w:rsid w:val="001C4F1C"/>
    <w:rsid w:val="001C545C"/>
    <w:rsid w:val="001D0DAA"/>
    <w:rsid w:val="001D161D"/>
    <w:rsid w:val="001D16B4"/>
    <w:rsid w:val="001D2B5F"/>
    <w:rsid w:val="001D2F2B"/>
    <w:rsid w:val="001D2FD7"/>
    <w:rsid w:val="001D3067"/>
    <w:rsid w:val="001D3DE8"/>
    <w:rsid w:val="001D5012"/>
    <w:rsid w:val="001D64E5"/>
    <w:rsid w:val="001D75C2"/>
    <w:rsid w:val="001E044C"/>
    <w:rsid w:val="001E120A"/>
    <w:rsid w:val="001E3F37"/>
    <w:rsid w:val="001E4740"/>
    <w:rsid w:val="001E558F"/>
    <w:rsid w:val="001F18CB"/>
    <w:rsid w:val="001F3097"/>
    <w:rsid w:val="001F4154"/>
    <w:rsid w:val="001F5A61"/>
    <w:rsid w:val="001F60E0"/>
    <w:rsid w:val="001F7AB8"/>
    <w:rsid w:val="001F7EB6"/>
    <w:rsid w:val="0020131C"/>
    <w:rsid w:val="00201FAB"/>
    <w:rsid w:val="00202CE6"/>
    <w:rsid w:val="00204542"/>
    <w:rsid w:val="00205554"/>
    <w:rsid w:val="00205CAE"/>
    <w:rsid w:val="00206187"/>
    <w:rsid w:val="00206A1C"/>
    <w:rsid w:val="002074C7"/>
    <w:rsid w:val="00211771"/>
    <w:rsid w:val="00213114"/>
    <w:rsid w:val="00213694"/>
    <w:rsid w:val="002151A6"/>
    <w:rsid w:val="00216B88"/>
    <w:rsid w:val="00221604"/>
    <w:rsid w:val="00222219"/>
    <w:rsid w:val="0022349B"/>
    <w:rsid w:val="00223BD6"/>
    <w:rsid w:val="002251BF"/>
    <w:rsid w:val="00225860"/>
    <w:rsid w:val="002260B9"/>
    <w:rsid w:val="002271E6"/>
    <w:rsid w:val="00230719"/>
    <w:rsid w:val="00230858"/>
    <w:rsid w:val="002309B1"/>
    <w:rsid w:val="00232E26"/>
    <w:rsid w:val="00233974"/>
    <w:rsid w:val="0023525F"/>
    <w:rsid w:val="00235293"/>
    <w:rsid w:val="00236B0A"/>
    <w:rsid w:val="00236E4A"/>
    <w:rsid w:val="00236ECB"/>
    <w:rsid w:val="00237B39"/>
    <w:rsid w:val="00240738"/>
    <w:rsid w:val="002415D5"/>
    <w:rsid w:val="00242E22"/>
    <w:rsid w:val="00242E6A"/>
    <w:rsid w:val="00243135"/>
    <w:rsid w:val="00243C0F"/>
    <w:rsid w:val="00245548"/>
    <w:rsid w:val="00246129"/>
    <w:rsid w:val="002463F9"/>
    <w:rsid w:val="00246A34"/>
    <w:rsid w:val="00247B45"/>
    <w:rsid w:val="00247D31"/>
    <w:rsid w:val="00247EA4"/>
    <w:rsid w:val="002516D2"/>
    <w:rsid w:val="0025348C"/>
    <w:rsid w:val="00253A23"/>
    <w:rsid w:val="00253EBF"/>
    <w:rsid w:val="002546CC"/>
    <w:rsid w:val="00255BA6"/>
    <w:rsid w:val="002563D9"/>
    <w:rsid w:val="00256D76"/>
    <w:rsid w:val="002573DD"/>
    <w:rsid w:val="00257476"/>
    <w:rsid w:val="0026096C"/>
    <w:rsid w:val="00263048"/>
    <w:rsid w:val="0026387C"/>
    <w:rsid w:val="00263C32"/>
    <w:rsid w:val="0026457C"/>
    <w:rsid w:val="00265925"/>
    <w:rsid w:val="00265FC5"/>
    <w:rsid w:val="002666CA"/>
    <w:rsid w:val="002707F9"/>
    <w:rsid w:val="00271333"/>
    <w:rsid w:val="0027176C"/>
    <w:rsid w:val="002725C4"/>
    <w:rsid w:val="002735BE"/>
    <w:rsid w:val="00273D72"/>
    <w:rsid w:val="00273DAB"/>
    <w:rsid w:val="00274689"/>
    <w:rsid w:val="00274B64"/>
    <w:rsid w:val="00275881"/>
    <w:rsid w:val="002765FA"/>
    <w:rsid w:val="0028248D"/>
    <w:rsid w:val="0028365C"/>
    <w:rsid w:val="0028683C"/>
    <w:rsid w:val="00286D95"/>
    <w:rsid w:val="002912DE"/>
    <w:rsid w:val="00291CFC"/>
    <w:rsid w:val="00291E47"/>
    <w:rsid w:val="00292D3C"/>
    <w:rsid w:val="0029416E"/>
    <w:rsid w:val="00294D4E"/>
    <w:rsid w:val="00297901"/>
    <w:rsid w:val="00297948"/>
    <w:rsid w:val="002A05A3"/>
    <w:rsid w:val="002A1D3C"/>
    <w:rsid w:val="002A2515"/>
    <w:rsid w:val="002A32EA"/>
    <w:rsid w:val="002A33C4"/>
    <w:rsid w:val="002A4689"/>
    <w:rsid w:val="002A5134"/>
    <w:rsid w:val="002A731C"/>
    <w:rsid w:val="002B0711"/>
    <w:rsid w:val="002B110E"/>
    <w:rsid w:val="002B173A"/>
    <w:rsid w:val="002B1D2F"/>
    <w:rsid w:val="002B2634"/>
    <w:rsid w:val="002B5F13"/>
    <w:rsid w:val="002C0AA4"/>
    <w:rsid w:val="002C2066"/>
    <w:rsid w:val="002C26C6"/>
    <w:rsid w:val="002C2D3C"/>
    <w:rsid w:val="002C36F8"/>
    <w:rsid w:val="002C52B5"/>
    <w:rsid w:val="002C6A4D"/>
    <w:rsid w:val="002C734B"/>
    <w:rsid w:val="002D04AA"/>
    <w:rsid w:val="002D18DD"/>
    <w:rsid w:val="002D3680"/>
    <w:rsid w:val="002D3FD6"/>
    <w:rsid w:val="002D4864"/>
    <w:rsid w:val="002D5010"/>
    <w:rsid w:val="002D6052"/>
    <w:rsid w:val="002D6C23"/>
    <w:rsid w:val="002D70CF"/>
    <w:rsid w:val="002E0399"/>
    <w:rsid w:val="002E0CA6"/>
    <w:rsid w:val="002E13F4"/>
    <w:rsid w:val="002E3D08"/>
    <w:rsid w:val="002E3E33"/>
    <w:rsid w:val="002E4770"/>
    <w:rsid w:val="002E6B55"/>
    <w:rsid w:val="002F096B"/>
    <w:rsid w:val="002F260B"/>
    <w:rsid w:val="002F26E5"/>
    <w:rsid w:val="002F282B"/>
    <w:rsid w:val="002F3BEB"/>
    <w:rsid w:val="002F3F96"/>
    <w:rsid w:val="002F4593"/>
    <w:rsid w:val="002F4BBE"/>
    <w:rsid w:val="002F4D58"/>
    <w:rsid w:val="002F4F30"/>
    <w:rsid w:val="002F5D47"/>
    <w:rsid w:val="002F64FF"/>
    <w:rsid w:val="002F74BB"/>
    <w:rsid w:val="00300779"/>
    <w:rsid w:val="00300D94"/>
    <w:rsid w:val="00301B25"/>
    <w:rsid w:val="00302592"/>
    <w:rsid w:val="003036EA"/>
    <w:rsid w:val="00303898"/>
    <w:rsid w:val="003054B3"/>
    <w:rsid w:val="00307660"/>
    <w:rsid w:val="00307986"/>
    <w:rsid w:val="0031170C"/>
    <w:rsid w:val="00311A87"/>
    <w:rsid w:val="00313C14"/>
    <w:rsid w:val="0031487D"/>
    <w:rsid w:val="00314979"/>
    <w:rsid w:val="00314CAD"/>
    <w:rsid w:val="00315575"/>
    <w:rsid w:val="0031621A"/>
    <w:rsid w:val="00316A8B"/>
    <w:rsid w:val="00317925"/>
    <w:rsid w:val="003213FD"/>
    <w:rsid w:val="00323C64"/>
    <w:rsid w:val="00324EC5"/>
    <w:rsid w:val="00330740"/>
    <w:rsid w:val="00330BA9"/>
    <w:rsid w:val="00332488"/>
    <w:rsid w:val="00332FCC"/>
    <w:rsid w:val="003347AF"/>
    <w:rsid w:val="003357AC"/>
    <w:rsid w:val="003359EC"/>
    <w:rsid w:val="0033723D"/>
    <w:rsid w:val="00340319"/>
    <w:rsid w:val="00341D15"/>
    <w:rsid w:val="00343CD9"/>
    <w:rsid w:val="003448E9"/>
    <w:rsid w:val="00344BC5"/>
    <w:rsid w:val="00345235"/>
    <w:rsid w:val="00345AAC"/>
    <w:rsid w:val="0034779F"/>
    <w:rsid w:val="00351AC3"/>
    <w:rsid w:val="00352F87"/>
    <w:rsid w:val="00353827"/>
    <w:rsid w:val="00354B77"/>
    <w:rsid w:val="00355DD1"/>
    <w:rsid w:val="003569D9"/>
    <w:rsid w:val="00362FEE"/>
    <w:rsid w:val="00365BEA"/>
    <w:rsid w:val="0036601A"/>
    <w:rsid w:val="0037012A"/>
    <w:rsid w:val="003710B8"/>
    <w:rsid w:val="00371A5A"/>
    <w:rsid w:val="00372F33"/>
    <w:rsid w:val="00373B4F"/>
    <w:rsid w:val="0037781E"/>
    <w:rsid w:val="003778DA"/>
    <w:rsid w:val="00377C6B"/>
    <w:rsid w:val="0038012D"/>
    <w:rsid w:val="00380275"/>
    <w:rsid w:val="003809B6"/>
    <w:rsid w:val="003810A1"/>
    <w:rsid w:val="003818BC"/>
    <w:rsid w:val="003823EA"/>
    <w:rsid w:val="00387AE5"/>
    <w:rsid w:val="00387F3F"/>
    <w:rsid w:val="00390713"/>
    <w:rsid w:val="0039173D"/>
    <w:rsid w:val="00392CA5"/>
    <w:rsid w:val="00392E80"/>
    <w:rsid w:val="003933CA"/>
    <w:rsid w:val="00393B0B"/>
    <w:rsid w:val="00394503"/>
    <w:rsid w:val="00394B0B"/>
    <w:rsid w:val="0039567B"/>
    <w:rsid w:val="003974EA"/>
    <w:rsid w:val="003A0CE2"/>
    <w:rsid w:val="003A1D74"/>
    <w:rsid w:val="003A2202"/>
    <w:rsid w:val="003A356E"/>
    <w:rsid w:val="003A5E15"/>
    <w:rsid w:val="003A64DA"/>
    <w:rsid w:val="003B1395"/>
    <w:rsid w:val="003B1C05"/>
    <w:rsid w:val="003B23ED"/>
    <w:rsid w:val="003B26C8"/>
    <w:rsid w:val="003B2B69"/>
    <w:rsid w:val="003B2C06"/>
    <w:rsid w:val="003B2CFB"/>
    <w:rsid w:val="003B36E4"/>
    <w:rsid w:val="003B4189"/>
    <w:rsid w:val="003B526A"/>
    <w:rsid w:val="003B584A"/>
    <w:rsid w:val="003B72FF"/>
    <w:rsid w:val="003C0D6B"/>
    <w:rsid w:val="003C3185"/>
    <w:rsid w:val="003C3E11"/>
    <w:rsid w:val="003C3EB6"/>
    <w:rsid w:val="003C4D95"/>
    <w:rsid w:val="003C4FB2"/>
    <w:rsid w:val="003C52F2"/>
    <w:rsid w:val="003C5D60"/>
    <w:rsid w:val="003D193D"/>
    <w:rsid w:val="003D1AE1"/>
    <w:rsid w:val="003D417F"/>
    <w:rsid w:val="003D4C03"/>
    <w:rsid w:val="003D4C3F"/>
    <w:rsid w:val="003D6EC1"/>
    <w:rsid w:val="003D7075"/>
    <w:rsid w:val="003D7317"/>
    <w:rsid w:val="003D738F"/>
    <w:rsid w:val="003D7F29"/>
    <w:rsid w:val="003E050E"/>
    <w:rsid w:val="003E2A2B"/>
    <w:rsid w:val="003E3769"/>
    <w:rsid w:val="003E40F6"/>
    <w:rsid w:val="003E6212"/>
    <w:rsid w:val="003E6CF6"/>
    <w:rsid w:val="003E6CF8"/>
    <w:rsid w:val="003F11E5"/>
    <w:rsid w:val="003F1469"/>
    <w:rsid w:val="003F2030"/>
    <w:rsid w:val="003F2579"/>
    <w:rsid w:val="003F3C84"/>
    <w:rsid w:val="003F5A37"/>
    <w:rsid w:val="003F6A6B"/>
    <w:rsid w:val="003F6E67"/>
    <w:rsid w:val="004006D1"/>
    <w:rsid w:val="0040070E"/>
    <w:rsid w:val="004014EA"/>
    <w:rsid w:val="00402ADF"/>
    <w:rsid w:val="00403073"/>
    <w:rsid w:val="004030F0"/>
    <w:rsid w:val="00404F20"/>
    <w:rsid w:val="00406F4D"/>
    <w:rsid w:val="00407511"/>
    <w:rsid w:val="00410D34"/>
    <w:rsid w:val="0041168F"/>
    <w:rsid w:val="00411B85"/>
    <w:rsid w:val="00413513"/>
    <w:rsid w:val="00414A68"/>
    <w:rsid w:val="00414EA1"/>
    <w:rsid w:val="004151D8"/>
    <w:rsid w:val="00421230"/>
    <w:rsid w:val="00421B85"/>
    <w:rsid w:val="00423517"/>
    <w:rsid w:val="00423D76"/>
    <w:rsid w:val="00424F02"/>
    <w:rsid w:val="00425DD7"/>
    <w:rsid w:val="004263E5"/>
    <w:rsid w:val="00426A74"/>
    <w:rsid w:val="00431207"/>
    <w:rsid w:val="004318FC"/>
    <w:rsid w:val="00431989"/>
    <w:rsid w:val="004329AF"/>
    <w:rsid w:val="00433770"/>
    <w:rsid w:val="00433DF8"/>
    <w:rsid w:val="00433F05"/>
    <w:rsid w:val="0043496E"/>
    <w:rsid w:val="00435626"/>
    <w:rsid w:val="0043563D"/>
    <w:rsid w:val="00436558"/>
    <w:rsid w:val="00436ADB"/>
    <w:rsid w:val="00437F92"/>
    <w:rsid w:val="004407E2"/>
    <w:rsid w:val="00441D78"/>
    <w:rsid w:val="004425D9"/>
    <w:rsid w:val="004436D5"/>
    <w:rsid w:val="00443935"/>
    <w:rsid w:val="00443AB2"/>
    <w:rsid w:val="00443D73"/>
    <w:rsid w:val="00444670"/>
    <w:rsid w:val="00444E3D"/>
    <w:rsid w:val="00444E57"/>
    <w:rsid w:val="0044524A"/>
    <w:rsid w:val="00445B20"/>
    <w:rsid w:val="004464B4"/>
    <w:rsid w:val="004465AF"/>
    <w:rsid w:val="004507B1"/>
    <w:rsid w:val="00451554"/>
    <w:rsid w:val="00453886"/>
    <w:rsid w:val="00453A27"/>
    <w:rsid w:val="00454A4E"/>
    <w:rsid w:val="00456368"/>
    <w:rsid w:val="00456E98"/>
    <w:rsid w:val="00460FDF"/>
    <w:rsid w:val="00463E75"/>
    <w:rsid w:val="00464E7A"/>
    <w:rsid w:val="00465108"/>
    <w:rsid w:val="00466E58"/>
    <w:rsid w:val="0046786C"/>
    <w:rsid w:val="00467CFD"/>
    <w:rsid w:val="004706BE"/>
    <w:rsid w:val="0047200F"/>
    <w:rsid w:val="004721ED"/>
    <w:rsid w:val="00473374"/>
    <w:rsid w:val="0047421A"/>
    <w:rsid w:val="00475752"/>
    <w:rsid w:val="00477344"/>
    <w:rsid w:val="00477549"/>
    <w:rsid w:val="00477866"/>
    <w:rsid w:val="004779FD"/>
    <w:rsid w:val="00477F01"/>
    <w:rsid w:val="00480426"/>
    <w:rsid w:val="00480977"/>
    <w:rsid w:val="00481299"/>
    <w:rsid w:val="00481409"/>
    <w:rsid w:val="00481963"/>
    <w:rsid w:val="00484579"/>
    <w:rsid w:val="0048559B"/>
    <w:rsid w:val="004871AE"/>
    <w:rsid w:val="00490107"/>
    <w:rsid w:val="0049039B"/>
    <w:rsid w:val="00490C85"/>
    <w:rsid w:val="004919F1"/>
    <w:rsid w:val="00492024"/>
    <w:rsid w:val="00492A8C"/>
    <w:rsid w:val="00493DB1"/>
    <w:rsid w:val="0049608D"/>
    <w:rsid w:val="00496B9D"/>
    <w:rsid w:val="00496D97"/>
    <w:rsid w:val="004A22C4"/>
    <w:rsid w:val="004A3520"/>
    <w:rsid w:val="004A380E"/>
    <w:rsid w:val="004A3C2B"/>
    <w:rsid w:val="004A3EC1"/>
    <w:rsid w:val="004A48D2"/>
    <w:rsid w:val="004A4A47"/>
    <w:rsid w:val="004A4BD9"/>
    <w:rsid w:val="004A57B8"/>
    <w:rsid w:val="004A670E"/>
    <w:rsid w:val="004B0DEB"/>
    <w:rsid w:val="004B1339"/>
    <w:rsid w:val="004B3146"/>
    <w:rsid w:val="004B3B04"/>
    <w:rsid w:val="004B478F"/>
    <w:rsid w:val="004B49B5"/>
    <w:rsid w:val="004B4B0D"/>
    <w:rsid w:val="004B64ED"/>
    <w:rsid w:val="004B7A56"/>
    <w:rsid w:val="004C0ED0"/>
    <w:rsid w:val="004C1461"/>
    <w:rsid w:val="004C1623"/>
    <w:rsid w:val="004C24F3"/>
    <w:rsid w:val="004C4246"/>
    <w:rsid w:val="004C5503"/>
    <w:rsid w:val="004C59BC"/>
    <w:rsid w:val="004C7AA1"/>
    <w:rsid w:val="004D061B"/>
    <w:rsid w:val="004D18C9"/>
    <w:rsid w:val="004D2D92"/>
    <w:rsid w:val="004D5B75"/>
    <w:rsid w:val="004D6AA7"/>
    <w:rsid w:val="004D74BD"/>
    <w:rsid w:val="004E1987"/>
    <w:rsid w:val="004E2747"/>
    <w:rsid w:val="004E2996"/>
    <w:rsid w:val="004E2BF5"/>
    <w:rsid w:val="004E2DFF"/>
    <w:rsid w:val="004E3677"/>
    <w:rsid w:val="004E6A0C"/>
    <w:rsid w:val="004E7A95"/>
    <w:rsid w:val="004F09E6"/>
    <w:rsid w:val="004F0A4B"/>
    <w:rsid w:val="004F1935"/>
    <w:rsid w:val="004F1B81"/>
    <w:rsid w:val="004F2AF9"/>
    <w:rsid w:val="004F33D5"/>
    <w:rsid w:val="004F455E"/>
    <w:rsid w:val="004F5895"/>
    <w:rsid w:val="004F6F26"/>
    <w:rsid w:val="0050026A"/>
    <w:rsid w:val="005002A4"/>
    <w:rsid w:val="005010B6"/>
    <w:rsid w:val="005028C7"/>
    <w:rsid w:val="005029FA"/>
    <w:rsid w:val="00504E13"/>
    <w:rsid w:val="0050544D"/>
    <w:rsid w:val="00505C3A"/>
    <w:rsid w:val="0050754F"/>
    <w:rsid w:val="005110A1"/>
    <w:rsid w:val="00511A1F"/>
    <w:rsid w:val="00512064"/>
    <w:rsid w:val="005128A9"/>
    <w:rsid w:val="00512B4B"/>
    <w:rsid w:val="00512E05"/>
    <w:rsid w:val="005130EB"/>
    <w:rsid w:val="00513DD1"/>
    <w:rsid w:val="0051415B"/>
    <w:rsid w:val="0051443D"/>
    <w:rsid w:val="00514C5F"/>
    <w:rsid w:val="00515A6F"/>
    <w:rsid w:val="00517410"/>
    <w:rsid w:val="00517E89"/>
    <w:rsid w:val="00520790"/>
    <w:rsid w:val="005209F3"/>
    <w:rsid w:val="00521557"/>
    <w:rsid w:val="0052190C"/>
    <w:rsid w:val="00524CBE"/>
    <w:rsid w:val="005252B5"/>
    <w:rsid w:val="00525366"/>
    <w:rsid w:val="00525883"/>
    <w:rsid w:val="00530D7A"/>
    <w:rsid w:val="00531192"/>
    <w:rsid w:val="005311DE"/>
    <w:rsid w:val="005318DD"/>
    <w:rsid w:val="0053209F"/>
    <w:rsid w:val="00537B67"/>
    <w:rsid w:val="005433BB"/>
    <w:rsid w:val="00545F7C"/>
    <w:rsid w:val="00546509"/>
    <w:rsid w:val="0054681C"/>
    <w:rsid w:val="00546FE9"/>
    <w:rsid w:val="00550B60"/>
    <w:rsid w:val="00550F18"/>
    <w:rsid w:val="00551258"/>
    <w:rsid w:val="0055145A"/>
    <w:rsid w:val="00552318"/>
    <w:rsid w:val="00554528"/>
    <w:rsid w:val="00555DAF"/>
    <w:rsid w:val="00556040"/>
    <w:rsid w:val="00557875"/>
    <w:rsid w:val="00557B32"/>
    <w:rsid w:val="005611A4"/>
    <w:rsid w:val="00561EC0"/>
    <w:rsid w:val="00562537"/>
    <w:rsid w:val="0056355A"/>
    <w:rsid w:val="00563863"/>
    <w:rsid w:val="00564C05"/>
    <w:rsid w:val="005658AB"/>
    <w:rsid w:val="00566E8E"/>
    <w:rsid w:val="00570032"/>
    <w:rsid w:val="005704A9"/>
    <w:rsid w:val="00572888"/>
    <w:rsid w:val="00572CCA"/>
    <w:rsid w:val="00573A09"/>
    <w:rsid w:val="00573B8E"/>
    <w:rsid w:val="00576BB1"/>
    <w:rsid w:val="00576DA7"/>
    <w:rsid w:val="0058057C"/>
    <w:rsid w:val="00580D4C"/>
    <w:rsid w:val="00581644"/>
    <w:rsid w:val="0058491E"/>
    <w:rsid w:val="0058570D"/>
    <w:rsid w:val="00586FEF"/>
    <w:rsid w:val="00587246"/>
    <w:rsid w:val="005918B4"/>
    <w:rsid w:val="00592E8D"/>
    <w:rsid w:val="00593023"/>
    <w:rsid w:val="00595212"/>
    <w:rsid w:val="005964FC"/>
    <w:rsid w:val="00596624"/>
    <w:rsid w:val="005968E3"/>
    <w:rsid w:val="00597A59"/>
    <w:rsid w:val="005A008A"/>
    <w:rsid w:val="005A1303"/>
    <w:rsid w:val="005A2AEB"/>
    <w:rsid w:val="005A31AE"/>
    <w:rsid w:val="005A32D0"/>
    <w:rsid w:val="005A41F0"/>
    <w:rsid w:val="005A4F45"/>
    <w:rsid w:val="005B07A5"/>
    <w:rsid w:val="005B1DA0"/>
    <w:rsid w:val="005B2D34"/>
    <w:rsid w:val="005B494E"/>
    <w:rsid w:val="005B4CBE"/>
    <w:rsid w:val="005B6271"/>
    <w:rsid w:val="005B62F9"/>
    <w:rsid w:val="005B7DAC"/>
    <w:rsid w:val="005C34AD"/>
    <w:rsid w:val="005C3DB0"/>
    <w:rsid w:val="005C4223"/>
    <w:rsid w:val="005C4B77"/>
    <w:rsid w:val="005C591F"/>
    <w:rsid w:val="005C5AEC"/>
    <w:rsid w:val="005C7150"/>
    <w:rsid w:val="005C7494"/>
    <w:rsid w:val="005D0662"/>
    <w:rsid w:val="005D1C43"/>
    <w:rsid w:val="005D36A3"/>
    <w:rsid w:val="005D3A6A"/>
    <w:rsid w:val="005D405C"/>
    <w:rsid w:val="005D470B"/>
    <w:rsid w:val="005D4B2E"/>
    <w:rsid w:val="005E0892"/>
    <w:rsid w:val="005E0A76"/>
    <w:rsid w:val="005E11A4"/>
    <w:rsid w:val="005E120A"/>
    <w:rsid w:val="005E135E"/>
    <w:rsid w:val="005E13A1"/>
    <w:rsid w:val="005E1BFE"/>
    <w:rsid w:val="005E40E4"/>
    <w:rsid w:val="005E65C0"/>
    <w:rsid w:val="005F032A"/>
    <w:rsid w:val="005F0E10"/>
    <w:rsid w:val="005F3B24"/>
    <w:rsid w:val="005F4A51"/>
    <w:rsid w:val="005F4FCA"/>
    <w:rsid w:val="005F5B7A"/>
    <w:rsid w:val="005F5FD4"/>
    <w:rsid w:val="006011AB"/>
    <w:rsid w:val="006019E7"/>
    <w:rsid w:val="0060217F"/>
    <w:rsid w:val="006036DA"/>
    <w:rsid w:val="00604391"/>
    <w:rsid w:val="0060478F"/>
    <w:rsid w:val="00604B78"/>
    <w:rsid w:val="006056E0"/>
    <w:rsid w:val="0060608A"/>
    <w:rsid w:val="00607865"/>
    <w:rsid w:val="0061114C"/>
    <w:rsid w:val="006112E4"/>
    <w:rsid w:val="00611427"/>
    <w:rsid w:val="00611F57"/>
    <w:rsid w:val="00612BC1"/>
    <w:rsid w:val="00613475"/>
    <w:rsid w:val="00613BC0"/>
    <w:rsid w:val="00614400"/>
    <w:rsid w:val="0061467C"/>
    <w:rsid w:val="00615820"/>
    <w:rsid w:val="00615F27"/>
    <w:rsid w:val="006160CA"/>
    <w:rsid w:val="0061749E"/>
    <w:rsid w:val="006177E9"/>
    <w:rsid w:val="006203CA"/>
    <w:rsid w:val="00621405"/>
    <w:rsid w:val="0062226E"/>
    <w:rsid w:val="00623E03"/>
    <w:rsid w:val="00624FC6"/>
    <w:rsid w:val="006270BD"/>
    <w:rsid w:val="00627671"/>
    <w:rsid w:val="006309FF"/>
    <w:rsid w:val="00630E1B"/>
    <w:rsid w:val="00631449"/>
    <w:rsid w:val="006336F6"/>
    <w:rsid w:val="006349F4"/>
    <w:rsid w:val="00635B4A"/>
    <w:rsid w:val="00635BCE"/>
    <w:rsid w:val="00637436"/>
    <w:rsid w:val="006374FC"/>
    <w:rsid w:val="00637674"/>
    <w:rsid w:val="006377C5"/>
    <w:rsid w:val="00637BC0"/>
    <w:rsid w:val="00640273"/>
    <w:rsid w:val="00640395"/>
    <w:rsid w:val="0064142E"/>
    <w:rsid w:val="00641F1D"/>
    <w:rsid w:val="00641FCA"/>
    <w:rsid w:val="00642188"/>
    <w:rsid w:val="00642CFA"/>
    <w:rsid w:val="0064301C"/>
    <w:rsid w:val="00643D19"/>
    <w:rsid w:val="0064406A"/>
    <w:rsid w:val="00644093"/>
    <w:rsid w:val="006460F6"/>
    <w:rsid w:val="00646764"/>
    <w:rsid w:val="00646C57"/>
    <w:rsid w:val="00647540"/>
    <w:rsid w:val="00650336"/>
    <w:rsid w:val="0065205C"/>
    <w:rsid w:val="006524CF"/>
    <w:rsid w:val="00654A89"/>
    <w:rsid w:val="00656FAD"/>
    <w:rsid w:val="00657300"/>
    <w:rsid w:val="006607E6"/>
    <w:rsid w:val="00661504"/>
    <w:rsid w:val="00662116"/>
    <w:rsid w:val="00663609"/>
    <w:rsid w:val="0066372E"/>
    <w:rsid w:val="00665291"/>
    <w:rsid w:val="006658E5"/>
    <w:rsid w:val="00665F8F"/>
    <w:rsid w:val="00666B29"/>
    <w:rsid w:val="00666E80"/>
    <w:rsid w:val="00667330"/>
    <w:rsid w:val="00670D3A"/>
    <w:rsid w:val="00671270"/>
    <w:rsid w:val="006713C0"/>
    <w:rsid w:val="00672925"/>
    <w:rsid w:val="00672AB6"/>
    <w:rsid w:val="00674424"/>
    <w:rsid w:val="006751AA"/>
    <w:rsid w:val="006751D9"/>
    <w:rsid w:val="00675A7B"/>
    <w:rsid w:val="0067688B"/>
    <w:rsid w:val="00677CE8"/>
    <w:rsid w:val="00680B23"/>
    <w:rsid w:val="00680C2F"/>
    <w:rsid w:val="00681172"/>
    <w:rsid w:val="00682F1E"/>
    <w:rsid w:val="0068438A"/>
    <w:rsid w:val="00684A56"/>
    <w:rsid w:val="00685A20"/>
    <w:rsid w:val="00685D21"/>
    <w:rsid w:val="00685F99"/>
    <w:rsid w:val="00687867"/>
    <w:rsid w:val="00687EA8"/>
    <w:rsid w:val="006906E1"/>
    <w:rsid w:val="00690A66"/>
    <w:rsid w:val="00691140"/>
    <w:rsid w:val="00692F91"/>
    <w:rsid w:val="00692FCF"/>
    <w:rsid w:val="006943BE"/>
    <w:rsid w:val="00694D67"/>
    <w:rsid w:val="00694E93"/>
    <w:rsid w:val="0069528C"/>
    <w:rsid w:val="0069655E"/>
    <w:rsid w:val="00696C3D"/>
    <w:rsid w:val="00697B8A"/>
    <w:rsid w:val="006A0067"/>
    <w:rsid w:val="006A0123"/>
    <w:rsid w:val="006A14B8"/>
    <w:rsid w:val="006A1A5C"/>
    <w:rsid w:val="006A6382"/>
    <w:rsid w:val="006A647E"/>
    <w:rsid w:val="006A70F9"/>
    <w:rsid w:val="006A76F4"/>
    <w:rsid w:val="006B0883"/>
    <w:rsid w:val="006B0998"/>
    <w:rsid w:val="006B0C96"/>
    <w:rsid w:val="006B187A"/>
    <w:rsid w:val="006B1F11"/>
    <w:rsid w:val="006B3884"/>
    <w:rsid w:val="006B4AC4"/>
    <w:rsid w:val="006B5FA7"/>
    <w:rsid w:val="006C187A"/>
    <w:rsid w:val="006C3BB9"/>
    <w:rsid w:val="006D2EE6"/>
    <w:rsid w:val="006D4B3B"/>
    <w:rsid w:val="006D4E76"/>
    <w:rsid w:val="006D6276"/>
    <w:rsid w:val="006D64EC"/>
    <w:rsid w:val="006D66E7"/>
    <w:rsid w:val="006E0A08"/>
    <w:rsid w:val="006E0D75"/>
    <w:rsid w:val="006E1169"/>
    <w:rsid w:val="006E15FF"/>
    <w:rsid w:val="006E5067"/>
    <w:rsid w:val="006E5F04"/>
    <w:rsid w:val="006E72DE"/>
    <w:rsid w:val="006E794F"/>
    <w:rsid w:val="006E7F71"/>
    <w:rsid w:val="006F0617"/>
    <w:rsid w:val="006F0BA6"/>
    <w:rsid w:val="006F1105"/>
    <w:rsid w:val="006F1AB0"/>
    <w:rsid w:val="006F2393"/>
    <w:rsid w:val="006F3194"/>
    <w:rsid w:val="006F3992"/>
    <w:rsid w:val="006F45F1"/>
    <w:rsid w:val="006F48CB"/>
    <w:rsid w:val="006F7299"/>
    <w:rsid w:val="006F7D6E"/>
    <w:rsid w:val="00700112"/>
    <w:rsid w:val="0070019B"/>
    <w:rsid w:val="00700F84"/>
    <w:rsid w:val="007010F6"/>
    <w:rsid w:val="0070190A"/>
    <w:rsid w:val="0070369D"/>
    <w:rsid w:val="00705BB0"/>
    <w:rsid w:val="007067FE"/>
    <w:rsid w:val="00706CAD"/>
    <w:rsid w:val="00706D70"/>
    <w:rsid w:val="00710444"/>
    <w:rsid w:val="007104ED"/>
    <w:rsid w:val="0071171C"/>
    <w:rsid w:val="00713CF6"/>
    <w:rsid w:val="00715EE3"/>
    <w:rsid w:val="00716EFE"/>
    <w:rsid w:val="007176C3"/>
    <w:rsid w:val="00720A8B"/>
    <w:rsid w:val="00721D57"/>
    <w:rsid w:val="00722B32"/>
    <w:rsid w:val="0072325F"/>
    <w:rsid w:val="0072426C"/>
    <w:rsid w:val="0072530F"/>
    <w:rsid w:val="0072540C"/>
    <w:rsid w:val="0072553F"/>
    <w:rsid w:val="00725C18"/>
    <w:rsid w:val="00726EC3"/>
    <w:rsid w:val="00727410"/>
    <w:rsid w:val="00731400"/>
    <w:rsid w:val="00731665"/>
    <w:rsid w:val="00732F01"/>
    <w:rsid w:val="00736637"/>
    <w:rsid w:val="00736FDD"/>
    <w:rsid w:val="00740545"/>
    <w:rsid w:val="00740573"/>
    <w:rsid w:val="00741815"/>
    <w:rsid w:val="00742CB6"/>
    <w:rsid w:val="007439AD"/>
    <w:rsid w:val="007468E9"/>
    <w:rsid w:val="00746EBE"/>
    <w:rsid w:val="00750AEC"/>
    <w:rsid w:val="00750B23"/>
    <w:rsid w:val="00751927"/>
    <w:rsid w:val="00752523"/>
    <w:rsid w:val="00752905"/>
    <w:rsid w:val="00753847"/>
    <w:rsid w:val="007546F8"/>
    <w:rsid w:val="007556B7"/>
    <w:rsid w:val="007562B2"/>
    <w:rsid w:val="007573E1"/>
    <w:rsid w:val="007577D6"/>
    <w:rsid w:val="00761982"/>
    <w:rsid w:val="00761E32"/>
    <w:rsid w:val="007629F5"/>
    <w:rsid w:val="00762A6C"/>
    <w:rsid w:val="00763A77"/>
    <w:rsid w:val="00764BDA"/>
    <w:rsid w:val="00767183"/>
    <w:rsid w:val="00767FAB"/>
    <w:rsid w:val="00771E36"/>
    <w:rsid w:val="007723C5"/>
    <w:rsid w:val="00772895"/>
    <w:rsid w:val="007749CC"/>
    <w:rsid w:val="00774FE2"/>
    <w:rsid w:val="00776721"/>
    <w:rsid w:val="007806B4"/>
    <w:rsid w:val="00781C39"/>
    <w:rsid w:val="00784253"/>
    <w:rsid w:val="00786255"/>
    <w:rsid w:val="00793724"/>
    <w:rsid w:val="00793C93"/>
    <w:rsid w:val="007960FD"/>
    <w:rsid w:val="007961A0"/>
    <w:rsid w:val="0079793D"/>
    <w:rsid w:val="007A0DD2"/>
    <w:rsid w:val="007A19C9"/>
    <w:rsid w:val="007A222B"/>
    <w:rsid w:val="007A2EAD"/>
    <w:rsid w:val="007A2F5E"/>
    <w:rsid w:val="007A3BCA"/>
    <w:rsid w:val="007A634B"/>
    <w:rsid w:val="007A6C38"/>
    <w:rsid w:val="007A7E57"/>
    <w:rsid w:val="007A7EFB"/>
    <w:rsid w:val="007B1219"/>
    <w:rsid w:val="007B1FC6"/>
    <w:rsid w:val="007B293E"/>
    <w:rsid w:val="007B2DD6"/>
    <w:rsid w:val="007B4418"/>
    <w:rsid w:val="007B520A"/>
    <w:rsid w:val="007B594C"/>
    <w:rsid w:val="007B6A18"/>
    <w:rsid w:val="007B753F"/>
    <w:rsid w:val="007C342F"/>
    <w:rsid w:val="007C3C76"/>
    <w:rsid w:val="007C48CB"/>
    <w:rsid w:val="007C53C2"/>
    <w:rsid w:val="007C781B"/>
    <w:rsid w:val="007D01D9"/>
    <w:rsid w:val="007D02BD"/>
    <w:rsid w:val="007D067E"/>
    <w:rsid w:val="007D0EA5"/>
    <w:rsid w:val="007D28D6"/>
    <w:rsid w:val="007D377C"/>
    <w:rsid w:val="007D5320"/>
    <w:rsid w:val="007D644C"/>
    <w:rsid w:val="007E06F0"/>
    <w:rsid w:val="007E1325"/>
    <w:rsid w:val="007E15BB"/>
    <w:rsid w:val="007E2DB7"/>
    <w:rsid w:val="007E35CF"/>
    <w:rsid w:val="007E3EA9"/>
    <w:rsid w:val="007E7514"/>
    <w:rsid w:val="007E7607"/>
    <w:rsid w:val="007E7AED"/>
    <w:rsid w:val="007F03B3"/>
    <w:rsid w:val="007F1431"/>
    <w:rsid w:val="007F1713"/>
    <w:rsid w:val="007F2074"/>
    <w:rsid w:val="007F3765"/>
    <w:rsid w:val="007F655D"/>
    <w:rsid w:val="007F65E5"/>
    <w:rsid w:val="007F7A3C"/>
    <w:rsid w:val="00800EA9"/>
    <w:rsid w:val="008019B4"/>
    <w:rsid w:val="00802608"/>
    <w:rsid w:val="00802632"/>
    <w:rsid w:val="008028C6"/>
    <w:rsid w:val="0080375F"/>
    <w:rsid w:val="00805C96"/>
    <w:rsid w:val="00806AC1"/>
    <w:rsid w:val="00807C78"/>
    <w:rsid w:val="008104AB"/>
    <w:rsid w:val="00812316"/>
    <w:rsid w:val="00812BB6"/>
    <w:rsid w:val="00813883"/>
    <w:rsid w:val="0081411E"/>
    <w:rsid w:val="00814AF5"/>
    <w:rsid w:val="008171DB"/>
    <w:rsid w:val="00817A76"/>
    <w:rsid w:val="008202E9"/>
    <w:rsid w:val="0082237A"/>
    <w:rsid w:val="00822DB1"/>
    <w:rsid w:val="008230D1"/>
    <w:rsid w:val="008250E0"/>
    <w:rsid w:val="00825EBF"/>
    <w:rsid w:val="00826810"/>
    <w:rsid w:val="00826DB5"/>
    <w:rsid w:val="00827A4F"/>
    <w:rsid w:val="00827BBD"/>
    <w:rsid w:val="008325E6"/>
    <w:rsid w:val="00832781"/>
    <w:rsid w:val="00832DC2"/>
    <w:rsid w:val="008333D4"/>
    <w:rsid w:val="00834115"/>
    <w:rsid w:val="008357FA"/>
    <w:rsid w:val="0084074C"/>
    <w:rsid w:val="008411A0"/>
    <w:rsid w:val="00842736"/>
    <w:rsid w:val="00843CE6"/>
    <w:rsid w:val="0084723B"/>
    <w:rsid w:val="008510A7"/>
    <w:rsid w:val="00851627"/>
    <w:rsid w:val="00851FD8"/>
    <w:rsid w:val="00852907"/>
    <w:rsid w:val="00852C5D"/>
    <w:rsid w:val="00852C95"/>
    <w:rsid w:val="0085393C"/>
    <w:rsid w:val="0085442D"/>
    <w:rsid w:val="008549AD"/>
    <w:rsid w:val="00860984"/>
    <w:rsid w:val="008610B2"/>
    <w:rsid w:val="0086117E"/>
    <w:rsid w:val="00862065"/>
    <w:rsid w:val="00863099"/>
    <w:rsid w:val="00863DF8"/>
    <w:rsid w:val="00865F0E"/>
    <w:rsid w:val="00866B66"/>
    <w:rsid w:val="00867248"/>
    <w:rsid w:val="00867353"/>
    <w:rsid w:val="008673B1"/>
    <w:rsid w:val="0086750D"/>
    <w:rsid w:val="00867BF9"/>
    <w:rsid w:val="00867D52"/>
    <w:rsid w:val="00870159"/>
    <w:rsid w:val="0087215F"/>
    <w:rsid w:val="008734DF"/>
    <w:rsid w:val="00873E1E"/>
    <w:rsid w:val="008752F4"/>
    <w:rsid w:val="00875AA5"/>
    <w:rsid w:val="00880340"/>
    <w:rsid w:val="00880446"/>
    <w:rsid w:val="0088129F"/>
    <w:rsid w:val="00881C17"/>
    <w:rsid w:val="00883080"/>
    <w:rsid w:val="008837F1"/>
    <w:rsid w:val="008845A9"/>
    <w:rsid w:val="00884ABA"/>
    <w:rsid w:val="008861D6"/>
    <w:rsid w:val="00887029"/>
    <w:rsid w:val="00891C71"/>
    <w:rsid w:val="00893044"/>
    <w:rsid w:val="00893F52"/>
    <w:rsid w:val="00894FA1"/>
    <w:rsid w:val="00895855"/>
    <w:rsid w:val="00896B74"/>
    <w:rsid w:val="00897508"/>
    <w:rsid w:val="008976D1"/>
    <w:rsid w:val="00897E36"/>
    <w:rsid w:val="008A0CC4"/>
    <w:rsid w:val="008A0F0B"/>
    <w:rsid w:val="008A1C79"/>
    <w:rsid w:val="008A313F"/>
    <w:rsid w:val="008A49F7"/>
    <w:rsid w:val="008A5658"/>
    <w:rsid w:val="008A567C"/>
    <w:rsid w:val="008A6929"/>
    <w:rsid w:val="008A6A86"/>
    <w:rsid w:val="008B00ED"/>
    <w:rsid w:val="008B03C1"/>
    <w:rsid w:val="008B0941"/>
    <w:rsid w:val="008B2372"/>
    <w:rsid w:val="008B24CE"/>
    <w:rsid w:val="008B2C08"/>
    <w:rsid w:val="008B3A3E"/>
    <w:rsid w:val="008B3EF1"/>
    <w:rsid w:val="008B4169"/>
    <w:rsid w:val="008B4929"/>
    <w:rsid w:val="008B6897"/>
    <w:rsid w:val="008B70D9"/>
    <w:rsid w:val="008B753B"/>
    <w:rsid w:val="008C07B2"/>
    <w:rsid w:val="008C13AE"/>
    <w:rsid w:val="008C1E1D"/>
    <w:rsid w:val="008C2007"/>
    <w:rsid w:val="008C2CB4"/>
    <w:rsid w:val="008C54C0"/>
    <w:rsid w:val="008C559D"/>
    <w:rsid w:val="008C7E4A"/>
    <w:rsid w:val="008D02DF"/>
    <w:rsid w:val="008D0BF3"/>
    <w:rsid w:val="008D357D"/>
    <w:rsid w:val="008D42BC"/>
    <w:rsid w:val="008D5A2C"/>
    <w:rsid w:val="008D74CE"/>
    <w:rsid w:val="008D7DC9"/>
    <w:rsid w:val="008E046C"/>
    <w:rsid w:val="008E23CB"/>
    <w:rsid w:val="008E409D"/>
    <w:rsid w:val="008E410A"/>
    <w:rsid w:val="008E457B"/>
    <w:rsid w:val="008E65DF"/>
    <w:rsid w:val="008E7116"/>
    <w:rsid w:val="008E79D7"/>
    <w:rsid w:val="008E7E86"/>
    <w:rsid w:val="008F3272"/>
    <w:rsid w:val="008F366C"/>
    <w:rsid w:val="008F5057"/>
    <w:rsid w:val="008F5200"/>
    <w:rsid w:val="008F5DBD"/>
    <w:rsid w:val="009005F0"/>
    <w:rsid w:val="00903553"/>
    <w:rsid w:val="00903823"/>
    <w:rsid w:val="0090428F"/>
    <w:rsid w:val="00904566"/>
    <w:rsid w:val="00904C81"/>
    <w:rsid w:val="0090575F"/>
    <w:rsid w:val="00906106"/>
    <w:rsid w:val="00910A3C"/>
    <w:rsid w:val="009122A9"/>
    <w:rsid w:val="0091253C"/>
    <w:rsid w:val="00915CC2"/>
    <w:rsid w:val="009167D5"/>
    <w:rsid w:val="00916B81"/>
    <w:rsid w:val="00917961"/>
    <w:rsid w:val="009209E4"/>
    <w:rsid w:val="00921E1F"/>
    <w:rsid w:val="00922AF0"/>
    <w:rsid w:val="00923B62"/>
    <w:rsid w:val="00924815"/>
    <w:rsid w:val="00925654"/>
    <w:rsid w:val="0092599C"/>
    <w:rsid w:val="00926371"/>
    <w:rsid w:val="00927A68"/>
    <w:rsid w:val="00930627"/>
    <w:rsid w:val="00931973"/>
    <w:rsid w:val="009364D9"/>
    <w:rsid w:val="00936AAA"/>
    <w:rsid w:val="00936CB0"/>
    <w:rsid w:val="009402A0"/>
    <w:rsid w:val="0094460F"/>
    <w:rsid w:val="0094565E"/>
    <w:rsid w:val="00945750"/>
    <w:rsid w:val="009475F7"/>
    <w:rsid w:val="00947A23"/>
    <w:rsid w:val="00950391"/>
    <w:rsid w:val="0095211A"/>
    <w:rsid w:val="009568E7"/>
    <w:rsid w:val="00956FA6"/>
    <w:rsid w:val="009575DD"/>
    <w:rsid w:val="009577E4"/>
    <w:rsid w:val="00960BE6"/>
    <w:rsid w:val="0096287F"/>
    <w:rsid w:val="00962A53"/>
    <w:rsid w:val="00962FC7"/>
    <w:rsid w:val="00963916"/>
    <w:rsid w:val="009642E1"/>
    <w:rsid w:val="00964A21"/>
    <w:rsid w:val="00964B18"/>
    <w:rsid w:val="00966FBB"/>
    <w:rsid w:val="009711B5"/>
    <w:rsid w:val="00971C00"/>
    <w:rsid w:val="0097245C"/>
    <w:rsid w:val="00972EC5"/>
    <w:rsid w:val="0097359D"/>
    <w:rsid w:val="00974409"/>
    <w:rsid w:val="00976D04"/>
    <w:rsid w:val="009771C5"/>
    <w:rsid w:val="009775B9"/>
    <w:rsid w:val="009801B7"/>
    <w:rsid w:val="0098253A"/>
    <w:rsid w:val="00982D08"/>
    <w:rsid w:val="00983687"/>
    <w:rsid w:val="00985F09"/>
    <w:rsid w:val="00986E1D"/>
    <w:rsid w:val="00987249"/>
    <w:rsid w:val="00987525"/>
    <w:rsid w:val="009900BF"/>
    <w:rsid w:val="0099128E"/>
    <w:rsid w:val="00991B10"/>
    <w:rsid w:val="00991EA4"/>
    <w:rsid w:val="0099231D"/>
    <w:rsid w:val="009924B6"/>
    <w:rsid w:val="00992FB1"/>
    <w:rsid w:val="00993297"/>
    <w:rsid w:val="00994620"/>
    <w:rsid w:val="009946A7"/>
    <w:rsid w:val="00994AEC"/>
    <w:rsid w:val="00995ACC"/>
    <w:rsid w:val="00996624"/>
    <w:rsid w:val="009A0503"/>
    <w:rsid w:val="009A12DB"/>
    <w:rsid w:val="009A2144"/>
    <w:rsid w:val="009A4927"/>
    <w:rsid w:val="009A509C"/>
    <w:rsid w:val="009A57B6"/>
    <w:rsid w:val="009A5B02"/>
    <w:rsid w:val="009A7A56"/>
    <w:rsid w:val="009B09C2"/>
    <w:rsid w:val="009B1993"/>
    <w:rsid w:val="009B3537"/>
    <w:rsid w:val="009B3E02"/>
    <w:rsid w:val="009B4997"/>
    <w:rsid w:val="009B4B62"/>
    <w:rsid w:val="009B5B91"/>
    <w:rsid w:val="009B5D11"/>
    <w:rsid w:val="009B5E59"/>
    <w:rsid w:val="009B6A78"/>
    <w:rsid w:val="009B7FE4"/>
    <w:rsid w:val="009C007B"/>
    <w:rsid w:val="009C0181"/>
    <w:rsid w:val="009C4337"/>
    <w:rsid w:val="009C4BB4"/>
    <w:rsid w:val="009C5117"/>
    <w:rsid w:val="009C65C2"/>
    <w:rsid w:val="009C661C"/>
    <w:rsid w:val="009D1CD7"/>
    <w:rsid w:val="009D1FD4"/>
    <w:rsid w:val="009D247E"/>
    <w:rsid w:val="009D33E6"/>
    <w:rsid w:val="009D34D5"/>
    <w:rsid w:val="009D351F"/>
    <w:rsid w:val="009D3868"/>
    <w:rsid w:val="009D3A58"/>
    <w:rsid w:val="009D4341"/>
    <w:rsid w:val="009D6F07"/>
    <w:rsid w:val="009D7CB8"/>
    <w:rsid w:val="009E04D9"/>
    <w:rsid w:val="009E1389"/>
    <w:rsid w:val="009E33DA"/>
    <w:rsid w:val="009E34C8"/>
    <w:rsid w:val="009E48EA"/>
    <w:rsid w:val="009E580B"/>
    <w:rsid w:val="009E5AA0"/>
    <w:rsid w:val="009E6DC2"/>
    <w:rsid w:val="009E7E96"/>
    <w:rsid w:val="009F158E"/>
    <w:rsid w:val="009F1834"/>
    <w:rsid w:val="009F29AE"/>
    <w:rsid w:val="009F425A"/>
    <w:rsid w:val="009F4D35"/>
    <w:rsid w:val="009F68AB"/>
    <w:rsid w:val="009F6B99"/>
    <w:rsid w:val="009F7B82"/>
    <w:rsid w:val="009F7FEF"/>
    <w:rsid w:val="00A013A5"/>
    <w:rsid w:val="00A02E20"/>
    <w:rsid w:val="00A03EBE"/>
    <w:rsid w:val="00A05447"/>
    <w:rsid w:val="00A10547"/>
    <w:rsid w:val="00A10FF9"/>
    <w:rsid w:val="00A12564"/>
    <w:rsid w:val="00A13E20"/>
    <w:rsid w:val="00A1402E"/>
    <w:rsid w:val="00A15133"/>
    <w:rsid w:val="00A15214"/>
    <w:rsid w:val="00A1639C"/>
    <w:rsid w:val="00A16EF2"/>
    <w:rsid w:val="00A173B6"/>
    <w:rsid w:val="00A223E6"/>
    <w:rsid w:val="00A22B2A"/>
    <w:rsid w:val="00A2345F"/>
    <w:rsid w:val="00A23836"/>
    <w:rsid w:val="00A24613"/>
    <w:rsid w:val="00A24A87"/>
    <w:rsid w:val="00A27C77"/>
    <w:rsid w:val="00A30CCF"/>
    <w:rsid w:val="00A31DAD"/>
    <w:rsid w:val="00A32159"/>
    <w:rsid w:val="00A32225"/>
    <w:rsid w:val="00A32EE4"/>
    <w:rsid w:val="00A343E2"/>
    <w:rsid w:val="00A37A11"/>
    <w:rsid w:val="00A40096"/>
    <w:rsid w:val="00A4222F"/>
    <w:rsid w:val="00A4336D"/>
    <w:rsid w:val="00A4474C"/>
    <w:rsid w:val="00A51A77"/>
    <w:rsid w:val="00A55CF6"/>
    <w:rsid w:val="00A57662"/>
    <w:rsid w:val="00A576C4"/>
    <w:rsid w:val="00A63D39"/>
    <w:rsid w:val="00A64413"/>
    <w:rsid w:val="00A64C88"/>
    <w:rsid w:val="00A67C3D"/>
    <w:rsid w:val="00A708FC"/>
    <w:rsid w:val="00A720C7"/>
    <w:rsid w:val="00A723DF"/>
    <w:rsid w:val="00A72DF4"/>
    <w:rsid w:val="00A74A78"/>
    <w:rsid w:val="00A77132"/>
    <w:rsid w:val="00A77740"/>
    <w:rsid w:val="00A82AA8"/>
    <w:rsid w:val="00A8354A"/>
    <w:rsid w:val="00A84106"/>
    <w:rsid w:val="00A84338"/>
    <w:rsid w:val="00A8603F"/>
    <w:rsid w:val="00A91B05"/>
    <w:rsid w:val="00A923EA"/>
    <w:rsid w:val="00A930E7"/>
    <w:rsid w:val="00A93108"/>
    <w:rsid w:val="00A932A6"/>
    <w:rsid w:val="00A942D9"/>
    <w:rsid w:val="00A95F01"/>
    <w:rsid w:val="00AA0A1D"/>
    <w:rsid w:val="00AA1491"/>
    <w:rsid w:val="00AA21D7"/>
    <w:rsid w:val="00AA243E"/>
    <w:rsid w:val="00AA48A6"/>
    <w:rsid w:val="00AA4A3A"/>
    <w:rsid w:val="00AA75A6"/>
    <w:rsid w:val="00AB01F6"/>
    <w:rsid w:val="00AB02DC"/>
    <w:rsid w:val="00AB0516"/>
    <w:rsid w:val="00AB1164"/>
    <w:rsid w:val="00AB2AD7"/>
    <w:rsid w:val="00AB3013"/>
    <w:rsid w:val="00AB30A4"/>
    <w:rsid w:val="00AB3A28"/>
    <w:rsid w:val="00AB435C"/>
    <w:rsid w:val="00AB5C62"/>
    <w:rsid w:val="00AB6366"/>
    <w:rsid w:val="00AB6372"/>
    <w:rsid w:val="00AB7F00"/>
    <w:rsid w:val="00AC17CB"/>
    <w:rsid w:val="00AC1A9E"/>
    <w:rsid w:val="00AC23D0"/>
    <w:rsid w:val="00AC2FBC"/>
    <w:rsid w:val="00AC4964"/>
    <w:rsid w:val="00AC56F7"/>
    <w:rsid w:val="00AC6186"/>
    <w:rsid w:val="00AC67FD"/>
    <w:rsid w:val="00AC6856"/>
    <w:rsid w:val="00AC6B27"/>
    <w:rsid w:val="00AC7402"/>
    <w:rsid w:val="00AC7B79"/>
    <w:rsid w:val="00AD0F0F"/>
    <w:rsid w:val="00AD1881"/>
    <w:rsid w:val="00AD262E"/>
    <w:rsid w:val="00AD2713"/>
    <w:rsid w:val="00AD4978"/>
    <w:rsid w:val="00AD533E"/>
    <w:rsid w:val="00AD68B0"/>
    <w:rsid w:val="00AD7692"/>
    <w:rsid w:val="00AD7E28"/>
    <w:rsid w:val="00AE36B6"/>
    <w:rsid w:val="00AE43AF"/>
    <w:rsid w:val="00AE484F"/>
    <w:rsid w:val="00AE5316"/>
    <w:rsid w:val="00AE5A13"/>
    <w:rsid w:val="00AE744C"/>
    <w:rsid w:val="00AE7E2B"/>
    <w:rsid w:val="00AF0356"/>
    <w:rsid w:val="00AF2077"/>
    <w:rsid w:val="00AF23DB"/>
    <w:rsid w:val="00AF3122"/>
    <w:rsid w:val="00AF4D77"/>
    <w:rsid w:val="00AF7A26"/>
    <w:rsid w:val="00B00436"/>
    <w:rsid w:val="00B00440"/>
    <w:rsid w:val="00B012B9"/>
    <w:rsid w:val="00B01EA0"/>
    <w:rsid w:val="00B01F84"/>
    <w:rsid w:val="00B03AF3"/>
    <w:rsid w:val="00B05898"/>
    <w:rsid w:val="00B07674"/>
    <w:rsid w:val="00B076AF"/>
    <w:rsid w:val="00B07ABC"/>
    <w:rsid w:val="00B07B6A"/>
    <w:rsid w:val="00B10551"/>
    <w:rsid w:val="00B11925"/>
    <w:rsid w:val="00B11C9B"/>
    <w:rsid w:val="00B11D21"/>
    <w:rsid w:val="00B12AAC"/>
    <w:rsid w:val="00B13179"/>
    <w:rsid w:val="00B167AC"/>
    <w:rsid w:val="00B1777F"/>
    <w:rsid w:val="00B20998"/>
    <w:rsid w:val="00B20D24"/>
    <w:rsid w:val="00B212FD"/>
    <w:rsid w:val="00B21645"/>
    <w:rsid w:val="00B22DF6"/>
    <w:rsid w:val="00B254E2"/>
    <w:rsid w:val="00B2671C"/>
    <w:rsid w:val="00B27D1F"/>
    <w:rsid w:val="00B3070B"/>
    <w:rsid w:val="00B31035"/>
    <w:rsid w:val="00B34076"/>
    <w:rsid w:val="00B34320"/>
    <w:rsid w:val="00B34587"/>
    <w:rsid w:val="00B404CD"/>
    <w:rsid w:val="00B41504"/>
    <w:rsid w:val="00B428AB"/>
    <w:rsid w:val="00B43620"/>
    <w:rsid w:val="00B44144"/>
    <w:rsid w:val="00B44FBE"/>
    <w:rsid w:val="00B458A2"/>
    <w:rsid w:val="00B46A5A"/>
    <w:rsid w:val="00B46C58"/>
    <w:rsid w:val="00B523FB"/>
    <w:rsid w:val="00B53E32"/>
    <w:rsid w:val="00B53E56"/>
    <w:rsid w:val="00B55451"/>
    <w:rsid w:val="00B57D01"/>
    <w:rsid w:val="00B61852"/>
    <w:rsid w:val="00B62025"/>
    <w:rsid w:val="00B62090"/>
    <w:rsid w:val="00B64E46"/>
    <w:rsid w:val="00B6570B"/>
    <w:rsid w:val="00B66291"/>
    <w:rsid w:val="00B665AA"/>
    <w:rsid w:val="00B67242"/>
    <w:rsid w:val="00B713CA"/>
    <w:rsid w:val="00B71D28"/>
    <w:rsid w:val="00B73804"/>
    <w:rsid w:val="00B750F9"/>
    <w:rsid w:val="00B7697D"/>
    <w:rsid w:val="00B77794"/>
    <w:rsid w:val="00B84085"/>
    <w:rsid w:val="00B85667"/>
    <w:rsid w:val="00B85D36"/>
    <w:rsid w:val="00B85E22"/>
    <w:rsid w:val="00B85E56"/>
    <w:rsid w:val="00B87658"/>
    <w:rsid w:val="00B87D90"/>
    <w:rsid w:val="00B90606"/>
    <w:rsid w:val="00B9092E"/>
    <w:rsid w:val="00B92201"/>
    <w:rsid w:val="00B92912"/>
    <w:rsid w:val="00B955B5"/>
    <w:rsid w:val="00B95641"/>
    <w:rsid w:val="00B95B48"/>
    <w:rsid w:val="00B95EE4"/>
    <w:rsid w:val="00B97299"/>
    <w:rsid w:val="00B975CD"/>
    <w:rsid w:val="00B9780A"/>
    <w:rsid w:val="00B97E7F"/>
    <w:rsid w:val="00BA0F35"/>
    <w:rsid w:val="00BA1BDF"/>
    <w:rsid w:val="00BA3481"/>
    <w:rsid w:val="00BA556C"/>
    <w:rsid w:val="00BA59E4"/>
    <w:rsid w:val="00BA66E3"/>
    <w:rsid w:val="00BA70E1"/>
    <w:rsid w:val="00BB0179"/>
    <w:rsid w:val="00BB0E24"/>
    <w:rsid w:val="00BB1802"/>
    <w:rsid w:val="00BB198A"/>
    <w:rsid w:val="00BB2C9F"/>
    <w:rsid w:val="00BB605B"/>
    <w:rsid w:val="00BB6381"/>
    <w:rsid w:val="00BB6BB8"/>
    <w:rsid w:val="00BB6EA0"/>
    <w:rsid w:val="00BB713B"/>
    <w:rsid w:val="00BB72B9"/>
    <w:rsid w:val="00BB7BD6"/>
    <w:rsid w:val="00BC1F48"/>
    <w:rsid w:val="00BC4648"/>
    <w:rsid w:val="00BC53E2"/>
    <w:rsid w:val="00BC6667"/>
    <w:rsid w:val="00BD05A3"/>
    <w:rsid w:val="00BD0692"/>
    <w:rsid w:val="00BD118A"/>
    <w:rsid w:val="00BD339D"/>
    <w:rsid w:val="00BD3845"/>
    <w:rsid w:val="00BD6105"/>
    <w:rsid w:val="00BD693D"/>
    <w:rsid w:val="00BD6CD0"/>
    <w:rsid w:val="00BD7267"/>
    <w:rsid w:val="00BE268E"/>
    <w:rsid w:val="00BE2D88"/>
    <w:rsid w:val="00BE5887"/>
    <w:rsid w:val="00BE5E60"/>
    <w:rsid w:val="00BE67E9"/>
    <w:rsid w:val="00BF03CB"/>
    <w:rsid w:val="00BF0911"/>
    <w:rsid w:val="00BF1063"/>
    <w:rsid w:val="00BF198B"/>
    <w:rsid w:val="00BF35D1"/>
    <w:rsid w:val="00BF45F5"/>
    <w:rsid w:val="00BF623F"/>
    <w:rsid w:val="00BF7E1A"/>
    <w:rsid w:val="00C00FB2"/>
    <w:rsid w:val="00C01FFC"/>
    <w:rsid w:val="00C0371A"/>
    <w:rsid w:val="00C040D8"/>
    <w:rsid w:val="00C047C0"/>
    <w:rsid w:val="00C04C3B"/>
    <w:rsid w:val="00C04D6A"/>
    <w:rsid w:val="00C054A8"/>
    <w:rsid w:val="00C07410"/>
    <w:rsid w:val="00C0767E"/>
    <w:rsid w:val="00C07E56"/>
    <w:rsid w:val="00C07FC7"/>
    <w:rsid w:val="00C131FC"/>
    <w:rsid w:val="00C15D27"/>
    <w:rsid w:val="00C15D96"/>
    <w:rsid w:val="00C16578"/>
    <w:rsid w:val="00C22080"/>
    <w:rsid w:val="00C23123"/>
    <w:rsid w:val="00C249DA"/>
    <w:rsid w:val="00C25670"/>
    <w:rsid w:val="00C25994"/>
    <w:rsid w:val="00C27D0E"/>
    <w:rsid w:val="00C3038B"/>
    <w:rsid w:val="00C31507"/>
    <w:rsid w:val="00C35578"/>
    <w:rsid w:val="00C37A3F"/>
    <w:rsid w:val="00C37C2C"/>
    <w:rsid w:val="00C37CCE"/>
    <w:rsid w:val="00C40658"/>
    <w:rsid w:val="00C431A2"/>
    <w:rsid w:val="00C43AFD"/>
    <w:rsid w:val="00C447EF"/>
    <w:rsid w:val="00C454C4"/>
    <w:rsid w:val="00C45731"/>
    <w:rsid w:val="00C465AD"/>
    <w:rsid w:val="00C472E8"/>
    <w:rsid w:val="00C502EE"/>
    <w:rsid w:val="00C50CD3"/>
    <w:rsid w:val="00C51089"/>
    <w:rsid w:val="00C51DA6"/>
    <w:rsid w:val="00C52FFF"/>
    <w:rsid w:val="00C542E4"/>
    <w:rsid w:val="00C55705"/>
    <w:rsid w:val="00C56448"/>
    <w:rsid w:val="00C5739F"/>
    <w:rsid w:val="00C63D6F"/>
    <w:rsid w:val="00C6414D"/>
    <w:rsid w:val="00C67735"/>
    <w:rsid w:val="00C678C7"/>
    <w:rsid w:val="00C714CF"/>
    <w:rsid w:val="00C71970"/>
    <w:rsid w:val="00C7319E"/>
    <w:rsid w:val="00C73208"/>
    <w:rsid w:val="00C738F3"/>
    <w:rsid w:val="00C772CB"/>
    <w:rsid w:val="00C7735B"/>
    <w:rsid w:val="00C81529"/>
    <w:rsid w:val="00C8203B"/>
    <w:rsid w:val="00C8311F"/>
    <w:rsid w:val="00C837C6"/>
    <w:rsid w:val="00C84F3F"/>
    <w:rsid w:val="00C86A1E"/>
    <w:rsid w:val="00C91D5B"/>
    <w:rsid w:val="00C92882"/>
    <w:rsid w:val="00C95F58"/>
    <w:rsid w:val="00C962E4"/>
    <w:rsid w:val="00C974ED"/>
    <w:rsid w:val="00C975A7"/>
    <w:rsid w:val="00CA035F"/>
    <w:rsid w:val="00CA12B2"/>
    <w:rsid w:val="00CA1330"/>
    <w:rsid w:val="00CA1F83"/>
    <w:rsid w:val="00CA40F1"/>
    <w:rsid w:val="00CA41A2"/>
    <w:rsid w:val="00CA5EDF"/>
    <w:rsid w:val="00CA6CA1"/>
    <w:rsid w:val="00CA7451"/>
    <w:rsid w:val="00CB0A79"/>
    <w:rsid w:val="00CB2208"/>
    <w:rsid w:val="00CB36F8"/>
    <w:rsid w:val="00CB43B6"/>
    <w:rsid w:val="00CB585D"/>
    <w:rsid w:val="00CB6740"/>
    <w:rsid w:val="00CC1A5B"/>
    <w:rsid w:val="00CC2258"/>
    <w:rsid w:val="00CC313C"/>
    <w:rsid w:val="00CC3577"/>
    <w:rsid w:val="00CC4864"/>
    <w:rsid w:val="00CC5680"/>
    <w:rsid w:val="00CC57CE"/>
    <w:rsid w:val="00CC7DA1"/>
    <w:rsid w:val="00CD08F2"/>
    <w:rsid w:val="00CD197A"/>
    <w:rsid w:val="00CD3900"/>
    <w:rsid w:val="00CD3D6D"/>
    <w:rsid w:val="00CD3F63"/>
    <w:rsid w:val="00CD513F"/>
    <w:rsid w:val="00CD6350"/>
    <w:rsid w:val="00CD7C84"/>
    <w:rsid w:val="00CD7CE9"/>
    <w:rsid w:val="00CE0B85"/>
    <w:rsid w:val="00CE11F5"/>
    <w:rsid w:val="00CE6700"/>
    <w:rsid w:val="00CE72FA"/>
    <w:rsid w:val="00CE7B16"/>
    <w:rsid w:val="00CF0344"/>
    <w:rsid w:val="00CF2825"/>
    <w:rsid w:val="00CF454C"/>
    <w:rsid w:val="00CF5165"/>
    <w:rsid w:val="00CF6109"/>
    <w:rsid w:val="00CF79DC"/>
    <w:rsid w:val="00CF7AAF"/>
    <w:rsid w:val="00CF7D02"/>
    <w:rsid w:val="00D00012"/>
    <w:rsid w:val="00D00764"/>
    <w:rsid w:val="00D020E9"/>
    <w:rsid w:val="00D02634"/>
    <w:rsid w:val="00D0301B"/>
    <w:rsid w:val="00D04F7B"/>
    <w:rsid w:val="00D067EB"/>
    <w:rsid w:val="00D10D20"/>
    <w:rsid w:val="00D1227A"/>
    <w:rsid w:val="00D134F5"/>
    <w:rsid w:val="00D136ED"/>
    <w:rsid w:val="00D14CD6"/>
    <w:rsid w:val="00D14F3C"/>
    <w:rsid w:val="00D2008B"/>
    <w:rsid w:val="00D2250B"/>
    <w:rsid w:val="00D227AB"/>
    <w:rsid w:val="00D232E3"/>
    <w:rsid w:val="00D24862"/>
    <w:rsid w:val="00D24D24"/>
    <w:rsid w:val="00D24E6B"/>
    <w:rsid w:val="00D255ED"/>
    <w:rsid w:val="00D25978"/>
    <w:rsid w:val="00D30314"/>
    <w:rsid w:val="00D30C05"/>
    <w:rsid w:val="00D313CA"/>
    <w:rsid w:val="00D32BAB"/>
    <w:rsid w:val="00D3330E"/>
    <w:rsid w:val="00D33D89"/>
    <w:rsid w:val="00D35053"/>
    <w:rsid w:val="00D35358"/>
    <w:rsid w:val="00D35D28"/>
    <w:rsid w:val="00D410BC"/>
    <w:rsid w:val="00D4264F"/>
    <w:rsid w:val="00D4459C"/>
    <w:rsid w:val="00D445D2"/>
    <w:rsid w:val="00D44E3F"/>
    <w:rsid w:val="00D45127"/>
    <w:rsid w:val="00D45F85"/>
    <w:rsid w:val="00D45F8A"/>
    <w:rsid w:val="00D47AA9"/>
    <w:rsid w:val="00D47BF4"/>
    <w:rsid w:val="00D50E08"/>
    <w:rsid w:val="00D510EA"/>
    <w:rsid w:val="00D5137E"/>
    <w:rsid w:val="00D5183E"/>
    <w:rsid w:val="00D521F5"/>
    <w:rsid w:val="00D52A31"/>
    <w:rsid w:val="00D52F1B"/>
    <w:rsid w:val="00D541A3"/>
    <w:rsid w:val="00D5498A"/>
    <w:rsid w:val="00D54D79"/>
    <w:rsid w:val="00D55161"/>
    <w:rsid w:val="00D56C12"/>
    <w:rsid w:val="00D57428"/>
    <w:rsid w:val="00D57F2D"/>
    <w:rsid w:val="00D57F43"/>
    <w:rsid w:val="00D57FD0"/>
    <w:rsid w:val="00D609C6"/>
    <w:rsid w:val="00D60A54"/>
    <w:rsid w:val="00D62FC7"/>
    <w:rsid w:val="00D6504B"/>
    <w:rsid w:val="00D6535A"/>
    <w:rsid w:val="00D67D25"/>
    <w:rsid w:val="00D7239C"/>
    <w:rsid w:val="00D73348"/>
    <w:rsid w:val="00D752E7"/>
    <w:rsid w:val="00D756E9"/>
    <w:rsid w:val="00D76348"/>
    <w:rsid w:val="00D77007"/>
    <w:rsid w:val="00D77D88"/>
    <w:rsid w:val="00D80DCF"/>
    <w:rsid w:val="00D80FD8"/>
    <w:rsid w:val="00D81802"/>
    <w:rsid w:val="00D819E0"/>
    <w:rsid w:val="00D82590"/>
    <w:rsid w:val="00D82DAD"/>
    <w:rsid w:val="00D848CC"/>
    <w:rsid w:val="00D85F4F"/>
    <w:rsid w:val="00D8755C"/>
    <w:rsid w:val="00D87C06"/>
    <w:rsid w:val="00D91F55"/>
    <w:rsid w:val="00D95274"/>
    <w:rsid w:val="00D95439"/>
    <w:rsid w:val="00D95C86"/>
    <w:rsid w:val="00D95F44"/>
    <w:rsid w:val="00D96D80"/>
    <w:rsid w:val="00D97BFC"/>
    <w:rsid w:val="00D97D1E"/>
    <w:rsid w:val="00DA0202"/>
    <w:rsid w:val="00DA0520"/>
    <w:rsid w:val="00DA0A68"/>
    <w:rsid w:val="00DA0FCE"/>
    <w:rsid w:val="00DA1111"/>
    <w:rsid w:val="00DA396B"/>
    <w:rsid w:val="00DA396E"/>
    <w:rsid w:val="00DA41B8"/>
    <w:rsid w:val="00DA5AB9"/>
    <w:rsid w:val="00DA7BF6"/>
    <w:rsid w:val="00DB147A"/>
    <w:rsid w:val="00DB27A7"/>
    <w:rsid w:val="00DB2869"/>
    <w:rsid w:val="00DB34BB"/>
    <w:rsid w:val="00DB38BB"/>
    <w:rsid w:val="00DB520E"/>
    <w:rsid w:val="00DB52CC"/>
    <w:rsid w:val="00DB5587"/>
    <w:rsid w:val="00DB5861"/>
    <w:rsid w:val="00DB5C9F"/>
    <w:rsid w:val="00DB71BF"/>
    <w:rsid w:val="00DB7B63"/>
    <w:rsid w:val="00DC0F81"/>
    <w:rsid w:val="00DC3BB0"/>
    <w:rsid w:val="00DC5014"/>
    <w:rsid w:val="00DC5E7F"/>
    <w:rsid w:val="00DC69B6"/>
    <w:rsid w:val="00DC7457"/>
    <w:rsid w:val="00DC757C"/>
    <w:rsid w:val="00DD14F4"/>
    <w:rsid w:val="00DD1C03"/>
    <w:rsid w:val="00DD438F"/>
    <w:rsid w:val="00DD4EB7"/>
    <w:rsid w:val="00DD6C8F"/>
    <w:rsid w:val="00DD6FA7"/>
    <w:rsid w:val="00DD7175"/>
    <w:rsid w:val="00DD732E"/>
    <w:rsid w:val="00DE204C"/>
    <w:rsid w:val="00DE313C"/>
    <w:rsid w:val="00DE32E1"/>
    <w:rsid w:val="00DE3449"/>
    <w:rsid w:val="00DE49C8"/>
    <w:rsid w:val="00DE4A32"/>
    <w:rsid w:val="00DE5D99"/>
    <w:rsid w:val="00DE6F20"/>
    <w:rsid w:val="00DE721A"/>
    <w:rsid w:val="00DE7300"/>
    <w:rsid w:val="00DF02B8"/>
    <w:rsid w:val="00DF0B8D"/>
    <w:rsid w:val="00DF1C68"/>
    <w:rsid w:val="00DF2B78"/>
    <w:rsid w:val="00DF343A"/>
    <w:rsid w:val="00DF4837"/>
    <w:rsid w:val="00DF63EF"/>
    <w:rsid w:val="00DF6986"/>
    <w:rsid w:val="00DF76E4"/>
    <w:rsid w:val="00DF7A27"/>
    <w:rsid w:val="00DF7DDB"/>
    <w:rsid w:val="00E000F5"/>
    <w:rsid w:val="00E00CE9"/>
    <w:rsid w:val="00E00E6B"/>
    <w:rsid w:val="00E01B6F"/>
    <w:rsid w:val="00E03425"/>
    <w:rsid w:val="00E03691"/>
    <w:rsid w:val="00E04B89"/>
    <w:rsid w:val="00E0652A"/>
    <w:rsid w:val="00E07968"/>
    <w:rsid w:val="00E10024"/>
    <w:rsid w:val="00E10305"/>
    <w:rsid w:val="00E12789"/>
    <w:rsid w:val="00E146D9"/>
    <w:rsid w:val="00E14E22"/>
    <w:rsid w:val="00E1563D"/>
    <w:rsid w:val="00E15C2A"/>
    <w:rsid w:val="00E165C6"/>
    <w:rsid w:val="00E16E54"/>
    <w:rsid w:val="00E173CD"/>
    <w:rsid w:val="00E20627"/>
    <w:rsid w:val="00E22D36"/>
    <w:rsid w:val="00E26A6B"/>
    <w:rsid w:val="00E3098E"/>
    <w:rsid w:val="00E3188D"/>
    <w:rsid w:val="00E33A32"/>
    <w:rsid w:val="00E356FD"/>
    <w:rsid w:val="00E35C29"/>
    <w:rsid w:val="00E36A0C"/>
    <w:rsid w:val="00E36A7E"/>
    <w:rsid w:val="00E3710D"/>
    <w:rsid w:val="00E37584"/>
    <w:rsid w:val="00E37D18"/>
    <w:rsid w:val="00E400B0"/>
    <w:rsid w:val="00E40263"/>
    <w:rsid w:val="00E41112"/>
    <w:rsid w:val="00E4249B"/>
    <w:rsid w:val="00E42C90"/>
    <w:rsid w:val="00E433B2"/>
    <w:rsid w:val="00E4341C"/>
    <w:rsid w:val="00E43889"/>
    <w:rsid w:val="00E44176"/>
    <w:rsid w:val="00E47978"/>
    <w:rsid w:val="00E47981"/>
    <w:rsid w:val="00E47A4D"/>
    <w:rsid w:val="00E47B7E"/>
    <w:rsid w:val="00E47E70"/>
    <w:rsid w:val="00E506FB"/>
    <w:rsid w:val="00E5094A"/>
    <w:rsid w:val="00E526BC"/>
    <w:rsid w:val="00E52B97"/>
    <w:rsid w:val="00E52FB5"/>
    <w:rsid w:val="00E5308D"/>
    <w:rsid w:val="00E53724"/>
    <w:rsid w:val="00E53C9A"/>
    <w:rsid w:val="00E556E5"/>
    <w:rsid w:val="00E560DD"/>
    <w:rsid w:val="00E5613F"/>
    <w:rsid w:val="00E563A8"/>
    <w:rsid w:val="00E56489"/>
    <w:rsid w:val="00E571B8"/>
    <w:rsid w:val="00E57D29"/>
    <w:rsid w:val="00E604A4"/>
    <w:rsid w:val="00E61C3A"/>
    <w:rsid w:val="00E62332"/>
    <w:rsid w:val="00E63100"/>
    <w:rsid w:val="00E64087"/>
    <w:rsid w:val="00E6415F"/>
    <w:rsid w:val="00E64878"/>
    <w:rsid w:val="00E64BB9"/>
    <w:rsid w:val="00E65D7A"/>
    <w:rsid w:val="00E663F3"/>
    <w:rsid w:val="00E70061"/>
    <w:rsid w:val="00E70F7D"/>
    <w:rsid w:val="00E71CEF"/>
    <w:rsid w:val="00E72D42"/>
    <w:rsid w:val="00E73043"/>
    <w:rsid w:val="00E733BD"/>
    <w:rsid w:val="00E7358D"/>
    <w:rsid w:val="00E76840"/>
    <w:rsid w:val="00E80A99"/>
    <w:rsid w:val="00E80B15"/>
    <w:rsid w:val="00E813F6"/>
    <w:rsid w:val="00E81EE4"/>
    <w:rsid w:val="00E8222C"/>
    <w:rsid w:val="00E82577"/>
    <w:rsid w:val="00E82D60"/>
    <w:rsid w:val="00E83B07"/>
    <w:rsid w:val="00E84463"/>
    <w:rsid w:val="00E84560"/>
    <w:rsid w:val="00E84616"/>
    <w:rsid w:val="00E8685B"/>
    <w:rsid w:val="00E901DC"/>
    <w:rsid w:val="00E911D2"/>
    <w:rsid w:val="00E92D1B"/>
    <w:rsid w:val="00E930FB"/>
    <w:rsid w:val="00E93380"/>
    <w:rsid w:val="00E94205"/>
    <w:rsid w:val="00E94A34"/>
    <w:rsid w:val="00E94ACF"/>
    <w:rsid w:val="00E9569B"/>
    <w:rsid w:val="00E9594A"/>
    <w:rsid w:val="00E95F18"/>
    <w:rsid w:val="00E97169"/>
    <w:rsid w:val="00E975CD"/>
    <w:rsid w:val="00EA2FEE"/>
    <w:rsid w:val="00EA3A9D"/>
    <w:rsid w:val="00EA3E17"/>
    <w:rsid w:val="00EA450F"/>
    <w:rsid w:val="00EA6123"/>
    <w:rsid w:val="00EA651B"/>
    <w:rsid w:val="00EA6985"/>
    <w:rsid w:val="00EA6B42"/>
    <w:rsid w:val="00EA7824"/>
    <w:rsid w:val="00EA7F61"/>
    <w:rsid w:val="00EB118A"/>
    <w:rsid w:val="00EB157E"/>
    <w:rsid w:val="00EB1F60"/>
    <w:rsid w:val="00EB2D94"/>
    <w:rsid w:val="00EB597B"/>
    <w:rsid w:val="00EB5B1D"/>
    <w:rsid w:val="00EB5B59"/>
    <w:rsid w:val="00EB719E"/>
    <w:rsid w:val="00EB7DC3"/>
    <w:rsid w:val="00EB7E70"/>
    <w:rsid w:val="00EC0529"/>
    <w:rsid w:val="00EC16E8"/>
    <w:rsid w:val="00EC192F"/>
    <w:rsid w:val="00EC1FAA"/>
    <w:rsid w:val="00EC2A1D"/>
    <w:rsid w:val="00EC54F8"/>
    <w:rsid w:val="00EC651A"/>
    <w:rsid w:val="00ED03E3"/>
    <w:rsid w:val="00ED0894"/>
    <w:rsid w:val="00ED13F7"/>
    <w:rsid w:val="00ED229F"/>
    <w:rsid w:val="00ED2987"/>
    <w:rsid w:val="00ED3D64"/>
    <w:rsid w:val="00ED4101"/>
    <w:rsid w:val="00ED4390"/>
    <w:rsid w:val="00ED53F6"/>
    <w:rsid w:val="00ED5B0C"/>
    <w:rsid w:val="00ED6997"/>
    <w:rsid w:val="00ED6CAC"/>
    <w:rsid w:val="00EE0F13"/>
    <w:rsid w:val="00EE2031"/>
    <w:rsid w:val="00EE2088"/>
    <w:rsid w:val="00EE23A3"/>
    <w:rsid w:val="00EE3450"/>
    <w:rsid w:val="00EE34E0"/>
    <w:rsid w:val="00EE6210"/>
    <w:rsid w:val="00EE648A"/>
    <w:rsid w:val="00EE7307"/>
    <w:rsid w:val="00EE773B"/>
    <w:rsid w:val="00EF0C10"/>
    <w:rsid w:val="00EF2F40"/>
    <w:rsid w:val="00EF35C6"/>
    <w:rsid w:val="00EF39A4"/>
    <w:rsid w:val="00EF4355"/>
    <w:rsid w:val="00EF4BA5"/>
    <w:rsid w:val="00EF5FA7"/>
    <w:rsid w:val="00EF6018"/>
    <w:rsid w:val="00EF76C6"/>
    <w:rsid w:val="00F013F4"/>
    <w:rsid w:val="00F024E1"/>
    <w:rsid w:val="00F03185"/>
    <w:rsid w:val="00F04C72"/>
    <w:rsid w:val="00F05AAD"/>
    <w:rsid w:val="00F11C94"/>
    <w:rsid w:val="00F12634"/>
    <w:rsid w:val="00F13012"/>
    <w:rsid w:val="00F132EE"/>
    <w:rsid w:val="00F15A56"/>
    <w:rsid w:val="00F20215"/>
    <w:rsid w:val="00F20435"/>
    <w:rsid w:val="00F2131D"/>
    <w:rsid w:val="00F21717"/>
    <w:rsid w:val="00F22DCA"/>
    <w:rsid w:val="00F23607"/>
    <w:rsid w:val="00F2482A"/>
    <w:rsid w:val="00F2557E"/>
    <w:rsid w:val="00F25D94"/>
    <w:rsid w:val="00F26069"/>
    <w:rsid w:val="00F26D15"/>
    <w:rsid w:val="00F271B2"/>
    <w:rsid w:val="00F279A6"/>
    <w:rsid w:val="00F3119D"/>
    <w:rsid w:val="00F31A22"/>
    <w:rsid w:val="00F3387F"/>
    <w:rsid w:val="00F34F44"/>
    <w:rsid w:val="00F3557E"/>
    <w:rsid w:val="00F35651"/>
    <w:rsid w:val="00F368CE"/>
    <w:rsid w:val="00F36CF0"/>
    <w:rsid w:val="00F37DBF"/>
    <w:rsid w:val="00F414EC"/>
    <w:rsid w:val="00F416D4"/>
    <w:rsid w:val="00F41CCC"/>
    <w:rsid w:val="00F41E11"/>
    <w:rsid w:val="00F44B74"/>
    <w:rsid w:val="00F4668C"/>
    <w:rsid w:val="00F5065E"/>
    <w:rsid w:val="00F53F96"/>
    <w:rsid w:val="00F54295"/>
    <w:rsid w:val="00F54A9C"/>
    <w:rsid w:val="00F55C71"/>
    <w:rsid w:val="00F57635"/>
    <w:rsid w:val="00F57837"/>
    <w:rsid w:val="00F609B4"/>
    <w:rsid w:val="00F60A5E"/>
    <w:rsid w:val="00F6108F"/>
    <w:rsid w:val="00F63861"/>
    <w:rsid w:val="00F63ECB"/>
    <w:rsid w:val="00F6476C"/>
    <w:rsid w:val="00F65858"/>
    <w:rsid w:val="00F6587F"/>
    <w:rsid w:val="00F660DB"/>
    <w:rsid w:val="00F70397"/>
    <w:rsid w:val="00F70CA2"/>
    <w:rsid w:val="00F71223"/>
    <w:rsid w:val="00F716D5"/>
    <w:rsid w:val="00F71F13"/>
    <w:rsid w:val="00F72619"/>
    <w:rsid w:val="00F726FA"/>
    <w:rsid w:val="00F80E7F"/>
    <w:rsid w:val="00F82E47"/>
    <w:rsid w:val="00F82EEC"/>
    <w:rsid w:val="00F84AAE"/>
    <w:rsid w:val="00F84BE5"/>
    <w:rsid w:val="00F84D2C"/>
    <w:rsid w:val="00F85F20"/>
    <w:rsid w:val="00F90F10"/>
    <w:rsid w:val="00F91914"/>
    <w:rsid w:val="00F9330E"/>
    <w:rsid w:val="00F93327"/>
    <w:rsid w:val="00F95A99"/>
    <w:rsid w:val="00F975ED"/>
    <w:rsid w:val="00F97B2F"/>
    <w:rsid w:val="00FA0285"/>
    <w:rsid w:val="00FA0408"/>
    <w:rsid w:val="00FA0A5E"/>
    <w:rsid w:val="00FA0D91"/>
    <w:rsid w:val="00FA1840"/>
    <w:rsid w:val="00FA34D7"/>
    <w:rsid w:val="00FA3775"/>
    <w:rsid w:val="00FA3B10"/>
    <w:rsid w:val="00FA3C3D"/>
    <w:rsid w:val="00FA5A1B"/>
    <w:rsid w:val="00FA68D1"/>
    <w:rsid w:val="00FA7292"/>
    <w:rsid w:val="00FA73CF"/>
    <w:rsid w:val="00FA73D2"/>
    <w:rsid w:val="00FA7D3D"/>
    <w:rsid w:val="00FB022D"/>
    <w:rsid w:val="00FB1238"/>
    <w:rsid w:val="00FB250D"/>
    <w:rsid w:val="00FB42FD"/>
    <w:rsid w:val="00FB443B"/>
    <w:rsid w:val="00FC0704"/>
    <w:rsid w:val="00FC0A63"/>
    <w:rsid w:val="00FC10B5"/>
    <w:rsid w:val="00FC139D"/>
    <w:rsid w:val="00FC1E8A"/>
    <w:rsid w:val="00FC32C9"/>
    <w:rsid w:val="00FC357D"/>
    <w:rsid w:val="00FC3AD8"/>
    <w:rsid w:val="00FC3DF3"/>
    <w:rsid w:val="00FC5A9E"/>
    <w:rsid w:val="00FC7C70"/>
    <w:rsid w:val="00FD29F8"/>
    <w:rsid w:val="00FD2FDF"/>
    <w:rsid w:val="00FD34FC"/>
    <w:rsid w:val="00FD3702"/>
    <w:rsid w:val="00FD430D"/>
    <w:rsid w:val="00FD6234"/>
    <w:rsid w:val="00FD6323"/>
    <w:rsid w:val="00FD743B"/>
    <w:rsid w:val="00FD7476"/>
    <w:rsid w:val="00FD78FF"/>
    <w:rsid w:val="00FE06EC"/>
    <w:rsid w:val="00FE3668"/>
    <w:rsid w:val="00FE490A"/>
    <w:rsid w:val="00FE502A"/>
    <w:rsid w:val="00FE53C0"/>
    <w:rsid w:val="00FE558D"/>
    <w:rsid w:val="00FE6E91"/>
    <w:rsid w:val="00FE7BB0"/>
    <w:rsid w:val="00FF3482"/>
    <w:rsid w:val="00FF3FFA"/>
    <w:rsid w:val="00FF4136"/>
    <w:rsid w:val="00FF417D"/>
    <w:rsid w:val="00FF57BC"/>
    <w:rsid w:val="00FF6556"/>
    <w:rsid w:val="00FF77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061B36"/>
  <w15:chartTrackingRefBased/>
  <w15:docId w15:val="{CCEC529E-B2DD-453A-A4F7-C992FF55C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5A6"/>
    <w:rPr>
      <w:rFonts w:ascii="Times New Roman" w:hAnsi="Times New Roman" w:cs="Times New Roman"/>
    </w:rPr>
  </w:style>
  <w:style w:type="paragraph" w:styleId="Heading1">
    <w:name w:val="heading 1"/>
    <w:basedOn w:val="Normal"/>
    <w:next w:val="Normal"/>
    <w:link w:val="Heading1Char"/>
    <w:uiPriority w:val="9"/>
    <w:qFormat/>
    <w:rsid w:val="00994620"/>
    <w:pPr>
      <w:numPr>
        <w:numId w:val="1"/>
      </w:numPr>
      <w:spacing w:line="276" w:lineRule="auto"/>
      <w:outlineLvl w:val="0"/>
    </w:pPr>
    <w:rPr>
      <w:b/>
      <w:bCs/>
    </w:rPr>
  </w:style>
  <w:style w:type="paragraph" w:styleId="Heading2">
    <w:name w:val="heading 2"/>
    <w:basedOn w:val="Normal"/>
    <w:next w:val="Normal"/>
    <w:link w:val="Heading2Char"/>
    <w:uiPriority w:val="9"/>
    <w:unhideWhenUsed/>
    <w:qFormat/>
    <w:rsid w:val="005611A4"/>
    <w:pPr>
      <w:spacing w:line="276" w:lineRule="auto"/>
      <w:outlineLvl w:val="1"/>
    </w:pPr>
    <w:rPr>
      <w:b/>
      <w:bCs/>
    </w:rPr>
  </w:style>
  <w:style w:type="paragraph" w:styleId="Heading3">
    <w:name w:val="heading 3"/>
    <w:basedOn w:val="Normal"/>
    <w:next w:val="Normal"/>
    <w:link w:val="Heading3Char"/>
    <w:uiPriority w:val="9"/>
    <w:unhideWhenUsed/>
    <w:qFormat/>
    <w:rsid w:val="00994620"/>
    <w:pPr>
      <w:shd w:val="clear" w:color="auto" w:fill="FFFFFF"/>
      <w:spacing w:after="0" w:line="240" w:lineRule="auto"/>
      <w:jc w:val="both"/>
      <w:outlineLvl w:val="2"/>
    </w:pPr>
    <w:rPr>
      <w:b/>
      <w:bCs/>
      <w:i/>
      <w:iCs/>
    </w:rPr>
  </w:style>
  <w:style w:type="paragraph" w:styleId="Heading4">
    <w:name w:val="heading 4"/>
    <w:basedOn w:val="Normal"/>
    <w:next w:val="Normal"/>
    <w:link w:val="Heading4Char"/>
    <w:uiPriority w:val="9"/>
    <w:semiHidden/>
    <w:unhideWhenUsed/>
    <w:qFormat/>
    <w:rsid w:val="008845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45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45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45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45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45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4620"/>
    <w:rPr>
      <w:rFonts w:ascii="Times New Roman" w:hAnsi="Times New Roman" w:cs="Times New Roman"/>
      <w:b/>
      <w:bCs/>
    </w:rPr>
  </w:style>
  <w:style w:type="character" w:customStyle="1" w:styleId="Heading2Char">
    <w:name w:val="Heading 2 Char"/>
    <w:basedOn w:val="DefaultParagraphFont"/>
    <w:link w:val="Heading2"/>
    <w:uiPriority w:val="9"/>
    <w:rsid w:val="005611A4"/>
    <w:rPr>
      <w:rFonts w:ascii="Times New Roman" w:hAnsi="Times New Roman" w:cs="Times New Roman"/>
      <w:b/>
      <w:bCs/>
    </w:rPr>
  </w:style>
  <w:style w:type="character" w:customStyle="1" w:styleId="Heading3Char">
    <w:name w:val="Heading 3 Char"/>
    <w:basedOn w:val="DefaultParagraphFont"/>
    <w:link w:val="Heading3"/>
    <w:uiPriority w:val="9"/>
    <w:rsid w:val="00994620"/>
    <w:rPr>
      <w:rFonts w:ascii="Times New Roman" w:hAnsi="Times New Roman" w:cs="Times New Roman"/>
      <w:b/>
      <w:bCs/>
      <w:i/>
      <w:iCs/>
      <w:shd w:val="clear" w:color="auto" w:fill="FFFFFF"/>
    </w:rPr>
  </w:style>
  <w:style w:type="character" w:customStyle="1" w:styleId="Heading4Char">
    <w:name w:val="Heading 4 Char"/>
    <w:basedOn w:val="DefaultParagraphFont"/>
    <w:link w:val="Heading4"/>
    <w:uiPriority w:val="9"/>
    <w:semiHidden/>
    <w:rsid w:val="008845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45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45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45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45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45A9"/>
    <w:rPr>
      <w:rFonts w:eastAsiaTheme="majorEastAsia" w:cstheme="majorBidi"/>
      <w:color w:val="272727" w:themeColor="text1" w:themeTint="D8"/>
    </w:rPr>
  </w:style>
  <w:style w:type="paragraph" w:styleId="Title">
    <w:name w:val="Title"/>
    <w:basedOn w:val="Normal"/>
    <w:next w:val="Normal"/>
    <w:link w:val="TitleChar"/>
    <w:uiPriority w:val="10"/>
    <w:qFormat/>
    <w:rsid w:val="008845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45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45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45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45A9"/>
    <w:pPr>
      <w:spacing w:before="160"/>
      <w:jc w:val="center"/>
    </w:pPr>
    <w:rPr>
      <w:i/>
      <w:iCs/>
      <w:color w:val="404040" w:themeColor="text1" w:themeTint="BF"/>
    </w:rPr>
  </w:style>
  <w:style w:type="character" w:customStyle="1" w:styleId="QuoteChar">
    <w:name w:val="Quote Char"/>
    <w:basedOn w:val="DefaultParagraphFont"/>
    <w:link w:val="Quote"/>
    <w:uiPriority w:val="29"/>
    <w:rsid w:val="008845A9"/>
    <w:rPr>
      <w:i/>
      <w:iCs/>
      <w:color w:val="404040" w:themeColor="text1" w:themeTint="BF"/>
    </w:rPr>
  </w:style>
  <w:style w:type="paragraph" w:styleId="ListParagraph">
    <w:name w:val="List Paragraph"/>
    <w:basedOn w:val="Normal"/>
    <w:uiPriority w:val="34"/>
    <w:qFormat/>
    <w:rsid w:val="008845A9"/>
    <w:pPr>
      <w:ind w:left="720"/>
      <w:contextualSpacing/>
    </w:pPr>
  </w:style>
  <w:style w:type="character" w:styleId="IntenseEmphasis">
    <w:name w:val="Intense Emphasis"/>
    <w:basedOn w:val="DefaultParagraphFont"/>
    <w:uiPriority w:val="21"/>
    <w:qFormat/>
    <w:rsid w:val="008845A9"/>
    <w:rPr>
      <w:i/>
      <w:iCs/>
      <w:color w:val="0F4761" w:themeColor="accent1" w:themeShade="BF"/>
    </w:rPr>
  </w:style>
  <w:style w:type="paragraph" w:styleId="IntenseQuote">
    <w:name w:val="Intense Quote"/>
    <w:basedOn w:val="Normal"/>
    <w:next w:val="Normal"/>
    <w:link w:val="IntenseQuoteChar"/>
    <w:uiPriority w:val="30"/>
    <w:qFormat/>
    <w:rsid w:val="008845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45A9"/>
    <w:rPr>
      <w:i/>
      <w:iCs/>
      <w:color w:val="0F4761" w:themeColor="accent1" w:themeShade="BF"/>
    </w:rPr>
  </w:style>
  <w:style w:type="character" w:styleId="IntenseReference">
    <w:name w:val="Intense Reference"/>
    <w:basedOn w:val="DefaultParagraphFont"/>
    <w:uiPriority w:val="32"/>
    <w:qFormat/>
    <w:rsid w:val="008845A9"/>
    <w:rPr>
      <w:b/>
      <w:bCs/>
      <w:smallCaps/>
      <w:color w:val="0F4761" w:themeColor="accent1" w:themeShade="BF"/>
      <w:spacing w:val="5"/>
    </w:rPr>
  </w:style>
  <w:style w:type="character" w:styleId="CommentReference">
    <w:name w:val="annotation reference"/>
    <w:basedOn w:val="DefaultParagraphFont"/>
    <w:uiPriority w:val="99"/>
    <w:semiHidden/>
    <w:unhideWhenUsed/>
    <w:rsid w:val="000371A6"/>
    <w:rPr>
      <w:sz w:val="16"/>
      <w:szCs w:val="16"/>
    </w:rPr>
  </w:style>
  <w:style w:type="paragraph" w:styleId="CommentText">
    <w:name w:val="annotation text"/>
    <w:basedOn w:val="Normal"/>
    <w:link w:val="CommentTextChar"/>
    <w:uiPriority w:val="99"/>
    <w:unhideWhenUsed/>
    <w:rsid w:val="000371A6"/>
    <w:pPr>
      <w:spacing w:line="240" w:lineRule="auto"/>
    </w:pPr>
    <w:rPr>
      <w:sz w:val="20"/>
      <w:szCs w:val="20"/>
    </w:rPr>
  </w:style>
  <w:style w:type="character" w:customStyle="1" w:styleId="CommentTextChar">
    <w:name w:val="Comment Text Char"/>
    <w:basedOn w:val="DefaultParagraphFont"/>
    <w:link w:val="CommentText"/>
    <w:uiPriority w:val="99"/>
    <w:rsid w:val="000371A6"/>
    <w:rPr>
      <w:sz w:val="20"/>
      <w:szCs w:val="20"/>
    </w:rPr>
  </w:style>
  <w:style w:type="paragraph" w:styleId="CommentSubject">
    <w:name w:val="annotation subject"/>
    <w:basedOn w:val="CommentText"/>
    <w:next w:val="CommentText"/>
    <w:link w:val="CommentSubjectChar"/>
    <w:uiPriority w:val="99"/>
    <w:semiHidden/>
    <w:unhideWhenUsed/>
    <w:rsid w:val="000371A6"/>
    <w:rPr>
      <w:b/>
      <w:bCs/>
    </w:rPr>
  </w:style>
  <w:style w:type="character" w:customStyle="1" w:styleId="CommentSubjectChar">
    <w:name w:val="Comment Subject Char"/>
    <w:basedOn w:val="CommentTextChar"/>
    <w:link w:val="CommentSubject"/>
    <w:uiPriority w:val="99"/>
    <w:semiHidden/>
    <w:rsid w:val="000371A6"/>
    <w:rPr>
      <w:b/>
      <w:bCs/>
      <w:sz w:val="20"/>
      <w:szCs w:val="20"/>
    </w:rPr>
  </w:style>
  <w:style w:type="paragraph" w:customStyle="1" w:styleId="Els-body-text">
    <w:name w:val="Els-body-text"/>
    <w:rsid w:val="00423517"/>
    <w:pPr>
      <w:spacing w:after="0" w:line="240" w:lineRule="exact"/>
      <w:ind w:firstLine="238"/>
      <w:jc w:val="both"/>
    </w:pPr>
    <w:rPr>
      <w:rFonts w:ascii="Times New Roman" w:eastAsia="SimSun" w:hAnsi="Times New Roman" w:cs="Times New Roman"/>
      <w:kern w:val="0"/>
      <w:sz w:val="20"/>
      <w:szCs w:val="20"/>
      <w14:ligatures w14:val="none"/>
    </w:rPr>
  </w:style>
  <w:style w:type="paragraph" w:styleId="Bibliography">
    <w:name w:val="Bibliography"/>
    <w:basedOn w:val="Normal"/>
    <w:next w:val="Normal"/>
    <w:uiPriority w:val="37"/>
    <w:unhideWhenUsed/>
    <w:rsid w:val="0087215F"/>
    <w:pPr>
      <w:spacing w:after="0" w:line="480" w:lineRule="auto"/>
      <w:ind w:left="720" w:hanging="720"/>
    </w:pPr>
  </w:style>
  <w:style w:type="character" w:styleId="Hyperlink">
    <w:name w:val="Hyperlink"/>
    <w:basedOn w:val="DefaultParagraphFont"/>
    <w:uiPriority w:val="99"/>
    <w:unhideWhenUsed/>
    <w:rsid w:val="00512E05"/>
    <w:rPr>
      <w:color w:val="467886" w:themeColor="hyperlink"/>
      <w:u w:val="single"/>
    </w:rPr>
  </w:style>
  <w:style w:type="character" w:styleId="UnresolvedMention">
    <w:name w:val="Unresolved Mention"/>
    <w:basedOn w:val="DefaultParagraphFont"/>
    <w:uiPriority w:val="99"/>
    <w:semiHidden/>
    <w:unhideWhenUsed/>
    <w:rsid w:val="00512E05"/>
    <w:rPr>
      <w:color w:val="605E5C"/>
      <w:shd w:val="clear" w:color="auto" w:fill="E1DFDD"/>
    </w:rPr>
  </w:style>
  <w:style w:type="paragraph" w:styleId="Header">
    <w:name w:val="header"/>
    <w:basedOn w:val="Normal"/>
    <w:link w:val="HeaderChar"/>
    <w:uiPriority w:val="99"/>
    <w:unhideWhenUsed/>
    <w:rsid w:val="006E7F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7F71"/>
    <w:rPr>
      <w:rFonts w:ascii="Times New Roman" w:hAnsi="Times New Roman" w:cs="Times New Roman"/>
    </w:rPr>
  </w:style>
  <w:style w:type="paragraph" w:styleId="Footer">
    <w:name w:val="footer"/>
    <w:basedOn w:val="Normal"/>
    <w:link w:val="FooterChar"/>
    <w:uiPriority w:val="99"/>
    <w:unhideWhenUsed/>
    <w:rsid w:val="006E7F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7F71"/>
    <w:rPr>
      <w:rFonts w:ascii="Times New Roman" w:hAnsi="Times New Roman" w:cs="Times New Roman"/>
    </w:rPr>
  </w:style>
  <w:style w:type="paragraph" w:styleId="Revision">
    <w:name w:val="Revision"/>
    <w:hidden/>
    <w:uiPriority w:val="99"/>
    <w:semiHidden/>
    <w:rsid w:val="009122A9"/>
    <w:pPr>
      <w:spacing w:after="0" w:line="240" w:lineRule="auto"/>
    </w:pPr>
    <w:rPr>
      <w:rFonts w:ascii="Times New Roman" w:hAnsi="Times New Roman" w:cs="Times New Roman"/>
    </w:rPr>
  </w:style>
  <w:style w:type="table" w:styleId="TableGrid">
    <w:name w:val="Table Grid"/>
    <w:basedOn w:val="TableNormal"/>
    <w:uiPriority w:val="39"/>
    <w:rsid w:val="00B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DisplayEquation">
    <w:name w:val="MTDisplayEquation"/>
    <w:basedOn w:val="Normal"/>
    <w:next w:val="Normal"/>
    <w:link w:val="MTDisplayEquationChar"/>
    <w:rsid w:val="00EF5FA7"/>
    <w:pPr>
      <w:shd w:val="clear" w:color="auto" w:fill="FFFFFF"/>
      <w:tabs>
        <w:tab w:val="center" w:pos="4680"/>
        <w:tab w:val="right" w:pos="9360"/>
      </w:tabs>
      <w:spacing w:after="0" w:line="240" w:lineRule="auto"/>
      <w:jc w:val="both"/>
    </w:pPr>
    <w:rPr>
      <w:rFonts w:cstheme="minorBidi"/>
    </w:rPr>
  </w:style>
  <w:style w:type="character" w:customStyle="1" w:styleId="MTDisplayEquationChar">
    <w:name w:val="MTDisplayEquation Char"/>
    <w:basedOn w:val="DefaultParagraphFont"/>
    <w:link w:val="MTDisplayEquation"/>
    <w:rsid w:val="00EF5FA7"/>
    <w:rPr>
      <w:rFonts w:ascii="Times New Roman" w:hAnsi="Times New Roman"/>
      <w:shd w:val="clear" w:color="auto" w:fill="FFFFFF"/>
    </w:rPr>
  </w:style>
  <w:style w:type="paragraph" w:styleId="NormalWeb">
    <w:name w:val="Normal (Web)"/>
    <w:basedOn w:val="Normal"/>
    <w:uiPriority w:val="99"/>
    <w:semiHidden/>
    <w:unhideWhenUsed/>
    <w:rsid w:val="00B34320"/>
  </w:style>
  <w:style w:type="paragraph" w:styleId="FootnoteText">
    <w:name w:val="footnote text"/>
    <w:basedOn w:val="Normal"/>
    <w:link w:val="FootnoteTextChar"/>
    <w:uiPriority w:val="99"/>
    <w:unhideWhenUsed/>
    <w:rsid w:val="00022DC0"/>
    <w:pPr>
      <w:spacing w:after="0" w:line="240" w:lineRule="auto"/>
    </w:pPr>
    <w:rPr>
      <w:sz w:val="20"/>
      <w:szCs w:val="20"/>
    </w:rPr>
  </w:style>
  <w:style w:type="character" w:customStyle="1" w:styleId="FootnoteTextChar">
    <w:name w:val="Footnote Text Char"/>
    <w:basedOn w:val="DefaultParagraphFont"/>
    <w:link w:val="FootnoteText"/>
    <w:uiPriority w:val="99"/>
    <w:rsid w:val="00022DC0"/>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022DC0"/>
    <w:rPr>
      <w:vertAlign w:val="superscript"/>
    </w:rPr>
  </w:style>
  <w:style w:type="character" w:styleId="FollowedHyperlink">
    <w:name w:val="FollowedHyperlink"/>
    <w:basedOn w:val="DefaultParagraphFont"/>
    <w:uiPriority w:val="99"/>
    <w:semiHidden/>
    <w:unhideWhenUsed/>
    <w:rsid w:val="00880446"/>
    <w:rPr>
      <w:color w:val="96607D" w:themeColor="followedHyperlink"/>
      <w:u w:val="single"/>
    </w:rPr>
  </w:style>
  <w:style w:type="character" w:styleId="EndnoteReference">
    <w:name w:val="endnote reference"/>
    <w:basedOn w:val="DefaultParagraphFont"/>
    <w:uiPriority w:val="99"/>
    <w:semiHidden/>
    <w:unhideWhenUsed/>
    <w:rsid w:val="00586FEF"/>
    <w:rPr>
      <w:vertAlign w:val="superscript"/>
    </w:rPr>
  </w:style>
  <w:style w:type="character" w:customStyle="1" w:styleId="MTEquationSection">
    <w:name w:val="MTEquationSection"/>
    <w:basedOn w:val="DefaultParagraphFont"/>
    <w:rsid w:val="0084074C"/>
    <w:rPr>
      <w:b/>
      <w:bCs/>
      <w:vanish/>
      <w:color w:val="FF0000"/>
    </w:rPr>
  </w:style>
  <w:style w:type="character" w:styleId="PlaceholderText">
    <w:name w:val="Placeholder Text"/>
    <w:basedOn w:val="DefaultParagraphFont"/>
    <w:uiPriority w:val="99"/>
    <w:semiHidden/>
    <w:rsid w:val="00354B77"/>
    <w:rPr>
      <w:color w:val="666666"/>
    </w:rPr>
  </w:style>
  <w:style w:type="character" w:styleId="LineNumber">
    <w:name w:val="line number"/>
    <w:basedOn w:val="DefaultParagraphFont"/>
    <w:uiPriority w:val="99"/>
    <w:semiHidden/>
    <w:unhideWhenUsed/>
    <w:rsid w:val="003933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99" Type="http://schemas.openxmlformats.org/officeDocument/2006/relationships/image" Target="media/image136.wmf"/><Relationship Id="rId21" Type="http://schemas.openxmlformats.org/officeDocument/2006/relationships/oleObject" Target="embeddings/oleObject5.bin"/><Relationship Id="rId63" Type="http://schemas.openxmlformats.org/officeDocument/2006/relationships/oleObject" Target="embeddings/oleObject28.bin"/><Relationship Id="rId159" Type="http://schemas.openxmlformats.org/officeDocument/2006/relationships/oleObject" Target="embeddings/oleObject78.bin"/><Relationship Id="rId324" Type="http://schemas.openxmlformats.org/officeDocument/2006/relationships/oleObject" Target="embeddings/oleObject156.bin"/><Relationship Id="rId170" Type="http://schemas.openxmlformats.org/officeDocument/2006/relationships/oleObject" Target="embeddings/oleObject84.bin"/><Relationship Id="rId226" Type="http://schemas.openxmlformats.org/officeDocument/2006/relationships/image" Target="media/image101.wmf"/><Relationship Id="rId268" Type="http://schemas.openxmlformats.org/officeDocument/2006/relationships/oleObject" Target="embeddings/oleObject136.bin"/><Relationship Id="rId32" Type="http://schemas.openxmlformats.org/officeDocument/2006/relationships/image" Target="media/image11.wmf"/><Relationship Id="rId74" Type="http://schemas.openxmlformats.org/officeDocument/2006/relationships/image" Target="media/image30.wmf"/><Relationship Id="rId128" Type="http://schemas.openxmlformats.org/officeDocument/2006/relationships/image" Target="media/image56.wmf"/><Relationship Id="rId335" Type="http://schemas.openxmlformats.org/officeDocument/2006/relationships/image" Target="media/image150.png"/><Relationship Id="rId5" Type="http://schemas.openxmlformats.org/officeDocument/2006/relationships/numbering" Target="numbering.xml"/><Relationship Id="rId181" Type="http://schemas.openxmlformats.org/officeDocument/2006/relationships/oleObject" Target="embeddings/oleObject90.bin"/><Relationship Id="rId237" Type="http://schemas.openxmlformats.org/officeDocument/2006/relationships/image" Target="media/image106.wmf"/><Relationship Id="rId279" Type="http://schemas.openxmlformats.org/officeDocument/2006/relationships/image" Target="media/image127.wmf"/><Relationship Id="rId43" Type="http://schemas.openxmlformats.org/officeDocument/2006/relationships/image" Target="media/image16.wmf"/><Relationship Id="rId139" Type="http://schemas.openxmlformats.org/officeDocument/2006/relationships/oleObject" Target="embeddings/oleObject68.bin"/><Relationship Id="rId290" Type="http://schemas.openxmlformats.org/officeDocument/2006/relationships/oleObject" Target="embeddings/oleObject148.bin"/><Relationship Id="rId304" Type="http://schemas.openxmlformats.org/officeDocument/2006/relationships/oleObject" Target="embeddings/oleObject155.bin"/><Relationship Id="rId85" Type="http://schemas.openxmlformats.org/officeDocument/2006/relationships/oleObject" Target="embeddings/oleObject39.bin"/><Relationship Id="rId150" Type="http://schemas.openxmlformats.org/officeDocument/2006/relationships/image" Target="media/image66.wmf"/><Relationship Id="rId192" Type="http://schemas.openxmlformats.org/officeDocument/2006/relationships/oleObject" Target="embeddings/oleObject96.bin"/><Relationship Id="rId206" Type="http://schemas.openxmlformats.org/officeDocument/2006/relationships/oleObject" Target="embeddings/oleObject104.bin"/><Relationship Id="rId248" Type="http://schemas.openxmlformats.org/officeDocument/2006/relationships/oleObject" Target="embeddings/oleObject126.bin"/><Relationship Id="rId12" Type="http://schemas.openxmlformats.org/officeDocument/2006/relationships/image" Target="media/image1.wmf"/><Relationship Id="rId108" Type="http://schemas.openxmlformats.org/officeDocument/2006/relationships/oleObject" Target="embeddings/oleObject51.bin"/><Relationship Id="rId315" Type="http://schemas.openxmlformats.org/officeDocument/2006/relationships/header" Target="header3.xml"/><Relationship Id="rId54" Type="http://schemas.openxmlformats.org/officeDocument/2006/relationships/image" Target="media/image21.wmf"/><Relationship Id="rId96" Type="http://schemas.openxmlformats.org/officeDocument/2006/relationships/image" Target="media/image41.wmf"/><Relationship Id="rId161" Type="http://schemas.openxmlformats.org/officeDocument/2006/relationships/oleObject" Target="embeddings/oleObject79.bin"/><Relationship Id="rId217" Type="http://schemas.openxmlformats.org/officeDocument/2006/relationships/oleObject" Target="embeddings/oleObject110.bin"/><Relationship Id="rId259" Type="http://schemas.openxmlformats.org/officeDocument/2006/relationships/image" Target="media/image117.wmf"/><Relationship Id="rId23" Type="http://schemas.openxmlformats.org/officeDocument/2006/relationships/oleObject" Target="embeddings/oleObject6.bin"/><Relationship Id="rId119" Type="http://schemas.openxmlformats.org/officeDocument/2006/relationships/oleObject" Target="embeddings/oleObject57.bin"/><Relationship Id="rId270" Type="http://schemas.openxmlformats.org/officeDocument/2006/relationships/oleObject" Target="embeddings/oleObject137.bin"/><Relationship Id="rId326" Type="http://schemas.openxmlformats.org/officeDocument/2006/relationships/oleObject" Target="embeddings/oleObject157.bin"/><Relationship Id="rId65" Type="http://schemas.openxmlformats.org/officeDocument/2006/relationships/oleObject" Target="embeddings/oleObject29.bin"/><Relationship Id="rId130" Type="http://schemas.openxmlformats.org/officeDocument/2006/relationships/image" Target="media/image57.wmf"/><Relationship Id="rId172" Type="http://schemas.openxmlformats.org/officeDocument/2006/relationships/image" Target="media/image76.wmf"/><Relationship Id="rId228" Type="http://schemas.openxmlformats.org/officeDocument/2006/relationships/image" Target="media/image102.wmf"/><Relationship Id="rId281" Type="http://schemas.openxmlformats.org/officeDocument/2006/relationships/image" Target="media/image128.wmf"/><Relationship Id="rId337" Type="http://schemas.openxmlformats.org/officeDocument/2006/relationships/chart" Target="charts/chart2.xml"/><Relationship Id="rId34" Type="http://schemas.openxmlformats.org/officeDocument/2006/relationships/image" Target="media/image12.wmf"/><Relationship Id="rId76" Type="http://schemas.openxmlformats.org/officeDocument/2006/relationships/image" Target="media/image31.wmf"/><Relationship Id="rId141" Type="http://schemas.openxmlformats.org/officeDocument/2006/relationships/oleObject" Target="embeddings/oleObject69.bin"/><Relationship Id="rId7" Type="http://schemas.openxmlformats.org/officeDocument/2006/relationships/settings" Target="settings.xml"/><Relationship Id="rId183" Type="http://schemas.openxmlformats.org/officeDocument/2006/relationships/image" Target="media/image81.wmf"/><Relationship Id="rId239" Type="http://schemas.openxmlformats.org/officeDocument/2006/relationships/image" Target="media/image107.wmf"/><Relationship Id="rId250" Type="http://schemas.openxmlformats.org/officeDocument/2006/relationships/oleObject" Target="embeddings/oleObject127.bin"/><Relationship Id="rId292" Type="http://schemas.openxmlformats.org/officeDocument/2006/relationships/oleObject" Target="embeddings/oleObject149.bin"/><Relationship Id="rId306" Type="http://schemas.openxmlformats.org/officeDocument/2006/relationships/image" Target="media/image139.png"/><Relationship Id="rId45" Type="http://schemas.openxmlformats.org/officeDocument/2006/relationships/image" Target="media/image17.wmf"/><Relationship Id="rId87" Type="http://schemas.openxmlformats.org/officeDocument/2006/relationships/oleObject" Target="embeddings/oleObject40.bin"/><Relationship Id="rId110" Type="http://schemas.openxmlformats.org/officeDocument/2006/relationships/image" Target="media/image47.wmf"/><Relationship Id="rId152" Type="http://schemas.openxmlformats.org/officeDocument/2006/relationships/image" Target="media/image67.wmf"/><Relationship Id="rId194" Type="http://schemas.openxmlformats.org/officeDocument/2006/relationships/oleObject" Target="embeddings/oleObject98.bin"/><Relationship Id="rId208" Type="http://schemas.openxmlformats.org/officeDocument/2006/relationships/oleObject" Target="embeddings/oleObject105.bin"/><Relationship Id="rId261" Type="http://schemas.openxmlformats.org/officeDocument/2006/relationships/image" Target="media/image118.wmf"/><Relationship Id="rId14" Type="http://schemas.openxmlformats.org/officeDocument/2006/relationships/image" Target="media/image2.wmf"/><Relationship Id="rId35" Type="http://schemas.openxmlformats.org/officeDocument/2006/relationships/oleObject" Target="embeddings/oleObject12.bin"/><Relationship Id="rId56" Type="http://schemas.openxmlformats.org/officeDocument/2006/relationships/image" Target="media/image22.wmf"/><Relationship Id="rId77" Type="http://schemas.openxmlformats.org/officeDocument/2006/relationships/oleObject" Target="embeddings/oleObject35.bin"/><Relationship Id="rId100" Type="http://schemas.openxmlformats.org/officeDocument/2006/relationships/image" Target="media/image43.wmf"/><Relationship Id="rId282" Type="http://schemas.openxmlformats.org/officeDocument/2006/relationships/oleObject" Target="embeddings/oleObject143.bin"/><Relationship Id="rId317" Type="http://schemas.openxmlformats.org/officeDocument/2006/relationships/header" Target="header4.xml"/><Relationship Id="rId338" Type="http://schemas.openxmlformats.org/officeDocument/2006/relationships/header" Target="header7.xml"/><Relationship Id="rId8" Type="http://schemas.openxmlformats.org/officeDocument/2006/relationships/webSettings" Target="webSettings.xml"/><Relationship Id="rId98" Type="http://schemas.openxmlformats.org/officeDocument/2006/relationships/image" Target="media/image42.wmf"/><Relationship Id="rId121" Type="http://schemas.openxmlformats.org/officeDocument/2006/relationships/oleObject" Target="embeddings/oleObject58.bin"/><Relationship Id="rId142" Type="http://schemas.openxmlformats.org/officeDocument/2006/relationships/image" Target="media/image62.wmf"/><Relationship Id="rId163" Type="http://schemas.openxmlformats.org/officeDocument/2006/relationships/oleObject" Target="embeddings/oleObject80.bin"/><Relationship Id="rId184" Type="http://schemas.openxmlformats.org/officeDocument/2006/relationships/oleObject" Target="embeddings/oleObject92.bin"/><Relationship Id="rId219" Type="http://schemas.openxmlformats.org/officeDocument/2006/relationships/oleObject" Target="embeddings/oleObject111.bin"/><Relationship Id="rId230" Type="http://schemas.openxmlformats.org/officeDocument/2006/relationships/image" Target="media/image103.wmf"/><Relationship Id="rId251" Type="http://schemas.openxmlformats.org/officeDocument/2006/relationships/image" Target="media/image113.wmf"/><Relationship Id="rId25" Type="http://schemas.openxmlformats.org/officeDocument/2006/relationships/oleObject" Target="embeddings/oleObject7.bin"/><Relationship Id="rId46" Type="http://schemas.openxmlformats.org/officeDocument/2006/relationships/oleObject" Target="embeddings/oleObject18.bin"/><Relationship Id="rId67" Type="http://schemas.openxmlformats.org/officeDocument/2006/relationships/oleObject" Target="embeddings/oleObject30.bin"/><Relationship Id="rId272" Type="http://schemas.openxmlformats.org/officeDocument/2006/relationships/oleObject" Target="embeddings/oleObject138.bin"/><Relationship Id="rId293" Type="http://schemas.openxmlformats.org/officeDocument/2006/relationships/image" Target="media/image133.wmf"/><Relationship Id="rId307" Type="http://schemas.openxmlformats.org/officeDocument/2006/relationships/image" Target="media/image140.png"/><Relationship Id="rId328" Type="http://schemas.openxmlformats.org/officeDocument/2006/relationships/oleObject" Target="embeddings/oleObject158.bin"/><Relationship Id="rId88" Type="http://schemas.openxmlformats.org/officeDocument/2006/relationships/image" Target="media/image37.wmf"/><Relationship Id="rId111" Type="http://schemas.openxmlformats.org/officeDocument/2006/relationships/oleObject" Target="embeddings/oleObject53.bin"/><Relationship Id="rId132" Type="http://schemas.openxmlformats.org/officeDocument/2006/relationships/image" Target="media/image58.wmf"/><Relationship Id="rId153" Type="http://schemas.openxmlformats.org/officeDocument/2006/relationships/oleObject" Target="embeddings/oleObject75.bin"/><Relationship Id="rId174" Type="http://schemas.openxmlformats.org/officeDocument/2006/relationships/image" Target="media/image77.wmf"/><Relationship Id="rId195" Type="http://schemas.openxmlformats.org/officeDocument/2006/relationships/image" Target="media/image86.wmf"/><Relationship Id="rId209" Type="http://schemas.openxmlformats.org/officeDocument/2006/relationships/image" Target="media/image93.wmf"/><Relationship Id="rId220" Type="http://schemas.openxmlformats.org/officeDocument/2006/relationships/image" Target="media/image98.wmf"/><Relationship Id="rId241" Type="http://schemas.openxmlformats.org/officeDocument/2006/relationships/image" Target="media/image108.wmf"/><Relationship Id="rId15" Type="http://schemas.openxmlformats.org/officeDocument/2006/relationships/oleObject" Target="embeddings/oleObject2.bin"/><Relationship Id="rId36" Type="http://schemas.openxmlformats.org/officeDocument/2006/relationships/image" Target="media/image13.wmf"/><Relationship Id="rId57" Type="http://schemas.openxmlformats.org/officeDocument/2006/relationships/oleObject" Target="embeddings/oleObject24.bin"/><Relationship Id="rId262" Type="http://schemas.openxmlformats.org/officeDocument/2006/relationships/oleObject" Target="embeddings/oleObject133.bin"/><Relationship Id="rId283" Type="http://schemas.openxmlformats.org/officeDocument/2006/relationships/image" Target="media/image129.wmf"/><Relationship Id="rId318" Type="http://schemas.openxmlformats.org/officeDocument/2006/relationships/header" Target="header5.xml"/><Relationship Id="rId339" Type="http://schemas.openxmlformats.org/officeDocument/2006/relationships/header" Target="header8.xml"/><Relationship Id="rId78" Type="http://schemas.openxmlformats.org/officeDocument/2006/relationships/image" Target="media/image32.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image" Target="media/image53.wmf"/><Relationship Id="rId143" Type="http://schemas.openxmlformats.org/officeDocument/2006/relationships/oleObject" Target="embeddings/oleObject70.bin"/><Relationship Id="rId164" Type="http://schemas.openxmlformats.org/officeDocument/2006/relationships/image" Target="media/image73.wmf"/><Relationship Id="rId185" Type="http://schemas.openxmlformats.org/officeDocument/2006/relationships/image" Target="media/image82.wmf"/><Relationship Id="rId9" Type="http://schemas.openxmlformats.org/officeDocument/2006/relationships/footnotes" Target="footnotes.xml"/><Relationship Id="rId210" Type="http://schemas.openxmlformats.org/officeDocument/2006/relationships/oleObject" Target="embeddings/oleObject106.bin"/><Relationship Id="rId26" Type="http://schemas.openxmlformats.org/officeDocument/2006/relationships/image" Target="media/image8.wmf"/><Relationship Id="rId231" Type="http://schemas.openxmlformats.org/officeDocument/2006/relationships/oleObject" Target="embeddings/oleObject117.bin"/><Relationship Id="rId252" Type="http://schemas.openxmlformats.org/officeDocument/2006/relationships/oleObject" Target="embeddings/oleObject128.bin"/><Relationship Id="rId273" Type="http://schemas.openxmlformats.org/officeDocument/2006/relationships/image" Target="media/image124.wmf"/><Relationship Id="rId294" Type="http://schemas.openxmlformats.org/officeDocument/2006/relationships/oleObject" Target="embeddings/oleObject150.bin"/><Relationship Id="rId308" Type="http://schemas.openxmlformats.org/officeDocument/2006/relationships/image" Target="media/image141.png"/><Relationship Id="rId329" Type="http://schemas.openxmlformats.org/officeDocument/2006/relationships/image" Target="media/image147.wmf"/><Relationship Id="rId47" Type="http://schemas.openxmlformats.org/officeDocument/2006/relationships/oleObject" Target="embeddings/oleObject19.bin"/><Relationship Id="rId68" Type="http://schemas.openxmlformats.org/officeDocument/2006/relationships/image" Target="media/image27.wmf"/><Relationship Id="rId89" Type="http://schemas.openxmlformats.org/officeDocument/2006/relationships/oleObject" Target="embeddings/oleObject41.bin"/><Relationship Id="rId112" Type="http://schemas.openxmlformats.org/officeDocument/2006/relationships/image" Target="media/image48.wmf"/><Relationship Id="rId133" Type="http://schemas.openxmlformats.org/officeDocument/2006/relationships/oleObject" Target="embeddings/oleObject64.bin"/><Relationship Id="rId154" Type="http://schemas.openxmlformats.org/officeDocument/2006/relationships/image" Target="media/image68.wmf"/><Relationship Id="rId175" Type="http://schemas.openxmlformats.org/officeDocument/2006/relationships/oleObject" Target="embeddings/oleObject87.bin"/><Relationship Id="rId340" Type="http://schemas.openxmlformats.org/officeDocument/2006/relationships/footer" Target="footer9.xml"/><Relationship Id="rId196" Type="http://schemas.openxmlformats.org/officeDocument/2006/relationships/oleObject" Target="embeddings/oleObject99.bin"/><Relationship Id="rId200" Type="http://schemas.openxmlformats.org/officeDocument/2006/relationships/oleObject" Target="embeddings/oleObject101.bin"/><Relationship Id="rId16" Type="http://schemas.openxmlformats.org/officeDocument/2006/relationships/image" Target="media/image3.wmf"/><Relationship Id="rId221" Type="http://schemas.openxmlformats.org/officeDocument/2006/relationships/oleObject" Target="embeddings/oleObject112.bin"/><Relationship Id="rId242" Type="http://schemas.openxmlformats.org/officeDocument/2006/relationships/oleObject" Target="embeddings/oleObject123.bin"/><Relationship Id="rId263" Type="http://schemas.openxmlformats.org/officeDocument/2006/relationships/image" Target="media/image119.wmf"/><Relationship Id="rId284" Type="http://schemas.openxmlformats.org/officeDocument/2006/relationships/oleObject" Target="embeddings/oleObject144.bin"/><Relationship Id="rId319" Type="http://schemas.openxmlformats.org/officeDocument/2006/relationships/footer" Target="footer6.xml"/><Relationship Id="rId37" Type="http://schemas.openxmlformats.org/officeDocument/2006/relationships/oleObject" Target="embeddings/oleObject13.bin"/><Relationship Id="rId58" Type="http://schemas.openxmlformats.org/officeDocument/2006/relationships/oleObject" Target="embeddings/oleObject25.bin"/><Relationship Id="rId79" Type="http://schemas.openxmlformats.org/officeDocument/2006/relationships/oleObject" Target="embeddings/oleObject36.bin"/><Relationship Id="rId102" Type="http://schemas.openxmlformats.org/officeDocument/2006/relationships/image" Target="media/image44.wmf"/><Relationship Id="rId123" Type="http://schemas.openxmlformats.org/officeDocument/2006/relationships/oleObject" Target="embeddings/oleObject59.bin"/><Relationship Id="rId144" Type="http://schemas.openxmlformats.org/officeDocument/2006/relationships/image" Target="media/image63.wmf"/><Relationship Id="rId330" Type="http://schemas.openxmlformats.org/officeDocument/2006/relationships/oleObject" Target="embeddings/oleObject159.bin"/><Relationship Id="rId90" Type="http://schemas.openxmlformats.org/officeDocument/2006/relationships/image" Target="media/image38.wmf"/><Relationship Id="rId165" Type="http://schemas.openxmlformats.org/officeDocument/2006/relationships/oleObject" Target="embeddings/oleObject81.bin"/><Relationship Id="rId186" Type="http://schemas.openxmlformats.org/officeDocument/2006/relationships/oleObject" Target="embeddings/oleObject93.bin"/><Relationship Id="rId211" Type="http://schemas.openxmlformats.org/officeDocument/2006/relationships/image" Target="media/image94.wmf"/><Relationship Id="rId232" Type="http://schemas.openxmlformats.org/officeDocument/2006/relationships/image" Target="media/image104.wmf"/><Relationship Id="rId253" Type="http://schemas.openxmlformats.org/officeDocument/2006/relationships/image" Target="media/image114.wmf"/><Relationship Id="rId274" Type="http://schemas.openxmlformats.org/officeDocument/2006/relationships/oleObject" Target="embeddings/oleObject139.bin"/><Relationship Id="rId295" Type="http://schemas.openxmlformats.org/officeDocument/2006/relationships/image" Target="media/image134.wmf"/><Relationship Id="rId309" Type="http://schemas.openxmlformats.org/officeDocument/2006/relationships/image" Target="media/image142.jpeg"/><Relationship Id="rId27" Type="http://schemas.openxmlformats.org/officeDocument/2006/relationships/oleObject" Target="embeddings/oleObject8.bin"/><Relationship Id="rId48" Type="http://schemas.openxmlformats.org/officeDocument/2006/relationships/image" Target="media/image18.wmf"/><Relationship Id="rId69" Type="http://schemas.openxmlformats.org/officeDocument/2006/relationships/oleObject" Target="embeddings/oleObject31.bin"/><Relationship Id="rId113" Type="http://schemas.openxmlformats.org/officeDocument/2006/relationships/oleObject" Target="embeddings/oleObject54.bin"/><Relationship Id="rId134" Type="http://schemas.openxmlformats.org/officeDocument/2006/relationships/image" Target="media/image59.wmf"/><Relationship Id="rId320" Type="http://schemas.openxmlformats.org/officeDocument/2006/relationships/footer" Target="footer7.xml"/><Relationship Id="rId80" Type="http://schemas.openxmlformats.org/officeDocument/2006/relationships/image" Target="media/image33.wmf"/><Relationship Id="rId155" Type="http://schemas.openxmlformats.org/officeDocument/2006/relationships/oleObject" Target="embeddings/oleObject76.bin"/><Relationship Id="rId176" Type="http://schemas.openxmlformats.org/officeDocument/2006/relationships/image" Target="media/image78.wmf"/><Relationship Id="rId197" Type="http://schemas.openxmlformats.org/officeDocument/2006/relationships/image" Target="media/image87.wmf"/><Relationship Id="rId341" Type="http://schemas.openxmlformats.org/officeDocument/2006/relationships/footer" Target="footer10.xml"/><Relationship Id="rId201" Type="http://schemas.openxmlformats.org/officeDocument/2006/relationships/image" Target="media/image89.wmf"/><Relationship Id="rId222" Type="http://schemas.openxmlformats.org/officeDocument/2006/relationships/image" Target="media/image99.wmf"/><Relationship Id="rId243" Type="http://schemas.openxmlformats.org/officeDocument/2006/relationships/image" Target="media/image109.wmf"/><Relationship Id="rId264" Type="http://schemas.openxmlformats.org/officeDocument/2006/relationships/oleObject" Target="embeddings/oleObject134.bin"/><Relationship Id="rId285" Type="http://schemas.openxmlformats.org/officeDocument/2006/relationships/image" Target="media/image130.wmf"/><Relationship Id="rId17" Type="http://schemas.openxmlformats.org/officeDocument/2006/relationships/oleObject" Target="embeddings/oleObject3.bin"/><Relationship Id="rId38" Type="http://schemas.openxmlformats.org/officeDocument/2006/relationships/oleObject" Target="embeddings/oleObject14.bin"/><Relationship Id="rId59" Type="http://schemas.openxmlformats.org/officeDocument/2006/relationships/oleObject" Target="embeddings/oleObject26.bin"/><Relationship Id="rId103" Type="http://schemas.openxmlformats.org/officeDocument/2006/relationships/oleObject" Target="embeddings/oleObject48.bin"/><Relationship Id="rId124" Type="http://schemas.openxmlformats.org/officeDocument/2006/relationships/image" Target="media/image54.wmf"/><Relationship Id="rId310" Type="http://schemas.openxmlformats.org/officeDocument/2006/relationships/image" Target="media/image143.jpeg"/><Relationship Id="rId70" Type="http://schemas.openxmlformats.org/officeDocument/2006/relationships/image" Target="media/image28.wmf"/><Relationship Id="rId91" Type="http://schemas.openxmlformats.org/officeDocument/2006/relationships/oleObject" Target="embeddings/oleObject42.bin"/><Relationship Id="rId145" Type="http://schemas.openxmlformats.org/officeDocument/2006/relationships/oleObject" Target="embeddings/oleObject71.bin"/><Relationship Id="rId166" Type="http://schemas.openxmlformats.org/officeDocument/2006/relationships/image" Target="media/image74.wmf"/><Relationship Id="rId187" Type="http://schemas.openxmlformats.org/officeDocument/2006/relationships/image" Target="media/image83.wmf"/><Relationship Id="rId331" Type="http://schemas.openxmlformats.org/officeDocument/2006/relationships/image" Target="media/image148.wmf"/><Relationship Id="rId1" Type="http://schemas.openxmlformats.org/officeDocument/2006/relationships/customXml" Target="../customXml/item1.xml"/><Relationship Id="rId212" Type="http://schemas.openxmlformats.org/officeDocument/2006/relationships/oleObject" Target="embeddings/oleObject107.bin"/><Relationship Id="rId233" Type="http://schemas.openxmlformats.org/officeDocument/2006/relationships/oleObject" Target="embeddings/oleObject118.bin"/><Relationship Id="rId254" Type="http://schemas.openxmlformats.org/officeDocument/2006/relationships/oleObject" Target="embeddings/oleObject129.bin"/><Relationship Id="rId28" Type="http://schemas.openxmlformats.org/officeDocument/2006/relationships/image" Target="media/image9.wmf"/><Relationship Id="rId49" Type="http://schemas.openxmlformats.org/officeDocument/2006/relationships/oleObject" Target="embeddings/oleObject20.bin"/><Relationship Id="rId114" Type="http://schemas.openxmlformats.org/officeDocument/2006/relationships/image" Target="media/image49.wmf"/><Relationship Id="rId275" Type="http://schemas.openxmlformats.org/officeDocument/2006/relationships/image" Target="media/image125.wmf"/><Relationship Id="rId296" Type="http://schemas.openxmlformats.org/officeDocument/2006/relationships/oleObject" Target="embeddings/oleObject151.bin"/><Relationship Id="rId300" Type="http://schemas.openxmlformats.org/officeDocument/2006/relationships/oleObject" Target="embeddings/oleObject153.bin"/><Relationship Id="rId60" Type="http://schemas.openxmlformats.org/officeDocument/2006/relationships/image" Target="media/image23.wmf"/><Relationship Id="rId81" Type="http://schemas.openxmlformats.org/officeDocument/2006/relationships/oleObject" Target="embeddings/oleObject37.bin"/><Relationship Id="rId135" Type="http://schemas.openxmlformats.org/officeDocument/2006/relationships/oleObject" Target="embeddings/oleObject65.bin"/><Relationship Id="rId156" Type="http://schemas.openxmlformats.org/officeDocument/2006/relationships/image" Target="media/image69.wmf"/><Relationship Id="rId177" Type="http://schemas.openxmlformats.org/officeDocument/2006/relationships/oleObject" Target="embeddings/oleObject88.bin"/><Relationship Id="rId198" Type="http://schemas.openxmlformats.org/officeDocument/2006/relationships/oleObject" Target="embeddings/oleObject100.bin"/><Relationship Id="rId321" Type="http://schemas.openxmlformats.org/officeDocument/2006/relationships/header" Target="header6.xml"/><Relationship Id="rId342" Type="http://schemas.openxmlformats.org/officeDocument/2006/relationships/header" Target="header9.xml"/><Relationship Id="rId202" Type="http://schemas.openxmlformats.org/officeDocument/2006/relationships/oleObject" Target="embeddings/oleObject102.bin"/><Relationship Id="rId223" Type="http://schemas.openxmlformats.org/officeDocument/2006/relationships/oleObject" Target="embeddings/oleObject113.bin"/><Relationship Id="rId244" Type="http://schemas.openxmlformats.org/officeDocument/2006/relationships/oleObject" Target="embeddings/oleObject124.bin"/><Relationship Id="rId18" Type="http://schemas.openxmlformats.org/officeDocument/2006/relationships/image" Target="media/image4.wmf"/><Relationship Id="rId39" Type="http://schemas.openxmlformats.org/officeDocument/2006/relationships/image" Target="media/image14.wmf"/><Relationship Id="rId265" Type="http://schemas.openxmlformats.org/officeDocument/2006/relationships/image" Target="media/image120.wmf"/><Relationship Id="rId286" Type="http://schemas.openxmlformats.org/officeDocument/2006/relationships/oleObject" Target="embeddings/oleObject145.bin"/><Relationship Id="rId50" Type="http://schemas.openxmlformats.org/officeDocument/2006/relationships/image" Target="media/image19.wmf"/><Relationship Id="rId104" Type="http://schemas.openxmlformats.org/officeDocument/2006/relationships/oleObject" Target="embeddings/oleObject49.bin"/><Relationship Id="rId125" Type="http://schemas.openxmlformats.org/officeDocument/2006/relationships/oleObject" Target="embeddings/oleObject60.bin"/><Relationship Id="rId146" Type="http://schemas.openxmlformats.org/officeDocument/2006/relationships/image" Target="media/image64.wmf"/><Relationship Id="rId167" Type="http://schemas.openxmlformats.org/officeDocument/2006/relationships/oleObject" Target="embeddings/oleObject82.bin"/><Relationship Id="rId188" Type="http://schemas.openxmlformats.org/officeDocument/2006/relationships/oleObject" Target="embeddings/oleObject94.bin"/><Relationship Id="rId311" Type="http://schemas.openxmlformats.org/officeDocument/2006/relationships/header" Target="header1.xml"/><Relationship Id="rId332" Type="http://schemas.openxmlformats.org/officeDocument/2006/relationships/oleObject" Target="embeddings/oleObject160.bin"/><Relationship Id="rId71" Type="http://schemas.openxmlformats.org/officeDocument/2006/relationships/oleObject" Target="embeddings/oleObject32.bin"/><Relationship Id="rId92" Type="http://schemas.openxmlformats.org/officeDocument/2006/relationships/image" Target="media/image39.wmf"/><Relationship Id="rId213" Type="http://schemas.openxmlformats.org/officeDocument/2006/relationships/image" Target="media/image95.wmf"/><Relationship Id="rId234" Type="http://schemas.openxmlformats.org/officeDocument/2006/relationships/image" Target="media/image105.wmf"/><Relationship Id="rId2" Type="http://schemas.openxmlformats.org/officeDocument/2006/relationships/customXml" Target="../customXml/item2.xml"/><Relationship Id="rId29" Type="http://schemas.openxmlformats.org/officeDocument/2006/relationships/oleObject" Target="embeddings/oleObject9.bin"/><Relationship Id="rId255" Type="http://schemas.openxmlformats.org/officeDocument/2006/relationships/image" Target="media/image115.wmf"/><Relationship Id="rId276" Type="http://schemas.openxmlformats.org/officeDocument/2006/relationships/oleObject" Target="embeddings/oleObject140.bin"/><Relationship Id="rId297" Type="http://schemas.openxmlformats.org/officeDocument/2006/relationships/image" Target="media/image135.wmf"/><Relationship Id="rId40" Type="http://schemas.openxmlformats.org/officeDocument/2006/relationships/oleObject" Target="embeddings/oleObject15.bin"/><Relationship Id="rId115" Type="http://schemas.openxmlformats.org/officeDocument/2006/relationships/oleObject" Target="embeddings/oleObject55.bin"/><Relationship Id="rId136" Type="http://schemas.openxmlformats.org/officeDocument/2006/relationships/oleObject" Target="embeddings/oleObject66.bin"/><Relationship Id="rId157" Type="http://schemas.openxmlformats.org/officeDocument/2006/relationships/oleObject" Target="embeddings/oleObject77.bin"/><Relationship Id="rId178" Type="http://schemas.openxmlformats.org/officeDocument/2006/relationships/image" Target="media/image79.wmf"/><Relationship Id="rId301" Type="http://schemas.openxmlformats.org/officeDocument/2006/relationships/image" Target="media/image137.wmf"/><Relationship Id="rId322" Type="http://schemas.openxmlformats.org/officeDocument/2006/relationships/footer" Target="footer8.xml"/><Relationship Id="rId343" Type="http://schemas.openxmlformats.org/officeDocument/2006/relationships/footer" Target="footer11.xml"/><Relationship Id="rId61" Type="http://schemas.openxmlformats.org/officeDocument/2006/relationships/oleObject" Target="embeddings/oleObject27.bin"/><Relationship Id="rId82" Type="http://schemas.openxmlformats.org/officeDocument/2006/relationships/image" Target="media/image34.wmf"/><Relationship Id="rId199" Type="http://schemas.openxmlformats.org/officeDocument/2006/relationships/image" Target="media/image88.wmf"/><Relationship Id="rId203" Type="http://schemas.openxmlformats.org/officeDocument/2006/relationships/image" Target="media/image90.wmf"/><Relationship Id="rId19" Type="http://schemas.openxmlformats.org/officeDocument/2006/relationships/oleObject" Target="embeddings/oleObject4.bin"/><Relationship Id="rId224" Type="http://schemas.openxmlformats.org/officeDocument/2006/relationships/image" Target="media/image100.wmf"/><Relationship Id="rId245" Type="http://schemas.openxmlformats.org/officeDocument/2006/relationships/image" Target="media/image110.wmf"/><Relationship Id="rId266" Type="http://schemas.openxmlformats.org/officeDocument/2006/relationships/oleObject" Target="embeddings/oleObject135.bin"/><Relationship Id="rId287" Type="http://schemas.openxmlformats.org/officeDocument/2006/relationships/image" Target="media/image131.wmf"/><Relationship Id="rId30" Type="http://schemas.openxmlformats.org/officeDocument/2006/relationships/image" Target="media/image10.wmf"/><Relationship Id="rId105" Type="http://schemas.openxmlformats.org/officeDocument/2006/relationships/image" Target="media/image45.wmf"/><Relationship Id="rId126" Type="http://schemas.openxmlformats.org/officeDocument/2006/relationships/image" Target="media/image55.wmf"/><Relationship Id="rId147" Type="http://schemas.openxmlformats.org/officeDocument/2006/relationships/oleObject" Target="embeddings/oleObject72.bin"/><Relationship Id="rId168" Type="http://schemas.openxmlformats.org/officeDocument/2006/relationships/image" Target="media/image75.wmf"/><Relationship Id="rId312" Type="http://schemas.openxmlformats.org/officeDocument/2006/relationships/header" Target="header2.xml"/><Relationship Id="rId333" Type="http://schemas.openxmlformats.org/officeDocument/2006/relationships/image" Target="media/image149.wmf"/><Relationship Id="rId51" Type="http://schemas.openxmlformats.org/officeDocument/2006/relationships/oleObject" Target="embeddings/oleObject21.bin"/><Relationship Id="rId72" Type="http://schemas.openxmlformats.org/officeDocument/2006/relationships/image" Target="media/image29.wmf"/><Relationship Id="rId93" Type="http://schemas.openxmlformats.org/officeDocument/2006/relationships/oleObject" Target="embeddings/oleObject43.bin"/><Relationship Id="rId189" Type="http://schemas.openxmlformats.org/officeDocument/2006/relationships/image" Target="media/image84.wmf"/><Relationship Id="rId3" Type="http://schemas.openxmlformats.org/officeDocument/2006/relationships/customXml" Target="../customXml/item3.xml"/><Relationship Id="rId214" Type="http://schemas.openxmlformats.org/officeDocument/2006/relationships/oleObject" Target="embeddings/oleObject108.bin"/><Relationship Id="rId235" Type="http://schemas.openxmlformats.org/officeDocument/2006/relationships/oleObject" Target="embeddings/oleObject119.bin"/><Relationship Id="rId256" Type="http://schemas.openxmlformats.org/officeDocument/2006/relationships/oleObject" Target="embeddings/oleObject130.bin"/><Relationship Id="rId277" Type="http://schemas.openxmlformats.org/officeDocument/2006/relationships/image" Target="media/image126.wmf"/><Relationship Id="rId298" Type="http://schemas.openxmlformats.org/officeDocument/2006/relationships/oleObject" Target="embeddings/oleObject152.bin"/><Relationship Id="rId116" Type="http://schemas.openxmlformats.org/officeDocument/2006/relationships/image" Target="media/image50.wmf"/><Relationship Id="rId137" Type="http://schemas.openxmlformats.org/officeDocument/2006/relationships/oleObject" Target="embeddings/oleObject67.bin"/><Relationship Id="rId158" Type="http://schemas.openxmlformats.org/officeDocument/2006/relationships/image" Target="media/image70.wmf"/><Relationship Id="rId302" Type="http://schemas.openxmlformats.org/officeDocument/2006/relationships/oleObject" Target="embeddings/oleObject154.bin"/><Relationship Id="rId323" Type="http://schemas.openxmlformats.org/officeDocument/2006/relationships/image" Target="media/image144.wmf"/><Relationship Id="rId344" Type="http://schemas.openxmlformats.org/officeDocument/2006/relationships/fontTable" Target="fontTable.xml"/><Relationship Id="rId20" Type="http://schemas.openxmlformats.org/officeDocument/2006/relationships/image" Target="media/image5.wmf"/><Relationship Id="rId41" Type="http://schemas.openxmlformats.org/officeDocument/2006/relationships/image" Target="media/image15.wmf"/><Relationship Id="rId62" Type="http://schemas.openxmlformats.org/officeDocument/2006/relationships/image" Target="media/image24.wmf"/><Relationship Id="rId83" Type="http://schemas.openxmlformats.org/officeDocument/2006/relationships/oleObject" Target="embeddings/oleObject38.bin"/><Relationship Id="rId179" Type="http://schemas.openxmlformats.org/officeDocument/2006/relationships/oleObject" Target="embeddings/oleObject89.bin"/><Relationship Id="rId190" Type="http://schemas.openxmlformats.org/officeDocument/2006/relationships/oleObject" Target="embeddings/oleObject95.bin"/><Relationship Id="rId204" Type="http://schemas.openxmlformats.org/officeDocument/2006/relationships/oleObject" Target="embeddings/oleObject103.bin"/><Relationship Id="rId225" Type="http://schemas.openxmlformats.org/officeDocument/2006/relationships/oleObject" Target="embeddings/oleObject114.bin"/><Relationship Id="rId246" Type="http://schemas.openxmlformats.org/officeDocument/2006/relationships/oleObject" Target="embeddings/oleObject125.bin"/><Relationship Id="rId267" Type="http://schemas.openxmlformats.org/officeDocument/2006/relationships/image" Target="media/image121.wmf"/><Relationship Id="rId288" Type="http://schemas.openxmlformats.org/officeDocument/2006/relationships/oleObject" Target="embeddings/oleObject146.bin"/><Relationship Id="rId106" Type="http://schemas.openxmlformats.org/officeDocument/2006/relationships/oleObject" Target="embeddings/oleObject50.bin"/><Relationship Id="rId127" Type="http://schemas.openxmlformats.org/officeDocument/2006/relationships/oleObject" Target="embeddings/oleObject61.bin"/><Relationship Id="rId313" Type="http://schemas.openxmlformats.org/officeDocument/2006/relationships/footer" Target="footer3.xml"/><Relationship Id="rId10" Type="http://schemas.openxmlformats.org/officeDocument/2006/relationships/endnotes" Target="endnotes.xml"/><Relationship Id="rId31" Type="http://schemas.openxmlformats.org/officeDocument/2006/relationships/oleObject" Target="embeddings/oleObject10.bin"/><Relationship Id="rId52" Type="http://schemas.openxmlformats.org/officeDocument/2006/relationships/image" Target="media/image20.wmf"/><Relationship Id="rId73" Type="http://schemas.openxmlformats.org/officeDocument/2006/relationships/oleObject" Target="embeddings/oleObject33.bin"/><Relationship Id="rId94" Type="http://schemas.openxmlformats.org/officeDocument/2006/relationships/image" Target="media/image40.wmf"/><Relationship Id="rId148" Type="http://schemas.openxmlformats.org/officeDocument/2006/relationships/image" Target="media/image65.wmf"/><Relationship Id="rId169" Type="http://schemas.openxmlformats.org/officeDocument/2006/relationships/oleObject" Target="embeddings/oleObject83.bin"/><Relationship Id="rId334" Type="http://schemas.openxmlformats.org/officeDocument/2006/relationships/oleObject" Target="embeddings/oleObject161.bin"/><Relationship Id="rId4" Type="http://schemas.openxmlformats.org/officeDocument/2006/relationships/customXml" Target="../customXml/item4.xml"/><Relationship Id="rId180" Type="http://schemas.openxmlformats.org/officeDocument/2006/relationships/image" Target="media/image80.wmf"/><Relationship Id="rId215" Type="http://schemas.openxmlformats.org/officeDocument/2006/relationships/image" Target="media/image96.wmf"/><Relationship Id="rId236" Type="http://schemas.openxmlformats.org/officeDocument/2006/relationships/oleObject" Target="embeddings/oleObject120.bin"/><Relationship Id="rId257" Type="http://schemas.openxmlformats.org/officeDocument/2006/relationships/image" Target="media/image116.wmf"/><Relationship Id="rId278" Type="http://schemas.openxmlformats.org/officeDocument/2006/relationships/oleObject" Target="embeddings/oleObject141.bin"/><Relationship Id="rId303" Type="http://schemas.openxmlformats.org/officeDocument/2006/relationships/image" Target="media/image138.wmf"/><Relationship Id="rId42" Type="http://schemas.openxmlformats.org/officeDocument/2006/relationships/oleObject" Target="embeddings/oleObject16.bin"/><Relationship Id="rId84" Type="http://schemas.openxmlformats.org/officeDocument/2006/relationships/image" Target="media/image35.wmf"/><Relationship Id="rId138" Type="http://schemas.openxmlformats.org/officeDocument/2006/relationships/image" Target="media/image60.wmf"/><Relationship Id="rId345" Type="http://schemas.openxmlformats.org/officeDocument/2006/relationships/theme" Target="theme/theme1.xml"/><Relationship Id="rId191" Type="http://schemas.openxmlformats.org/officeDocument/2006/relationships/image" Target="media/image85.wmf"/><Relationship Id="rId205" Type="http://schemas.openxmlformats.org/officeDocument/2006/relationships/image" Target="media/image91.wmf"/><Relationship Id="rId247" Type="http://schemas.openxmlformats.org/officeDocument/2006/relationships/image" Target="media/image111.wmf"/><Relationship Id="rId107" Type="http://schemas.openxmlformats.org/officeDocument/2006/relationships/image" Target="media/image46.wmf"/><Relationship Id="rId289" Type="http://schemas.openxmlformats.org/officeDocument/2006/relationships/oleObject" Target="embeddings/oleObject147.bin"/><Relationship Id="rId11" Type="http://schemas.openxmlformats.org/officeDocument/2006/relationships/footer" Target="footer1.xml"/><Relationship Id="rId53" Type="http://schemas.openxmlformats.org/officeDocument/2006/relationships/oleObject" Target="embeddings/oleObject22.bin"/><Relationship Id="rId149" Type="http://schemas.openxmlformats.org/officeDocument/2006/relationships/oleObject" Target="embeddings/oleObject73.bin"/><Relationship Id="rId314" Type="http://schemas.openxmlformats.org/officeDocument/2006/relationships/footer" Target="footer4.xml"/><Relationship Id="rId95" Type="http://schemas.openxmlformats.org/officeDocument/2006/relationships/oleObject" Target="embeddings/oleObject44.bin"/><Relationship Id="rId160" Type="http://schemas.openxmlformats.org/officeDocument/2006/relationships/image" Target="media/image71.wmf"/><Relationship Id="rId216" Type="http://schemas.openxmlformats.org/officeDocument/2006/relationships/oleObject" Target="embeddings/oleObject109.bin"/><Relationship Id="rId258" Type="http://schemas.openxmlformats.org/officeDocument/2006/relationships/oleObject" Target="embeddings/oleObject131.bin"/><Relationship Id="rId22" Type="http://schemas.openxmlformats.org/officeDocument/2006/relationships/image" Target="media/image6.wmf"/><Relationship Id="rId64" Type="http://schemas.openxmlformats.org/officeDocument/2006/relationships/image" Target="media/image25.wmf"/><Relationship Id="rId118" Type="http://schemas.openxmlformats.org/officeDocument/2006/relationships/image" Target="media/image51.wmf"/><Relationship Id="rId325" Type="http://schemas.openxmlformats.org/officeDocument/2006/relationships/image" Target="media/image145.wmf"/><Relationship Id="rId171" Type="http://schemas.openxmlformats.org/officeDocument/2006/relationships/oleObject" Target="embeddings/oleObject85.bin"/><Relationship Id="rId227" Type="http://schemas.openxmlformats.org/officeDocument/2006/relationships/oleObject" Target="embeddings/oleObject115.bin"/><Relationship Id="rId269" Type="http://schemas.openxmlformats.org/officeDocument/2006/relationships/image" Target="media/image122.wmf"/><Relationship Id="rId33" Type="http://schemas.openxmlformats.org/officeDocument/2006/relationships/oleObject" Target="embeddings/oleObject11.bin"/><Relationship Id="rId129" Type="http://schemas.openxmlformats.org/officeDocument/2006/relationships/oleObject" Target="embeddings/oleObject62.bin"/><Relationship Id="rId280" Type="http://schemas.openxmlformats.org/officeDocument/2006/relationships/oleObject" Target="embeddings/oleObject142.bin"/><Relationship Id="rId336" Type="http://schemas.openxmlformats.org/officeDocument/2006/relationships/chart" Target="charts/chart1.xml"/><Relationship Id="rId75" Type="http://schemas.openxmlformats.org/officeDocument/2006/relationships/oleObject" Target="embeddings/oleObject34.bin"/><Relationship Id="rId140" Type="http://schemas.openxmlformats.org/officeDocument/2006/relationships/image" Target="media/image61.wmf"/><Relationship Id="rId182" Type="http://schemas.openxmlformats.org/officeDocument/2006/relationships/oleObject" Target="embeddings/oleObject91.bin"/><Relationship Id="rId6" Type="http://schemas.openxmlformats.org/officeDocument/2006/relationships/styles" Target="styles.xml"/><Relationship Id="rId238" Type="http://schemas.openxmlformats.org/officeDocument/2006/relationships/oleObject" Target="embeddings/oleObject121.bin"/><Relationship Id="rId291" Type="http://schemas.openxmlformats.org/officeDocument/2006/relationships/image" Target="media/image132.wmf"/><Relationship Id="rId305" Type="http://schemas.openxmlformats.org/officeDocument/2006/relationships/footer" Target="footer2.xml"/><Relationship Id="rId44" Type="http://schemas.openxmlformats.org/officeDocument/2006/relationships/oleObject" Target="embeddings/oleObject17.bin"/><Relationship Id="rId86" Type="http://schemas.openxmlformats.org/officeDocument/2006/relationships/image" Target="media/image36.wmf"/><Relationship Id="rId151" Type="http://schemas.openxmlformats.org/officeDocument/2006/relationships/oleObject" Target="embeddings/oleObject74.bin"/><Relationship Id="rId193" Type="http://schemas.openxmlformats.org/officeDocument/2006/relationships/oleObject" Target="embeddings/oleObject97.bin"/><Relationship Id="rId207" Type="http://schemas.openxmlformats.org/officeDocument/2006/relationships/image" Target="media/image92.wmf"/><Relationship Id="rId249" Type="http://schemas.openxmlformats.org/officeDocument/2006/relationships/image" Target="media/image112.wmf"/><Relationship Id="rId13" Type="http://schemas.openxmlformats.org/officeDocument/2006/relationships/oleObject" Target="embeddings/oleObject1.bin"/><Relationship Id="rId109" Type="http://schemas.openxmlformats.org/officeDocument/2006/relationships/oleObject" Target="embeddings/oleObject52.bin"/><Relationship Id="rId260" Type="http://schemas.openxmlformats.org/officeDocument/2006/relationships/oleObject" Target="embeddings/oleObject132.bin"/><Relationship Id="rId316" Type="http://schemas.openxmlformats.org/officeDocument/2006/relationships/footer" Target="footer5.xml"/><Relationship Id="rId55" Type="http://schemas.openxmlformats.org/officeDocument/2006/relationships/oleObject" Target="embeddings/oleObject23.bin"/><Relationship Id="rId97" Type="http://schemas.openxmlformats.org/officeDocument/2006/relationships/oleObject" Target="embeddings/oleObject45.bin"/><Relationship Id="rId120" Type="http://schemas.openxmlformats.org/officeDocument/2006/relationships/image" Target="media/image52.wmf"/><Relationship Id="rId162" Type="http://schemas.openxmlformats.org/officeDocument/2006/relationships/image" Target="media/image72.wmf"/><Relationship Id="rId218" Type="http://schemas.openxmlformats.org/officeDocument/2006/relationships/image" Target="media/image97.wmf"/><Relationship Id="rId271" Type="http://schemas.openxmlformats.org/officeDocument/2006/relationships/image" Target="media/image123.wmf"/><Relationship Id="rId24" Type="http://schemas.openxmlformats.org/officeDocument/2006/relationships/image" Target="media/image7.wmf"/><Relationship Id="rId66" Type="http://schemas.openxmlformats.org/officeDocument/2006/relationships/image" Target="media/image26.wmf"/><Relationship Id="rId131" Type="http://schemas.openxmlformats.org/officeDocument/2006/relationships/oleObject" Target="embeddings/oleObject63.bin"/><Relationship Id="rId327" Type="http://schemas.openxmlformats.org/officeDocument/2006/relationships/image" Target="media/image146.wmf"/><Relationship Id="rId173" Type="http://schemas.openxmlformats.org/officeDocument/2006/relationships/oleObject" Target="embeddings/oleObject86.bin"/><Relationship Id="rId229" Type="http://schemas.openxmlformats.org/officeDocument/2006/relationships/oleObject" Target="embeddings/oleObject116.bin"/><Relationship Id="rId240" Type="http://schemas.openxmlformats.org/officeDocument/2006/relationships/oleObject" Target="embeddings/oleObject122.bin"/></Relationships>
</file>

<file path=word/charts/_rels/chart1.xml.rels><?xml version="1.0" encoding="UTF-8" standalone="yes"?>
<Relationships xmlns="http://schemas.openxmlformats.org/package/2006/relationships"><Relationship Id="rId3" Type="http://schemas.openxmlformats.org/officeDocument/2006/relationships/oleObject" Target="file:///C:\Users\annab\Desktop\Reasearch\UAM\Writing\Human%20offline\Tables.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nnab\Desktop\Reasearch\UAM\Writing\Human%20offline\Table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5475667072997525"/>
          <c:y val="0.17949897600013456"/>
          <c:w val="0.41834682312076765"/>
          <c:h val="0.69132461558822322"/>
        </c:manualLayout>
      </c:layout>
      <c:barChart>
        <c:barDir val="bar"/>
        <c:grouping val="percentStacked"/>
        <c:varyColors val="0"/>
        <c:ser>
          <c:idx val="0"/>
          <c:order val="0"/>
          <c:tx>
            <c:strRef>
              <c:f>'Descriptive Stats'!$AH$117</c:f>
              <c:strCache>
                <c:ptCount val="1"/>
                <c:pt idx="0">
                  <c:v>Strongly disagree</c:v>
                </c:pt>
              </c:strCache>
            </c:strRef>
          </c:tx>
          <c:spPr>
            <a:solidFill>
              <a:srgbClr val="C00000"/>
            </a:solidFill>
            <a:ln>
              <a:noFill/>
            </a:ln>
            <a:effectLst/>
          </c:spPr>
          <c:invertIfNegative val="0"/>
          <c:cat>
            <c:strRef>
              <c:f>'Descriptive Stats'!$AG$118:$AG$126</c:f>
              <c:strCache>
                <c:ptCount val="9"/>
                <c:pt idx="0">
                  <c:v>If available to me today, I would feel comfortable riding in a self-driving vehicle</c:v>
                </c:pt>
                <c:pt idx="1">
                  <c:v>I like to be among the first to have the latest technology</c:v>
                </c:pt>
                <c:pt idx="2">
                  <c:v>I would be comfortable flying in a self-flying vehicle</c:v>
                </c:pt>
                <c:pt idx="4">
                  <c:v>I am concerned about UAM making too much noise in residential areas</c:v>
                </c:pt>
                <c:pt idx="5">
                  <c:v>I would not want to hear UAM noises near my home at night</c:v>
                </c:pt>
                <c:pt idx="7">
                  <c:v>The time I spend traveling to places provides a useful transition between activities</c:v>
                </c:pt>
                <c:pt idx="8">
                  <c:v>I make good use of the time I spend traveling</c:v>
                </c:pt>
              </c:strCache>
            </c:strRef>
          </c:cat>
          <c:val>
            <c:numRef>
              <c:f>'Descriptive Stats'!$AH$118:$AH$126</c:f>
              <c:numCache>
                <c:formatCode>General</c:formatCode>
                <c:ptCount val="9"/>
                <c:pt idx="0">
                  <c:v>206</c:v>
                </c:pt>
                <c:pt idx="1">
                  <c:v>128</c:v>
                </c:pt>
                <c:pt idx="2">
                  <c:v>311</c:v>
                </c:pt>
                <c:pt idx="4">
                  <c:v>58</c:v>
                </c:pt>
                <c:pt idx="5">
                  <c:v>55</c:v>
                </c:pt>
                <c:pt idx="7">
                  <c:v>82</c:v>
                </c:pt>
                <c:pt idx="8">
                  <c:v>48</c:v>
                </c:pt>
              </c:numCache>
            </c:numRef>
          </c:val>
          <c:extLst>
            <c:ext xmlns:c16="http://schemas.microsoft.com/office/drawing/2014/chart" uri="{C3380CC4-5D6E-409C-BE32-E72D297353CC}">
              <c16:uniqueId val="{00000000-1D80-4BFB-AA47-FF15602A3D7B}"/>
            </c:ext>
          </c:extLst>
        </c:ser>
        <c:ser>
          <c:idx val="1"/>
          <c:order val="1"/>
          <c:tx>
            <c:strRef>
              <c:f>'Descriptive Stats'!$AI$117</c:f>
              <c:strCache>
                <c:ptCount val="1"/>
                <c:pt idx="0">
                  <c:v>Somewhat disagree</c:v>
                </c:pt>
              </c:strCache>
            </c:strRef>
          </c:tx>
          <c:spPr>
            <a:solidFill>
              <a:schemeClr val="accent2"/>
            </a:solidFill>
            <a:ln>
              <a:noFill/>
            </a:ln>
            <a:effectLst/>
          </c:spPr>
          <c:invertIfNegative val="0"/>
          <c:cat>
            <c:strRef>
              <c:f>'Descriptive Stats'!$AG$118:$AG$126</c:f>
              <c:strCache>
                <c:ptCount val="9"/>
                <c:pt idx="0">
                  <c:v>If available to me today, I would feel comfortable riding in a self-driving vehicle</c:v>
                </c:pt>
                <c:pt idx="1">
                  <c:v>I like to be among the first to have the latest technology</c:v>
                </c:pt>
                <c:pt idx="2">
                  <c:v>I would be comfortable flying in a self-flying vehicle</c:v>
                </c:pt>
                <c:pt idx="4">
                  <c:v>I am concerned about UAM making too much noise in residential areas</c:v>
                </c:pt>
                <c:pt idx="5">
                  <c:v>I would not want to hear UAM noises near my home at night</c:v>
                </c:pt>
                <c:pt idx="7">
                  <c:v>The time I spend traveling to places provides a useful transition between activities</c:v>
                </c:pt>
                <c:pt idx="8">
                  <c:v>I make good use of the time I spend traveling</c:v>
                </c:pt>
              </c:strCache>
            </c:strRef>
          </c:cat>
          <c:val>
            <c:numRef>
              <c:f>'Descriptive Stats'!$AI$118:$AI$126</c:f>
              <c:numCache>
                <c:formatCode>General</c:formatCode>
                <c:ptCount val="9"/>
                <c:pt idx="0">
                  <c:v>205</c:v>
                </c:pt>
                <c:pt idx="1">
                  <c:v>201</c:v>
                </c:pt>
                <c:pt idx="2">
                  <c:v>300</c:v>
                </c:pt>
                <c:pt idx="4">
                  <c:v>251</c:v>
                </c:pt>
                <c:pt idx="5">
                  <c:v>161</c:v>
                </c:pt>
                <c:pt idx="7">
                  <c:v>145</c:v>
                </c:pt>
                <c:pt idx="8">
                  <c:v>124</c:v>
                </c:pt>
              </c:numCache>
            </c:numRef>
          </c:val>
          <c:extLst>
            <c:ext xmlns:c16="http://schemas.microsoft.com/office/drawing/2014/chart" uri="{C3380CC4-5D6E-409C-BE32-E72D297353CC}">
              <c16:uniqueId val="{00000001-1D80-4BFB-AA47-FF15602A3D7B}"/>
            </c:ext>
          </c:extLst>
        </c:ser>
        <c:ser>
          <c:idx val="2"/>
          <c:order val="2"/>
          <c:tx>
            <c:strRef>
              <c:f>'Descriptive Stats'!$AJ$117</c:f>
              <c:strCache>
                <c:ptCount val="1"/>
                <c:pt idx="0">
                  <c:v>Neither agree nor disagree</c:v>
                </c:pt>
              </c:strCache>
            </c:strRef>
          </c:tx>
          <c:spPr>
            <a:solidFill>
              <a:srgbClr val="002060"/>
            </a:solidFill>
            <a:ln>
              <a:noFill/>
            </a:ln>
            <a:effectLst/>
          </c:spPr>
          <c:invertIfNegative val="0"/>
          <c:cat>
            <c:strRef>
              <c:f>'Descriptive Stats'!$AG$118:$AG$126</c:f>
              <c:strCache>
                <c:ptCount val="9"/>
                <c:pt idx="0">
                  <c:v>If available to me today, I would feel comfortable riding in a self-driving vehicle</c:v>
                </c:pt>
                <c:pt idx="1">
                  <c:v>I like to be among the first to have the latest technology</c:v>
                </c:pt>
                <c:pt idx="2">
                  <c:v>I would be comfortable flying in a self-flying vehicle</c:v>
                </c:pt>
                <c:pt idx="4">
                  <c:v>I am concerned about UAM making too much noise in residential areas</c:v>
                </c:pt>
                <c:pt idx="5">
                  <c:v>I would not want to hear UAM noises near my home at night</c:v>
                </c:pt>
                <c:pt idx="7">
                  <c:v>The time I spend traveling to places provides a useful transition between activities</c:v>
                </c:pt>
                <c:pt idx="8">
                  <c:v>I make good use of the time I spend traveling</c:v>
                </c:pt>
              </c:strCache>
            </c:strRef>
          </c:cat>
          <c:val>
            <c:numRef>
              <c:f>'Descriptive Stats'!$AJ$118:$AJ$126</c:f>
              <c:numCache>
                <c:formatCode>General</c:formatCode>
                <c:ptCount val="9"/>
                <c:pt idx="0">
                  <c:v>183</c:v>
                </c:pt>
                <c:pt idx="1">
                  <c:v>263</c:v>
                </c:pt>
                <c:pt idx="2">
                  <c:v>199</c:v>
                </c:pt>
                <c:pt idx="4">
                  <c:v>272</c:v>
                </c:pt>
                <c:pt idx="5">
                  <c:v>186</c:v>
                </c:pt>
                <c:pt idx="7">
                  <c:v>275</c:v>
                </c:pt>
                <c:pt idx="8">
                  <c:v>267</c:v>
                </c:pt>
              </c:numCache>
            </c:numRef>
          </c:val>
          <c:extLst>
            <c:ext xmlns:c16="http://schemas.microsoft.com/office/drawing/2014/chart" uri="{C3380CC4-5D6E-409C-BE32-E72D297353CC}">
              <c16:uniqueId val="{00000002-1D80-4BFB-AA47-FF15602A3D7B}"/>
            </c:ext>
          </c:extLst>
        </c:ser>
        <c:ser>
          <c:idx val="3"/>
          <c:order val="3"/>
          <c:tx>
            <c:strRef>
              <c:f>'Descriptive Stats'!$AK$117</c:f>
              <c:strCache>
                <c:ptCount val="1"/>
                <c:pt idx="0">
                  <c:v>Somewhat agree</c:v>
                </c:pt>
              </c:strCache>
            </c:strRef>
          </c:tx>
          <c:spPr>
            <a:solidFill>
              <a:schemeClr val="accent1">
                <a:lumMod val="40000"/>
                <a:lumOff val="60000"/>
              </a:schemeClr>
            </a:solidFill>
            <a:ln>
              <a:noFill/>
            </a:ln>
            <a:effectLst/>
          </c:spPr>
          <c:invertIfNegative val="0"/>
          <c:cat>
            <c:strRef>
              <c:f>'Descriptive Stats'!$AG$118:$AG$126</c:f>
              <c:strCache>
                <c:ptCount val="9"/>
                <c:pt idx="0">
                  <c:v>If available to me today, I would feel comfortable riding in a self-driving vehicle</c:v>
                </c:pt>
                <c:pt idx="1">
                  <c:v>I like to be among the first to have the latest technology</c:v>
                </c:pt>
                <c:pt idx="2">
                  <c:v>I would be comfortable flying in a self-flying vehicle</c:v>
                </c:pt>
                <c:pt idx="4">
                  <c:v>I am concerned about UAM making too much noise in residential areas</c:v>
                </c:pt>
                <c:pt idx="5">
                  <c:v>I would not want to hear UAM noises near my home at night</c:v>
                </c:pt>
                <c:pt idx="7">
                  <c:v>The time I spend traveling to places provides a useful transition between activities</c:v>
                </c:pt>
                <c:pt idx="8">
                  <c:v>I make good use of the time I spend traveling</c:v>
                </c:pt>
              </c:strCache>
            </c:strRef>
          </c:cat>
          <c:val>
            <c:numRef>
              <c:f>'Descriptive Stats'!$AK$118:$AK$126</c:f>
              <c:numCache>
                <c:formatCode>General</c:formatCode>
                <c:ptCount val="9"/>
                <c:pt idx="0">
                  <c:v>266</c:v>
                </c:pt>
                <c:pt idx="1">
                  <c:v>238</c:v>
                </c:pt>
                <c:pt idx="2">
                  <c:v>163</c:v>
                </c:pt>
                <c:pt idx="4">
                  <c:v>307</c:v>
                </c:pt>
                <c:pt idx="5">
                  <c:v>281</c:v>
                </c:pt>
                <c:pt idx="7">
                  <c:v>319</c:v>
                </c:pt>
                <c:pt idx="8">
                  <c:v>350</c:v>
                </c:pt>
              </c:numCache>
            </c:numRef>
          </c:val>
          <c:extLst>
            <c:ext xmlns:c16="http://schemas.microsoft.com/office/drawing/2014/chart" uri="{C3380CC4-5D6E-409C-BE32-E72D297353CC}">
              <c16:uniqueId val="{00000003-1D80-4BFB-AA47-FF15602A3D7B}"/>
            </c:ext>
          </c:extLst>
        </c:ser>
        <c:ser>
          <c:idx val="4"/>
          <c:order val="4"/>
          <c:tx>
            <c:strRef>
              <c:f>'Descriptive Stats'!$AL$117</c:f>
              <c:strCache>
                <c:ptCount val="1"/>
                <c:pt idx="0">
                  <c:v>Strongly agree</c:v>
                </c:pt>
              </c:strCache>
            </c:strRef>
          </c:tx>
          <c:spPr>
            <a:solidFill>
              <a:schemeClr val="accent1"/>
            </a:solidFill>
            <a:ln>
              <a:noFill/>
            </a:ln>
            <a:effectLst/>
          </c:spPr>
          <c:invertIfNegative val="0"/>
          <c:cat>
            <c:strRef>
              <c:f>'Descriptive Stats'!$AG$118:$AG$126</c:f>
              <c:strCache>
                <c:ptCount val="9"/>
                <c:pt idx="0">
                  <c:v>If available to me today, I would feel comfortable riding in a self-driving vehicle</c:v>
                </c:pt>
                <c:pt idx="1">
                  <c:v>I like to be among the first to have the latest technology</c:v>
                </c:pt>
                <c:pt idx="2">
                  <c:v>I would be comfortable flying in a self-flying vehicle</c:v>
                </c:pt>
                <c:pt idx="4">
                  <c:v>I am concerned about UAM making too much noise in residential areas</c:v>
                </c:pt>
                <c:pt idx="5">
                  <c:v>I would not want to hear UAM noises near my home at night</c:v>
                </c:pt>
                <c:pt idx="7">
                  <c:v>The time I spend traveling to places provides a useful transition between activities</c:v>
                </c:pt>
                <c:pt idx="8">
                  <c:v>I make good use of the time I spend traveling</c:v>
                </c:pt>
              </c:strCache>
            </c:strRef>
          </c:cat>
          <c:val>
            <c:numRef>
              <c:f>'Descriptive Stats'!$AL$118:$AL$126</c:f>
              <c:numCache>
                <c:formatCode>General</c:formatCode>
                <c:ptCount val="9"/>
                <c:pt idx="0">
                  <c:v>227</c:v>
                </c:pt>
                <c:pt idx="1">
                  <c:v>227</c:v>
                </c:pt>
                <c:pt idx="2">
                  <c:v>84</c:v>
                </c:pt>
                <c:pt idx="4">
                  <c:v>169</c:v>
                </c:pt>
                <c:pt idx="5">
                  <c:v>374</c:v>
                </c:pt>
                <c:pt idx="7">
                  <c:v>236</c:v>
                </c:pt>
                <c:pt idx="8">
                  <c:v>268</c:v>
                </c:pt>
              </c:numCache>
            </c:numRef>
          </c:val>
          <c:extLst>
            <c:ext xmlns:c16="http://schemas.microsoft.com/office/drawing/2014/chart" uri="{C3380CC4-5D6E-409C-BE32-E72D297353CC}">
              <c16:uniqueId val="{00000004-1D80-4BFB-AA47-FF15602A3D7B}"/>
            </c:ext>
          </c:extLst>
        </c:ser>
        <c:dLbls>
          <c:showLegendKey val="0"/>
          <c:showVal val="0"/>
          <c:showCatName val="0"/>
          <c:showSerName val="0"/>
          <c:showPercent val="0"/>
          <c:showBubbleSize val="0"/>
        </c:dLbls>
        <c:gapWidth val="150"/>
        <c:overlap val="100"/>
        <c:axId val="1162811520"/>
        <c:axId val="1162807680"/>
      </c:barChart>
      <c:catAx>
        <c:axId val="116281152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162807680"/>
        <c:crosses val="autoZero"/>
        <c:auto val="1"/>
        <c:lblAlgn val="ctr"/>
        <c:lblOffset val="100"/>
        <c:noMultiLvlLbl val="0"/>
      </c:catAx>
      <c:valAx>
        <c:axId val="1162807680"/>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high"/>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162811520"/>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Results!$AF$170</c:f>
              <c:strCache>
                <c:ptCount val="1"/>
                <c:pt idx="0">
                  <c:v>Low Income</c:v>
                </c:pt>
              </c:strCache>
            </c:strRef>
          </c:tx>
          <c:spPr>
            <a:solidFill>
              <a:schemeClr val="accent1">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Results!$AC$171:$AC$181</c:f>
              <c:strCache>
                <c:ptCount val="6"/>
                <c:pt idx="0">
                  <c:v>Work/Leisure                              intra-city</c:v>
                </c:pt>
                <c:pt idx="1">
                  <c:v>Work/Leisure                                      inter-city</c:v>
                </c:pt>
                <c:pt idx="2">
                  <c:v>Errands                                           intra-city</c:v>
                </c:pt>
                <c:pt idx="3">
                  <c:v>Errands                                                 inter-city</c:v>
                </c:pt>
                <c:pt idx="4">
                  <c:v>Emergency medical transport intra-city</c:v>
                </c:pt>
                <c:pt idx="5">
                  <c:v>Emergency medical transport inter-city</c:v>
                </c:pt>
              </c:strCache>
            </c:strRef>
          </c:cat>
          <c:val>
            <c:numRef>
              <c:f>Results!$AF$171:$AF$181</c:f>
              <c:numCache>
                <c:formatCode>_("$"* #,##0_);_("$"* \(#,##0\);_("$"* "-"??_);_(@_)</c:formatCode>
                <c:ptCount val="6"/>
                <c:pt idx="0">
                  <c:v>60.805707091900963</c:v>
                </c:pt>
                <c:pt idx="1">
                  <c:v>136.31232361241769</c:v>
                </c:pt>
                <c:pt idx="2">
                  <c:v>29.08099034830046</c:v>
                </c:pt>
                <c:pt idx="3">
                  <c:v>65.192850423330199</c:v>
                </c:pt>
                <c:pt idx="4">
                  <c:v>93.159882501049097</c:v>
                </c:pt>
                <c:pt idx="5">
                  <c:v>208.8428974600188</c:v>
                </c:pt>
              </c:numCache>
            </c:numRef>
          </c:val>
          <c:extLst>
            <c:ext xmlns:c16="http://schemas.microsoft.com/office/drawing/2014/chart" uri="{C3380CC4-5D6E-409C-BE32-E72D297353CC}">
              <c16:uniqueId val="{00000000-FD3E-4870-86F9-ED552779474F}"/>
            </c:ext>
          </c:extLst>
        </c:ser>
        <c:ser>
          <c:idx val="2"/>
          <c:order val="1"/>
          <c:tx>
            <c:strRef>
              <c:f>Results!$AE$170</c:f>
              <c:strCache>
                <c:ptCount val="1"/>
                <c:pt idx="0">
                  <c:v>Medium Income</c:v>
                </c:pt>
              </c:strCache>
            </c:strRef>
          </c:tx>
          <c:spPr>
            <a:solidFill>
              <a:srgbClr val="C00000"/>
            </a:solidFill>
            <a:ln>
              <a:solidFill>
                <a:srgbClr val="C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Results!$AC$171:$AC$181</c:f>
              <c:strCache>
                <c:ptCount val="6"/>
                <c:pt idx="0">
                  <c:v>Work/Leisure                              intra-city</c:v>
                </c:pt>
                <c:pt idx="1">
                  <c:v>Work/Leisure                                      inter-city</c:v>
                </c:pt>
                <c:pt idx="2">
                  <c:v>Errands                                           intra-city</c:v>
                </c:pt>
                <c:pt idx="3">
                  <c:v>Errands                                                 inter-city</c:v>
                </c:pt>
                <c:pt idx="4">
                  <c:v>Emergency medical transport intra-city</c:v>
                </c:pt>
                <c:pt idx="5">
                  <c:v>Emergency medical transport inter-city</c:v>
                </c:pt>
              </c:strCache>
            </c:strRef>
          </c:cat>
          <c:val>
            <c:numRef>
              <c:f>Results!$AE$171:$AE$181</c:f>
              <c:numCache>
                <c:formatCode>_("$"* #,##0_);_("$"* \(#,##0\);_("$"* "-"??_);_(@_)</c:formatCode>
                <c:ptCount val="6"/>
                <c:pt idx="0">
                  <c:v>69.563130100816124</c:v>
                </c:pt>
                <c:pt idx="1">
                  <c:v>136.31232361241766</c:v>
                </c:pt>
                <c:pt idx="2">
                  <c:v>33.269323091694666</c:v>
                </c:pt>
                <c:pt idx="3">
                  <c:v>65.192850423330185</c:v>
                </c:pt>
                <c:pt idx="4">
                  <c:v>106.57705232837253</c:v>
                </c:pt>
                <c:pt idx="5">
                  <c:v>208.84289746001878</c:v>
                </c:pt>
              </c:numCache>
            </c:numRef>
          </c:val>
          <c:extLst>
            <c:ext xmlns:c16="http://schemas.microsoft.com/office/drawing/2014/chart" uri="{C3380CC4-5D6E-409C-BE32-E72D297353CC}">
              <c16:uniqueId val="{00000001-FD3E-4870-86F9-ED552779474F}"/>
            </c:ext>
          </c:extLst>
        </c:ser>
        <c:ser>
          <c:idx val="1"/>
          <c:order val="2"/>
          <c:tx>
            <c:strRef>
              <c:f>Results!$AD$170</c:f>
              <c:strCache>
                <c:ptCount val="1"/>
                <c:pt idx="0">
                  <c:v>High Income</c:v>
                </c:pt>
              </c:strCache>
            </c:strRef>
          </c:tx>
          <c:spPr>
            <a:solidFill>
              <a:srgbClr val="00206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Results!$AC$171:$AC$181</c:f>
              <c:strCache>
                <c:ptCount val="6"/>
                <c:pt idx="0">
                  <c:v>Work/Leisure                              intra-city</c:v>
                </c:pt>
                <c:pt idx="1">
                  <c:v>Work/Leisure                                      inter-city</c:v>
                </c:pt>
                <c:pt idx="2">
                  <c:v>Errands                                           intra-city</c:v>
                </c:pt>
                <c:pt idx="3">
                  <c:v>Errands                                                 inter-city</c:v>
                </c:pt>
                <c:pt idx="4">
                  <c:v>Emergency medical transport intra-city</c:v>
                </c:pt>
                <c:pt idx="5">
                  <c:v>Emergency medical transport inter-city</c:v>
                </c:pt>
              </c:strCache>
            </c:strRef>
          </c:cat>
          <c:val>
            <c:numRef>
              <c:f>Results!$AD$171:$AD$181</c:f>
              <c:numCache>
                <c:formatCode>_("$"* #,##0_);_("$"* \(#,##0\);_("$"* "-"??_);_(@_)</c:formatCode>
                <c:ptCount val="6"/>
                <c:pt idx="0">
                  <c:v>88.085106382978722</c:v>
                </c:pt>
                <c:pt idx="1">
                  <c:v>190.65789473684208</c:v>
                </c:pt>
                <c:pt idx="2">
                  <c:v>42.127659574468083</c:v>
                </c:pt>
                <c:pt idx="3">
                  <c:v>91.18421052631578</c:v>
                </c:pt>
                <c:pt idx="4">
                  <c:v>134.95440729483281</c:v>
                </c:pt>
                <c:pt idx="5">
                  <c:v>292.10526315789468</c:v>
                </c:pt>
              </c:numCache>
            </c:numRef>
          </c:val>
          <c:extLst>
            <c:ext xmlns:c16="http://schemas.microsoft.com/office/drawing/2014/chart" uri="{C3380CC4-5D6E-409C-BE32-E72D297353CC}">
              <c16:uniqueId val="{00000002-FD3E-4870-86F9-ED552779474F}"/>
            </c:ext>
          </c:extLst>
        </c:ser>
        <c:dLbls>
          <c:dLblPos val="outEnd"/>
          <c:showLegendKey val="0"/>
          <c:showVal val="1"/>
          <c:showCatName val="0"/>
          <c:showSerName val="0"/>
          <c:showPercent val="0"/>
          <c:showBubbleSize val="0"/>
        </c:dLbls>
        <c:gapWidth val="219"/>
        <c:overlap val="-27"/>
        <c:axId val="1433969248"/>
        <c:axId val="1433968768"/>
      </c:barChart>
      <c:catAx>
        <c:axId val="1433969248"/>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Trip</a:t>
                </a:r>
                <a:r>
                  <a:rPr lang="en-US" sz="1200" baseline="0">
                    <a:solidFill>
                      <a:sysClr val="windowText" lastClr="000000"/>
                    </a:solidFill>
                    <a:latin typeface="Times New Roman" panose="02020603050405020304" pitchFamily="18" charset="0"/>
                    <a:cs typeface="Times New Roman" panose="02020603050405020304" pitchFamily="18" charset="0"/>
                  </a:rPr>
                  <a:t> Purpose and Distance</a:t>
                </a:r>
                <a:endParaRPr lang="en-US" sz="12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33968768"/>
        <c:crosses val="autoZero"/>
        <c:auto val="1"/>
        <c:lblAlgn val="ctr"/>
        <c:lblOffset val="100"/>
        <c:noMultiLvlLbl val="0"/>
      </c:catAx>
      <c:valAx>
        <c:axId val="14339687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Value of Travel Time Savings</a:t>
                </a:r>
                <a:r>
                  <a:rPr lang="en-US" sz="1200" baseline="0">
                    <a:solidFill>
                      <a:sysClr val="windowText" lastClr="000000"/>
                    </a:solidFill>
                    <a:latin typeface="Times New Roman" panose="02020603050405020304" pitchFamily="18" charset="0"/>
                    <a:cs typeface="Times New Roman" panose="02020603050405020304" pitchFamily="18" charset="0"/>
                  </a:rPr>
                  <a:t> (</a:t>
                </a:r>
                <a:r>
                  <a:rPr lang="en-US" sz="1200">
                    <a:solidFill>
                      <a:sysClr val="windowText" lastClr="000000"/>
                    </a:solidFill>
                    <a:latin typeface="Times New Roman" panose="02020603050405020304" pitchFamily="18" charset="0"/>
                    <a:cs typeface="Times New Roman" panose="02020603050405020304" pitchFamily="18" charset="0"/>
                  </a:rPr>
                  <a:t>$/hr)</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_(&quot;$&quot;* #,##0_);_(&quot;$&quot;* \(#,##0\);_(&quot;$&quot;* &quot;-&quot;??_);_(@_)"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33969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0.00122</cdr:x>
      <cdr:y>0.4489</cdr:y>
    </cdr:from>
    <cdr:to>
      <cdr:x>0.97323</cdr:x>
      <cdr:y>0.45085</cdr:y>
    </cdr:to>
    <cdr:cxnSp macro="">
      <cdr:nvCxnSpPr>
        <cdr:cNvPr id="3" name="Straight Connector 2">
          <a:extLst xmlns:a="http://schemas.openxmlformats.org/drawingml/2006/main">
            <a:ext uri="{FF2B5EF4-FFF2-40B4-BE49-F238E27FC236}">
              <a16:creationId xmlns:a16="http://schemas.microsoft.com/office/drawing/2014/main" id="{2227B372-9768-4B63-077E-13B83C415293}"/>
            </a:ext>
          </a:extLst>
        </cdr:cNvPr>
        <cdr:cNvCxnSpPr/>
      </cdr:nvCxnSpPr>
      <cdr:spPr>
        <a:xfrm xmlns:a="http://schemas.openxmlformats.org/drawingml/2006/main">
          <a:off x="9868" y="1702428"/>
          <a:ext cx="7862035" cy="7395"/>
        </a:xfrm>
        <a:prstGeom xmlns:a="http://schemas.openxmlformats.org/drawingml/2006/main" prst="line">
          <a:avLst/>
        </a:prstGeom>
        <a:ln xmlns:a="http://schemas.openxmlformats.org/drawingml/2006/main">
          <a:solidFill>
            <a:schemeClr val="bg2">
              <a:lumMod val="90000"/>
            </a:schemeClr>
          </a:solidFill>
        </a:ln>
      </cdr:spPr>
      <cdr:style>
        <a:lnRef xmlns:a="http://schemas.openxmlformats.org/drawingml/2006/main" idx="2">
          <a:schemeClr val="dk1"/>
        </a:lnRef>
        <a:fillRef xmlns:a="http://schemas.openxmlformats.org/drawingml/2006/main" idx="0">
          <a:schemeClr val="dk1"/>
        </a:fillRef>
        <a:effectRef xmlns:a="http://schemas.openxmlformats.org/drawingml/2006/main" idx="1">
          <a:schemeClr val="dk1"/>
        </a:effectRef>
        <a:fontRef xmlns:a="http://schemas.openxmlformats.org/drawingml/2006/main" idx="minor">
          <a:schemeClr val="tx1"/>
        </a:fontRef>
      </cdr:style>
    </cdr:cxnSp>
  </cdr:relSizeAnchor>
  <cdr:relSizeAnchor xmlns:cdr="http://schemas.openxmlformats.org/drawingml/2006/chartDrawing">
    <cdr:from>
      <cdr:x>0.00286</cdr:x>
      <cdr:y>0.67553</cdr:y>
    </cdr:from>
    <cdr:to>
      <cdr:x>0.9731</cdr:x>
      <cdr:y>0.67864</cdr:y>
    </cdr:to>
    <cdr:cxnSp macro="">
      <cdr:nvCxnSpPr>
        <cdr:cNvPr id="8" name="Straight Connector 7">
          <a:extLst xmlns:a="http://schemas.openxmlformats.org/drawingml/2006/main">
            <a:ext uri="{FF2B5EF4-FFF2-40B4-BE49-F238E27FC236}">
              <a16:creationId xmlns:a16="http://schemas.microsoft.com/office/drawing/2014/main" id="{987C5AFC-1223-5803-0AF4-A235DDC560F7}"/>
            </a:ext>
          </a:extLst>
        </cdr:cNvPr>
        <cdr:cNvCxnSpPr/>
      </cdr:nvCxnSpPr>
      <cdr:spPr>
        <a:xfrm xmlns:a="http://schemas.openxmlformats.org/drawingml/2006/main">
          <a:off x="23205" y="2587818"/>
          <a:ext cx="7864882" cy="11914"/>
        </a:xfrm>
        <a:prstGeom xmlns:a="http://schemas.openxmlformats.org/drawingml/2006/main" prst="line">
          <a:avLst/>
        </a:prstGeom>
        <a:ln xmlns:a="http://schemas.openxmlformats.org/drawingml/2006/main">
          <a:solidFill>
            <a:schemeClr val="bg2">
              <a:lumMod val="90000"/>
            </a:schemeClr>
          </a:solidFill>
        </a:ln>
      </cdr:spPr>
      <cdr:style>
        <a:lnRef xmlns:a="http://schemas.openxmlformats.org/drawingml/2006/main" idx="2">
          <a:schemeClr val="dk1"/>
        </a:lnRef>
        <a:fillRef xmlns:a="http://schemas.openxmlformats.org/drawingml/2006/main" idx="0">
          <a:schemeClr val="dk1"/>
        </a:fillRef>
        <a:effectRef xmlns:a="http://schemas.openxmlformats.org/drawingml/2006/main" idx="1">
          <a:schemeClr val="dk1"/>
        </a:effectRef>
        <a:fontRef xmlns:a="http://schemas.openxmlformats.org/drawingml/2006/main" idx="minor">
          <a:schemeClr val="tx1"/>
        </a:fontRef>
      </cdr:style>
    </cdr:cxnSp>
  </cdr:relSizeAnchor>
  <cdr:relSizeAnchor xmlns:cdr="http://schemas.openxmlformats.org/drawingml/2006/chartDrawing">
    <cdr:from>
      <cdr:x>1.23633E-7</cdr:x>
      <cdr:y>0.61782</cdr:y>
    </cdr:from>
    <cdr:to>
      <cdr:x>0.08127</cdr:x>
      <cdr:y>0.91508</cdr:y>
    </cdr:to>
    <cdr:sp macro="" textlink="">
      <cdr:nvSpPr>
        <cdr:cNvPr id="10" name="TextBox 9">
          <a:extLst xmlns:a="http://schemas.openxmlformats.org/drawingml/2006/main">
            <a:ext uri="{FF2B5EF4-FFF2-40B4-BE49-F238E27FC236}">
              <a16:creationId xmlns:a16="http://schemas.microsoft.com/office/drawing/2014/main" id="{A9237CC7-A958-E9A2-89FF-3043DA639437}"/>
            </a:ext>
          </a:extLst>
        </cdr:cNvPr>
        <cdr:cNvSpPr txBox="1"/>
      </cdr:nvSpPr>
      <cdr:spPr>
        <a:xfrm xmlns:a="http://schemas.openxmlformats.org/drawingml/2006/main" rot="16200000">
          <a:off x="-234990" y="2578061"/>
          <a:ext cx="1127329" cy="657347"/>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en-US" sz="900" kern="1200"/>
            <a:t>Positive </a:t>
          </a:r>
        </a:p>
        <a:p xmlns:a="http://schemas.openxmlformats.org/drawingml/2006/main">
          <a:pPr algn="ctr"/>
          <a:r>
            <a:rPr lang="en-US" sz="900" kern="1200"/>
            <a:t>Travel </a:t>
          </a:r>
        </a:p>
        <a:p xmlns:a="http://schemas.openxmlformats.org/drawingml/2006/main">
          <a:pPr algn="ctr"/>
          <a:r>
            <a:rPr lang="en-US" sz="900" kern="1200"/>
            <a:t>Perceptions</a:t>
          </a:r>
        </a:p>
      </cdr:txBody>
    </cdr:sp>
  </cdr:relSizeAnchor>
  <cdr:relSizeAnchor xmlns:cdr="http://schemas.openxmlformats.org/drawingml/2006/chartDrawing">
    <cdr:from>
      <cdr:x>0.01642</cdr:x>
      <cdr:y>0.19974</cdr:y>
    </cdr:from>
    <cdr:to>
      <cdr:x>0.08747</cdr:x>
      <cdr:y>0.42405</cdr:y>
    </cdr:to>
    <cdr:sp macro="" textlink="">
      <cdr:nvSpPr>
        <cdr:cNvPr id="11" name="TextBox 1">
          <a:extLst xmlns:a="http://schemas.openxmlformats.org/drawingml/2006/main">
            <a:ext uri="{FF2B5EF4-FFF2-40B4-BE49-F238E27FC236}">
              <a16:creationId xmlns:a16="http://schemas.microsoft.com/office/drawing/2014/main" id="{7B1CEB28-61F6-B8BD-C258-B7AB66C70D76}"/>
            </a:ext>
          </a:extLst>
        </cdr:cNvPr>
        <cdr:cNvSpPr txBox="1"/>
      </cdr:nvSpPr>
      <cdr:spPr>
        <a:xfrm xmlns:a="http://schemas.openxmlformats.org/drawingml/2006/main" rot="16200000">
          <a:off x="-5196" y="895504"/>
          <a:ext cx="850685" cy="57468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900" kern="1200"/>
            <a:t>Tech-Savviness</a:t>
          </a:r>
        </a:p>
      </cdr:txBody>
    </cdr:sp>
  </cdr:relSizeAnchor>
  <cdr:relSizeAnchor xmlns:cdr="http://schemas.openxmlformats.org/drawingml/2006/chartDrawing">
    <cdr:from>
      <cdr:x>0.0055</cdr:x>
      <cdr:y>0.44434</cdr:y>
    </cdr:from>
    <cdr:to>
      <cdr:x>0.07655</cdr:x>
      <cdr:y>0.66864</cdr:y>
    </cdr:to>
    <cdr:sp macro="" textlink="">
      <cdr:nvSpPr>
        <cdr:cNvPr id="13" name="TextBox 1">
          <a:extLst xmlns:a="http://schemas.openxmlformats.org/drawingml/2006/main">
            <a:ext uri="{FF2B5EF4-FFF2-40B4-BE49-F238E27FC236}">
              <a16:creationId xmlns:a16="http://schemas.microsoft.com/office/drawing/2014/main" id="{B884CBF4-A632-5ABD-C605-2599C96AAF17}"/>
            </a:ext>
          </a:extLst>
        </cdr:cNvPr>
        <cdr:cNvSpPr txBox="1"/>
      </cdr:nvSpPr>
      <cdr:spPr>
        <a:xfrm xmlns:a="http://schemas.openxmlformats.org/drawingml/2006/main" rot="16200000">
          <a:off x="-93495" y="1823114"/>
          <a:ext cx="850648" cy="57468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900" kern="1200"/>
            <a:t>UAM Noise</a:t>
          </a:r>
          <a:r>
            <a:rPr lang="en-US" sz="900" kern="1200" baseline="0"/>
            <a:t> </a:t>
          </a:r>
        </a:p>
        <a:p xmlns:a="http://schemas.openxmlformats.org/drawingml/2006/main">
          <a:pPr algn="ctr"/>
          <a:r>
            <a:rPr lang="en-US" sz="900" kern="1200" baseline="0"/>
            <a:t>Sensitivity</a:t>
          </a:r>
          <a:endParaRPr lang="en-US" sz="900" kern="1200"/>
        </a:p>
      </cdr:txBody>
    </cdr:sp>
  </cdr:relSizeAnchor>
  <cdr:relSizeAnchor xmlns:cdr="http://schemas.openxmlformats.org/drawingml/2006/chartDrawing">
    <cdr:from>
      <cdr:x>0.00018</cdr:x>
      <cdr:y>0.17701</cdr:y>
    </cdr:from>
    <cdr:to>
      <cdr:x>0.97352</cdr:x>
      <cdr:y>0.17901</cdr:y>
    </cdr:to>
    <cdr:cxnSp macro="">
      <cdr:nvCxnSpPr>
        <cdr:cNvPr id="18" name="Straight Connector 17">
          <a:extLst xmlns:a="http://schemas.openxmlformats.org/drawingml/2006/main">
            <a:ext uri="{FF2B5EF4-FFF2-40B4-BE49-F238E27FC236}">
              <a16:creationId xmlns:a16="http://schemas.microsoft.com/office/drawing/2014/main" id="{5D512951-A6A1-5F47-1062-9BA5DC639D25}"/>
            </a:ext>
          </a:extLst>
        </cdr:cNvPr>
        <cdr:cNvCxnSpPr/>
      </cdr:nvCxnSpPr>
      <cdr:spPr>
        <a:xfrm xmlns:a="http://schemas.openxmlformats.org/drawingml/2006/main">
          <a:off x="1183" y="839525"/>
          <a:ext cx="6399076" cy="9521"/>
        </a:xfrm>
        <a:prstGeom xmlns:a="http://schemas.openxmlformats.org/drawingml/2006/main" prst="line">
          <a:avLst/>
        </a:prstGeom>
        <a:ln xmlns:a="http://schemas.openxmlformats.org/drawingml/2006/main">
          <a:solidFill>
            <a:schemeClr val="bg2">
              <a:lumMod val="90000"/>
            </a:schemeClr>
          </a:solidFill>
        </a:ln>
      </cdr:spPr>
      <cdr:style>
        <a:lnRef xmlns:a="http://schemas.openxmlformats.org/drawingml/2006/main" idx="2">
          <a:schemeClr val="dk1"/>
        </a:lnRef>
        <a:fillRef xmlns:a="http://schemas.openxmlformats.org/drawingml/2006/main" idx="0">
          <a:schemeClr val="dk1"/>
        </a:fillRef>
        <a:effectRef xmlns:a="http://schemas.openxmlformats.org/drawingml/2006/main" idx="1">
          <a:schemeClr val="dk1"/>
        </a:effectRef>
        <a:fontRef xmlns:a="http://schemas.openxmlformats.org/drawingml/2006/main" idx="minor">
          <a:schemeClr val="tx1"/>
        </a:fontRef>
      </cdr:style>
    </cdr:cxnSp>
  </cdr:relSizeAnchor>
  <cdr:relSizeAnchor xmlns:cdr="http://schemas.openxmlformats.org/drawingml/2006/chartDrawing">
    <cdr:from>
      <cdr:x>0.00225</cdr:x>
      <cdr:y>0.06502</cdr:y>
    </cdr:from>
    <cdr:to>
      <cdr:x>0.56275</cdr:x>
      <cdr:y>0.17883</cdr:y>
    </cdr:to>
    <cdr:sp macro="" textlink="">
      <cdr:nvSpPr>
        <cdr:cNvPr id="21" name="TextBox 1">
          <a:extLst xmlns:a="http://schemas.openxmlformats.org/drawingml/2006/main">
            <a:ext uri="{FF2B5EF4-FFF2-40B4-BE49-F238E27FC236}">
              <a16:creationId xmlns:a16="http://schemas.microsoft.com/office/drawing/2014/main" id="{33AE43F7-A2EA-65CC-8799-3A783FE8B487}"/>
            </a:ext>
          </a:extLst>
        </cdr:cNvPr>
        <cdr:cNvSpPr txBox="1"/>
      </cdr:nvSpPr>
      <cdr:spPr>
        <a:xfrm xmlns:a="http://schemas.openxmlformats.org/drawingml/2006/main">
          <a:off x="18198" y="246183"/>
          <a:ext cx="4533321" cy="43094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a:effectLst/>
              <a:latin typeface="+mn-lt"/>
              <a:ea typeface="+mn-ea"/>
              <a:cs typeface="+mn-cs"/>
            </a:rPr>
            <a:t>Please indicate the extent to which you agree or disagree with each of</a:t>
          </a:r>
          <a:r>
            <a:rPr lang="en-US" sz="900" baseline="0">
              <a:effectLst/>
              <a:latin typeface="+mn-lt"/>
              <a:ea typeface="+mn-ea"/>
              <a:cs typeface="+mn-cs"/>
            </a:rPr>
            <a:t> </a:t>
          </a:r>
          <a:r>
            <a:rPr lang="en-US" sz="900">
              <a:effectLst/>
              <a:latin typeface="+mn-lt"/>
              <a:ea typeface="+mn-ea"/>
              <a:cs typeface="+mn-cs"/>
            </a:rPr>
            <a:t>the</a:t>
          </a:r>
          <a:r>
            <a:rPr lang="en-US" sz="900" baseline="0">
              <a:effectLst/>
              <a:latin typeface="+mn-lt"/>
              <a:ea typeface="+mn-ea"/>
              <a:cs typeface="+mn-cs"/>
            </a:rPr>
            <a:t> </a:t>
          </a:r>
          <a:r>
            <a:rPr lang="en-US" sz="900">
              <a:effectLst/>
              <a:latin typeface="+mn-lt"/>
              <a:ea typeface="+mn-ea"/>
              <a:cs typeface="+mn-cs"/>
            </a:rPr>
            <a:t>following </a:t>
          </a:r>
        </a:p>
        <a:p xmlns:a="http://schemas.openxmlformats.org/drawingml/2006/main">
          <a:r>
            <a:rPr lang="en-US" sz="900">
              <a:effectLst/>
              <a:latin typeface="+mn-lt"/>
              <a:ea typeface="+mn-ea"/>
              <a:cs typeface="+mn-cs"/>
            </a:rPr>
            <a:t>statements:</a:t>
          </a:r>
          <a:endParaRPr lang="en-US" sz="900" b="1" kern="1200"/>
        </a:p>
      </cdr:txBody>
    </cdr:sp>
  </cdr:relSizeAnchor>
  <cdr:relSizeAnchor xmlns:cdr="http://schemas.openxmlformats.org/drawingml/2006/chartDrawing">
    <cdr:from>
      <cdr:x>0</cdr:x>
      <cdr:y>0.86869</cdr:y>
    </cdr:from>
    <cdr:to>
      <cdr:x>0.97323</cdr:x>
      <cdr:y>0.87103</cdr:y>
    </cdr:to>
    <cdr:cxnSp macro="">
      <cdr:nvCxnSpPr>
        <cdr:cNvPr id="25" name="Straight Connector 24">
          <a:extLst xmlns:a="http://schemas.openxmlformats.org/drawingml/2006/main">
            <a:ext uri="{FF2B5EF4-FFF2-40B4-BE49-F238E27FC236}">
              <a16:creationId xmlns:a16="http://schemas.microsoft.com/office/drawing/2014/main" id="{E9A2A9B8-C0EB-F8FC-28B3-F05246BA7AA5}"/>
            </a:ext>
          </a:extLst>
        </cdr:cNvPr>
        <cdr:cNvCxnSpPr/>
      </cdr:nvCxnSpPr>
      <cdr:spPr>
        <a:xfrm xmlns:a="http://schemas.openxmlformats.org/drawingml/2006/main">
          <a:off x="0" y="4126741"/>
          <a:ext cx="7388704" cy="11120"/>
        </a:xfrm>
        <a:prstGeom xmlns:a="http://schemas.openxmlformats.org/drawingml/2006/main" prst="line">
          <a:avLst/>
        </a:prstGeom>
        <a:ln xmlns:a="http://schemas.openxmlformats.org/drawingml/2006/main">
          <a:solidFill>
            <a:schemeClr val="bg2">
              <a:lumMod val="90000"/>
            </a:schemeClr>
          </a:solidFill>
        </a:ln>
      </cdr:spPr>
      <cdr:style>
        <a:lnRef xmlns:a="http://schemas.openxmlformats.org/drawingml/2006/main" idx="2">
          <a:schemeClr val="dk1"/>
        </a:lnRef>
        <a:fillRef xmlns:a="http://schemas.openxmlformats.org/drawingml/2006/main" idx="0">
          <a:schemeClr val="dk1"/>
        </a:fillRef>
        <a:effectRef xmlns:a="http://schemas.openxmlformats.org/drawingml/2006/main" idx="1">
          <a:schemeClr val="dk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00910c73-893f-44cf-a85e-2beb39e728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C3D216A08E3740BA84449125592572" ma:contentTypeVersion="15" ma:contentTypeDescription="Create a new document." ma:contentTypeScope="" ma:versionID="aaa7263762a4674feb95926ee3d0e661">
  <xsd:schema xmlns:xsd="http://www.w3.org/2001/XMLSchema" xmlns:xs="http://www.w3.org/2001/XMLSchema" xmlns:p="http://schemas.microsoft.com/office/2006/metadata/properties" xmlns:ns3="00910c73-893f-44cf-a85e-2beb39e728fb" targetNamespace="http://schemas.microsoft.com/office/2006/metadata/properties" ma:root="true" ma:fieldsID="ac5955c0a4acebc8eaa8938d9ce4620d" ns3:_="">
    <xsd:import namespace="00910c73-893f-44cf-a85e-2beb39e728f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ServiceSearchProperties" minOccurs="0"/>
                <xsd:element ref="ns3:MediaServiceSystemTags" minOccurs="0"/>
                <xsd:element ref="ns3:MediaServiceLocation" minOccurs="0"/>
                <xsd:element ref="ns3:_activity"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910c73-893f-44cf-a85e-2beb39e728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FF854F-735B-46F9-A11C-B905CC37DE87}">
  <ds:schemaRefs>
    <ds:schemaRef ds:uri="http://schemas.openxmlformats.org/officeDocument/2006/bibliography"/>
  </ds:schemaRefs>
</ds:datastoreItem>
</file>

<file path=customXml/itemProps2.xml><?xml version="1.0" encoding="utf-8"?>
<ds:datastoreItem xmlns:ds="http://schemas.openxmlformats.org/officeDocument/2006/customXml" ds:itemID="{E9C2D254-B838-4439-BF8A-5A3C5132A33D}">
  <ds:schemaRefs>
    <ds:schemaRef ds:uri="http://schemas.microsoft.com/office/2006/metadata/properties"/>
    <ds:schemaRef ds:uri="http://schemas.microsoft.com/office/infopath/2007/PartnerControls"/>
    <ds:schemaRef ds:uri="00910c73-893f-44cf-a85e-2beb39e728fb"/>
  </ds:schemaRefs>
</ds:datastoreItem>
</file>

<file path=customXml/itemProps3.xml><?xml version="1.0" encoding="utf-8"?>
<ds:datastoreItem xmlns:ds="http://schemas.openxmlformats.org/officeDocument/2006/customXml" ds:itemID="{AF8EE3B2-4AC1-4D02-9D27-A2BAF9605F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910c73-893f-44cf-a85e-2beb39e728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2A04D7-9C5E-4D57-A697-304B919434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56</Pages>
  <Words>110161</Words>
  <Characters>627921</Characters>
  <Application>Microsoft Office Word</Application>
  <DocSecurity>0</DocSecurity>
  <Lines>5232</Lines>
  <Paragraphs>1473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Beliveau, Anna</dc:creator>
  <cp:keywords/>
  <dc:description/>
  <cp:lastModifiedBy>Macias, Lisa J</cp:lastModifiedBy>
  <cp:revision>2</cp:revision>
  <cp:lastPrinted>2026-09-23T17:46:00Z</cp:lastPrinted>
  <dcterms:created xsi:type="dcterms:W3CDTF">2026-09-23T20:17:00Z</dcterms:created>
  <dcterms:modified xsi:type="dcterms:W3CDTF">2026-09-23T20:17:00Z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id="pqcu1Jfw"/&gt;&lt;style id="http://www.zotero.org/styles/apanoinit" locale="en-US" hasBibliography="1" bibliographyStyleHasBeenSet="1"/&gt;&lt;prefs&gt;&lt;pref name="fieldType" value="Field"/&gt;&lt;pref name="automatic</vt:lpwstr>
  </property>
  <property fmtid="{D5CDD505-2E9C-101B-9397-08002B2CF9AE}" pid="3" name="ZOTERO_PREF_2">
    <vt:lpwstr>JournalAbbreviations" value="true"/&gt;&lt;/prefs&gt;&lt;/data&gt;</vt:lpwstr>
  </property>
  <property fmtid="{D5CDD505-2E9C-101B-9397-08002B2CF9AE}" pid="4" name="ContentTypeId">
    <vt:lpwstr>0x01010056C3D216A08E3740BA84449125592572</vt:lpwstr>
  </property>
  <property fmtid="{D5CDD505-2E9C-101B-9397-08002B2CF9AE}" pid="5" name="MTWinEqns">
    <vt:bool>true</vt:bool>
  </property>
  <property fmtid="{D5CDD505-2E9C-101B-9397-08002B2CF9AE}" pid="6" name="MTEquationSection">
    <vt:lpwstr>1</vt:lpwstr>
  </property>
  <property fmtid="{D5CDD505-2E9C-101B-9397-08002B2CF9AE}" pid="7" name="MTEquationNumber2">
    <vt:lpwstr>(#E1)</vt:lpwstr>
  </property>
</Properties>
</file>