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DF68" w14:textId="1C96C5F8" w:rsidR="00112AEA" w:rsidRDefault="007F3629" w:rsidP="007F3629">
      <w:pPr>
        <w:spacing w:after="0" w:line="240" w:lineRule="auto"/>
        <w:rPr>
          <w:rFonts w:cs="Times New Roman"/>
          <w:b/>
        </w:rPr>
      </w:pPr>
      <w:r w:rsidRPr="007F3629">
        <w:rPr>
          <w:rFonts w:cs="Times New Roman"/>
          <w:b/>
        </w:rPr>
        <w:t>Who is Willing to Pay for Travel Time Savings and How Much? An Iterative Bidding Contingent Valuation Study in Mumbai</w:t>
      </w:r>
    </w:p>
    <w:p w14:paraId="20CB5E1C" w14:textId="77777777" w:rsidR="007F3629" w:rsidRPr="004811C9" w:rsidRDefault="007F3629" w:rsidP="00112AEA">
      <w:pPr>
        <w:spacing w:after="0" w:line="240" w:lineRule="auto"/>
        <w:jc w:val="both"/>
        <w:rPr>
          <w:rFonts w:cs="Times New Roman"/>
          <w:b/>
        </w:rPr>
      </w:pPr>
    </w:p>
    <w:p w14:paraId="59C44FED" w14:textId="77777777" w:rsidR="00112AEA" w:rsidRPr="004811C9" w:rsidRDefault="00112AEA" w:rsidP="00112AEA">
      <w:pPr>
        <w:spacing w:after="0" w:line="240" w:lineRule="auto"/>
        <w:jc w:val="both"/>
        <w:rPr>
          <w:rFonts w:cs="Times New Roman"/>
          <w:b/>
        </w:rPr>
      </w:pPr>
    </w:p>
    <w:p w14:paraId="5B3B2B4F" w14:textId="77777777" w:rsidR="00112AEA" w:rsidRPr="004811C9" w:rsidRDefault="00112AEA" w:rsidP="00112AEA">
      <w:pPr>
        <w:spacing w:after="0" w:line="240" w:lineRule="auto"/>
        <w:jc w:val="both"/>
        <w:rPr>
          <w:rFonts w:cs="Times New Roman"/>
          <w:b/>
        </w:rPr>
      </w:pPr>
    </w:p>
    <w:p w14:paraId="07F96B57" w14:textId="04FCC545" w:rsidR="00112AEA" w:rsidRPr="004811C9" w:rsidRDefault="0009562F" w:rsidP="00112AEA">
      <w:pPr>
        <w:spacing w:after="0" w:line="240" w:lineRule="auto"/>
        <w:jc w:val="both"/>
        <w:rPr>
          <w:rFonts w:cs="Times New Roman"/>
          <w:b/>
        </w:rPr>
      </w:pPr>
      <w:r w:rsidRPr="004811C9">
        <w:rPr>
          <w:rFonts w:cs="Times New Roman"/>
          <w:b/>
        </w:rPr>
        <w:t>Dale Robbennolt</w:t>
      </w:r>
    </w:p>
    <w:p w14:paraId="6D09C8D3" w14:textId="77777777" w:rsidR="00D23C66" w:rsidRPr="004811C9" w:rsidRDefault="00D23C66" w:rsidP="00D23C66">
      <w:pPr>
        <w:spacing w:after="0" w:line="240" w:lineRule="auto"/>
        <w:jc w:val="both"/>
        <w:rPr>
          <w:rFonts w:cs="Times New Roman"/>
          <w:bCs/>
        </w:rPr>
      </w:pPr>
      <w:r w:rsidRPr="004811C9">
        <w:rPr>
          <w:rFonts w:cs="Times New Roman"/>
          <w:bCs/>
        </w:rPr>
        <w:t>The University of Texas at Austin</w:t>
      </w:r>
    </w:p>
    <w:p w14:paraId="2B6A31BA" w14:textId="77777777" w:rsidR="00D23C66" w:rsidRPr="004811C9" w:rsidRDefault="00D23C66" w:rsidP="00D23C66">
      <w:pPr>
        <w:spacing w:after="0" w:line="240" w:lineRule="auto"/>
        <w:jc w:val="both"/>
        <w:rPr>
          <w:rFonts w:cs="Times New Roman"/>
          <w:bCs/>
        </w:rPr>
      </w:pPr>
      <w:r w:rsidRPr="004811C9">
        <w:rPr>
          <w:rFonts w:cs="Times New Roman"/>
          <w:bCs/>
        </w:rPr>
        <w:t>Department of Civil, Architectural and Environmental Engineering</w:t>
      </w:r>
    </w:p>
    <w:p w14:paraId="240275C7" w14:textId="77777777" w:rsidR="00D23C66" w:rsidRPr="004811C9" w:rsidRDefault="00D23C66" w:rsidP="00D23C66">
      <w:pPr>
        <w:spacing w:after="0" w:line="240" w:lineRule="auto"/>
        <w:jc w:val="both"/>
        <w:rPr>
          <w:rFonts w:cs="Times New Roman"/>
          <w:bCs/>
        </w:rPr>
      </w:pPr>
      <w:r w:rsidRPr="004811C9">
        <w:rPr>
          <w:rFonts w:cs="Times New Roman"/>
          <w:bCs/>
        </w:rPr>
        <w:t>301 E. Dean Keeton St. Stop C1761, Austin TX 78712, USA</w:t>
      </w:r>
    </w:p>
    <w:p w14:paraId="0697A2D4" w14:textId="0D6D1888" w:rsidR="00112AEA" w:rsidRPr="004811C9" w:rsidRDefault="00D23C66" w:rsidP="00D23C66">
      <w:pPr>
        <w:spacing w:after="0" w:line="240" w:lineRule="auto"/>
        <w:jc w:val="both"/>
        <w:rPr>
          <w:rFonts w:cs="Times New Roman"/>
          <w:bCs/>
        </w:rPr>
      </w:pPr>
      <w:r w:rsidRPr="004811C9">
        <w:rPr>
          <w:rFonts w:cs="Times New Roman"/>
          <w:bCs/>
        </w:rPr>
        <w:t xml:space="preserve">Email: dar4836@utexas.edu </w:t>
      </w:r>
    </w:p>
    <w:p w14:paraId="024E57AA" w14:textId="77777777" w:rsidR="00112AEA" w:rsidRPr="004811C9" w:rsidRDefault="00112AEA" w:rsidP="00112AEA">
      <w:pPr>
        <w:spacing w:after="0" w:line="240" w:lineRule="auto"/>
        <w:jc w:val="both"/>
        <w:rPr>
          <w:rFonts w:cs="Times New Roman"/>
          <w:b/>
        </w:rPr>
      </w:pPr>
    </w:p>
    <w:p w14:paraId="2AFA6A49" w14:textId="0BAAD288" w:rsidR="00D23C66" w:rsidRPr="004811C9" w:rsidRDefault="00D23C66" w:rsidP="00D23C66">
      <w:pPr>
        <w:spacing w:after="0" w:line="240" w:lineRule="auto"/>
        <w:jc w:val="both"/>
        <w:rPr>
          <w:rFonts w:cs="Times New Roman"/>
          <w:b/>
        </w:rPr>
      </w:pPr>
      <w:r w:rsidRPr="004811C9">
        <w:rPr>
          <w:rFonts w:cs="Times New Roman"/>
          <w:b/>
        </w:rPr>
        <w:t>Hyunjun Hwang</w:t>
      </w:r>
    </w:p>
    <w:p w14:paraId="63CC4B9B" w14:textId="77777777" w:rsidR="00D23C66" w:rsidRPr="004811C9" w:rsidRDefault="00D23C66" w:rsidP="00D23C66">
      <w:pPr>
        <w:spacing w:after="0" w:line="240" w:lineRule="auto"/>
        <w:jc w:val="both"/>
        <w:rPr>
          <w:rFonts w:cs="Times New Roman"/>
          <w:bCs/>
        </w:rPr>
      </w:pPr>
      <w:r w:rsidRPr="004811C9">
        <w:rPr>
          <w:rFonts w:cs="Times New Roman"/>
          <w:bCs/>
        </w:rPr>
        <w:t>The University of Texas at Austin</w:t>
      </w:r>
    </w:p>
    <w:p w14:paraId="2F7D7863" w14:textId="77777777" w:rsidR="00D23C66" w:rsidRPr="004811C9" w:rsidRDefault="00D23C66" w:rsidP="00D23C66">
      <w:pPr>
        <w:spacing w:after="0" w:line="240" w:lineRule="auto"/>
        <w:jc w:val="both"/>
        <w:rPr>
          <w:rFonts w:cs="Times New Roman"/>
          <w:bCs/>
        </w:rPr>
      </w:pPr>
      <w:r w:rsidRPr="004811C9">
        <w:rPr>
          <w:rFonts w:cs="Times New Roman"/>
          <w:bCs/>
        </w:rPr>
        <w:t>Department of Civil, Architectural and Environmental Engineering</w:t>
      </w:r>
    </w:p>
    <w:p w14:paraId="7B804A33" w14:textId="77777777" w:rsidR="00D23C66" w:rsidRPr="004811C9" w:rsidRDefault="00D23C66" w:rsidP="00D23C66">
      <w:pPr>
        <w:spacing w:after="0" w:line="240" w:lineRule="auto"/>
        <w:jc w:val="both"/>
        <w:rPr>
          <w:rFonts w:cs="Times New Roman"/>
          <w:bCs/>
        </w:rPr>
      </w:pPr>
      <w:r w:rsidRPr="004811C9">
        <w:rPr>
          <w:rFonts w:cs="Times New Roman"/>
          <w:bCs/>
        </w:rPr>
        <w:t>301 E. Dean Keeton St. Stop C1761, Austin TX 78712, USA</w:t>
      </w:r>
    </w:p>
    <w:p w14:paraId="1285D486" w14:textId="7C6D4223" w:rsidR="00112AEA" w:rsidRDefault="00D23C66" w:rsidP="00112AEA">
      <w:pPr>
        <w:spacing w:after="0" w:line="240" w:lineRule="auto"/>
        <w:jc w:val="both"/>
        <w:rPr>
          <w:rFonts w:cs="Times New Roman"/>
          <w:bCs/>
        </w:rPr>
      </w:pPr>
      <w:r w:rsidRPr="004811C9">
        <w:rPr>
          <w:rFonts w:cs="Times New Roman"/>
          <w:bCs/>
        </w:rPr>
        <w:t xml:space="preserve">Email: </w:t>
      </w:r>
      <w:r w:rsidR="00E536BF" w:rsidRPr="00E536BF">
        <w:rPr>
          <w:rFonts w:cs="Times New Roman"/>
          <w:bCs/>
        </w:rPr>
        <w:t>hjhwang@utexas.edu</w:t>
      </w:r>
    </w:p>
    <w:p w14:paraId="4A880984" w14:textId="77777777" w:rsidR="00E536BF" w:rsidRPr="004811C9" w:rsidRDefault="00E536BF" w:rsidP="00112AEA">
      <w:pPr>
        <w:spacing w:after="0" w:line="240" w:lineRule="auto"/>
        <w:jc w:val="both"/>
        <w:rPr>
          <w:rFonts w:cs="Times New Roman"/>
          <w:b/>
        </w:rPr>
      </w:pPr>
    </w:p>
    <w:p w14:paraId="6B34E716" w14:textId="77777777" w:rsidR="008C094C" w:rsidRPr="004811C9" w:rsidRDefault="008C094C" w:rsidP="00D23C66">
      <w:pPr>
        <w:spacing w:after="0" w:line="240" w:lineRule="auto"/>
        <w:jc w:val="both"/>
        <w:rPr>
          <w:rFonts w:cs="Times New Roman"/>
          <w:b/>
        </w:rPr>
      </w:pPr>
      <w:r w:rsidRPr="004811C9">
        <w:rPr>
          <w:rFonts w:cs="Times New Roman"/>
          <w:b/>
        </w:rPr>
        <w:t>Aishwarya Jaiswal</w:t>
      </w:r>
    </w:p>
    <w:p w14:paraId="1294EADD" w14:textId="77777777" w:rsidR="00405406" w:rsidRPr="004811C9" w:rsidRDefault="00405406" w:rsidP="00405406">
      <w:pPr>
        <w:spacing w:after="0" w:line="240" w:lineRule="auto"/>
        <w:jc w:val="both"/>
        <w:rPr>
          <w:rFonts w:cs="Times New Roman"/>
          <w:bCs/>
        </w:rPr>
      </w:pPr>
      <w:r w:rsidRPr="004811C9">
        <w:rPr>
          <w:rFonts w:cs="Times New Roman"/>
          <w:bCs/>
        </w:rPr>
        <w:t>Indian Institute of Management Ahmedabad</w:t>
      </w:r>
    </w:p>
    <w:p w14:paraId="7602D64E" w14:textId="77777777" w:rsidR="00405406" w:rsidRPr="004811C9" w:rsidRDefault="00405406" w:rsidP="00405406">
      <w:pPr>
        <w:spacing w:after="0" w:line="240" w:lineRule="auto"/>
        <w:jc w:val="both"/>
        <w:rPr>
          <w:rFonts w:cs="Times New Roman"/>
          <w:bCs/>
        </w:rPr>
      </w:pPr>
      <w:r w:rsidRPr="004811C9">
        <w:rPr>
          <w:rFonts w:cs="Times New Roman"/>
          <w:bCs/>
        </w:rPr>
        <w:t>Centre for Transportation and Logistics</w:t>
      </w:r>
    </w:p>
    <w:p w14:paraId="65E46D1D" w14:textId="77777777" w:rsidR="00405406" w:rsidRPr="004811C9" w:rsidRDefault="00405406" w:rsidP="00405406">
      <w:pPr>
        <w:spacing w:after="0" w:line="240" w:lineRule="auto"/>
        <w:jc w:val="both"/>
        <w:rPr>
          <w:rFonts w:cs="Times New Roman"/>
          <w:bCs/>
        </w:rPr>
      </w:pPr>
      <w:r w:rsidRPr="004811C9">
        <w:rPr>
          <w:rFonts w:cs="Times New Roman"/>
          <w:bCs/>
        </w:rPr>
        <w:t>Forum Tower, F-07 R-01, Vastrapur, Ahmedabad, Gujarat 380015, India</w:t>
      </w:r>
    </w:p>
    <w:p w14:paraId="34F86390" w14:textId="2A25D120" w:rsidR="00D23C66" w:rsidRPr="004811C9" w:rsidRDefault="00D23C66" w:rsidP="00D23C66">
      <w:pPr>
        <w:spacing w:after="0" w:line="240" w:lineRule="auto"/>
        <w:jc w:val="both"/>
        <w:rPr>
          <w:rFonts w:cs="Times New Roman"/>
          <w:bCs/>
        </w:rPr>
      </w:pPr>
      <w:r w:rsidRPr="004811C9">
        <w:rPr>
          <w:rFonts w:cs="Times New Roman"/>
          <w:bCs/>
        </w:rPr>
        <w:t xml:space="preserve">Email: </w:t>
      </w:r>
      <w:r w:rsidR="008C094C" w:rsidRPr="004811C9">
        <w:rPr>
          <w:rFonts w:cs="Times New Roman"/>
          <w:bCs/>
        </w:rPr>
        <w:t>aishwaryaj@iima.ac.in</w:t>
      </w:r>
    </w:p>
    <w:p w14:paraId="11BD1668" w14:textId="77777777" w:rsidR="00D23C66" w:rsidRPr="004811C9" w:rsidRDefault="00D23C66" w:rsidP="00112AEA">
      <w:pPr>
        <w:spacing w:after="0" w:line="240" w:lineRule="auto"/>
        <w:jc w:val="both"/>
        <w:rPr>
          <w:rFonts w:cs="Times New Roman"/>
          <w:b/>
        </w:rPr>
      </w:pPr>
    </w:p>
    <w:p w14:paraId="6DA58CF8" w14:textId="140E4D4D" w:rsidR="00D23C66" w:rsidRPr="004811C9" w:rsidRDefault="00272972" w:rsidP="00D23C66">
      <w:pPr>
        <w:spacing w:after="0" w:line="240" w:lineRule="auto"/>
        <w:jc w:val="both"/>
        <w:rPr>
          <w:rFonts w:cs="Times New Roman"/>
          <w:b/>
        </w:rPr>
      </w:pPr>
      <w:r w:rsidRPr="004811C9">
        <w:rPr>
          <w:rFonts w:cs="Times New Roman"/>
          <w:b/>
        </w:rPr>
        <w:t>Sagar Verma</w:t>
      </w:r>
    </w:p>
    <w:p w14:paraId="3D00E236" w14:textId="77777777" w:rsidR="00405406" w:rsidRPr="004811C9" w:rsidRDefault="00405406" w:rsidP="00405406">
      <w:pPr>
        <w:spacing w:after="0" w:line="240" w:lineRule="auto"/>
        <w:jc w:val="both"/>
        <w:rPr>
          <w:rFonts w:cs="Times New Roman"/>
          <w:bCs/>
        </w:rPr>
      </w:pPr>
      <w:r w:rsidRPr="004811C9">
        <w:rPr>
          <w:rFonts w:cs="Times New Roman"/>
          <w:bCs/>
        </w:rPr>
        <w:t>Indian Institute of Management Ahmedabad</w:t>
      </w:r>
    </w:p>
    <w:p w14:paraId="54B6766C" w14:textId="77777777" w:rsidR="00245D08" w:rsidRPr="00987ECE" w:rsidRDefault="00245D08" w:rsidP="00245D08">
      <w:pPr>
        <w:spacing w:after="0" w:line="240" w:lineRule="auto"/>
        <w:jc w:val="both"/>
        <w:rPr>
          <w:rFonts w:cs="Times New Roman"/>
          <w:bCs/>
        </w:rPr>
      </w:pPr>
      <w:r w:rsidRPr="00EC6188">
        <w:rPr>
          <w:rFonts w:cs="Times New Roman"/>
          <w:bCs/>
        </w:rPr>
        <w:t>Public Systems Group</w:t>
      </w:r>
    </w:p>
    <w:p w14:paraId="372283A7" w14:textId="77777777" w:rsidR="00405406" w:rsidRPr="004811C9" w:rsidRDefault="00405406" w:rsidP="00405406">
      <w:pPr>
        <w:spacing w:after="0" w:line="240" w:lineRule="auto"/>
        <w:jc w:val="both"/>
        <w:rPr>
          <w:rFonts w:cs="Times New Roman"/>
          <w:bCs/>
        </w:rPr>
      </w:pPr>
      <w:r w:rsidRPr="004811C9">
        <w:rPr>
          <w:rFonts w:cs="Times New Roman"/>
          <w:bCs/>
        </w:rPr>
        <w:t>Forum Tower, F-07 R-01, Vastrapur, Ahmedabad, Gujarat 380015, India</w:t>
      </w:r>
    </w:p>
    <w:p w14:paraId="7B278B59" w14:textId="3B65EABC" w:rsidR="00D23C66" w:rsidRPr="004811C9" w:rsidRDefault="00D23C66" w:rsidP="00D23C66">
      <w:pPr>
        <w:spacing w:after="0" w:line="240" w:lineRule="auto"/>
        <w:jc w:val="both"/>
        <w:rPr>
          <w:rFonts w:cs="Times New Roman"/>
          <w:bCs/>
        </w:rPr>
      </w:pPr>
      <w:r w:rsidRPr="004811C9">
        <w:rPr>
          <w:rFonts w:cs="Times New Roman"/>
          <w:bCs/>
        </w:rPr>
        <w:t xml:space="preserve">Email: </w:t>
      </w:r>
      <w:r w:rsidR="00272972" w:rsidRPr="004811C9">
        <w:rPr>
          <w:rFonts w:cs="Times New Roman"/>
          <w:bCs/>
        </w:rPr>
        <w:t>phd22sagarv@iima.ac.in</w:t>
      </w:r>
    </w:p>
    <w:p w14:paraId="4957337B" w14:textId="77777777" w:rsidR="00405406" w:rsidRPr="004811C9" w:rsidRDefault="00405406" w:rsidP="00D23C66">
      <w:pPr>
        <w:spacing w:after="0" w:line="240" w:lineRule="auto"/>
        <w:jc w:val="both"/>
        <w:rPr>
          <w:rFonts w:cs="Times New Roman"/>
          <w:b/>
        </w:rPr>
      </w:pPr>
    </w:p>
    <w:p w14:paraId="2CE3385A" w14:textId="6EE103AF" w:rsidR="00D23C66" w:rsidRPr="004811C9" w:rsidRDefault="004A6204" w:rsidP="00D23C66">
      <w:pPr>
        <w:spacing w:after="0" w:line="240" w:lineRule="auto"/>
        <w:jc w:val="both"/>
        <w:rPr>
          <w:rFonts w:cs="Times New Roman"/>
          <w:b/>
        </w:rPr>
      </w:pPr>
      <w:r w:rsidRPr="004811C9">
        <w:rPr>
          <w:rFonts w:cs="Times New Roman"/>
          <w:b/>
        </w:rPr>
        <w:t>Sandip Chakrabarti</w:t>
      </w:r>
    </w:p>
    <w:p w14:paraId="2ACD7A4D" w14:textId="77777777" w:rsidR="00AF05CB" w:rsidRPr="004811C9" w:rsidRDefault="00AF05CB" w:rsidP="00D23C66">
      <w:pPr>
        <w:spacing w:after="0" w:line="240" w:lineRule="auto"/>
        <w:jc w:val="both"/>
        <w:rPr>
          <w:rFonts w:cs="Times New Roman"/>
          <w:bCs/>
        </w:rPr>
      </w:pPr>
      <w:r w:rsidRPr="004811C9">
        <w:rPr>
          <w:rFonts w:cs="Times New Roman"/>
          <w:bCs/>
        </w:rPr>
        <w:t>Indian Institute of Management Ahmedabad</w:t>
      </w:r>
    </w:p>
    <w:p w14:paraId="74F9F5DB" w14:textId="77777777" w:rsidR="00245D08" w:rsidRPr="00987ECE" w:rsidRDefault="00245D08" w:rsidP="00245D08">
      <w:pPr>
        <w:spacing w:after="0" w:line="240" w:lineRule="auto"/>
        <w:jc w:val="both"/>
        <w:rPr>
          <w:rFonts w:cs="Times New Roman"/>
          <w:bCs/>
        </w:rPr>
      </w:pPr>
      <w:r w:rsidRPr="00EC6188">
        <w:rPr>
          <w:rFonts w:cs="Times New Roman"/>
          <w:bCs/>
        </w:rPr>
        <w:t>Public Systems Group</w:t>
      </w:r>
    </w:p>
    <w:p w14:paraId="35C33889" w14:textId="4C1BAF01" w:rsidR="00AF05CB" w:rsidRPr="004811C9" w:rsidRDefault="00AF05CB" w:rsidP="00D23C66">
      <w:pPr>
        <w:spacing w:after="0" w:line="240" w:lineRule="auto"/>
        <w:jc w:val="both"/>
        <w:rPr>
          <w:rFonts w:cs="Times New Roman"/>
          <w:bCs/>
        </w:rPr>
      </w:pPr>
      <w:r w:rsidRPr="004811C9">
        <w:rPr>
          <w:rFonts w:cs="Times New Roman"/>
          <w:bCs/>
        </w:rPr>
        <w:t>Forum Tower, F-07 R-01</w:t>
      </w:r>
      <w:r w:rsidR="00405406" w:rsidRPr="004811C9">
        <w:rPr>
          <w:rFonts w:cs="Times New Roman"/>
          <w:bCs/>
        </w:rPr>
        <w:t>, Vastrapur, Ahmedabad, Gujarat 380015, India</w:t>
      </w:r>
    </w:p>
    <w:p w14:paraId="14AA2A95" w14:textId="79225927" w:rsidR="00D23C66" w:rsidRPr="004811C9" w:rsidRDefault="00D23C66" w:rsidP="00D23C66">
      <w:pPr>
        <w:spacing w:after="0" w:line="240" w:lineRule="auto"/>
        <w:jc w:val="both"/>
        <w:rPr>
          <w:rFonts w:cs="Times New Roman"/>
          <w:bCs/>
        </w:rPr>
      </w:pPr>
      <w:r w:rsidRPr="004811C9">
        <w:rPr>
          <w:rFonts w:cs="Times New Roman"/>
          <w:bCs/>
        </w:rPr>
        <w:t xml:space="preserve">Email: </w:t>
      </w:r>
      <w:r w:rsidR="004A6204" w:rsidRPr="004811C9">
        <w:rPr>
          <w:rFonts w:cs="Times New Roman"/>
          <w:bCs/>
        </w:rPr>
        <w:t>sandipc@iima.ac.in</w:t>
      </w:r>
    </w:p>
    <w:p w14:paraId="23A931AB" w14:textId="77777777" w:rsidR="00D23C66" w:rsidRPr="004811C9" w:rsidRDefault="00D23C66" w:rsidP="00112AEA">
      <w:pPr>
        <w:spacing w:after="0" w:line="240" w:lineRule="auto"/>
        <w:jc w:val="both"/>
        <w:rPr>
          <w:rFonts w:cs="Times New Roman"/>
          <w:b/>
        </w:rPr>
      </w:pPr>
    </w:p>
    <w:p w14:paraId="3DE2E922" w14:textId="520B8FBB" w:rsidR="00D23C66" w:rsidRPr="004811C9" w:rsidRDefault="004A6204" w:rsidP="00D23C66">
      <w:pPr>
        <w:spacing w:after="0" w:line="240" w:lineRule="auto"/>
        <w:jc w:val="both"/>
        <w:rPr>
          <w:rFonts w:cs="Times New Roman"/>
          <w:b/>
        </w:rPr>
      </w:pPr>
      <w:r w:rsidRPr="004811C9">
        <w:rPr>
          <w:rFonts w:cs="Times New Roman"/>
          <w:b/>
        </w:rPr>
        <w:t>Chandra Bhat (corresponding author)</w:t>
      </w:r>
    </w:p>
    <w:p w14:paraId="45168223" w14:textId="77777777" w:rsidR="00D23C66" w:rsidRPr="004811C9" w:rsidRDefault="00D23C66" w:rsidP="00D23C66">
      <w:pPr>
        <w:spacing w:after="0" w:line="240" w:lineRule="auto"/>
        <w:jc w:val="both"/>
        <w:rPr>
          <w:rFonts w:cs="Times New Roman"/>
          <w:bCs/>
        </w:rPr>
      </w:pPr>
      <w:r w:rsidRPr="004811C9">
        <w:rPr>
          <w:rFonts w:cs="Times New Roman"/>
          <w:bCs/>
        </w:rPr>
        <w:t>The University of Texas at Austin</w:t>
      </w:r>
    </w:p>
    <w:p w14:paraId="0B8B48D1" w14:textId="77777777" w:rsidR="00D23C66" w:rsidRPr="004811C9" w:rsidRDefault="00D23C66" w:rsidP="00D23C66">
      <w:pPr>
        <w:spacing w:after="0" w:line="240" w:lineRule="auto"/>
        <w:jc w:val="both"/>
        <w:rPr>
          <w:rFonts w:cs="Times New Roman"/>
          <w:bCs/>
        </w:rPr>
      </w:pPr>
      <w:r w:rsidRPr="004811C9">
        <w:rPr>
          <w:rFonts w:cs="Times New Roman"/>
          <w:bCs/>
        </w:rPr>
        <w:t>Department of Civil, Architectural and Environmental Engineering</w:t>
      </w:r>
    </w:p>
    <w:p w14:paraId="79753411" w14:textId="77777777" w:rsidR="00D23C66" w:rsidRPr="004811C9" w:rsidRDefault="00D23C66" w:rsidP="00D23C66">
      <w:pPr>
        <w:spacing w:after="0" w:line="240" w:lineRule="auto"/>
        <w:jc w:val="both"/>
        <w:rPr>
          <w:rFonts w:cs="Times New Roman"/>
          <w:bCs/>
        </w:rPr>
      </w:pPr>
      <w:r w:rsidRPr="004811C9">
        <w:rPr>
          <w:rFonts w:cs="Times New Roman"/>
          <w:bCs/>
        </w:rPr>
        <w:t>301 E. Dean Keeton St. Stop C1761, Austin TX 78712, USA</w:t>
      </w:r>
    </w:p>
    <w:p w14:paraId="205B6E95" w14:textId="2178D01B" w:rsidR="00D23C66" w:rsidRPr="004811C9" w:rsidRDefault="00D23C66" w:rsidP="00D23C66">
      <w:pPr>
        <w:spacing w:after="0" w:line="240" w:lineRule="auto"/>
        <w:jc w:val="both"/>
        <w:rPr>
          <w:rFonts w:cs="Times New Roman"/>
          <w:bCs/>
        </w:rPr>
      </w:pPr>
      <w:r w:rsidRPr="004811C9">
        <w:rPr>
          <w:rFonts w:cs="Times New Roman"/>
          <w:bCs/>
        </w:rPr>
        <w:t xml:space="preserve">Email: </w:t>
      </w:r>
      <w:r w:rsidR="004A6204" w:rsidRPr="004811C9">
        <w:rPr>
          <w:rFonts w:cs="Times New Roman"/>
          <w:bCs/>
        </w:rPr>
        <w:t>bhat</w:t>
      </w:r>
      <w:r w:rsidRPr="004811C9">
        <w:rPr>
          <w:rFonts w:cs="Times New Roman"/>
          <w:bCs/>
        </w:rPr>
        <w:t>@</w:t>
      </w:r>
      <w:r w:rsidR="004A6204" w:rsidRPr="004811C9">
        <w:rPr>
          <w:rFonts w:cs="Times New Roman"/>
          <w:bCs/>
        </w:rPr>
        <w:t>mail.</w:t>
      </w:r>
      <w:r w:rsidRPr="004811C9">
        <w:rPr>
          <w:rFonts w:cs="Times New Roman"/>
          <w:bCs/>
        </w:rPr>
        <w:t xml:space="preserve">utexas.edu </w:t>
      </w:r>
    </w:p>
    <w:p w14:paraId="43CD8137" w14:textId="77777777" w:rsidR="00D23C66" w:rsidRPr="004811C9" w:rsidRDefault="00D23C66" w:rsidP="00112AEA">
      <w:pPr>
        <w:spacing w:after="0" w:line="240" w:lineRule="auto"/>
        <w:jc w:val="both"/>
        <w:rPr>
          <w:rFonts w:cs="Times New Roman"/>
          <w:b/>
        </w:rPr>
      </w:pPr>
    </w:p>
    <w:p w14:paraId="3336E243" w14:textId="77777777" w:rsidR="00112AEA" w:rsidRPr="004811C9" w:rsidRDefault="00112AEA" w:rsidP="00112AEA">
      <w:pPr>
        <w:spacing w:after="0" w:line="240" w:lineRule="auto"/>
        <w:jc w:val="both"/>
        <w:rPr>
          <w:rFonts w:cs="Times New Roman"/>
          <w:b/>
        </w:rPr>
      </w:pPr>
    </w:p>
    <w:p w14:paraId="5B92FD0E" w14:textId="77777777" w:rsidR="00112AEA" w:rsidRPr="004811C9" w:rsidRDefault="00112AEA" w:rsidP="00112AEA">
      <w:pPr>
        <w:spacing w:after="0" w:line="240" w:lineRule="auto"/>
        <w:jc w:val="both"/>
        <w:rPr>
          <w:rFonts w:cs="Times New Roman"/>
          <w:b/>
        </w:rPr>
      </w:pPr>
    </w:p>
    <w:p w14:paraId="3102DE53" w14:textId="77777777" w:rsidR="00112AEA" w:rsidRPr="004811C9" w:rsidRDefault="00112AEA" w:rsidP="00112AEA">
      <w:pPr>
        <w:spacing w:after="0" w:line="240" w:lineRule="auto"/>
        <w:jc w:val="both"/>
        <w:rPr>
          <w:rFonts w:cs="Times New Roman"/>
          <w:b/>
        </w:rPr>
        <w:sectPr w:rsidR="00112AEA" w:rsidRPr="004811C9" w:rsidSect="00112AEA">
          <w:pgSz w:w="12240" w:h="15840"/>
          <w:pgMar w:top="1440" w:right="1440" w:bottom="1440" w:left="1440" w:header="720" w:footer="720" w:gutter="0"/>
          <w:cols w:space="720"/>
          <w:docGrid w:linePitch="360"/>
        </w:sectPr>
      </w:pPr>
    </w:p>
    <w:p w14:paraId="5617E0A1" w14:textId="77777777" w:rsidR="00112AEA" w:rsidRPr="004811C9" w:rsidRDefault="00112AEA" w:rsidP="00112AEA">
      <w:pPr>
        <w:spacing w:after="0" w:line="240" w:lineRule="auto"/>
        <w:jc w:val="both"/>
        <w:rPr>
          <w:rFonts w:cs="Times New Roman"/>
          <w:b/>
        </w:rPr>
      </w:pPr>
      <w:r w:rsidRPr="004811C9">
        <w:rPr>
          <w:rFonts w:cs="Times New Roman"/>
          <w:b/>
        </w:rPr>
        <w:lastRenderedPageBreak/>
        <w:t>ABSTRACT</w:t>
      </w:r>
    </w:p>
    <w:p w14:paraId="50EDB5B8" w14:textId="306AC95B" w:rsidR="00112AEA" w:rsidRPr="004811C9" w:rsidRDefault="003069EB" w:rsidP="00112AEA">
      <w:pPr>
        <w:spacing w:after="0" w:line="240" w:lineRule="auto"/>
        <w:jc w:val="both"/>
        <w:rPr>
          <w:rFonts w:cs="Times New Roman"/>
        </w:rPr>
      </w:pPr>
      <w:r w:rsidRPr="004811C9">
        <w:rPr>
          <w:rFonts w:cs="Times New Roman"/>
        </w:rPr>
        <w:t xml:space="preserve">The value of travel time savings is one of the most widely used concepts in the transportation sector, serving as a critical component of transportation project evaluation, policy formulation, and transportation investment decisions. </w:t>
      </w:r>
      <w:r w:rsidR="00BD4F41" w:rsidRPr="004811C9">
        <w:rPr>
          <w:rFonts w:cs="Times New Roman"/>
        </w:rPr>
        <w:t xml:space="preserve">In this paper, </w:t>
      </w:r>
      <w:r w:rsidR="00D9023E" w:rsidRPr="004811C9">
        <w:rPr>
          <w:rFonts w:cs="Times New Roman"/>
        </w:rPr>
        <w:t>we examine the value of travel time savings</w:t>
      </w:r>
      <w:r w:rsidR="00B049B8" w:rsidRPr="004811C9">
        <w:rPr>
          <w:rFonts w:cs="Times New Roman"/>
        </w:rPr>
        <w:t xml:space="preserve"> as measured using </w:t>
      </w:r>
      <w:r w:rsidR="00E927B4" w:rsidRPr="004811C9">
        <w:rPr>
          <w:rFonts w:cs="Times New Roman"/>
        </w:rPr>
        <w:t>an</w:t>
      </w:r>
      <w:r w:rsidR="00B049B8" w:rsidRPr="004811C9">
        <w:rPr>
          <w:rFonts w:cs="Times New Roman"/>
        </w:rPr>
        <w:t xml:space="preserve"> iterative bidding contingent valuation approach in the context of Mumbai, India. </w:t>
      </w:r>
      <w:r w:rsidR="00E86BCA" w:rsidRPr="004811C9">
        <w:rPr>
          <w:rFonts w:cs="Times New Roman"/>
        </w:rPr>
        <w:t xml:space="preserve">By directly measuring the value of travel time savings, rather than </w:t>
      </w:r>
      <w:r w:rsidR="00BD4F41" w:rsidRPr="004811C9">
        <w:rPr>
          <w:rFonts w:cs="Times New Roman"/>
        </w:rPr>
        <w:t>imputing it</w:t>
      </w:r>
      <w:r w:rsidR="00E86BCA" w:rsidRPr="004811C9">
        <w:rPr>
          <w:rFonts w:cs="Times New Roman"/>
        </w:rPr>
        <w:t xml:space="preserve">, we </w:t>
      </w:r>
      <w:r w:rsidR="00BD4F41" w:rsidRPr="004811C9">
        <w:rPr>
          <w:rFonts w:cs="Times New Roman"/>
        </w:rPr>
        <w:t xml:space="preserve">are able to </w:t>
      </w:r>
      <w:r w:rsidR="00E86BCA" w:rsidRPr="004811C9">
        <w:rPr>
          <w:rFonts w:cs="Times New Roman"/>
        </w:rPr>
        <w:t xml:space="preserve">efficiently consider variations across individual characteristics and trip contexts. </w:t>
      </w:r>
      <w:r w:rsidR="00BD4F41" w:rsidRPr="004811C9">
        <w:rPr>
          <w:rFonts w:cs="Times New Roman"/>
        </w:rPr>
        <w:t>As importantly</w:t>
      </w:r>
      <w:r w:rsidR="00E86BCA" w:rsidRPr="004811C9">
        <w:rPr>
          <w:rFonts w:cs="Times New Roman"/>
        </w:rPr>
        <w:t xml:space="preserve">, we account for the possibility that some individuals may not be willing to pay at all for travel time savings, jointly modeling a binary outcome representing whether </w:t>
      </w:r>
      <w:r w:rsidR="001D1645" w:rsidRPr="004811C9">
        <w:rPr>
          <w:rFonts w:cs="Times New Roman"/>
        </w:rPr>
        <w:t>an individual is willing to pay</w:t>
      </w:r>
      <w:r w:rsidR="00BD4F41" w:rsidRPr="004811C9">
        <w:rPr>
          <w:rFonts w:cs="Times New Roman"/>
        </w:rPr>
        <w:t xml:space="preserve"> </w:t>
      </w:r>
      <w:r w:rsidR="001D1645" w:rsidRPr="004811C9">
        <w:rPr>
          <w:rFonts w:cs="Times New Roman"/>
        </w:rPr>
        <w:t xml:space="preserve">at all </w:t>
      </w:r>
      <w:r w:rsidR="00BD4F41" w:rsidRPr="004811C9">
        <w:rPr>
          <w:rFonts w:cs="Times New Roman"/>
        </w:rPr>
        <w:t xml:space="preserve">(WTP) </w:t>
      </w:r>
      <w:r w:rsidR="001D1645" w:rsidRPr="004811C9">
        <w:rPr>
          <w:rFonts w:cs="Times New Roman"/>
        </w:rPr>
        <w:t xml:space="preserve">alongside the continuous value of travel time savings among those who are willing to pay. This approach allows us to identify those individuals </w:t>
      </w:r>
      <w:r w:rsidR="007F33F4" w:rsidRPr="004811C9">
        <w:rPr>
          <w:rFonts w:cs="Times New Roman"/>
        </w:rPr>
        <w:t>who have a value of travel time savings</w:t>
      </w:r>
      <w:r w:rsidR="00BD4F41" w:rsidRPr="004811C9">
        <w:rPr>
          <w:rFonts w:cs="Times New Roman"/>
        </w:rPr>
        <w:t xml:space="preserve"> (VTTS)</w:t>
      </w:r>
      <w:r w:rsidR="007F33F4" w:rsidRPr="004811C9">
        <w:rPr>
          <w:rFonts w:cs="Times New Roman"/>
        </w:rPr>
        <w:t xml:space="preserve"> of zero, which may occur due to very different psychological reasons than </w:t>
      </w:r>
      <w:r w:rsidR="00011F67" w:rsidRPr="004811C9">
        <w:rPr>
          <w:rFonts w:cs="Times New Roman"/>
        </w:rPr>
        <w:t xml:space="preserve">simply having a low value of travel time savings. The findings reveal significant differences in </w:t>
      </w:r>
      <w:r w:rsidR="00BD4F41" w:rsidRPr="004811C9">
        <w:rPr>
          <w:rFonts w:cs="Times New Roman"/>
        </w:rPr>
        <w:t xml:space="preserve">WTP and VTTS </w:t>
      </w:r>
      <w:r w:rsidR="00011F67" w:rsidRPr="004811C9">
        <w:rPr>
          <w:rFonts w:cs="Times New Roman"/>
        </w:rPr>
        <w:t xml:space="preserve">across </w:t>
      </w:r>
      <w:r w:rsidR="00BD4F41" w:rsidRPr="004811C9">
        <w:rPr>
          <w:rFonts w:cs="Times New Roman"/>
        </w:rPr>
        <w:t xml:space="preserve">population subgroups and </w:t>
      </w:r>
      <w:r w:rsidR="00011F67" w:rsidRPr="004811C9">
        <w:rPr>
          <w:rFonts w:cs="Times New Roman"/>
        </w:rPr>
        <w:t>trip characteristics</w:t>
      </w:r>
      <w:r w:rsidR="00BD4F41" w:rsidRPr="004811C9">
        <w:rPr>
          <w:rFonts w:cs="Times New Roman"/>
        </w:rPr>
        <w:t xml:space="preserve">. </w:t>
      </w:r>
      <w:r w:rsidR="00907AB0" w:rsidRPr="004811C9">
        <w:rPr>
          <w:rFonts w:cs="Times New Roman"/>
        </w:rPr>
        <w:t xml:space="preserve">The results have important </w:t>
      </w:r>
      <w:bookmarkStart w:id="0" w:name="_Hlk204277881"/>
      <w:r w:rsidR="00907AB0" w:rsidRPr="004811C9">
        <w:rPr>
          <w:rFonts w:cs="Times New Roman"/>
        </w:rPr>
        <w:t xml:space="preserve">implications for the evaluation of transportation policies, prioritization of transportation infrastructure improvements, </w:t>
      </w:r>
      <w:r w:rsidR="00397D93" w:rsidRPr="004811C9">
        <w:rPr>
          <w:rFonts w:cs="Times New Roman"/>
        </w:rPr>
        <w:t xml:space="preserve">and development of </w:t>
      </w:r>
      <w:r w:rsidR="00246900" w:rsidRPr="004811C9">
        <w:rPr>
          <w:rFonts w:cs="Times New Roman"/>
        </w:rPr>
        <w:t xml:space="preserve">priced </w:t>
      </w:r>
      <w:r w:rsidR="00397D93" w:rsidRPr="004811C9">
        <w:rPr>
          <w:rFonts w:cs="Times New Roman"/>
        </w:rPr>
        <w:t>congestion reduction strategies.</w:t>
      </w:r>
    </w:p>
    <w:bookmarkEnd w:id="0"/>
    <w:p w14:paraId="4A81BA72" w14:textId="77777777" w:rsidR="00011F67" w:rsidRPr="004811C9" w:rsidRDefault="00011F67" w:rsidP="00112AEA">
      <w:pPr>
        <w:spacing w:after="0" w:line="240" w:lineRule="auto"/>
        <w:jc w:val="both"/>
        <w:rPr>
          <w:rFonts w:cs="Times New Roman"/>
          <w:b/>
        </w:rPr>
      </w:pPr>
    </w:p>
    <w:p w14:paraId="2800CAEB" w14:textId="225362CB" w:rsidR="00112AEA" w:rsidRPr="004811C9" w:rsidRDefault="00112AEA" w:rsidP="00112AEA">
      <w:pPr>
        <w:spacing w:after="0" w:line="240" w:lineRule="auto"/>
        <w:jc w:val="both"/>
        <w:rPr>
          <w:rFonts w:cs="Times New Roman"/>
          <w:bCs/>
        </w:rPr>
      </w:pPr>
      <w:r w:rsidRPr="004811C9">
        <w:rPr>
          <w:rFonts w:cs="Times New Roman"/>
          <w:b/>
        </w:rPr>
        <w:t>Keywords:</w:t>
      </w:r>
      <w:r w:rsidR="00246900" w:rsidRPr="004811C9">
        <w:rPr>
          <w:rFonts w:cs="Times New Roman"/>
          <w:b/>
        </w:rPr>
        <w:t xml:space="preserve"> </w:t>
      </w:r>
      <w:r w:rsidR="00246900" w:rsidRPr="004811C9">
        <w:rPr>
          <w:rFonts w:cs="Times New Roman"/>
          <w:bCs/>
        </w:rPr>
        <w:t xml:space="preserve">Value of Travel Time Savings, Willingness to Pay, </w:t>
      </w:r>
      <w:r w:rsidR="009742DA" w:rsidRPr="004811C9">
        <w:rPr>
          <w:rFonts w:cs="Times New Roman"/>
          <w:bCs/>
        </w:rPr>
        <w:t>Contingent Valuation</w:t>
      </w:r>
      <w:r w:rsidR="005C3117" w:rsidRPr="004811C9">
        <w:rPr>
          <w:rFonts w:cs="Times New Roman"/>
          <w:bCs/>
        </w:rPr>
        <w:t xml:space="preserve">, </w:t>
      </w:r>
      <w:r w:rsidR="00DD102C" w:rsidRPr="004811C9">
        <w:rPr>
          <w:rFonts w:cs="Times New Roman"/>
          <w:bCs/>
        </w:rPr>
        <w:t>Priced Lanes</w:t>
      </w:r>
      <w:r w:rsidR="005A6CE8" w:rsidRPr="004811C9">
        <w:rPr>
          <w:rFonts w:cs="Times New Roman"/>
          <w:bCs/>
        </w:rPr>
        <w:t>, Project Prioritization</w:t>
      </w:r>
      <w:r w:rsidR="00BD4F41" w:rsidRPr="004811C9">
        <w:rPr>
          <w:rFonts w:cs="Times New Roman"/>
          <w:bCs/>
        </w:rPr>
        <w:t xml:space="preserve">, </w:t>
      </w:r>
      <w:r w:rsidR="00B26BE9" w:rsidRPr="004811C9">
        <w:rPr>
          <w:rFonts w:cs="Times New Roman"/>
          <w:bCs/>
        </w:rPr>
        <w:t>D</w:t>
      </w:r>
      <w:r w:rsidR="00BD4F41" w:rsidRPr="004811C9">
        <w:rPr>
          <w:rFonts w:cs="Times New Roman"/>
          <w:bCs/>
        </w:rPr>
        <w:t>iscrete-</w:t>
      </w:r>
      <w:r w:rsidR="00B26BE9" w:rsidRPr="004811C9">
        <w:rPr>
          <w:rFonts w:cs="Times New Roman"/>
          <w:bCs/>
        </w:rPr>
        <w:t>C</w:t>
      </w:r>
      <w:r w:rsidR="00BD4F41" w:rsidRPr="004811C9">
        <w:rPr>
          <w:rFonts w:cs="Times New Roman"/>
          <w:bCs/>
        </w:rPr>
        <w:t xml:space="preserve">ontinuous </w:t>
      </w:r>
      <w:r w:rsidR="00B26BE9" w:rsidRPr="004811C9">
        <w:rPr>
          <w:rFonts w:cs="Times New Roman"/>
          <w:bCs/>
        </w:rPr>
        <w:t>M</w:t>
      </w:r>
      <w:r w:rsidR="00BD4F41" w:rsidRPr="004811C9">
        <w:rPr>
          <w:rFonts w:cs="Times New Roman"/>
          <w:bCs/>
        </w:rPr>
        <w:t>odels</w:t>
      </w:r>
    </w:p>
    <w:p w14:paraId="4C962C8E" w14:textId="77777777" w:rsidR="00011F67" w:rsidRPr="004811C9" w:rsidRDefault="00011F67" w:rsidP="00112AEA">
      <w:pPr>
        <w:spacing w:after="0" w:line="240" w:lineRule="auto"/>
        <w:jc w:val="both"/>
        <w:rPr>
          <w:rFonts w:cs="Times New Roman"/>
          <w:b/>
        </w:rPr>
      </w:pPr>
    </w:p>
    <w:p w14:paraId="38381F39" w14:textId="6CCD9121" w:rsidR="00011F67" w:rsidRPr="004811C9" w:rsidRDefault="00011F67" w:rsidP="00011F67">
      <w:pPr>
        <w:spacing w:after="0" w:line="240" w:lineRule="auto"/>
        <w:jc w:val="both"/>
        <w:rPr>
          <w:rFonts w:cs="Times New Roman"/>
        </w:rPr>
      </w:pPr>
      <w:r w:rsidRPr="004811C9">
        <w:rPr>
          <w:rFonts w:cs="Times New Roman"/>
        </w:rPr>
        <w:t xml:space="preserve"> </w:t>
      </w:r>
    </w:p>
    <w:p w14:paraId="4A6121FE" w14:textId="6C134860" w:rsidR="00011F67" w:rsidRPr="004811C9" w:rsidRDefault="00011F67" w:rsidP="00112AEA">
      <w:pPr>
        <w:spacing w:after="0" w:line="240" w:lineRule="auto"/>
        <w:jc w:val="both"/>
        <w:rPr>
          <w:rFonts w:cs="Times New Roman"/>
          <w:b/>
        </w:rPr>
        <w:sectPr w:rsidR="00011F67" w:rsidRPr="004811C9" w:rsidSect="00112AEA">
          <w:pgSz w:w="12240" w:h="15840"/>
          <w:pgMar w:top="1440" w:right="1440" w:bottom="1440" w:left="1440" w:header="720" w:footer="720" w:gutter="0"/>
          <w:cols w:space="720"/>
          <w:docGrid w:linePitch="360"/>
        </w:sectPr>
      </w:pPr>
    </w:p>
    <w:p w14:paraId="0CE83FB9" w14:textId="5FF08724" w:rsidR="00C77343" w:rsidRPr="004811C9" w:rsidRDefault="00C77343" w:rsidP="00027FE5">
      <w:pPr>
        <w:spacing w:after="0" w:line="240" w:lineRule="auto"/>
        <w:jc w:val="both"/>
        <w:rPr>
          <w:rFonts w:cs="Times New Roman"/>
        </w:rPr>
      </w:pPr>
      <w:r w:rsidRPr="004811C9">
        <w:rPr>
          <w:rFonts w:cs="Times New Roman"/>
          <w:b/>
        </w:rPr>
        <w:lastRenderedPageBreak/>
        <w:t xml:space="preserve">1. INTRODUCTION </w:t>
      </w:r>
    </w:p>
    <w:p w14:paraId="181A5E22" w14:textId="6D611F07" w:rsidR="00F729C8" w:rsidRPr="004811C9" w:rsidRDefault="009C2E4D" w:rsidP="00556615">
      <w:pPr>
        <w:spacing w:after="0" w:line="240" w:lineRule="auto"/>
        <w:jc w:val="both"/>
        <w:rPr>
          <w:rFonts w:cs="Times New Roman"/>
          <w:b/>
          <w:bCs/>
        </w:rPr>
      </w:pPr>
      <w:r w:rsidRPr="004811C9">
        <w:rPr>
          <w:rFonts w:cs="Times New Roman"/>
        </w:rPr>
        <w:t xml:space="preserve">The value of travel time </w:t>
      </w:r>
      <w:r w:rsidR="00A12270" w:rsidRPr="004811C9">
        <w:rPr>
          <w:rFonts w:cs="Times New Roman"/>
        </w:rPr>
        <w:t xml:space="preserve">savings </w:t>
      </w:r>
      <w:r w:rsidR="00201C27" w:rsidRPr="004811C9">
        <w:rPr>
          <w:rFonts w:cs="Times New Roman"/>
        </w:rPr>
        <w:t xml:space="preserve">(VTTS) </w:t>
      </w:r>
      <w:r w:rsidRPr="004811C9">
        <w:rPr>
          <w:rFonts w:cs="Times New Roman"/>
        </w:rPr>
        <w:t xml:space="preserve">is </w:t>
      </w:r>
      <w:r w:rsidR="00201C27" w:rsidRPr="004811C9">
        <w:rPr>
          <w:rFonts w:cs="Times New Roman"/>
        </w:rPr>
        <w:t>one of the most</w:t>
      </w:r>
      <w:r w:rsidRPr="004811C9">
        <w:rPr>
          <w:rFonts w:cs="Times New Roman"/>
        </w:rPr>
        <w:t xml:space="preserve"> widely used concept</w:t>
      </w:r>
      <w:r w:rsidR="00201C27" w:rsidRPr="004811C9">
        <w:rPr>
          <w:rFonts w:cs="Times New Roman"/>
        </w:rPr>
        <w:t>s</w:t>
      </w:r>
      <w:r w:rsidRPr="004811C9">
        <w:rPr>
          <w:rFonts w:cs="Times New Roman"/>
        </w:rPr>
        <w:t xml:space="preserve"> in the transportation sector, serving as a critical component of </w:t>
      </w:r>
      <w:r w:rsidR="00F729C8" w:rsidRPr="004811C9">
        <w:rPr>
          <w:rFonts w:cs="Times New Roman"/>
        </w:rPr>
        <w:t>transportation project evaluation, policy formulation, and transportation investment decisions</w:t>
      </w:r>
      <w:r w:rsidR="00F80655" w:rsidRPr="004811C9">
        <w:rPr>
          <w:rFonts w:cs="Times New Roman"/>
        </w:rPr>
        <w:t xml:space="preserve"> </w:t>
      </w:r>
      <w:r w:rsidR="00F80655" w:rsidRPr="004811C9">
        <w:rPr>
          <w:rFonts w:cs="Times New Roman"/>
        </w:rPr>
        <w:fldChar w:fldCharType="begin"/>
      </w:r>
      <w:r w:rsidR="008345D7">
        <w:rPr>
          <w:rFonts w:cs="Times New Roman"/>
        </w:rPr>
        <w:instrText xml:space="preserve"> ADDIN ZOTERO_ITEM CSL_CITATION {"citationID":"O8sSxurM","properties":{"unsorted":true,"formattedCitation":"(Mackie et al., 2001; Lehtonen and Kulmala, 2002; Small, 2012; Kono et al., 2018; Small et al., 2024)","plainCitation":"(Mackie et al., 2001; Lehtonen and Kulmala, 2002; Small, 2012; Kono et al., 2018; Small et al., 2024)","noteIndex":0},"citationItems":[{"id":4913,"uris":["http://zotero.org/users/12832277/items/QVXQKGAG"],"itemData":{"id":4913,"type":"article-journal","abstract":"Values of travel time enter the appraisal scheme both as values for modelling and forecasting and as values for use within project evaluation. This paper considers whether and how travel time values should be used within evaluation. The basic theories of private and social travel time valuation are set out. Issues such as the valuation of working time savings, the case for segmenting values by journey purpose and length, sign and size of time savings and mode of travel, and the income elasticity of the value of time, are reviewed. Two of the main conclusions are that time is a scarce resource and should be valued but that direct use of willingness to pay values is inappropriate for social appraisal of projects. Some form of social weighting scheme is required.","collection-title":"Advances in the Valuation of Travel Time Savings","container-title":"Transportation Research Part E: Logistics and Transportation Review","DOI":"10.1016/S1366-5545(00)00013-2","ISSN":"1366-5545","issue":"2","page":"91-106","source":"ScienceDirect","title":"The Value of Travel Time Savings in Evaluation","volume":"37","author":[{"family":"Mackie","given":"P. J."},{"family":"Jara-Dı́az","given":"S."},{"family":"Fowkes","given":"A. S."}],"issued":{"date-parts":[["2001",4,1]]}}},{"id":4516,"uris":["http://zotero.org/users/12832277/items/YLK3ILFX"],"itemData":{"id":4516,"type":"article-journal","abstract":"A public transport telematics system was launched in Helsinki, Finland, in 1999. The system provides several public transport telematics functions such as real-time passenger information, bus and tram priorities at traffic signals, and schedule monitoring. The impacts, socioeconomic benefits, and technical performance of the telematics applications were investigated. The methods included before-and-after field studies, an interview and survey, a simulation, and socioeconomic evaluation. The results indicate that delays at signals were reduced by more than 40%. The regularity and punctuality of the service were considerably improved. On both lines, the number of passengers increased from the level before the system was implemented. The studies indicated reductions of 1% to 5% in fuel consumption and exhaust emissions. The information systems were regarded very positively, and the systems were considered useful. In particular, the information displays on stops were considered necessary and were used often. Most effects were more substantial on the bus line than on the tramline because of the longer intervals between buses and the fact that the tramline already had signal priorities before the system was introduced. The benefit–cost ratio of the system was calculated to be 3.3. For the transport operator, the return on capital increased by 6% on the bus line and decreased by 1% on the tramline.","container-title":"Transportation Research Record","DOI":"10.3141/1799-03","ISSN":"0361-1981","issue":"1","language":"EN","page":"18-25","publisher":"SAGE Publications Inc","source":"SAGE Journals","title":"Benefits of Pilot Implementation of Public Transport Signal Priorities and Real-Time Passenger Information","volume":"1799","author":[{"family":"Lehtonen","given":"Mikko"},{"family":"Kulmala","given":"Risto"}],"issued":{"date-parts":[["2002",1,1]]}}},{"id":4848,"uris":["http://zotero.org/users/12832277/items/J64V7ZRU"],"itemData":{"id":4848,"type":"article-journal","abstract":"After decades of study, the value of travel time remains incompletely understood and ripe for further theoretical and empirical investigation. Research has revealed many regularities and connections between willingness to pay for time savings and other economic factors including time of day choice, aversion to unreliability, labor supply, taxation, activity scheduling, intra-household time allocation, and out-of-office productivity. Some of these connections have been addressed through sophisticated modeling, revealing a plethora of reasons for heterogeneity in value of time rooted in behavior at a micro scale. This paper reviews what we know and what we need to know. A recurrent theme is that the value of time for a particular travel movement depends strongly on very specific factors, and that understanding how these factors work will provide new insights into travel behavior and into more general economic choices.","container-title":"Economics of Transportation","DOI":"10.1016/j.ecotra.2012.09.002","ISSN":"2212-0122","issue":"1","page":"2-14","source":"ScienceDirect","title":"Valuation of Travel Time","volume":"1","author":[{"family":"Small","given":"Kenneth A."}],"issued":{"date-parts":[["2012",12,1]]}}},{"id":4853,"uris":["http://zotero.org/users/12832277/items/C8R6YAUM"],"itemData":{"id":4853,"type":"article-journal","abstract":"We show that constancy of value of time (VoT), which is assumed in generalized transport costs, can generate a significant bias in trip demand forecasts when travel time and travel fee change, because VoT endogenously changes in reality. Modeling shopping behaviors, we demonstrate that the change in trip demand through changes in travel time and travel fees differs even if the change in the travel fee is equivalent to the changes in the travel time in terms of generalized transport cost. This is because a decrease in travel time decreases VoT, whereas a decrease in travel fee increases VoT. Our simulation shows that the difference is large when there is a high substitutability between sites. This implies that demand estimation assuming a fixed VoT could be inadequate, and that it should treat VoT endogenously.","container-title":"Transportmetrica A: Transport Science","DOI":"10.1080/23249935.2017.1363316","ISSN":"2324-9935","issue":"3","note":"_eprint: https://doi.org/10.1080/23249935.2017.1363316","page":"192-209","publisher":"Taylor &amp; Francis","source":"Taylor and Francis+NEJM","title":"Limitations of Using Generalized Transport Costs to Estimate Changes in Trip Demand: A Bias Caused by the Endogenous Value of Time","volume":"14","author":[{"family":"Kono","given":"Tatsuhito"},{"family":"Kishi","given":"Akio"},{"family":"Seita","given":"Emishi"},{"family":"Yokoi","given":"Takahisa"}],"issued":{"date-parts":[["2018",3,16]]}}},{"id":4851,"uris":["http://zotero.org/users/12832277/items/LFSY8B34"],"itemData":{"id":4851,"type":"book","abstract":"This new edition of the seminal textbook The Economics of Urban Transportation incorporates the latest research affecting the design, implementation, pricing,","DOI":"10.4324/9781315157375","edition":"3","ISBN":"978-1-315-15737-5","number-of-pages":"432","publisher":"Routledge","publisher-place":"London","title":"The Economics of Urban Transportation","author":[{"family":"Small","given":"Kenneth A."},{"family":"Verhoef","given":"Erik T."},{"family":"Lindsey","given":"Robin"}],"issued":{"date-parts":[["2024",6,9]]}}}],"schema":"https://github.com/citation-style-language/schema/raw/master/csl-citation.json"} </w:instrText>
      </w:r>
      <w:r w:rsidR="00F80655" w:rsidRPr="004811C9">
        <w:rPr>
          <w:rFonts w:cs="Times New Roman"/>
        </w:rPr>
        <w:fldChar w:fldCharType="separate"/>
      </w:r>
      <w:r w:rsidR="00F80655" w:rsidRPr="004811C9">
        <w:rPr>
          <w:rFonts w:cs="Times New Roman"/>
        </w:rPr>
        <w:t>(Mackie et al., 2001; Lehtonen and Kulmala, 2002; Small, 2012; Kono et al., 2018; Small et al., 2024)</w:t>
      </w:r>
      <w:r w:rsidR="00F80655" w:rsidRPr="004811C9">
        <w:rPr>
          <w:rFonts w:cs="Times New Roman"/>
        </w:rPr>
        <w:fldChar w:fldCharType="end"/>
      </w:r>
      <w:r w:rsidR="00F729C8" w:rsidRPr="004811C9">
        <w:rPr>
          <w:rFonts w:cs="Times New Roman"/>
        </w:rPr>
        <w:t>.</w:t>
      </w:r>
      <w:r w:rsidR="00F80655" w:rsidRPr="004811C9">
        <w:rPr>
          <w:rFonts w:cs="Times New Roman"/>
        </w:rPr>
        <w:t xml:space="preserve"> </w:t>
      </w:r>
      <w:r w:rsidR="00D4101E" w:rsidRPr="004811C9">
        <w:rPr>
          <w:rFonts w:cs="Times New Roman"/>
        </w:rPr>
        <w:t>VTTS</w:t>
      </w:r>
      <w:r w:rsidR="00F80655" w:rsidRPr="004811C9">
        <w:rPr>
          <w:rFonts w:cs="Times New Roman"/>
        </w:rPr>
        <w:t xml:space="preserve"> represents the marginal </w:t>
      </w:r>
      <w:r w:rsidR="00C371A9" w:rsidRPr="004811C9">
        <w:rPr>
          <w:rFonts w:cs="Times New Roman"/>
        </w:rPr>
        <w:t xml:space="preserve">rate of substitution between time and money in travel decisions, </w:t>
      </w:r>
      <w:r w:rsidR="0084340A" w:rsidRPr="004811C9">
        <w:rPr>
          <w:rFonts w:cs="Times New Roman"/>
        </w:rPr>
        <w:t xml:space="preserve">reflecting how individuals prioritize time savings relative to monetary costs. </w:t>
      </w:r>
      <w:r w:rsidR="003430A8" w:rsidRPr="004811C9">
        <w:rPr>
          <w:rFonts w:cs="Times New Roman"/>
        </w:rPr>
        <w:t xml:space="preserve">It </w:t>
      </w:r>
      <w:r w:rsidR="00D4101E" w:rsidRPr="004811C9">
        <w:rPr>
          <w:rFonts w:cs="Times New Roman"/>
        </w:rPr>
        <w:t xml:space="preserve">is regularly used to </w:t>
      </w:r>
      <w:r w:rsidR="003430A8" w:rsidRPr="004811C9">
        <w:rPr>
          <w:rFonts w:cs="Times New Roman"/>
        </w:rPr>
        <w:t xml:space="preserve">translate the travel time savings accrued by travelers from transportation and infrastructure investments </w:t>
      </w:r>
      <w:r w:rsidR="00D4101E" w:rsidRPr="004811C9">
        <w:rPr>
          <w:rFonts w:cs="Times New Roman"/>
        </w:rPr>
        <w:t xml:space="preserve"> </w:t>
      </w:r>
      <w:r w:rsidR="003430A8" w:rsidRPr="004811C9">
        <w:rPr>
          <w:rFonts w:cs="Times New Roman"/>
        </w:rPr>
        <w:t xml:space="preserve">(such as building a new road or a new rail line) into equivalent user benefits from an </w:t>
      </w:r>
      <w:r w:rsidR="00D4101E" w:rsidRPr="004811C9">
        <w:rPr>
          <w:rFonts w:cs="Times New Roman"/>
        </w:rPr>
        <w:t xml:space="preserve">economic </w:t>
      </w:r>
      <w:r w:rsidR="003430A8" w:rsidRPr="004811C9">
        <w:rPr>
          <w:rFonts w:cs="Times New Roman"/>
        </w:rPr>
        <w:t xml:space="preserve">(monetary) standpoint </w:t>
      </w:r>
      <w:r w:rsidR="00295BC3" w:rsidRPr="004811C9">
        <w:rPr>
          <w:rFonts w:cs="Times New Roman"/>
        </w:rPr>
        <w:fldChar w:fldCharType="begin"/>
      </w:r>
      <w:r w:rsidR="008345D7">
        <w:rPr>
          <w:rFonts w:cs="Times New Roman"/>
        </w:rPr>
        <w:instrText xml:space="preserve"> ADDIN ZOTERO_ITEM CSL_CITATION {"citationID":"HfkYA75H","properties":{"unsorted":true,"formattedCitation":"(Laird and Venables, 2017; Acampa et al., 2019; Salmani Bishak et al., 2024)","plainCitation":"(Laird and Venables, 2017; Acampa et al., 2019; Salmani Bishak et al., 2024)","noteIndex":0},"citationItems":[{"id":4860,"uris":["http://zotero.org/users/12832277/items/ZCVWW3C3"],"itemData":{"id":4860,"type":"article-journal","abstract":"The case for major transport investment is frequently made in terms of impact on economic performance. A recurring difficulty however faced by policy makers is a disjoint between this motivation and the cost benefit analysis, which may be too narrow. Broadening the set of economic mechanisms studied creates the risk that bad arguments are legitimised and effects can be exaggerated. There is a need for an appraisal framework that ensures all relevant impacts are captured, ensures the opportunity cost of drawing more resources into an activity is identified and meets the needs of the different audiences of the appraisal. There is a need for context specific appraisal. Central to the impact on economic performance is how private sector investment responds to changes in accessibility. Investment in one location can improve productivity, create growth, but may also displace output and employment. Thus we group impacts within the framework into four types: user benefits, proximity and productivity effects, investment and land use impacts and employment effects. Within each of these groups there are a series of transport-economy mechanisms which become relevant in different contexts. Some of these mechanisms are well established and are applied in practice. Others still are more challenging and need to be the subject of further research. Throughout improvements in the evidence base are needed.","container-title":"Transport Policy","DOI":"10.1016/j.tranpol.2017.02.006","ISSN":"0967-070X","journalAbbreviation":"Transport Policy","page":"1-11","source":"ScienceDirect","title":"Transport Investment and Economic Performance: A Framework for Project Appraisal","volume":"56","author":[{"family":"Laird","given":"James J."},{"family":"Venables","given":"Anthony J."}],"issued":{"date-parts":[["2017",5,1]]}}},{"id":4857,"uris":["http://zotero.org/users/12832277/items/FZMA9YKA"],"itemData":{"id":4857,"type":"paper-conference","abstract":"The continuous growth of vehicles on the road and the consequent traffic congestion, especially in suburban areas, is a source for major concern. It impacts negatively on the operating costs of infrastructures and on the social and economic life in the surrounding area. From an economic perspective, travel time for the displacement between two junctions of a network is one of the most significant factors to be taken into consideration. On this basis, the designer decides on the level of service and the type of infrastructure to be built and the traveller assesses the alternatives to the existing modes of transport and his willingness to face the associated cost. In Europe, United Kingdom (UK) was the first country to value travel time in the early 1960s. Moreover, until 2011, it contributed to the estimation of the monetary value of time for 60% of international studies within the EU. The UK Department for Transport (DfT) adopts the Transport Analysis Guidance (WebTAG) as useful transport planning and design tool. This paper discusses on the guidelines and software tools adopted for the economic evaluation of transport interventions in UK and Italy, highlighting particularly, the values and methods for estimating the value of time (VOT) in both countries. We propose a strong integration of the two models taking into account the numerous parameters examined in UK and at the same time the method’s easy applicability for countries with different development conditions and needs.","container-title":"Proceedings of the International Conference of Computational Methods in Sciences and Engineering","DOI":"10.1063/1.5138077","page":"160009","publisher":"AIP Conference Proceedings","publisher-place":"Rhodes, Greece","source":"Silverchair","title":"Value of Travel Time: An Economic Assessment for Transport Appraisal Decision-Makers","title-short":"Value of Travel Time","URL":"https://doi.org/10.1063/1.5138077","volume":"2186","author":[{"family":"Acampa","given":"G."},{"family":"Ticali","given":"D."},{"family":"Parisi","given":"C. M."}],"accessed":{"date-parts":[["2025",7,17]]},"issued":{"date-parts":[["2019",12,10]]}}},{"id":4855,"uris":["http://zotero.org/users/12832277/items/WUYLKJLR"],"itemData":{"id":4855,"type":"article-journal","abstract":"Transportation is among the most important sectors of any economy and investment in transportation infrastructure can cause significant growth in the economy. There should be vast economic and engineering research in order to reach a conclusion on investment decision for every transportation project. One of the most important factors in economic evaluation of transportation projects is travel time reduction. Due to high national importance of Tabriz-Miyaneh Railroad project, the goal of this study is to investigate the value of travel time for Tabriz-Tehran passengers with the assumption of new Tabriz-Miyaneh train being operational. To do so, after collecting stated preference data, multinomial logit models for mode choice in Tabriz-Tehran trips were estimated. 3 logit models with different specifications in utility function were estimated. The coefficients of travel time and travel cost were statistically significant with expected signs in all of the estimated models. Average value of travel time and value of travel time for different income groups were estimated based on the estimation results of these models. The average value of travel time for the model with highest level of significance for willingness to pay estimation was equal to 149 thousand Tomans per hour.","container-title":"Journal of Transportation Research","DOI":"10.22034/tri.2024.415287.3187","ISSN":"1735-3459","issue":"4","language":"en","page":"441-458","source":"www.trijournal.ir","title":"Estimating the Value of Travel Time for Tehran-Tabriz Passengers with Consideration of New Tabriz-Miyaneh Railroad","volume":"21","author":[{"family":"Salmani Bishak","given":"Mohamad Reza"},{"family":"Karimi Takanlou","given":"Zahra"},{"family":"Esmaeelzadeh","given":"Hadi"}],"issued":{"date-parts":[["2024",12,21]]}}}],"schema":"https://github.com/citation-style-language/schema/raw/master/csl-citation.json"} </w:instrText>
      </w:r>
      <w:r w:rsidR="00295BC3" w:rsidRPr="004811C9">
        <w:rPr>
          <w:rFonts w:cs="Times New Roman"/>
        </w:rPr>
        <w:fldChar w:fldCharType="separate"/>
      </w:r>
      <w:r w:rsidR="00295BC3" w:rsidRPr="004811C9">
        <w:rPr>
          <w:rFonts w:cs="Times New Roman"/>
        </w:rPr>
        <w:t>(Laird and Venables, 2017; Acampa et al., 2019; Salmani Bishak et al., 2024)</w:t>
      </w:r>
      <w:r w:rsidR="00295BC3" w:rsidRPr="004811C9">
        <w:rPr>
          <w:rFonts w:cs="Times New Roman"/>
        </w:rPr>
        <w:fldChar w:fldCharType="end"/>
      </w:r>
      <w:r w:rsidR="007C773C" w:rsidRPr="004811C9">
        <w:rPr>
          <w:rFonts w:cs="Times New Roman"/>
        </w:rPr>
        <w:t>.</w:t>
      </w:r>
      <w:r w:rsidR="00A239DF" w:rsidRPr="004811C9">
        <w:rPr>
          <w:rFonts w:cs="Times New Roman"/>
        </w:rPr>
        <w:t xml:space="preserve"> </w:t>
      </w:r>
      <w:r w:rsidR="003430A8" w:rsidRPr="004811C9">
        <w:rPr>
          <w:rFonts w:cs="Times New Roman"/>
        </w:rPr>
        <w:t>Further, VTTS helps in comparing the value proposition of different infrastructure projects, helping prioritize investments given a fixed amount of available funding and human resources</w:t>
      </w:r>
      <w:r w:rsidR="006C6AFD">
        <w:rPr>
          <w:rFonts w:cs="Times New Roman"/>
        </w:rPr>
        <w:t xml:space="preserve">, and </w:t>
      </w:r>
      <w:r w:rsidR="00BA0A6F" w:rsidRPr="004811C9">
        <w:rPr>
          <w:rFonts w:cs="Times New Roman"/>
        </w:rPr>
        <w:t xml:space="preserve"> is critical in the operation</w:t>
      </w:r>
      <w:r w:rsidR="003430A8" w:rsidRPr="004811C9">
        <w:rPr>
          <w:rFonts w:cs="Times New Roman"/>
        </w:rPr>
        <w:t xml:space="preserve"> </w:t>
      </w:r>
      <w:r w:rsidR="00BA0A6F" w:rsidRPr="004811C9">
        <w:rPr>
          <w:rFonts w:cs="Times New Roman"/>
        </w:rPr>
        <w:t>of transportation modes</w:t>
      </w:r>
      <w:r w:rsidR="00B71E54" w:rsidRPr="004811C9">
        <w:rPr>
          <w:rFonts w:cs="Times New Roman"/>
        </w:rPr>
        <w:t xml:space="preserve"> </w:t>
      </w:r>
      <w:r w:rsidR="00B71E54" w:rsidRPr="004811C9">
        <w:rPr>
          <w:rFonts w:cs="Times New Roman"/>
        </w:rPr>
        <w:fldChar w:fldCharType="begin"/>
      </w:r>
      <w:r w:rsidR="00BA1900">
        <w:rPr>
          <w:rFonts w:cs="Times New Roman"/>
        </w:rPr>
        <w:instrText xml:space="preserve"> ADDIN ZOTERO_ITEM CSL_CITATION {"citationID":"hTSydhoX","properties":{"formattedCitation":"(Oh et al., 2015)","plainCitation":"(Oh et al., 2015)","dontUpdate":true,"noteIndex":0},"citationItems":[{"id":5108,"uris":["http://zotero.org/users/12832277/items/E6B7RG4J"],"itemData":{"id":5108,"type":"report","abstract":"This report analyses costs and benefits of Intelligent Transportation Systems (ITS) deployed by","call-number":"dot:29148","language":"English","number":"RC-1631","publisher":"Western Michigan University, Transportation Research Center for Livable Communities","source":"ROSA P","title":"Costs and Benefits of MDOT Intelligent Transportation System Deployments.","URL":"https://rosap.ntl.bts.gov/view/dot/29148","author":[{"family":"Oh","given":"Jun-Seok"},{"family":"Kwigizile","given":"Valerian"},{"family":"Sun","given":"Zhanbo"},{"family":"Clark","given":"Matthew L."},{"family":"Kurdi","given":"Aous Hammad"},{"family":"Wiersma","given":"Matthew J."}],"accessed":{"date-parts":[["2025",7,27]]},"issued":{"date-parts":[["2015",7,1]]}}}],"schema":"https://github.com/citation-style-language/schema/raw/master/csl-citation.json"} </w:instrText>
      </w:r>
      <w:r w:rsidR="00B71E54" w:rsidRPr="004811C9">
        <w:rPr>
          <w:rFonts w:cs="Times New Roman"/>
        </w:rPr>
        <w:fldChar w:fldCharType="separate"/>
      </w:r>
      <w:r w:rsidR="00B71E54" w:rsidRPr="004811C9">
        <w:rPr>
          <w:rFonts w:cs="Times New Roman"/>
        </w:rPr>
        <w:t>(see Oh et al., 2015)</w:t>
      </w:r>
      <w:r w:rsidR="00B71E54" w:rsidRPr="004811C9">
        <w:rPr>
          <w:rFonts w:cs="Times New Roman"/>
        </w:rPr>
        <w:fldChar w:fldCharType="end"/>
      </w:r>
      <w:r w:rsidR="00BA0A6F" w:rsidRPr="004811C9">
        <w:rPr>
          <w:rFonts w:cs="Times New Roman"/>
        </w:rPr>
        <w:t>.</w:t>
      </w:r>
    </w:p>
    <w:p w14:paraId="1738AFA0" w14:textId="74AE1FE8" w:rsidR="000B3576" w:rsidRDefault="00BA0A6F" w:rsidP="002A3096">
      <w:pPr>
        <w:spacing w:after="0" w:line="240" w:lineRule="auto"/>
        <w:ind w:firstLine="720"/>
        <w:jc w:val="both"/>
        <w:rPr>
          <w:rFonts w:cs="Times New Roman"/>
        </w:rPr>
      </w:pPr>
      <w:r w:rsidRPr="004811C9">
        <w:rPr>
          <w:rFonts w:cs="Times New Roman"/>
        </w:rPr>
        <w:t>A</w:t>
      </w:r>
      <w:r w:rsidR="00395E6F" w:rsidRPr="004811C9">
        <w:rPr>
          <w:rFonts w:cs="Times New Roman"/>
        </w:rPr>
        <w:t xml:space="preserve">nother important </w:t>
      </w:r>
      <w:r w:rsidR="000269FA">
        <w:rPr>
          <w:rFonts w:cs="Times New Roman"/>
        </w:rPr>
        <w:t>use</w:t>
      </w:r>
      <w:r w:rsidR="00395E6F" w:rsidRPr="004811C9">
        <w:rPr>
          <w:rFonts w:cs="Times New Roman"/>
        </w:rPr>
        <w:t xml:space="preserve"> of VTTS is in the area of </w:t>
      </w:r>
      <w:r w:rsidR="00C37078" w:rsidRPr="004811C9">
        <w:rPr>
          <w:rFonts w:cs="Times New Roman"/>
        </w:rPr>
        <w:t xml:space="preserve">pricing for the use of transportation facilities, </w:t>
      </w:r>
      <w:r w:rsidR="003B7E97" w:rsidRPr="004811C9">
        <w:rPr>
          <w:rFonts w:cs="Times New Roman"/>
        </w:rPr>
        <w:t xml:space="preserve">given that </w:t>
      </w:r>
      <w:r w:rsidR="00C37078" w:rsidRPr="004811C9">
        <w:rPr>
          <w:rFonts w:cs="Times New Roman"/>
        </w:rPr>
        <w:t xml:space="preserve">VTTS </w:t>
      </w:r>
      <w:r w:rsidR="003B7E97" w:rsidRPr="004811C9">
        <w:rPr>
          <w:rFonts w:cs="Times New Roman"/>
        </w:rPr>
        <w:t xml:space="preserve">fundamentally </w:t>
      </w:r>
      <w:r w:rsidR="00C37078" w:rsidRPr="004811C9">
        <w:rPr>
          <w:rFonts w:cs="Times New Roman"/>
        </w:rPr>
        <w:t>provides a</w:t>
      </w:r>
      <w:r w:rsidR="003B7E97" w:rsidRPr="004811C9">
        <w:rPr>
          <w:rFonts w:cs="Times New Roman"/>
        </w:rPr>
        <w:t xml:space="preserve"> </w:t>
      </w:r>
      <w:r w:rsidR="00C37078" w:rsidRPr="004811C9">
        <w:rPr>
          <w:rFonts w:cs="Times New Roman"/>
        </w:rPr>
        <w:t xml:space="preserve">sense of how much users are willing to pay to reduce travel time. </w:t>
      </w:r>
      <w:r w:rsidR="003B7E97" w:rsidRPr="004811C9">
        <w:rPr>
          <w:rFonts w:cs="Times New Roman"/>
        </w:rPr>
        <w:t>Such applications</w:t>
      </w:r>
      <w:r w:rsidR="00C37078" w:rsidRPr="004811C9">
        <w:rPr>
          <w:rFonts w:cs="Times New Roman"/>
        </w:rPr>
        <w:t xml:space="preserve"> may be in the context of </w:t>
      </w:r>
      <w:r w:rsidR="003B7E97" w:rsidRPr="004811C9">
        <w:rPr>
          <w:rFonts w:cs="Times New Roman"/>
        </w:rPr>
        <w:t xml:space="preserve">informing </w:t>
      </w:r>
      <w:r w:rsidR="00C37078" w:rsidRPr="004811C9">
        <w:rPr>
          <w:rFonts w:cs="Times New Roman"/>
        </w:rPr>
        <w:t>how much to charge for a new express bus service</w:t>
      </w:r>
      <w:r w:rsidR="003B7E97" w:rsidRPr="004811C9">
        <w:rPr>
          <w:rFonts w:cs="Times New Roman"/>
        </w:rPr>
        <w:t xml:space="preserve"> that cuts travel time by half</w:t>
      </w:r>
      <w:r w:rsidR="00C37078" w:rsidRPr="004811C9">
        <w:rPr>
          <w:rFonts w:cs="Times New Roman"/>
        </w:rPr>
        <w:t xml:space="preserve">, </w:t>
      </w:r>
      <w:r w:rsidR="00D047C3" w:rsidRPr="004811C9">
        <w:rPr>
          <w:rFonts w:cs="Times New Roman"/>
        </w:rPr>
        <w:t xml:space="preserve">or how much to charge at a certain time of day </w:t>
      </w:r>
      <w:r w:rsidR="003B7E97" w:rsidRPr="004811C9">
        <w:rPr>
          <w:rFonts w:cs="Times New Roman"/>
        </w:rPr>
        <w:t xml:space="preserve">on ridehailing modes </w:t>
      </w:r>
      <w:r w:rsidR="00D047C3" w:rsidRPr="004811C9">
        <w:rPr>
          <w:rFonts w:cs="Times New Roman"/>
        </w:rPr>
        <w:t xml:space="preserve">based on </w:t>
      </w:r>
      <w:r w:rsidR="003B7E97" w:rsidRPr="004811C9">
        <w:rPr>
          <w:rFonts w:cs="Times New Roman"/>
        </w:rPr>
        <w:t xml:space="preserve">demand </w:t>
      </w:r>
      <w:r w:rsidR="00D047C3" w:rsidRPr="004811C9">
        <w:rPr>
          <w:rFonts w:cs="Times New Roman"/>
        </w:rPr>
        <w:t>surge</w:t>
      </w:r>
      <w:r w:rsidR="003B7E97" w:rsidRPr="004811C9">
        <w:rPr>
          <w:rFonts w:cs="Times New Roman"/>
        </w:rPr>
        <w:t>s</w:t>
      </w:r>
      <w:r w:rsidR="00D047C3" w:rsidRPr="004811C9">
        <w:rPr>
          <w:rFonts w:cs="Times New Roman"/>
        </w:rPr>
        <w:t xml:space="preserve">, or how much to charge on roadways (in the form of </w:t>
      </w:r>
      <w:r w:rsidR="000B3576">
        <w:rPr>
          <w:rFonts w:cs="Times New Roman"/>
        </w:rPr>
        <w:t xml:space="preserve">roadway </w:t>
      </w:r>
      <w:r w:rsidR="00395E6F" w:rsidRPr="004811C9">
        <w:rPr>
          <w:rFonts w:cs="Times New Roman"/>
        </w:rPr>
        <w:t>congestion pricing</w:t>
      </w:r>
      <w:r w:rsidR="00D047C3" w:rsidRPr="004811C9">
        <w:rPr>
          <w:rFonts w:cs="Times New Roman"/>
        </w:rPr>
        <w:t>) for reduced delays based on the level of existing traffic congestion levels</w:t>
      </w:r>
      <w:r w:rsidR="00395E6F" w:rsidRPr="004811C9">
        <w:rPr>
          <w:rFonts w:cs="Times New Roman"/>
        </w:rPr>
        <w:t xml:space="preserve">. </w:t>
      </w:r>
      <w:r w:rsidR="000269FA">
        <w:rPr>
          <w:rFonts w:cs="Times New Roman"/>
        </w:rPr>
        <w:t xml:space="preserve">Accurate VTTS estimation in this regard enables not only the </w:t>
      </w:r>
      <w:r w:rsidR="000B3576">
        <w:rPr>
          <w:rFonts w:cs="Times New Roman"/>
        </w:rPr>
        <w:t>predict</w:t>
      </w:r>
      <w:r w:rsidR="000269FA">
        <w:rPr>
          <w:rFonts w:cs="Times New Roman"/>
        </w:rPr>
        <w:t>ion of</w:t>
      </w:r>
      <w:r w:rsidR="000B3576">
        <w:rPr>
          <w:rFonts w:cs="Times New Roman"/>
        </w:rPr>
        <w:t xml:space="preserve"> </w:t>
      </w:r>
      <w:r w:rsidR="003B7E97" w:rsidRPr="004811C9">
        <w:rPr>
          <w:rFonts w:cs="Times New Roman"/>
        </w:rPr>
        <w:t>the us</w:t>
      </w:r>
      <w:r w:rsidR="000269FA">
        <w:rPr>
          <w:rFonts w:cs="Times New Roman"/>
        </w:rPr>
        <w:t>age</w:t>
      </w:r>
      <w:r w:rsidR="003B7E97" w:rsidRPr="004811C9">
        <w:rPr>
          <w:rFonts w:cs="Times New Roman"/>
        </w:rPr>
        <w:t xml:space="preserve"> of managed </w:t>
      </w:r>
      <w:r w:rsidR="00361E40">
        <w:rPr>
          <w:rFonts w:cs="Times New Roman"/>
        </w:rPr>
        <w:t xml:space="preserve">roadway </w:t>
      </w:r>
      <w:r w:rsidR="003B7E97" w:rsidRPr="004811C9">
        <w:rPr>
          <w:rFonts w:cs="Times New Roman"/>
        </w:rPr>
        <w:t>facilities (for revenue forecasting)</w:t>
      </w:r>
      <w:r w:rsidR="000269FA">
        <w:rPr>
          <w:rFonts w:cs="Times New Roman"/>
        </w:rPr>
        <w:t>,</w:t>
      </w:r>
      <w:r w:rsidR="003B7E97" w:rsidRPr="004811C9">
        <w:rPr>
          <w:rFonts w:cs="Times New Roman"/>
        </w:rPr>
        <w:t xml:space="preserve"> </w:t>
      </w:r>
      <w:r w:rsidR="00320D0D" w:rsidRPr="004811C9">
        <w:rPr>
          <w:rFonts w:cs="Times New Roman"/>
        </w:rPr>
        <w:t xml:space="preserve">but also </w:t>
      </w:r>
      <w:r w:rsidR="000269FA">
        <w:rPr>
          <w:rFonts w:cs="Times New Roman"/>
        </w:rPr>
        <w:t xml:space="preserve">offers behavioral insights </w:t>
      </w:r>
      <w:r w:rsidR="00320D0D" w:rsidRPr="004811C9">
        <w:rPr>
          <w:rFonts w:cs="Times New Roman"/>
        </w:rPr>
        <w:t xml:space="preserve">to forecast </w:t>
      </w:r>
      <w:r w:rsidR="003B7E97" w:rsidRPr="004811C9">
        <w:rPr>
          <w:rFonts w:cs="Times New Roman"/>
        </w:rPr>
        <w:t xml:space="preserve">the </w:t>
      </w:r>
      <w:r w:rsidR="00320D0D" w:rsidRPr="004811C9">
        <w:rPr>
          <w:rFonts w:cs="Times New Roman"/>
        </w:rPr>
        <w:t xml:space="preserve">spatial and temporal effects of pricing on overall </w:t>
      </w:r>
      <w:r w:rsidR="002B67B4" w:rsidRPr="004811C9">
        <w:rPr>
          <w:rFonts w:cs="Times New Roman"/>
        </w:rPr>
        <w:t xml:space="preserve">travel </w:t>
      </w:r>
      <w:r w:rsidR="00320D0D" w:rsidRPr="004811C9">
        <w:rPr>
          <w:rFonts w:cs="Times New Roman"/>
        </w:rPr>
        <w:t>demand patterns in a region</w:t>
      </w:r>
      <w:r w:rsidR="002D5809" w:rsidRPr="004811C9">
        <w:rPr>
          <w:rFonts w:cs="Times New Roman"/>
        </w:rPr>
        <w:t xml:space="preserve"> </w:t>
      </w:r>
      <w:r w:rsidR="002D5809" w:rsidRPr="004811C9">
        <w:rPr>
          <w:rFonts w:cs="Times New Roman"/>
        </w:rPr>
        <w:fldChar w:fldCharType="begin"/>
      </w:r>
      <w:r w:rsidR="008345D7">
        <w:rPr>
          <w:rFonts w:cs="Times New Roman"/>
        </w:rPr>
        <w:instrText xml:space="preserve"> ADDIN ZOTERO_ITEM CSL_CITATION {"citationID":"8uayP39P","properties":{"unsorted":true,"formattedCitation":"(Kaddoura and Nagel, 2016; Brent and Gross, 2018; Marazi et al., 2024)","plainCitation":"(Kaddoura and Nagel, 2016; Brent and Gross, 2018; Marazi et al., 2024)","noteIndex":0},"citationItems":[{"id":4865,"uris":["http://zotero.org/users/12832277/items/CQBK5CK9"],"itemData":{"id":4865,"type":"article-journal","abstract":"An existing agent-based simulation framework and congestion pricing methodology is extended towards a consistent consideration of non-linear, user- and trip-specific values of travel time savings (VTTS). The heterogeneous VTTS are inherent to the model and result from each agent's individual time pressure. An innovative approach is presented which accounts for the non-linear, user- and trip-specific VTTS (i) when converting external delays into congestion tolls and (ii) when generating new transport routes. The innovative pricing and routing methodology is applied to a real-world case study of the Greater Berlin area, Germany. The proposed methodology performs better than assuming a constant value of travel time savings or randomizing the routing relevant costs. The improved consistency of setting congestion toll levels, identifying transport routes and evaluating travel plans is found to result in a higher system welfare.","collection-title":"The 7th International Conference on Ambient Systems, Networks and Technologies (ANT 2016) / The 6th International Conference on Sustainable Energy Information Technology (SEIT-2016) / Affiliated Workshops","container-title":"Procedia Computer Science","DOI":"10.1016/j.procs.2016.04.184","ISSN":"1877-0509","page":"908-913","source":"ScienceDirect","title":"Agent-based Congestion Pricing and Transport Routing with Heterogeneous Values of Travel Time Savings","volume":"83","author":[{"family":"Kaddoura","given":"Ihab"},{"family":"Nagel","given":"Kai"}],"issued":{"date-parts":[["2016",1,1]]}}},{"id":4863,"uris":["http://zotero.org/users/12832277/items/IDF7AGNG"],"itemData":{"id":4863,"type":"article-journal","abstract":"High Occupancy Toll (HOT) lanes that use dynamic pricing to manage congestion and generate revenue are increasingly popular. In this paper, we estimate the behavioral response of drivers to dynamic pricing in an HOT lane. The challenge in estimation lies in the simultaneity of price and demand: the structure of dynamic tolling ensures that prices increase as more drivers enter the HOT lane. Prior research has found that higher prices in HOT lanes increase usage. We find that after controlling for simultaneity HOT drivers instead respond to tolls in a manner consistent with economic theory. The average response to a 10 percent increase in the toll is a 1.6 percent reduction in usage. Drivers primarily value travel reliability over time savings, although there is heterogeneity in the relative values of time and reliability based on time of day and destination to or from work. The results highlight the importance of both controlling for simultaneity when estimating demand for dynamically priced toll roads and treating HOT lanes with dynamic prices as a differentiated product with bundled attributes.","container-title":"Journal of Regional Science","DOI":"10.1111/jors.12362","ISSN":"1467-9787","issue":"2","language":"en","license":"© 2017 Wiley Periodicals, Inc.","note":"_eprint: https://onlinelibrary.wiley.com/doi/pdf/10.1111/jors.12362","page":"330-349","source":"Wiley Online Library","title":"Dynamic Road Pricing and the Value of Time and Reliability","volume":"58","author":[{"family":"Brent","given":"Daniel A."},{"family":"Gross","given":"Austin"}],"issued":{"date-parts":[["2018"]]}}},{"id":4871,"uris":["http://zotero.org/users/12832277/items/UKYV9995"],"itemData":{"id":4871,"type":"article-journal","abstract":"This study investigated the effectiveness of congestion pricing (CP) using the travel time congestion index (TTCI), a congestion assessment tool, in Hyderabad, India. Initially, a set of hypothetical mode choice scenarios under the CP scheme were designed to collect car users’ perceptions based on a stated preference (SP) experiment. Based on the SP survey data, discrete travel behavior models were developed to estimate the probable modal trade-off among cars, two-wheelers, and public buses under the generated CP scenarios. Using the existing traffic, geometric, and land-use data from the most congested corridors of the study city, TTCI values were estimated for the base and future conditions, followed by commuter volume estimation for the different conditions using vehicle occupancy factors. Further, the commuter volume derived from modal trade-off under CP scenarios was converted into traffic volume for the identified congested corridors. Finally, the TTCI values were re-estimated using the final traffic volume and compared across worst, best-worst (intermediate), and best case CP scenarios for the base and future years. An annual average growth of 5% in traffic volume was considered. The results show a significant improvement in TTCI values across all identified corridors under CP implementation, indicating its effectiveness toward congestion alleviation. Such demonstration of CP effectiveness could play a major role in making CP a successful travel demand management measure for cities burdened with congestion.","container-title":"Transportation Research Record","DOI":"10.1177/03611981241242061","ISSN":"0361-1981","issue":"11","language":"EN","page":"474-488","publisher":"SAGE Publications Inc","source":"SAGE Journals","title":"Examining Congestion Pricing Scheme Effectiveness Using the Travel Time Congestion Index","volume":"2678","author":[{"family":"Marazi","given":"Naveed Farooz"},{"family":"Majumdar","given":"Bandhan Bandhu"},{"family":"Sahu","given":"Prasanta K."}],"issued":{"date-parts":[["2024",11,1]]}}}],"schema":"https://github.com/citation-style-language/schema/raw/master/csl-citation.json"} </w:instrText>
      </w:r>
      <w:r w:rsidR="002D5809" w:rsidRPr="004811C9">
        <w:rPr>
          <w:rFonts w:cs="Times New Roman"/>
        </w:rPr>
        <w:fldChar w:fldCharType="separate"/>
      </w:r>
      <w:r w:rsidR="005E6512" w:rsidRPr="004811C9">
        <w:rPr>
          <w:rFonts w:cs="Times New Roman"/>
        </w:rPr>
        <w:t>(Kaddoura and Nagel, 2016; Brent and Gross, 2018; Marazi et al., 2024)</w:t>
      </w:r>
      <w:r w:rsidR="002D5809" w:rsidRPr="004811C9">
        <w:rPr>
          <w:rFonts w:cs="Times New Roman"/>
        </w:rPr>
        <w:fldChar w:fldCharType="end"/>
      </w:r>
      <w:r w:rsidR="00556615" w:rsidRPr="004811C9">
        <w:rPr>
          <w:rFonts w:cs="Times New Roman"/>
        </w:rPr>
        <w:t xml:space="preserve">. </w:t>
      </w:r>
    </w:p>
    <w:p w14:paraId="7C4BA9B8" w14:textId="729512CB" w:rsidR="002B67B4" w:rsidRPr="004811C9" w:rsidRDefault="000B3576" w:rsidP="002A3096">
      <w:pPr>
        <w:spacing w:after="0" w:line="240" w:lineRule="auto"/>
        <w:ind w:firstLine="720"/>
        <w:jc w:val="both"/>
        <w:rPr>
          <w:rFonts w:cs="Times New Roman"/>
        </w:rPr>
      </w:pPr>
      <w:r>
        <w:rPr>
          <w:rFonts w:cs="Times New Roman"/>
        </w:rPr>
        <w:t>I</w:t>
      </w:r>
      <w:r w:rsidR="00320D0D" w:rsidRPr="004811C9">
        <w:rPr>
          <w:rFonts w:cs="Times New Roman"/>
        </w:rPr>
        <w:t>n quantifying VTTS, a</w:t>
      </w:r>
      <w:r w:rsidR="00F73BEC" w:rsidRPr="004811C9">
        <w:rPr>
          <w:rFonts w:cs="Times New Roman"/>
        </w:rPr>
        <w:t xml:space="preserve"> critical </w:t>
      </w:r>
      <w:r w:rsidR="00320D0D" w:rsidRPr="004811C9">
        <w:rPr>
          <w:rFonts w:cs="Times New Roman"/>
        </w:rPr>
        <w:t xml:space="preserve">consideration is the recognition that </w:t>
      </w:r>
      <w:r w:rsidR="005A77DB" w:rsidRPr="004811C9">
        <w:rPr>
          <w:rFonts w:cs="Times New Roman"/>
        </w:rPr>
        <w:t xml:space="preserve">VTTS </w:t>
      </w:r>
      <w:r w:rsidR="00320D0D" w:rsidRPr="004811C9">
        <w:rPr>
          <w:rFonts w:cs="Times New Roman"/>
        </w:rPr>
        <w:t xml:space="preserve">is not a single number; rather, it </w:t>
      </w:r>
      <w:r w:rsidR="005A77DB" w:rsidRPr="004811C9">
        <w:rPr>
          <w:rFonts w:cs="Times New Roman"/>
        </w:rPr>
        <w:t xml:space="preserve">varies significantly across individuals and across travel contexts </w:t>
      </w:r>
      <w:r w:rsidR="009025ED" w:rsidRPr="004811C9">
        <w:rPr>
          <w:rFonts w:cs="Times New Roman"/>
        </w:rPr>
        <w:fldChar w:fldCharType="begin"/>
      </w:r>
      <w:r w:rsidR="00BA1900">
        <w:rPr>
          <w:rFonts w:cs="Times New Roman"/>
        </w:rPr>
        <w:instrText xml:space="preserve"> ADDIN ZOTERO_ITEM CSL_CITATION {"citationID":"M7NiZLko","properties":{"unsorted":true,"formattedCitation":"(Shires and de Jong, 2009; Wardman et al., 2023; Dannemiller et al., 2023)","plainCitation":"(Shires and de Jong, 2009; Wardman et al., 2023; Dannemiller et al., 2023)","dontUpdate":true,"noteIndex":0},"citationItems":[{"id":4879,"uris":["http://zotero.org/users/12832277/items/PIEXAA6D"],"itemData":{"id":4879,"type":"article-journal","abstract":"Values of travel time savings are often used in cost–benefit analysis of transport projects and policies, and also to compute generalised travel costs. There has been considerable debate as to whether different research methods (e.g. stated versus revealed preference) will lead to different values of travel time savings, and which segmentations (e.g. by income or mode) are most important to capture the heterogeneity in these values. In addition there are many countries where no specific valuation studies have been done. In this paper new equations are estimated on the outcomes of value of travel time savings studies from various countries. In the data set, several countries appear more than once, which is taken into account by estimating random effects panel models. The meta-analysis sheds some new light on the variation of the value of travel time savings by income, country, travel purpose, mode, distance and by survey method. Furthermore, the resulting meta-models are applied to produce new values of travel time savings for business travel, commuting and for other purposes in passenger transport, for 25 European Union Member states. Similar methods could be used to statistically analyse studies carried out on other non-monetary effects, both for transport and non-transport projects, and for inclusion in cost–benefit analysis.","collection-title":"Evaluating the Impact of Transport Projects: Lessons for Other Disciplines","container-title":"Evaluation and Program Planning","DOI":"10.1016/j.evalprogplan.2009.06.010","ISSN":"0149-7189","issue":"4","page":"315-325","source":"ScienceDirect","title":"An International Meta-Analysis of Values of Travel Time Savings","volume":"32","author":[{"family":"Shires","given":"J. D."},{"family":"Jong","given":"G. C.","non-dropping-particle":"de"}],"issued":{"date-parts":[["2009",11,1]]}}},{"id":4885,"uris":["http://zotero.org/users/12832277/items/89MHENGL"],"itemData":{"id":4885,"type":"article-journal","container-title":"World Bank, Washington, DC","source":"Google Scholar","title":"Meta-analysis of the Value of Travel Time Savings in Low-and Middle-Income Countries","URL":"https://documents1.worldbank.org/curated/en/099032124211022462/pdf/P1775471cf971e0ee1becd1a1faab55d1d7.pdf","author":[{"family":"Wardman","given":"Mark"},{"family":"Neki","given":"Kazuyuki"},{"family":"Humphreys","given":"Richard Martin"}],"accessed":{"date-parts":[["2025",7,17]]},"issued":{"date-parts":[["2023"]]}}},{"id":5077,"uris":["http://zotero.org/users/12832277/items/HX5HFFL3"],"itemData":{"id":5077,"type":"article-journal","abstract":"This paper undertakes a deep dive into the kinds of activities that individuals are likely to pursue when freed from the task of driving in the fully automated vehicle (AV) era. We refer to such activities as travel-based activities (TBAs) and examine the potential effects of TBA participation on activity-based travel (ABT). Two aggregate ABT characteristics are considered: additional local area travel (ALT) and additional long distance travel (ALDT). TBAs and the two ABTs are jointly modeled in a parsimonious fashion using psycho-social latent constructs, individual characteristics, and built environment (BE) attributes. The data used in this study is drawn from a 2019 “emerging mobility” survey administered in the Austin, Texas metropolitan area by the research group. Our study indicates that “productive use of time” is not necessarily always tied with activities such as work and study; rather, being able to partake in relatively chill activities (such as sleeping, relaxing, and gazing out the window) is also considered as good use of time. This suggests caution in the interpretation of what are traditionally referred to as “productive” activities and also a need for scholarly restraint in the use of the label “multitasking” to exclusively refer to non-passive activities. We suggest that the field move away from subjective/ambiguous terms such as multitasking and “productive” activities, and adopt the more neutral label of “travel-based activity”. The results also support the notion that the option of opening up travel to pursue work/study activities may itself be engendering stress in individuals; that is, as the option to pursue “non-chill” activities increases in an AV environment, that itself may produce angst in individuals and lead to less enjoyment in travel. This also highlights a need to examine TBAs in the broader context of emotional well-being and quality of life. Indeed, AVs may further erode into our time of tuning-out from the “chatter” of routine life and make it less possible to partake in “calm and mindless” activities. Finally, our study cautions against the use of simple and uniform (across individuals) value of travel time savings (VTTS) factor modifications to study AV impacts on ABT.","container-title":"Transportation Research Part C: Emerging Technologies","DOI":"10.1016/j.trc.2023.104107","ISSN":"0968-090X","page":"104107","source":"ScienceDirect","title":"Autonomous Vehicle Impacts on Travel-Based Activity and Activity-Based Travel","volume":"150","author":[{"family":"Dannemiller","given":"Katherine A."},{"family":"Asmussen","given":"Katherine E."},{"family":"Mondal","given":"Aupal"},{"family":"Bhat","given":"Chandra R."}],"issued":{"date-parts":[["2023",5,1]]}}}],"schema":"https://github.com/citation-style-language/schema/raw/master/csl-citation.json"} </w:instrText>
      </w:r>
      <w:r w:rsidR="009025ED" w:rsidRPr="004811C9">
        <w:rPr>
          <w:rFonts w:cs="Times New Roman"/>
        </w:rPr>
        <w:fldChar w:fldCharType="separate"/>
      </w:r>
      <w:r w:rsidR="00327C0C" w:rsidRPr="004811C9">
        <w:rPr>
          <w:rFonts w:cs="Times New Roman"/>
        </w:rPr>
        <w:t>(see Shires and de Jong, 2009; Wardman et al., 2023; Dannemiller et al., 2023)</w:t>
      </w:r>
      <w:r w:rsidR="009025ED" w:rsidRPr="004811C9">
        <w:rPr>
          <w:rFonts w:cs="Times New Roman"/>
        </w:rPr>
        <w:fldChar w:fldCharType="end"/>
      </w:r>
      <w:r w:rsidR="005A77DB" w:rsidRPr="004811C9">
        <w:rPr>
          <w:rFonts w:cs="Times New Roman"/>
        </w:rPr>
        <w:t xml:space="preserve">. </w:t>
      </w:r>
      <w:r w:rsidR="00F73BEC" w:rsidRPr="004811C9">
        <w:rPr>
          <w:rFonts w:cs="Times New Roman"/>
        </w:rPr>
        <w:t xml:space="preserve">Explicitly accounting for such </w:t>
      </w:r>
      <w:r w:rsidR="00C419A2">
        <w:rPr>
          <w:rFonts w:cs="Times New Roman"/>
        </w:rPr>
        <w:t xml:space="preserve">systematic </w:t>
      </w:r>
      <w:r w:rsidR="00F73BEC" w:rsidRPr="004811C9">
        <w:rPr>
          <w:rFonts w:cs="Times New Roman"/>
        </w:rPr>
        <w:t>heterogeneity</w:t>
      </w:r>
      <w:r w:rsidR="00C419A2">
        <w:rPr>
          <w:rFonts w:cs="Times New Roman"/>
        </w:rPr>
        <w:t xml:space="preserve"> in VTTS </w:t>
      </w:r>
      <w:r w:rsidR="00021F07">
        <w:rPr>
          <w:rFonts w:cs="Times New Roman"/>
        </w:rPr>
        <w:t>across different</w:t>
      </w:r>
      <w:r w:rsidR="006966B9">
        <w:rPr>
          <w:rFonts w:cs="Times New Roman"/>
        </w:rPr>
        <w:t xml:space="preserve"> </w:t>
      </w:r>
      <w:r w:rsidR="00251218">
        <w:rPr>
          <w:rFonts w:cs="Times New Roman"/>
        </w:rPr>
        <w:t>demographic groups</w:t>
      </w:r>
      <w:r w:rsidR="006966B9">
        <w:rPr>
          <w:rFonts w:cs="Times New Roman"/>
        </w:rPr>
        <w:t xml:space="preserve"> and travel contexts</w:t>
      </w:r>
      <w:r w:rsidR="00F73BEC" w:rsidRPr="004811C9">
        <w:rPr>
          <w:rFonts w:cs="Times New Roman"/>
        </w:rPr>
        <w:t xml:space="preserve"> helps inform decisions</w:t>
      </w:r>
      <w:r w:rsidR="000269FA">
        <w:rPr>
          <w:rFonts w:cs="Times New Roman"/>
        </w:rPr>
        <w:t xml:space="preserve"> related to</w:t>
      </w:r>
      <w:r w:rsidR="00F73BEC" w:rsidRPr="004811C9">
        <w:rPr>
          <w:rFonts w:cs="Times New Roman"/>
        </w:rPr>
        <w:t xml:space="preserve"> </w:t>
      </w:r>
      <w:r w:rsidR="004A1CB4">
        <w:rPr>
          <w:rFonts w:cs="Times New Roman"/>
        </w:rPr>
        <w:t xml:space="preserve">(a) </w:t>
      </w:r>
      <w:r w:rsidR="00F73BEC" w:rsidRPr="004811C9">
        <w:rPr>
          <w:rFonts w:cs="Times New Roman"/>
        </w:rPr>
        <w:t xml:space="preserve">where roadway congestion pricing </w:t>
      </w:r>
      <w:r w:rsidR="004A1CB4">
        <w:rPr>
          <w:rFonts w:cs="Times New Roman"/>
        </w:rPr>
        <w:t>may</w:t>
      </w:r>
      <w:r w:rsidR="004A1CB4" w:rsidRPr="004811C9">
        <w:rPr>
          <w:rFonts w:cs="Times New Roman"/>
        </w:rPr>
        <w:t xml:space="preserve"> </w:t>
      </w:r>
      <w:r w:rsidR="004319C2" w:rsidRPr="004811C9">
        <w:rPr>
          <w:rFonts w:cs="Times New Roman"/>
        </w:rPr>
        <w:t xml:space="preserve">be </w:t>
      </w:r>
      <w:r w:rsidR="004A1CB4">
        <w:rPr>
          <w:rFonts w:cs="Times New Roman"/>
        </w:rPr>
        <w:t>most effective</w:t>
      </w:r>
      <w:r w:rsidR="004A1CB4" w:rsidRPr="004811C9">
        <w:rPr>
          <w:rFonts w:cs="Times New Roman"/>
        </w:rPr>
        <w:t xml:space="preserve"> </w:t>
      </w:r>
      <w:r w:rsidR="00F73BEC" w:rsidRPr="004811C9">
        <w:rPr>
          <w:rFonts w:cs="Times New Roman"/>
        </w:rPr>
        <w:t>(</w:t>
      </w:r>
      <w:r w:rsidR="004319C2" w:rsidRPr="004811C9">
        <w:rPr>
          <w:rFonts w:cs="Times New Roman"/>
        </w:rPr>
        <w:t>for</w:t>
      </w:r>
      <w:r w:rsidR="00F73BEC" w:rsidRPr="004811C9">
        <w:rPr>
          <w:rFonts w:cs="Times New Roman"/>
        </w:rPr>
        <w:t xml:space="preserve"> an optimal balance of revenue collections and travel time savings)</w:t>
      </w:r>
      <w:r w:rsidR="004319C2" w:rsidRPr="004811C9">
        <w:rPr>
          <w:rFonts w:cs="Times New Roman"/>
        </w:rPr>
        <w:t xml:space="preserve">, </w:t>
      </w:r>
      <w:r w:rsidR="004A1CB4">
        <w:rPr>
          <w:rFonts w:cs="Times New Roman"/>
        </w:rPr>
        <w:t xml:space="preserve">(b) </w:t>
      </w:r>
      <w:r w:rsidR="00FB6D8F" w:rsidRPr="004811C9">
        <w:rPr>
          <w:rFonts w:cs="Times New Roman"/>
        </w:rPr>
        <w:t>which groups of travelers will be</w:t>
      </w:r>
      <w:r w:rsidR="005A77DB" w:rsidRPr="004811C9">
        <w:rPr>
          <w:rFonts w:cs="Times New Roman"/>
        </w:rPr>
        <w:t xml:space="preserve"> </w:t>
      </w:r>
      <w:r w:rsidR="00B27498" w:rsidRPr="004811C9">
        <w:rPr>
          <w:rFonts w:cs="Times New Roman"/>
        </w:rPr>
        <w:t xml:space="preserve">most likely to utilize priced lanes, </w:t>
      </w:r>
      <w:r w:rsidR="00421868" w:rsidRPr="004811C9">
        <w:rPr>
          <w:rFonts w:cs="Times New Roman"/>
        </w:rPr>
        <w:t xml:space="preserve">and </w:t>
      </w:r>
      <w:r w:rsidR="004A1CB4">
        <w:rPr>
          <w:rFonts w:cs="Times New Roman"/>
        </w:rPr>
        <w:t xml:space="preserve">(c) </w:t>
      </w:r>
      <w:r w:rsidR="00421868" w:rsidRPr="004811C9">
        <w:rPr>
          <w:rFonts w:cs="Times New Roman"/>
        </w:rPr>
        <w:t xml:space="preserve">how the benefits of </w:t>
      </w:r>
      <w:r w:rsidR="00F73BEC" w:rsidRPr="004811C9">
        <w:rPr>
          <w:rFonts w:cs="Times New Roman"/>
        </w:rPr>
        <w:t xml:space="preserve">such pricing </w:t>
      </w:r>
      <w:r w:rsidR="00421868" w:rsidRPr="004811C9">
        <w:rPr>
          <w:rFonts w:cs="Times New Roman"/>
        </w:rPr>
        <w:t>policies will be distributed across transportation users</w:t>
      </w:r>
      <w:r w:rsidR="00330584">
        <w:rPr>
          <w:rFonts w:cs="Times New Roman"/>
        </w:rPr>
        <w:t xml:space="preserve"> </w:t>
      </w:r>
      <w:r w:rsidR="00631612">
        <w:rPr>
          <w:rFonts w:cs="Times New Roman"/>
        </w:rPr>
        <w:fldChar w:fldCharType="begin"/>
      </w:r>
      <w:r w:rsidR="00631612">
        <w:rPr>
          <w:rFonts w:cs="Times New Roman"/>
        </w:rPr>
        <w:instrText xml:space="preserve"> ADDIN ZOTERO_ITEM CSL_CITATION {"citationID":"p53fh6ms","properties":{"unsorted":false,"formattedCitation":"(Jing et al., 2024; Yu et al., 2025)","plainCitation":"(Jing et al., 2024; Yu et al., 2025)","noteIndex":0},"citationItems":[{"id":6240,"uris":["http://zotero.org/users/12832277/items/I7WGAFVS"],"itemData":{"id":6240,"type":"article-journal","abstract":"The distributional impacts of congestion pricing have been widely discussed in the literature and the evidence on this is mixed. Some studies find that pricing is regressive whereas others suggest that it can be progressive or neutral depending on the specific spatial characteristics of the urban region, existing activity and travel patterns, and the design of the pricing scheme. Moreover, the welfare and distributional impacts of pricing have largely been studied in the context of passenger travel whereas freight has received relatively less attention. In this paper, we examine the impacts of several congestion pricing schemes on both passenger transport and freight in an integrated manner using a large-scale microsimulator (SimMobility) that explicitly simulates the behavioral decisions of the entire population of individuals and business establishments, dynamic multimodal network performance, and their interactions. Through simulations of a prototypical North American city, we find that a distance-based pricing scheme yields larger welfare gains than an area-based scheme, although the gains are a modest fraction of toll revenues (around 30%). In the absence of revenue recycling or redistribution, distance-based and cordon-based schemes are found to be particularly regressive. On average, lower income individuals lose as a result of the scheme, whereas higher income individuals gain. A similar trend is observed in the context of shippers — small establishments having lower shipment values lose on average whereas larger establishments with higher shipment values gain. We perform a detailed spatial analysis of distributional outcomes, and examine the impacts on network performance, activity generation, mode and departure time choices, and logistics operations.","container-title":"Transportation Research Part A: Policy and Practice","DOI":"10.1016/j.tra.2024.104118","ISSN":"0965-8564","journalAbbreviation":"Transportation Research Part A: Policy and Practice","page":"104118","source":"ScienceDirect","title":"Evaluating Congestion Pricing Schemes Using Agent-Based Passenger and Freight Microsimulation","volume":"186","author":[{"family":"Jing","given":"Peiyu"},{"family":"Seshadri","given":"Ravi"},{"family":"Sakai","given":"Takanori"},{"family":"Shamshiripour","given":"Ali"},{"family":"Alho","given":"Andre Romano"},{"family":"Lentzakis","given":"Antonios"},{"family":"Ben-Akiva","given":"Moshe E."}],"issued":{"date-parts":[["2024",8,1]]}}},{"id":6243,"uris":["http://zotero.org/users/12832277/items/JR4F9UMU"],"itemData":{"id":6243,"type":"article-journal","abstract":"The bottleneck model has dominated the field on dynamic congestion, as it is tractable and has closed-form solutions. But it has rather specific outcomes that do not occur in most other dynamic models or under static congestion. In the bottleneck model, pricing can remove all travel delays while keeping the generalized price unchanged, making pricing much more beneficial than in other models. Thus, it is important to see how pricing performs in other models. We do so by adding discrete preference heterogeneity to a dynamic flow congestion model, and we study the efficiency and distributional effects of pricing. By formulating a multi-point optimal-control problem using Hamiltonians, we derive the social optimum and analyze the properties of travel equilibrium. Solving our model is more complex than solving the bottleneck model, but still results in closed-from solutions, whereas most other dynamic congestion models have no such solutions. Without tolling, the arrival order is determined by the ratio of the value of time (VOT) to the value of schedule delay, as in the bottleneck model. However, unlike the bottleneck model, the same holds for the social optimum when only the VOT differs across users (as tolling cannot eliminate all travel time delays). In our model, users with a lower VOT always lose from tolling, while those with a higher VOT may gain or lose, depending on the parameters. Compared to the bottleneck model, tolling is less beneficial for society, lengthens the peak, and hurts users more. Our findings reveal the significance of considering congestion type and preference heterogeneity in assessing the implementation of congestion tolling.","container-title":"Transportation Research Part B: Methodological","DOI":"10.1016/j.trb.2025.103193","ISSN":"0191-2615","journalAbbreviation":"Transportation Research Part B: Methodological","page":"103193","source":"ScienceDirect","title":"Preference Heterogeneity in a Dynamic Flow Congestion Model","volume":"195","author":[{"family":"Yu","given":"Xiaojuan"},{"family":"Berg","given":"Vincent A. C.","non-dropping-particle":"van den"},{"family":"Verhoef","given":"Erik T."}],"issued":{"date-parts":[["2025",5,1]]}}}],"schema":"https://github.com/citation-style-language/schema/raw/master/csl-citation.json"} </w:instrText>
      </w:r>
      <w:r w:rsidR="00631612">
        <w:rPr>
          <w:rFonts w:cs="Times New Roman"/>
        </w:rPr>
        <w:fldChar w:fldCharType="separate"/>
      </w:r>
      <w:r w:rsidR="00631612" w:rsidRPr="00631612">
        <w:rPr>
          <w:rFonts w:cs="Times New Roman"/>
        </w:rPr>
        <w:t>(Jing et al., 2024; Yu et al., 2025)</w:t>
      </w:r>
      <w:r w:rsidR="00631612">
        <w:rPr>
          <w:rFonts w:cs="Times New Roman"/>
        </w:rPr>
        <w:fldChar w:fldCharType="end"/>
      </w:r>
      <w:r w:rsidR="00421868" w:rsidRPr="004811C9">
        <w:rPr>
          <w:rFonts w:cs="Times New Roman"/>
        </w:rPr>
        <w:t xml:space="preserve">. </w:t>
      </w:r>
      <w:r w:rsidR="004A1CB4">
        <w:rPr>
          <w:rFonts w:cs="Times New Roman"/>
        </w:rPr>
        <w:t>In contrast, i</w:t>
      </w:r>
      <w:r w:rsidR="00CE385E">
        <w:rPr>
          <w:rFonts w:cs="Times New Roman"/>
        </w:rPr>
        <w:t xml:space="preserve">gnoring such </w:t>
      </w:r>
      <w:r w:rsidR="008C75E1">
        <w:rPr>
          <w:rFonts w:cs="Times New Roman"/>
        </w:rPr>
        <w:t xml:space="preserve">VTTS </w:t>
      </w:r>
      <w:r w:rsidR="004A1CB4">
        <w:rPr>
          <w:rFonts w:cs="Times New Roman"/>
        </w:rPr>
        <w:t xml:space="preserve">variations </w:t>
      </w:r>
      <w:r w:rsidR="008C75E1">
        <w:rPr>
          <w:rFonts w:cs="Times New Roman"/>
        </w:rPr>
        <w:t xml:space="preserve">can </w:t>
      </w:r>
      <w:r w:rsidR="004A1CB4">
        <w:rPr>
          <w:rFonts w:cs="Times New Roman"/>
        </w:rPr>
        <w:t xml:space="preserve">(a) </w:t>
      </w:r>
      <w:r w:rsidR="008C75E1">
        <w:rPr>
          <w:rFonts w:cs="Times New Roman"/>
        </w:rPr>
        <w:t>distort demand forecasts for priced lanes</w:t>
      </w:r>
      <w:r w:rsidR="00B846F2">
        <w:rPr>
          <w:rFonts w:cs="Times New Roman"/>
        </w:rPr>
        <w:t xml:space="preserve"> (causing them to be underutilized or leading to excess demand </w:t>
      </w:r>
      <w:r w:rsidR="00F765E6">
        <w:rPr>
          <w:rFonts w:cs="Times New Roman"/>
        </w:rPr>
        <w:t>that limits actual travel time savings for users)</w:t>
      </w:r>
      <w:r w:rsidR="008C75E1">
        <w:rPr>
          <w:rFonts w:cs="Times New Roman"/>
        </w:rPr>
        <w:t xml:space="preserve">, </w:t>
      </w:r>
      <w:r w:rsidR="004A1CB4">
        <w:rPr>
          <w:rFonts w:cs="Times New Roman"/>
        </w:rPr>
        <w:t xml:space="preserve">(b) </w:t>
      </w:r>
      <w:r w:rsidR="008C75E1">
        <w:rPr>
          <w:rFonts w:cs="Times New Roman"/>
        </w:rPr>
        <w:t xml:space="preserve">lead to </w:t>
      </w:r>
      <w:r w:rsidR="00B846F2">
        <w:rPr>
          <w:rFonts w:cs="Times New Roman"/>
        </w:rPr>
        <w:t xml:space="preserve">poor estimates of revenue potential, </w:t>
      </w:r>
      <w:r w:rsidR="00CB66E7">
        <w:rPr>
          <w:rFonts w:cs="Times New Roman"/>
        </w:rPr>
        <w:t xml:space="preserve">and </w:t>
      </w:r>
      <w:r w:rsidR="004A1CB4">
        <w:rPr>
          <w:rFonts w:cs="Times New Roman"/>
        </w:rPr>
        <w:t xml:space="preserve">(c) </w:t>
      </w:r>
      <w:r w:rsidR="00473D81">
        <w:rPr>
          <w:rFonts w:cs="Times New Roman"/>
        </w:rPr>
        <w:t>cause</w:t>
      </w:r>
      <w:r w:rsidR="00CB66E7">
        <w:rPr>
          <w:rFonts w:cs="Times New Roman"/>
        </w:rPr>
        <w:t xml:space="preserve"> unforeseen </w:t>
      </w:r>
      <w:r w:rsidR="00DB0651">
        <w:rPr>
          <w:rFonts w:cs="Times New Roman"/>
        </w:rPr>
        <w:t>activity-behavior changes</w:t>
      </w:r>
      <w:r w:rsidR="004A1CB4">
        <w:rPr>
          <w:rFonts w:cs="Times New Roman"/>
        </w:rPr>
        <w:t xml:space="preserve"> due to differential influences on </w:t>
      </w:r>
      <w:r w:rsidR="00473D81">
        <w:rPr>
          <w:rFonts w:cs="Times New Roman"/>
        </w:rPr>
        <w:t>trips undertaken for different purposes</w:t>
      </w:r>
      <w:r w:rsidR="005856BE">
        <w:rPr>
          <w:rFonts w:cs="Times New Roman"/>
        </w:rPr>
        <w:t xml:space="preserve"> </w:t>
      </w:r>
      <w:r w:rsidR="005856BE">
        <w:rPr>
          <w:rFonts w:cs="Times New Roman"/>
        </w:rPr>
        <w:fldChar w:fldCharType="begin"/>
      </w:r>
      <w:r w:rsidR="009C5297">
        <w:rPr>
          <w:rFonts w:cs="Times New Roman"/>
        </w:rPr>
        <w:instrText xml:space="preserve"> ADDIN ZOTERO_ITEM CSL_CITATION {"citationID":"ulbSS4pq","properties":{"unsorted":false,"formattedCitation":"(Hensher and Goodwin, 2004; Kono et al., 2018)","plainCitation":"(Hensher and Goodwin, 2004; Kono et al., 2018)","noteIndex":0},"citationItems":[{"id":6238,"uris":["http://zotero.org/users/12832277/items/4KVMGK9X"],"itemData":{"id":6238,"type":"article-journal","abstract":"There are many empirical studies on the estimation of values of travel time savings (VTTS), with varying degrees of rigour and relevance, mostly based on the observation that travellers are prepared to spend money to save time. These values are applied to both forecasting the effects of speed changes on behaviour and also for estimation of the social benefit of such savings, in order to calculate value for money of spending public funds on transport investments. The sources of empirical information on such values are not always compatible with the models and software within which the results are used. In recent years, an increasingly important application has been to calculate the potential revenue from tolled roads, and networks with user charges, which offer high speeds at a higher price: here the important issue is not hypothetical willingness to pay, but the actual money that will be handed over. This changes the focus from hypothetical to bankable VTTS. It is shown that some common practices risk substantial error in calculation, affecting the sharing of risk between public and private sectors. A particularly important case is where an average value is taken as representative of a skewed distribution of values—in these circumstances there will be a tendency to overestimate the revenue, and underestimate the traffic impact, of a charge, because for a given mean VTTS, there will be a smaller number of individuals who are prepared to pay the toll. To correct this bias, the main tasks are: establishing a relevant set of trip-purpose specific VTTS distributions and selecting a way of handling the distributions in patronage forecasting, growing VTTS through time, treating the VTTS of car passengers, and establishing an appropriate set of rules for converting disaggregated (or heterogeneous) components of travel time values into a single trip value appropriate to the project being evaluated. Other related problems of the use of values of time relate to the assumption that these values grow in proportion to income, and the extent to which they are confounded with other effects. One troublesome feature is that most, and perhaps all, of the problems discussed tend to produce biases in the same direction, namely to risk overestimating revenue, in the short and long run. This produces a tendency to appraisal bias, which can distort the contractual confidence between partners. Overall, it is likely that current assumptions are underestimating the degree of toll-avoiding behaviour, and overestimating the financial viability of projects.","container-title":"Transport Policy","DOI":"10.1016/j.tranpol.2003.10.002","ISSN":"0967-070X","issue":"2","journalAbbreviation":"Transport Policy","page":"171-181","source":"ScienceDirect","title":"Using Values of Travel Time Savings for Toll Roads: Avoiding Some Common Errors","title-short":"Using Values of Travel Time Savings for Toll Roads","volume":"11","author":[{"family":"Hensher","given":"David A"},{"family":"Goodwin","given":"Phil"}],"issued":{"date-parts":[["2004",4,1]]}}},{"id":4853,"uris":["http://zotero.org/users/12832277/items/C8R6YAUM"],"itemData":{"id":4853,"type":"article-journal","abstract":"We show that constancy of value of time (VoT), which is assumed in generalized transport costs, can generate a significant bias in trip demand forecasts when travel time and travel fee change, because VoT endogenously changes in reality. Modeling shopping behaviors, we demonstrate that the change in trip demand through changes in travel time and travel fees differs even if the change in the travel fee is equivalent to the changes in the travel time in terms of generalized transport cost. This is because a decrease in travel time decreases VoT, whereas a decrease in travel fee increases VoT. Our simulation shows that the difference is large when there is a high substitutability between sites. This implies that demand estimation assuming a fixed VoT could be inadequate, and that it should treat VoT endogenously.","container-title":"Transportmetrica A: Transport Science","DOI":"10.1080/23249935.2017.1363316","ISSN":"2324-9935","issue":"3","note":"_eprint: https://doi.org/10.1080/23249935.2017.1363316","page":"192-209","publisher":"Taylor &amp; Francis","source":"Taylor and Francis+NEJM","title":"Limitations of Using Generalized Transport Costs to Estimate Changes in Trip Demand: A Bias Caused by the Endogenous Value of Time","volume":"14","author":[{"family":"Kono","given":"Tatsuhito"},{"family":"Kishi","given":"Akio"},{"family":"Seita","given":"Emishi"},{"family":"Yokoi","given":"Takahisa"}],"issued":{"date-parts":[["2018",3,16]]}}}],"schema":"https://github.com/citation-style-language/schema/raw/master/csl-citation.json"} </w:instrText>
      </w:r>
      <w:r w:rsidR="005856BE">
        <w:rPr>
          <w:rFonts w:cs="Times New Roman"/>
        </w:rPr>
        <w:fldChar w:fldCharType="separate"/>
      </w:r>
      <w:r w:rsidR="009C5297" w:rsidRPr="009C5297">
        <w:rPr>
          <w:rFonts w:cs="Times New Roman"/>
        </w:rPr>
        <w:t>(Hensher and Goodwin, 2004; Kono et al., 2018)</w:t>
      </w:r>
      <w:r w:rsidR="005856BE">
        <w:rPr>
          <w:rFonts w:cs="Times New Roman"/>
        </w:rPr>
        <w:fldChar w:fldCharType="end"/>
      </w:r>
      <w:r w:rsidR="00473D81">
        <w:rPr>
          <w:rFonts w:cs="Times New Roman"/>
        </w:rPr>
        <w:t xml:space="preserve">. </w:t>
      </w:r>
      <w:r w:rsidR="00DA1BB6">
        <w:rPr>
          <w:rFonts w:cs="Times New Roman"/>
        </w:rPr>
        <w:t>Further, in terms of appraisal (which generally</w:t>
      </w:r>
      <w:r w:rsidR="00DA1BB6" w:rsidRPr="00DA1BB6">
        <w:rPr>
          <w:rFonts w:cs="Times New Roman"/>
        </w:rPr>
        <w:t xml:space="preserve"> relies on equity</w:t>
      </w:r>
      <w:r w:rsidR="00DA1BB6" w:rsidRPr="00DA1BB6">
        <w:rPr>
          <w:rFonts w:cs="Times New Roman"/>
        </w:rPr>
        <w:noBreakHyphen/>
        <w:t>adjusted VTTS values to evaluate the distribution of benefits across population groups</w:t>
      </w:r>
      <w:r w:rsidR="00DA1BB6">
        <w:rPr>
          <w:rFonts w:cs="Times New Roman"/>
        </w:rPr>
        <w:t>)</w:t>
      </w:r>
      <w:r w:rsidR="00DA1BB6" w:rsidRPr="00DA1BB6">
        <w:rPr>
          <w:rFonts w:cs="Times New Roman"/>
        </w:rPr>
        <w:t xml:space="preserve">, ignoring heterogeneity can </w:t>
      </w:r>
      <w:r w:rsidR="00DA1BB6">
        <w:rPr>
          <w:rFonts w:cs="Times New Roman"/>
        </w:rPr>
        <w:t>lead to misrepresentation of</w:t>
      </w:r>
      <w:r w:rsidR="00DA1BB6" w:rsidRPr="00DA1BB6">
        <w:rPr>
          <w:rFonts w:cs="Times New Roman"/>
        </w:rPr>
        <w:t xml:space="preserve"> who </w:t>
      </w:r>
      <w:r w:rsidR="00DA1BB6">
        <w:rPr>
          <w:rFonts w:cs="Times New Roman"/>
        </w:rPr>
        <w:t>benefits</w:t>
      </w:r>
      <w:r w:rsidR="00DA1BB6" w:rsidRPr="00DA1BB6">
        <w:rPr>
          <w:rFonts w:cs="Times New Roman"/>
        </w:rPr>
        <w:t xml:space="preserve"> and who </w:t>
      </w:r>
      <w:r w:rsidR="00DA1BB6">
        <w:rPr>
          <w:rFonts w:cs="Times New Roman"/>
        </w:rPr>
        <w:t>faces additional costs</w:t>
      </w:r>
      <w:r w:rsidR="00DA1BB6" w:rsidRPr="00DA1BB6">
        <w:rPr>
          <w:rFonts w:cs="Times New Roman"/>
        </w:rPr>
        <w:t xml:space="preserve"> </w:t>
      </w:r>
      <w:r w:rsidR="00DA1BB6">
        <w:rPr>
          <w:rFonts w:cs="Times New Roman"/>
        </w:rPr>
        <w:t>due to</w:t>
      </w:r>
      <w:r w:rsidR="00DA1BB6" w:rsidRPr="00DA1BB6">
        <w:rPr>
          <w:rFonts w:cs="Times New Roman"/>
        </w:rPr>
        <w:t xml:space="preserve"> a</w:t>
      </w:r>
      <w:r w:rsidR="00DA1BB6">
        <w:rPr>
          <w:rFonts w:cs="Times New Roman"/>
        </w:rPr>
        <w:t xml:space="preserve"> transportation</w:t>
      </w:r>
      <w:r w:rsidR="00DA1BB6" w:rsidRPr="00DA1BB6">
        <w:rPr>
          <w:rFonts w:cs="Times New Roman"/>
        </w:rPr>
        <w:t xml:space="preserve"> project</w:t>
      </w:r>
      <w:r w:rsidR="00DA1BB6">
        <w:rPr>
          <w:rFonts w:cs="Times New Roman"/>
        </w:rPr>
        <w:t xml:space="preserve"> or policy</w:t>
      </w:r>
      <w:r w:rsidR="00DA1BB6" w:rsidRPr="00DA1BB6">
        <w:rPr>
          <w:rFonts w:cs="Times New Roman"/>
        </w:rPr>
        <w:t xml:space="preserve">. </w:t>
      </w:r>
      <w:r w:rsidR="003C0D13" w:rsidRPr="004811C9">
        <w:rPr>
          <w:rFonts w:cs="Times New Roman"/>
        </w:rPr>
        <w:t xml:space="preserve">Importantly, these considerations of VTTS (and its heterogeneity) </w:t>
      </w:r>
      <w:r w:rsidR="00F47BF9" w:rsidRPr="004811C9">
        <w:rPr>
          <w:rFonts w:cs="Times New Roman"/>
        </w:rPr>
        <w:t xml:space="preserve">are </w:t>
      </w:r>
      <w:r w:rsidR="0060471C" w:rsidRPr="004811C9">
        <w:rPr>
          <w:rFonts w:cs="Times New Roman"/>
        </w:rPr>
        <w:t xml:space="preserve">not only </w:t>
      </w:r>
      <w:r w:rsidR="00F47BF9" w:rsidRPr="004811C9">
        <w:rPr>
          <w:rFonts w:cs="Times New Roman"/>
        </w:rPr>
        <w:t xml:space="preserve">relevant for congestion-responsive pricing, but </w:t>
      </w:r>
      <w:r w:rsidR="003C0D13" w:rsidRPr="004811C9">
        <w:rPr>
          <w:rFonts w:cs="Times New Roman"/>
        </w:rPr>
        <w:t xml:space="preserve">also apply to the design and operation of tollways as it affects the feasibility of toll projects through revenue potential. While there are some differences between congestion pricing and tolling, the fundamental cost-based difference is that congestion pricing can fluctuate substantially across different times of the day at the same location, while tolls tend to be rather flat with little to no variation. In this regard, </w:t>
      </w:r>
      <w:r w:rsidR="009215E5">
        <w:rPr>
          <w:rFonts w:cs="Times New Roman"/>
        </w:rPr>
        <w:t xml:space="preserve">it is also important to consider </w:t>
      </w:r>
      <w:r w:rsidR="003C0D13" w:rsidRPr="004811C9">
        <w:rPr>
          <w:rFonts w:cs="Times New Roman"/>
        </w:rPr>
        <w:t>individuals for whom VTTS is zero</w:t>
      </w:r>
      <w:r w:rsidR="00A90CDE">
        <w:rPr>
          <w:rFonts w:cs="Times New Roman"/>
        </w:rPr>
        <w:t>,</w:t>
      </w:r>
      <w:r w:rsidR="003C0D13" w:rsidRPr="004811C9">
        <w:rPr>
          <w:rFonts w:cs="Times New Roman"/>
        </w:rPr>
        <w:t xml:space="preserve"> effectively those who never will use a toll road</w:t>
      </w:r>
      <w:r w:rsidR="00B53F65">
        <w:rPr>
          <w:rFonts w:cs="Times New Roman"/>
        </w:rPr>
        <w:t xml:space="preserve">. Since some individuals may never be willing to pay for travel time savings (as discussed in more detail </w:t>
      </w:r>
      <w:r w:rsidR="00B53F65">
        <w:rPr>
          <w:rFonts w:cs="Times New Roman"/>
        </w:rPr>
        <w:lastRenderedPageBreak/>
        <w:t>later)</w:t>
      </w:r>
      <w:r w:rsidR="006E1B07">
        <w:rPr>
          <w:rFonts w:cs="Times New Roman"/>
        </w:rPr>
        <w:t xml:space="preserve">, it is important to accommodate these individuals </w:t>
      </w:r>
      <w:r w:rsidR="0029599A">
        <w:rPr>
          <w:rFonts w:cs="Times New Roman"/>
        </w:rPr>
        <w:t>when determining pricing policies</w:t>
      </w:r>
      <w:r w:rsidR="00AE2E15">
        <w:rPr>
          <w:rFonts w:cs="Times New Roman"/>
        </w:rPr>
        <w:t xml:space="preserve"> alongside the VTTS among those who may be willing to pay (</w:t>
      </w:r>
      <w:r w:rsidR="003C0D13" w:rsidRPr="004811C9">
        <w:rPr>
          <w:rFonts w:cs="Times New Roman"/>
        </w:rPr>
        <w:t xml:space="preserve">because the toll </w:t>
      </w:r>
      <w:r w:rsidR="006E0A42" w:rsidRPr="004811C9">
        <w:rPr>
          <w:rFonts w:cs="Times New Roman"/>
        </w:rPr>
        <w:t xml:space="preserve">price </w:t>
      </w:r>
      <w:r w:rsidR="003C0D13" w:rsidRPr="004811C9">
        <w:rPr>
          <w:rFonts w:cs="Times New Roman"/>
        </w:rPr>
        <w:t xml:space="preserve">determines the </w:t>
      </w:r>
      <w:r w:rsidR="006E0A42" w:rsidRPr="004811C9">
        <w:rPr>
          <w:rFonts w:cs="Times New Roman"/>
        </w:rPr>
        <w:t xml:space="preserve">demand </w:t>
      </w:r>
      <w:r w:rsidR="003C0D13" w:rsidRPr="004811C9">
        <w:rPr>
          <w:rFonts w:cs="Times New Roman"/>
        </w:rPr>
        <w:t xml:space="preserve">capture on </w:t>
      </w:r>
      <w:r w:rsidR="006E0A42" w:rsidRPr="004811C9">
        <w:rPr>
          <w:rFonts w:cs="Times New Roman"/>
        </w:rPr>
        <w:t>these roadways through toll elasticities</w:t>
      </w:r>
      <w:r w:rsidR="00AE2E15">
        <w:rPr>
          <w:rFonts w:cs="Times New Roman"/>
        </w:rPr>
        <w:t>)</w:t>
      </w:r>
      <w:r w:rsidR="003C0D13" w:rsidRPr="004811C9">
        <w:rPr>
          <w:rFonts w:cs="Times New Roman"/>
        </w:rPr>
        <w:t xml:space="preserve">. </w:t>
      </w:r>
    </w:p>
    <w:p w14:paraId="16EBFFCA" w14:textId="4D5E434D" w:rsidR="00F65AD3" w:rsidRPr="004811C9" w:rsidRDefault="00F73BEC" w:rsidP="00661762">
      <w:pPr>
        <w:spacing w:after="0" w:line="240" w:lineRule="auto"/>
        <w:ind w:firstLine="720"/>
        <w:jc w:val="both"/>
        <w:rPr>
          <w:rFonts w:cs="Times New Roman"/>
        </w:rPr>
      </w:pPr>
      <w:r w:rsidRPr="004811C9">
        <w:rPr>
          <w:rFonts w:cs="Times New Roman"/>
        </w:rPr>
        <w:t xml:space="preserve">Roadway congestion pricing has been implemented for </w:t>
      </w:r>
      <w:r w:rsidR="006D2DAF" w:rsidRPr="004811C9">
        <w:rPr>
          <w:rFonts w:cs="Times New Roman"/>
        </w:rPr>
        <w:t xml:space="preserve">more than two decades </w:t>
      </w:r>
      <w:r w:rsidRPr="004811C9">
        <w:rPr>
          <w:rFonts w:cs="Times New Roman"/>
        </w:rPr>
        <w:t>in cities such as Singapore and London</w:t>
      </w:r>
      <w:r w:rsidR="006D2DAF" w:rsidRPr="004811C9">
        <w:rPr>
          <w:rFonts w:cs="Times New Roman"/>
        </w:rPr>
        <w:t xml:space="preserve"> that pioneered and implemented the concept. However, it has only received attention more recently in </w:t>
      </w:r>
      <w:r w:rsidR="00556615" w:rsidRPr="004811C9">
        <w:rPr>
          <w:rFonts w:cs="Times New Roman"/>
        </w:rPr>
        <w:t>Indian metropolitan regions</w:t>
      </w:r>
      <w:r w:rsidR="006D2DAF" w:rsidRPr="004811C9">
        <w:rPr>
          <w:rFonts w:cs="Times New Roman"/>
        </w:rPr>
        <w:t xml:space="preserve">, a result of the convergence of </w:t>
      </w:r>
      <w:r w:rsidR="00B31D51" w:rsidRPr="004811C9">
        <w:rPr>
          <w:rFonts w:cs="Times New Roman"/>
        </w:rPr>
        <w:t xml:space="preserve">(a) </w:t>
      </w:r>
      <w:r w:rsidR="006D2DAF" w:rsidRPr="004811C9">
        <w:rPr>
          <w:rFonts w:cs="Times New Roman"/>
        </w:rPr>
        <w:t xml:space="preserve">extreme traffic congestion (and resulting air quality </w:t>
      </w:r>
      <w:r w:rsidR="00B31D51" w:rsidRPr="004811C9">
        <w:rPr>
          <w:rFonts w:cs="Times New Roman"/>
        </w:rPr>
        <w:t xml:space="preserve">and public health </w:t>
      </w:r>
      <w:r w:rsidR="006D2DAF" w:rsidRPr="004811C9">
        <w:rPr>
          <w:rFonts w:cs="Times New Roman"/>
        </w:rPr>
        <w:t>problems)</w:t>
      </w:r>
      <w:r w:rsidR="00556615" w:rsidRPr="004811C9">
        <w:rPr>
          <w:rFonts w:cs="Times New Roman"/>
        </w:rPr>
        <w:t xml:space="preserve">, </w:t>
      </w:r>
      <w:r w:rsidR="00B31D51" w:rsidRPr="004811C9">
        <w:rPr>
          <w:rFonts w:cs="Times New Roman"/>
        </w:rPr>
        <w:t xml:space="preserve">(b) </w:t>
      </w:r>
      <w:r w:rsidR="006D2DAF" w:rsidRPr="004811C9">
        <w:rPr>
          <w:rFonts w:cs="Times New Roman"/>
        </w:rPr>
        <w:t xml:space="preserve">a burgeoning middle-class that has the financial wherewithal to pay for time-savings, </w:t>
      </w:r>
      <w:r w:rsidR="0060471C" w:rsidRPr="004811C9">
        <w:rPr>
          <w:rFonts w:cs="Times New Roman"/>
        </w:rPr>
        <w:t xml:space="preserve">and </w:t>
      </w:r>
      <w:r w:rsidR="00B31D51" w:rsidRPr="004811C9">
        <w:rPr>
          <w:rFonts w:cs="Times New Roman"/>
        </w:rPr>
        <w:t xml:space="preserve">(c) </w:t>
      </w:r>
      <w:r w:rsidR="006D2DAF" w:rsidRPr="004811C9">
        <w:rPr>
          <w:rFonts w:cs="Times New Roman"/>
        </w:rPr>
        <w:t xml:space="preserve">effective, economical, </w:t>
      </w:r>
      <w:r w:rsidR="00B31D51" w:rsidRPr="004811C9">
        <w:rPr>
          <w:rFonts w:cs="Times New Roman"/>
        </w:rPr>
        <w:t xml:space="preserve">time-tested (in other cities in the world), </w:t>
      </w:r>
      <w:r w:rsidR="006D2DAF" w:rsidRPr="004811C9">
        <w:rPr>
          <w:rFonts w:cs="Times New Roman"/>
        </w:rPr>
        <w:t>and labor-light automated toll-collection technology</w:t>
      </w:r>
      <w:r w:rsidR="00225D32">
        <w:rPr>
          <w:rFonts w:cs="Times New Roman"/>
        </w:rPr>
        <w:t xml:space="preserve"> </w:t>
      </w:r>
      <w:r w:rsidR="00225D32">
        <w:rPr>
          <w:rFonts w:cs="Times New Roman"/>
        </w:rPr>
        <w:fldChar w:fldCharType="begin"/>
      </w:r>
      <w:r w:rsidR="00FA1C38">
        <w:rPr>
          <w:rFonts w:cs="Times New Roman"/>
        </w:rPr>
        <w:instrText xml:space="preserve"> ADDIN ZOTERO_ITEM CSL_CITATION {"citationID":"JRvb6lyO","properties":{"unsorted":true,"formattedCitation":"(Sahu et al., 2024; Jha, 2025)","plainCitation":"(Sahu et al., 2024; Jha, 2025)","noteIndex":0},"citationItems":[{"id":5918,"uris":["http://zotero.org/users/12832277/items/944RHKQJ"],"itemData":{"id":5918,"type":"article-journal","abstract":"Congestion pricing (CP) is considered an effective travel demand management tool to mitigate traffic congestion, after its successful implementation across many cities like Singapore, Tehran, Stockholm, and London. Many cities have not implemented it, and the local governing bodies struggle to introduce CP without creating a negative opinion and public resistance. Therefore, the lack of public acceptability can be responsible for the non-implementation of CP in cities worldwide. Thus, investigating the commuters’ perception towards various benefits influencing commuters’ perception towards CP would be central for successfully implementing CP. The key motivators (benefits) can be promoted at pre-implementation to increase public acceptability. A user perception survey was carried out in Hyderabad—a metropolis in India. We analyzed the perceived importance data from 435 commuters to obtain their prioritization list from their perspective towards the major motivators. The results indicate that travel time reduction was perceived as the most important motivator of CP, followed by road safety improvement, congestion reduction and environmental improvement. The study has suggested policy guidelines to increase the scheme’s reach among car commuters. Policy like Eco Taxation will give governments property rights to the environment, and then they can charge polluters who use the environment as a storehouse. The study has suggested Reliable and Efficient public transport and provision of Separate Cycling and Walking Tracks will increase mass transit ridership and promote active transportation, which will help to reduce private car trips. The study findings can provide a head start to the policymakers for CP implementation.","container-title":"Transportation in Developing Economies","DOI":"10.1007/s40890-024-00211-3","ISSN":"2199-9295","issue":"2","journalAbbreviation":"Transp. in Dev. Econ.","language":"en","page":"21","source":"Springer Link","title":"What Makes Congestion Pricing a Successful Landing in Indian Cities? Identification of Motivators, Insights, and Inferences for Policy Formulation","title-short":"What Makes Congestion Pricing a Successful Landing in Indian Cities?","volume":"10","author":[{"family":"Sahu","given":"Prasanta K."},{"family":"Marazi","given":"Naveed Farooz"},{"family":"Majumdar","given":"Bandhan Bandhu"},{"family":"Sharma","given":"Ishant"}],"issued":{"date-parts":[["2024",6,15]]}}},{"id":5920,"uris":["http://zotero.org/users/12832277/items/C7QAHJZK"],"itemData":{"id":5920,"type":"report","abstract":"Rising traffic chaos demands new tools. Congestion pricing, if designed equitably and supported by public transport, could be a game-changer for Indian cities.","genre":"ORF Occasional Paper","language":"en","number":"479","publisher":"Observer Research Foundation","title":"Making a Case for Congestion Pricing in India’s Cities","URL":"https://www.orfonline.org/research/making-a-case-for-congestion-pricing-in-india-s-cities","author":[{"family":"Jha","given":"Ramanath"}],"accessed":{"date-parts":[["2026",1,28]]},"issued":{"date-parts":[["2025"]]}}}],"schema":"https://github.com/citation-style-language/schema/raw/master/csl-citation.json"} </w:instrText>
      </w:r>
      <w:r w:rsidR="00225D32">
        <w:rPr>
          <w:rFonts w:cs="Times New Roman"/>
        </w:rPr>
        <w:fldChar w:fldCharType="separate"/>
      </w:r>
      <w:r w:rsidR="00FA1C38" w:rsidRPr="00FA1C38">
        <w:rPr>
          <w:rFonts w:cs="Times New Roman"/>
        </w:rPr>
        <w:t>(Sahu et al., 2024; Jha, 2025)</w:t>
      </w:r>
      <w:r w:rsidR="00225D32">
        <w:rPr>
          <w:rFonts w:cs="Times New Roman"/>
        </w:rPr>
        <w:fldChar w:fldCharType="end"/>
      </w:r>
      <w:r w:rsidR="006D2DAF" w:rsidRPr="004811C9">
        <w:rPr>
          <w:rFonts w:cs="Times New Roman"/>
        </w:rPr>
        <w:t xml:space="preserve">. </w:t>
      </w:r>
      <w:r w:rsidR="00CB72BD" w:rsidRPr="004811C9">
        <w:rPr>
          <w:rFonts w:cs="Times New Roman"/>
        </w:rPr>
        <w:t xml:space="preserve">For instance, in 2018, a pilot congestion pricing experiment was undertaken in Bengaluru </w:t>
      </w:r>
      <w:r w:rsidR="00CB5AC0" w:rsidRPr="004811C9">
        <w:rPr>
          <w:rFonts w:cs="Times New Roman"/>
        </w:rPr>
        <w:fldChar w:fldCharType="begin"/>
      </w:r>
      <w:r w:rsidR="00BA1900">
        <w:rPr>
          <w:rFonts w:cs="Times New Roman"/>
        </w:rPr>
        <w:instrText xml:space="preserve"> ADDIN ZOTERO_ITEM CSL_CITATION {"citationID":"IgoPBKdj","properties":{"formattedCitation":"(Kreindler et al., 2018)","plainCitation":"(Kreindler et al., 2018)","dontUpdate":true,"noteIndex":0},"citationItems":[{"id":5107,"uris":["http://zotero.org/users/12832277/items/4QCVECV7"],"itemData":{"id":5107,"type":"report","language":"en","number":"89415","publisher":"International Growth Centre","source":"Zotero","title":"Benefits and Costs of Road Traffic Congestion Pricing: Evidence from Bangalore","author":[{"family":"Kreindler","given":"Gabriel"},{"family":"Duflo","given":"Esther"},{"family":"Olken","given":"Ben"}],"issued":{"date-parts":[["2018",2]]}}}],"schema":"https://github.com/citation-style-language/schema/raw/master/csl-citation.json"} </w:instrText>
      </w:r>
      <w:r w:rsidR="00CB5AC0" w:rsidRPr="004811C9">
        <w:rPr>
          <w:rFonts w:cs="Times New Roman"/>
        </w:rPr>
        <w:fldChar w:fldCharType="separate"/>
      </w:r>
      <w:r w:rsidR="00CB5AC0" w:rsidRPr="004811C9">
        <w:rPr>
          <w:rFonts w:cs="Times New Roman"/>
        </w:rPr>
        <w:t>(see Kreindler et al., 2018)</w:t>
      </w:r>
      <w:r w:rsidR="00CB5AC0" w:rsidRPr="004811C9">
        <w:rPr>
          <w:rFonts w:cs="Times New Roman"/>
        </w:rPr>
        <w:fldChar w:fldCharType="end"/>
      </w:r>
      <w:r w:rsidR="00CB72BD" w:rsidRPr="004811C9">
        <w:rPr>
          <w:rFonts w:cs="Times New Roman"/>
        </w:rPr>
        <w:t xml:space="preserve">, </w:t>
      </w:r>
      <w:r w:rsidR="00B31D51" w:rsidRPr="004811C9">
        <w:rPr>
          <w:rFonts w:cs="Times New Roman"/>
        </w:rPr>
        <w:t xml:space="preserve">a similar pilot is being designed at 13 border points of entry into the Delhi-NCR metro area during peak morning and evening hours </w:t>
      </w:r>
      <w:r w:rsidR="00C22D09" w:rsidRPr="004811C9">
        <w:rPr>
          <w:rFonts w:cs="Times New Roman"/>
        </w:rPr>
        <w:fldChar w:fldCharType="begin"/>
      </w:r>
      <w:r w:rsidR="00BA1900">
        <w:rPr>
          <w:rFonts w:cs="Times New Roman"/>
        </w:rPr>
        <w:instrText xml:space="preserve"> ADDIN ZOTERO_ITEM CSL_CITATION {"citationID":"5HHpOV1O","properties":{"formattedCitation":"(Nair, 2025)","plainCitation":"(Nair, 2025)","dontUpdate":true,"noteIndex":0},"citationItems":[{"id":5083,"uris":["http://zotero.org/users/12832277/items/YNSIXYT5"],"itemData":{"id":5083,"type":"article-newspaper","abstract":"Currently, pricing in Singapore and Milan’s Area C varies by vehicle size and heavier, more polluting vehicles pay higher charges than lighter ones.","container-title":"Hindustan Times","language":"en","title":"International Best Practices Shed Light on Congestion Pricing in Delhi","URL":"https://www.hindustantimes.com/opinion/international-best-practices-shed-light-on-congestion-pricing-in-delhi-101737394960587.html","author":[{"family":"Nair","given":"Moorthy"}],"accessed":{"date-parts":[["2025",7,27]]},"issued":{"date-parts":[["2025",1,21]]}}}],"schema":"https://github.com/citation-style-language/schema/raw/master/csl-citation.json"} </w:instrText>
      </w:r>
      <w:r w:rsidR="00C22D09" w:rsidRPr="004811C9">
        <w:rPr>
          <w:rFonts w:cs="Times New Roman"/>
        </w:rPr>
        <w:fldChar w:fldCharType="separate"/>
      </w:r>
      <w:r w:rsidR="00C22D09" w:rsidRPr="004811C9">
        <w:rPr>
          <w:rFonts w:cs="Times New Roman"/>
        </w:rPr>
        <w:t>(see Nair, 2025)</w:t>
      </w:r>
      <w:r w:rsidR="00C22D09" w:rsidRPr="004811C9">
        <w:rPr>
          <w:rFonts w:cs="Times New Roman"/>
        </w:rPr>
        <w:fldChar w:fldCharType="end"/>
      </w:r>
      <w:r w:rsidR="000F16D0">
        <w:rPr>
          <w:rFonts w:cs="Times New Roman"/>
        </w:rPr>
        <w:t xml:space="preserve">, and </w:t>
      </w:r>
      <w:r w:rsidR="008502F8" w:rsidRPr="004811C9">
        <w:rPr>
          <w:rFonts w:eastAsia="Times New Roman" w:cs="Times New Roman"/>
          <w:color w:val="1A1A1A"/>
          <w:kern w:val="0"/>
          <w:shd w:val="clear" w:color="auto" w:fill="FFFFFF"/>
          <w14:ligatures w14:val="none"/>
        </w:rPr>
        <w:t xml:space="preserve"> the National Highway Authority of India (NHAI) has implemented a pricing scheme on the </w:t>
      </w:r>
      <w:r w:rsidR="000F16D0" w:rsidRPr="004811C9">
        <w:rPr>
          <w:rFonts w:cs="Times New Roman"/>
        </w:rPr>
        <w:t>Jaipur-</w:t>
      </w:r>
      <w:r w:rsidR="000F16D0" w:rsidRPr="004811C9">
        <w:rPr>
          <w:rFonts w:eastAsia="Times New Roman" w:cs="Times New Roman"/>
          <w:color w:val="1A1A1A"/>
          <w:kern w:val="0"/>
          <w:shd w:val="clear" w:color="auto" w:fill="FFFFFF"/>
          <w14:ligatures w14:val="none"/>
        </w:rPr>
        <w:t>Bandikui</w:t>
      </w:r>
      <w:r w:rsidR="000F16D0">
        <w:rPr>
          <w:rFonts w:eastAsia="Times New Roman" w:cs="Times New Roman"/>
          <w:color w:val="1A1A1A"/>
          <w:kern w:val="0"/>
          <w:shd w:val="clear" w:color="auto" w:fill="FFFFFF"/>
          <w14:ligatures w14:val="none"/>
        </w:rPr>
        <w:t xml:space="preserve"> </w:t>
      </w:r>
      <w:r w:rsidR="008502F8" w:rsidRPr="004811C9">
        <w:rPr>
          <w:rFonts w:eastAsia="Times New Roman" w:cs="Times New Roman"/>
          <w:color w:val="1A1A1A"/>
          <w:kern w:val="0"/>
          <w:shd w:val="clear" w:color="auto" w:fill="FFFFFF"/>
          <w14:ligatures w14:val="none"/>
        </w:rPr>
        <w:t xml:space="preserve">linkway </w:t>
      </w:r>
      <w:r w:rsidR="00C22D09" w:rsidRPr="004811C9">
        <w:rPr>
          <w:rFonts w:eastAsia="Times New Roman" w:cs="Times New Roman"/>
          <w:color w:val="1A1A1A"/>
          <w:kern w:val="0"/>
          <w:shd w:val="clear" w:color="auto" w:fill="FFFFFF"/>
          <w14:ligatures w14:val="none"/>
        </w:rPr>
        <w:fldChar w:fldCharType="begin"/>
      </w:r>
      <w:r w:rsidR="008345D7">
        <w:rPr>
          <w:rFonts w:eastAsia="Times New Roman" w:cs="Times New Roman"/>
          <w:color w:val="1A1A1A"/>
          <w:kern w:val="0"/>
          <w:shd w:val="clear" w:color="auto" w:fill="FFFFFF"/>
          <w14:ligatures w14:val="none"/>
        </w:rPr>
        <w:instrText xml:space="preserve"> ADDIN ZOTERO_ITEM CSL_CITATION {"citationID":"3C7EVM4o","properties":{"formattedCitation":"(Basu, 2025)","plainCitation":"(Basu, 2025)","dontUpdate":true,"noteIndex":0},"citationItems":[{"id":5081,"uris":["http://zotero.org/users/12832277/items/5LSTF2IX"],"itemData":{"id":5081,"type":"article-newspaper","abstract":"Jaipur: Close to a week after opening the Jaipur–Bandikui linkway to the Delhi–Mumbai Expressway for traffic, the National Highways Authority of India.","container-title":"The Times of India","ISSN":"0971-8257","publisher-place":"Jaipur, India","source":"The Economic Times - The Times of India","title":"NHAI Starts Charging Toll for Jaipur Bandikui Linkway","URL":"https://timesofindia.indiatimes.com/city/jaipur/nhai-starts-charging-toll-for-jaipur-bandikui-linkway/articleshow/122350150.cms","author":[{"family":"Basu","given":"Arpit"}],"accessed":{"date-parts":[["2025",7,27]]},"issued":{"date-parts":[["2025",7,10]]}}}],"schema":"https://github.com/citation-style-language/schema/raw/master/csl-citation.json"} </w:instrText>
      </w:r>
      <w:r w:rsidR="00C22D09" w:rsidRPr="004811C9">
        <w:rPr>
          <w:rFonts w:eastAsia="Times New Roman" w:cs="Times New Roman"/>
          <w:color w:val="1A1A1A"/>
          <w:kern w:val="0"/>
          <w:shd w:val="clear" w:color="auto" w:fill="FFFFFF"/>
          <w14:ligatures w14:val="none"/>
        </w:rPr>
        <w:fldChar w:fldCharType="separate"/>
      </w:r>
      <w:r w:rsidR="00C22D09" w:rsidRPr="004811C9">
        <w:rPr>
          <w:rFonts w:cs="Times New Roman"/>
        </w:rPr>
        <w:t>(see Basu, 2025)</w:t>
      </w:r>
      <w:r w:rsidR="00C22D09" w:rsidRPr="004811C9">
        <w:rPr>
          <w:rFonts w:eastAsia="Times New Roman" w:cs="Times New Roman"/>
          <w:color w:val="1A1A1A"/>
          <w:kern w:val="0"/>
          <w:shd w:val="clear" w:color="auto" w:fill="FFFFFF"/>
          <w14:ligatures w14:val="none"/>
        </w:rPr>
        <w:fldChar w:fldCharType="end"/>
      </w:r>
      <w:r w:rsidR="008502F8" w:rsidRPr="004811C9">
        <w:rPr>
          <w:rFonts w:eastAsia="Times New Roman" w:cs="Times New Roman"/>
          <w:color w:val="1A1A1A"/>
          <w:kern w:val="0"/>
          <w:shd w:val="clear" w:color="auto" w:fill="FFFFFF"/>
          <w14:ligatures w14:val="none"/>
        </w:rPr>
        <w:t xml:space="preserve">. And, in Mumbai, there is an initiative by State authorities to combine transit service improvements with congestion pricing in and around </w:t>
      </w:r>
      <w:r w:rsidR="00331A9D" w:rsidRPr="004811C9">
        <w:rPr>
          <w:rFonts w:eastAsia="Times New Roman" w:cs="Times New Roman"/>
          <w:color w:val="1A1A1A"/>
          <w:kern w:val="0"/>
          <w:shd w:val="clear" w:color="auto" w:fill="FFFFFF"/>
          <w14:ligatures w14:val="none"/>
        </w:rPr>
        <w:t xml:space="preserve">central business districts and downtown </w:t>
      </w:r>
      <w:r w:rsidR="008502F8" w:rsidRPr="004811C9">
        <w:rPr>
          <w:rFonts w:eastAsia="Times New Roman" w:cs="Times New Roman"/>
          <w:color w:val="1A1A1A"/>
          <w:kern w:val="0"/>
          <w:shd w:val="clear" w:color="auto" w:fill="FFFFFF"/>
          <w14:ligatures w14:val="none"/>
        </w:rPr>
        <w:t>areas such as Bandra-Kurla complex, Nariman Point, Worli and Lower Pa</w:t>
      </w:r>
      <w:r w:rsidR="00331A9D" w:rsidRPr="004811C9">
        <w:rPr>
          <w:rFonts w:eastAsia="Times New Roman" w:cs="Times New Roman"/>
          <w:color w:val="1A1A1A"/>
          <w:kern w:val="0"/>
          <w:shd w:val="clear" w:color="auto" w:fill="FFFFFF"/>
          <w14:ligatures w14:val="none"/>
        </w:rPr>
        <w:t>rel</w:t>
      </w:r>
      <w:r w:rsidR="00CB5AC0" w:rsidRPr="004811C9">
        <w:rPr>
          <w:rFonts w:eastAsia="Times New Roman" w:cs="Times New Roman"/>
          <w:color w:val="1A1A1A"/>
          <w:kern w:val="0"/>
          <w:shd w:val="clear" w:color="auto" w:fill="FFFFFF"/>
          <w14:ligatures w14:val="none"/>
        </w:rPr>
        <w:t xml:space="preserve"> </w:t>
      </w:r>
      <w:r w:rsidR="00CB5AC0" w:rsidRPr="004811C9">
        <w:rPr>
          <w:rFonts w:eastAsia="Times New Roman" w:cs="Times New Roman"/>
          <w:color w:val="1A1A1A"/>
          <w:kern w:val="0"/>
          <w:shd w:val="clear" w:color="auto" w:fill="FFFFFF"/>
          <w14:ligatures w14:val="none"/>
        </w:rPr>
        <w:fldChar w:fldCharType="begin"/>
      </w:r>
      <w:r w:rsidR="008345D7">
        <w:rPr>
          <w:rFonts w:eastAsia="Times New Roman" w:cs="Times New Roman"/>
          <w:color w:val="1A1A1A"/>
          <w:kern w:val="0"/>
          <w:shd w:val="clear" w:color="auto" w:fill="FFFFFF"/>
          <w14:ligatures w14:val="none"/>
        </w:rPr>
        <w:instrText xml:space="preserve"> ADDIN ZOTERO_ITEM CSL_CITATION {"citationID":"UYJdV9mA","properties":{"formattedCitation":"(Sen, 2025)","plainCitation":"(Sen, 2025)","noteIndex":0},"citationItems":[{"id":5080,"uris":["http://zotero.org/users/12832277/items/FS8BV8H4"],"itemData":{"id":5080,"type":"article-newspaper","container-title":"Times of India","publisher-place":"Mumbai, India","title":"BEST’s Contract Buses a ‘Flop’, but System a Success Globally","URL":"https://timesofindia.indiatimes.com/city/mumbai/bests-contract-buses-a-flop-but-system-a-success-globally/articleshow/122133696.cms","author":[{"family":"Sen","given":"Somit"}],"accessed":{"date-parts":[["2025",7,27]]},"issued":{"date-parts":[["2025",6,29]]}}}],"schema":"https://github.com/citation-style-language/schema/raw/master/csl-citation.json"} </w:instrText>
      </w:r>
      <w:r w:rsidR="00CB5AC0" w:rsidRPr="004811C9">
        <w:rPr>
          <w:rFonts w:eastAsia="Times New Roman" w:cs="Times New Roman"/>
          <w:color w:val="1A1A1A"/>
          <w:kern w:val="0"/>
          <w:shd w:val="clear" w:color="auto" w:fill="FFFFFF"/>
          <w14:ligatures w14:val="none"/>
        </w:rPr>
        <w:fldChar w:fldCharType="separate"/>
      </w:r>
      <w:r w:rsidR="00CB5AC0" w:rsidRPr="004811C9">
        <w:rPr>
          <w:rFonts w:cs="Times New Roman"/>
        </w:rPr>
        <w:t>(Sen, 2025)</w:t>
      </w:r>
      <w:r w:rsidR="00CB5AC0" w:rsidRPr="004811C9">
        <w:rPr>
          <w:rFonts w:eastAsia="Times New Roman" w:cs="Times New Roman"/>
          <w:color w:val="1A1A1A"/>
          <w:kern w:val="0"/>
          <w:shd w:val="clear" w:color="auto" w:fill="FFFFFF"/>
          <w14:ligatures w14:val="none"/>
        </w:rPr>
        <w:fldChar w:fldCharType="end"/>
      </w:r>
      <w:r w:rsidR="00331A9D" w:rsidRPr="004811C9">
        <w:rPr>
          <w:rFonts w:eastAsia="Times New Roman" w:cs="Times New Roman"/>
          <w:color w:val="1A1A1A"/>
          <w:kern w:val="0"/>
          <w:shd w:val="clear" w:color="auto" w:fill="FFFFFF"/>
          <w14:ligatures w14:val="none"/>
        </w:rPr>
        <w:t xml:space="preserve">. </w:t>
      </w:r>
    </w:p>
    <w:p w14:paraId="16D578F1" w14:textId="5A9C3D14" w:rsidR="001C26E2" w:rsidRDefault="00C70DC0" w:rsidP="00AC5410">
      <w:pPr>
        <w:spacing w:after="0" w:line="240" w:lineRule="auto"/>
        <w:ind w:firstLine="720"/>
        <w:jc w:val="both"/>
        <w:rPr>
          <w:rFonts w:cs="Times New Roman"/>
        </w:rPr>
      </w:pPr>
      <w:r>
        <w:rPr>
          <w:rFonts w:cs="Times New Roman"/>
        </w:rPr>
        <w:t xml:space="preserve">Motivated by the discussion above, the objectives of this paper are to quantify how VTTS varies across individuals and travel contexts as well as to identify </w:t>
      </w:r>
      <w:r w:rsidR="002D4815">
        <w:rPr>
          <w:rFonts w:cs="Times New Roman"/>
        </w:rPr>
        <w:t>those individuals who are unwilling to pay any amount for travel time savings. We do so with</w:t>
      </w:r>
      <w:r w:rsidR="006E0A42" w:rsidRPr="004811C9">
        <w:rPr>
          <w:rFonts w:cs="Times New Roman"/>
        </w:rPr>
        <w:t xml:space="preserve">in </w:t>
      </w:r>
      <w:r w:rsidR="002D4815">
        <w:rPr>
          <w:rFonts w:cs="Times New Roman"/>
        </w:rPr>
        <w:t>the context of the</w:t>
      </w:r>
      <w:r w:rsidR="002D4815" w:rsidRPr="004811C9">
        <w:rPr>
          <w:rFonts w:cs="Times New Roman"/>
        </w:rPr>
        <w:t xml:space="preserve"> </w:t>
      </w:r>
      <w:r w:rsidR="00F65AD3" w:rsidRPr="004811C9">
        <w:rPr>
          <w:rFonts w:cs="Times New Roman"/>
        </w:rPr>
        <w:t xml:space="preserve">growing </w:t>
      </w:r>
      <w:r w:rsidR="006E0A42" w:rsidRPr="004811C9">
        <w:rPr>
          <w:rFonts w:cs="Times New Roman"/>
        </w:rPr>
        <w:t xml:space="preserve">transportation infrastructure build-up and roadway pricing </w:t>
      </w:r>
      <w:r w:rsidR="00930F6A">
        <w:rPr>
          <w:rFonts w:cs="Times New Roman"/>
        </w:rPr>
        <w:t>expansion</w:t>
      </w:r>
      <w:r w:rsidR="00930F6A" w:rsidRPr="004811C9">
        <w:rPr>
          <w:rFonts w:cs="Times New Roman"/>
        </w:rPr>
        <w:t xml:space="preserve"> </w:t>
      </w:r>
      <w:r w:rsidR="006E0A42" w:rsidRPr="004811C9">
        <w:rPr>
          <w:rFonts w:cs="Times New Roman"/>
        </w:rPr>
        <w:t>in India using a sample of Mumbai residents</w:t>
      </w:r>
      <w:r w:rsidR="00F65AD3" w:rsidRPr="004811C9">
        <w:rPr>
          <w:rFonts w:cs="Times New Roman"/>
        </w:rPr>
        <w:t>. Specifically, u</w:t>
      </w:r>
      <w:r w:rsidR="00556615" w:rsidRPr="004811C9">
        <w:rPr>
          <w:rFonts w:cs="Times New Roman"/>
        </w:rPr>
        <w:t xml:space="preserve">sing data from </w:t>
      </w:r>
      <w:r w:rsidR="007C7994" w:rsidRPr="004811C9">
        <w:rPr>
          <w:rFonts w:cs="Times New Roman"/>
        </w:rPr>
        <w:t xml:space="preserve">the </w:t>
      </w:r>
      <w:r w:rsidR="00556615" w:rsidRPr="004811C9">
        <w:rPr>
          <w:rFonts w:cs="Times New Roman"/>
        </w:rPr>
        <w:t xml:space="preserve">Mumbai Household Travel Survey, we </w:t>
      </w:r>
      <w:r w:rsidR="005F6000" w:rsidRPr="004811C9">
        <w:rPr>
          <w:rFonts w:cs="Times New Roman"/>
        </w:rPr>
        <w:t xml:space="preserve">develop a joint model that includes </w:t>
      </w:r>
      <w:r w:rsidR="00556615" w:rsidRPr="004811C9">
        <w:rPr>
          <w:rFonts w:cs="Times New Roman"/>
        </w:rPr>
        <w:t>a binary outcome</w:t>
      </w:r>
      <w:r w:rsidR="00530F76" w:rsidRPr="004811C9">
        <w:rPr>
          <w:rFonts w:cs="Times New Roman"/>
        </w:rPr>
        <w:t xml:space="preserve"> indicating whether each individual is willing to pay </w:t>
      </w:r>
      <w:r w:rsidR="004B1E2C" w:rsidRPr="004811C9">
        <w:rPr>
          <w:rFonts w:cs="Times New Roman"/>
        </w:rPr>
        <w:t xml:space="preserve">(WTP) </w:t>
      </w:r>
      <w:r w:rsidR="00530F76" w:rsidRPr="004811C9">
        <w:rPr>
          <w:rFonts w:cs="Times New Roman"/>
        </w:rPr>
        <w:t xml:space="preserve">at all to reduce their travel time </w:t>
      </w:r>
      <w:r w:rsidR="00556615" w:rsidRPr="004811C9">
        <w:rPr>
          <w:rFonts w:cs="Times New Roman"/>
        </w:rPr>
        <w:t xml:space="preserve">and a continuous outcome </w:t>
      </w:r>
      <w:r w:rsidR="00AF3726" w:rsidRPr="004811C9">
        <w:rPr>
          <w:rFonts w:cs="Times New Roman"/>
        </w:rPr>
        <w:t>representing the value of travel time savings</w:t>
      </w:r>
      <w:r w:rsidR="00530F76" w:rsidRPr="004811C9">
        <w:rPr>
          <w:rFonts w:cs="Times New Roman"/>
        </w:rPr>
        <w:t xml:space="preserve"> for those who are willing to pay</w:t>
      </w:r>
      <w:r w:rsidR="005F6000" w:rsidRPr="004811C9">
        <w:rPr>
          <w:rFonts w:cs="Times New Roman"/>
        </w:rPr>
        <w:t xml:space="preserve"> </w:t>
      </w:r>
      <w:r w:rsidR="00284741" w:rsidRPr="004811C9">
        <w:rPr>
          <w:rFonts w:cs="Times New Roman"/>
        </w:rPr>
        <w:t>to reduce their travel time</w:t>
      </w:r>
      <w:r w:rsidR="00556615" w:rsidRPr="004811C9">
        <w:rPr>
          <w:rFonts w:cs="Times New Roman"/>
        </w:rPr>
        <w:t>, examining how these</w:t>
      </w:r>
      <w:r w:rsidR="00A04248" w:rsidRPr="004811C9">
        <w:rPr>
          <w:rFonts w:cs="Times New Roman"/>
        </w:rPr>
        <w:t xml:space="preserve"> choices</w:t>
      </w:r>
      <w:r w:rsidR="00556615" w:rsidRPr="004811C9">
        <w:rPr>
          <w:rFonts w:cs="Times New Roman"/>
        </w:rPr>
        <w:t xml:space="preserve"> are influenced by individual, household, and trip-level characteristics.</w:t>
      </w:r>
      <w:r w:rsidR="0095310E" w:rsidRPr="004811C9">
        <w:rPr>
          <w:rFonts w:cs="Times New Roman"/>
        </w:rPr>
        <w:t xml:space="preserve"> </w:t>
      </w:r>
      <w:r w:rsidR="007C7994" w:rsidRPr="004811C9">
        <w:rPr>
          <w:rFonts w:cs="Times New Roman"/>
        </w:rPr>
        <w:t xml:space="preserve">We then use these estimates to </w:t>
      </w:r>
      <w:r w:rsidR="00BB7332" w:rsidRPr="004811C9">
        <w:rPr>
          <w:rFonts w:cs="Times New Roman"/>
        </w:rPr>
        <w:t xml:space="preserve">examine variations in the </w:t>
      </w:r>
      <w:r w:rsidR="00284741" w:rsidRPr="004811C9">
        <w:rPr>
          <w:rFonts w:cs="Times New Roman"/>
        </w:rPr>
        <w:t>VTTS</w:t>
      </w:r>
      <w:r w:rsidR="00BB7332" w:rsidRPr="004811C9">
        <w:rPr>
          <w:rFonts w:cs="Times New Roman"/>
        </w:rPr>
        <w:t xml:space="preserve"> across individual</w:t>
      </w:r>
      <w:r w:rsidR="00F47BF9" w:rsidRPr="004811C9">
        <w:rPr>
          <w:rFonts w:cs="Times New Roman"/>
        </w:rPr>
        <w:t xml:space="preserve">s, </w:t>
      </w:r>
      <w:r w:rsidR="00BB7332" w:rsidRPr="004811C9">
        <w:rPr>
          <w:rFonts w:cs="Times New Roman"/>
        </w:rPr>
        <w:t>trip</w:t>
      </w:r>
      <w:r w:rsidR="00F65AD3" w:rsidRPr="004811C9">
        <w:rPr>
          <w:rFonts w:cs="Times New Roman"/>
        </w:rPr>
        <w:t xml:space="preserve"> purposes</w:t>
      </w:r>
      <w:r w:rsidR="00F47BF9" w:rsidRPr="004811C9">
        <w:rPr>
          <w:rFonts w:cs="Times New Roman"/>
        </w:rPr>
        <w:t>, travel modes, and time-of-day</w:t>
      </w:r>
      <w:r w:rsidR="00BB7332" w:rsidRPr="004811C9">
        <w:rPr>
          <w:rFonts w:cs="Times New Roman"/>
        </w:rPr>
        <w:t xml:space="preserve"> to </w:t>
      </w:r>
      <w:r w:rsidR="00F65AD3" w:rsidRPr="004811C9">
        <w:rPr>
          <w:rFonts w:cs="Times New Roman"/>
        </w:rPr>
        <w:t xml:space="preserve">provide insights that can </w:t>
      </w:r>
      <w:r w:rsidR="00BB7332" w:rsidRPr="004811C9">
        <w:rPr>
          <w:rFonts w:cs="Times New Roman"/>
        </w:rPr>
        <w:t xml:space="preserve">inform </w:t>
      </w:r>
      <w:r w:rsidR="00F65AD3" w:rsidRPr="004811C9">
        <w:rPr>
          <w:rFonts w:cs="Times New Roman"/>
        </w:rPr>
        <w:t xml:space="preserve">infrastructure </w:t>
      </w:r>
      <w:r w:rsidR="008C3DD3" w:rsidRPr="004811C9">
        <w:rPr>
          <w:rFonts w:cs="Times New Roman"/>
        </w:rPr>
        <w:t>investments and</w:t>
      </w:r>
      <w:r w:rsidR="00A04248" w:rsidRPr="004811C9">
        <w:rPr>
          <w:rFonts w:cs="Times New Roman"/>
        </w:rPr>
        <w:t xml:space="preserve"> policies aimed at </w:t>
      </w:r>
      <w:r w:rsidR="00BB7332" w:rsidRPr="004811C9">
        <w:rPr>
          <w:rFonts w:cs="Times New Roman"/>
        </w:rPr>
        <w:t xml:space="preserve">travel time reduction </w:t>
      </w:r>
      <w:r w:rsidR="00A80BA4" w:rsidRPr="004811C9">
        <w:rPr>
          <w:rFonts w:cs="Times New Roman"/>
        </w:rPr>
        <w:t>as well as the</w:t>
      </w:r>
      <w:r w:rsidR="00BB7332" w:rsidRPr="004811C9">
        <w:rPr>
          <w:rFonts w:cs="Times New Roman"/>
        </w:rPr>
        <w:t xml:space="preserve"> development of </w:t>
      </w:r>
      <w:r w:rsidR="00881748" w:rsidRPr="004811C9">
        <w:rPr>
          <w:rFonts w:cs="Times New Roman"/>
        </w:rPr>
        <w:t xml:space="preserve">priced lanes in the Mumbai region. </w:t>
      </w:r>
    </w:p>
    <w:p w14:paraId="27D96FDE" w14:textId="0D08E786" w:rsidR="00E038CD" w:rsidRPr="004811C9" w:rsidRDefault="00E038CD" w:rsidP="00AC5410">
      <w:pPr>
        <w:spacing w:after="0" w:line="240" w:lineRule="auto"/>
        <w:ind w:firstLine="720"/>
        <w:jc w:val="both"/>
        <w:rPr>
          <w:rFonts w:cs="Times New Roman"/>
        </w:rPr>
      </w:pPr>
      <w:r>
        <w:rPr>
          <w:rFonts w:cs="Times New Roman"/>
        </w:rPr>
        <w:t xml:space="preserve">The remainder of the paper is organized as follows. </w:t>
      </w:r>
      <w:r w:rsidR="00594FA1">
        <w:rPr>
          <w:rFonts w:cs="Times New Roman"/>
        </w:rPr>
        <w:t xml:space="preserve">Section 2 provides an overview of the existing literature on VTTS, focusing on </w:t>
      </w:r>
      <w:r w:rsidR="00922AC5">
        <w:rPr>
          <w:rFonts w:cs="Times New Roman"/>
        </w:rPr>
        <w:t xml:space="preserve">assessments of VTTS heterogeneity as well as the approaches used to measure VTTS. </w:t>
      </w:r>
      <w:r w:rsidR="004B6CA5">
        <w:rPr>
          <w:rFonts w:cs="Times New Roman"/>
        </w:rPr>
        <w:t xml:space="preserve">Section 3 presents the methods employed in the current study, including the survey administration and modeling approach used. Section 4 includes the model estimation results </w:t>
      </w:r>
      <w:r w:rsidR="004F291F">
        <w:rPr>
          <w:rFonts w:cs="Times New Roman"/>
        </w:rPr>
        <w:t xml:space="preserve">as well as measures of model fit. Section 5 presents the methods used to </w:t>
      </w:r>
      <w:r w:rsidR="004F291F" w:rsidRPr="004F291F">
        <w:rPr>
          <w:rFonts w:cs="Times New Roman"/>
        </w:rPr>
        <w:t xml:space="preserve">translate the model results of the discrete and continuous </w:t>
      </w:r>
      <w:r w:rsidR="004F291F">
        <w:rPr>
          <w:rFonts w:cs="Times New Roman"/>
        </w:rPr>
        <w:t xml:space="preserve">VTTS </w:t>
      </w:r>
      <w:r w:rsidR="004F291F" w:rsidRPr="004F291F">
        <w:rPr>
          <w:rFonts w:cs="Times New Roman"/>
        </w:rPr>
        <w:t xml:space="preserve">components into tangible </w:t>
      </w:r>
      <w:r w:rsidR="004F291F">
        <w:rPr>
          <w:rFonts w:cs="Times New Roman"/>
        </w:rPr>
        <w:t>estimates</w:t>
      </w:r>
      <w:r w:rsidR="004F291F" w:rsidRPr="004F291F">
        <w:rPr>
          <w:rFonts w:cs="Times New Roman"/>
        </w:rPr>
        <w:t xml:space="preserve"> for policy development</w:t>
      </w:r>
      <w:r w:rsidR="00616786">
        <w:rPr>
          <w:rFonts w:cs="Times New Roman"/>
        </w:rPr>
        <w:t xml:space="preserve"> and discusses the policy implications of the observed VTTS heterogeneity. Finally, Section 6 concludes the paper with an overview of the important findings and </w:t>
      </w:r>
      <w:r w:rsidR="00677BA6">
        <w:rPr>
          <w:rFonts w:cs="Times New Roman"/>
        </w:rPr>
        <w:t xml:space="preserve">potential future research directions. </w:t>
      </w:r>
    </w:p>
    <w:p w14:paraId="45EDDD20" w14:textId="77777777" w:rsidR="007C7994" w:rsidRPr="004811C9" w:rsidRDefault="007C7994" w:rsidP="00AC5410">
      <w:pPr>
        <w:spacing w:after="0" w:line="240" w:lineRule="auto"/>
        <w:jc w:val="both"/>
        <w:rPr>
          <w:rFonts w:cs="Times New Roman"/>
        </w:rPr>
      </w:pPr>
    </w:p>
    <w:p w14:paraId="33A87EDE" w14:textId="77777777" w:rsidR="00D55AC0" w:rsidRPr="004811C9" w:rsidRDefault="00D55AC0" w:rsidP="00027FE5">
      <w:pPr>
        <w:spacing w:after="0" w:line="240" w:lineRule="auto"/>
        <w:jc w:val="both"/>
        <w:rPr>
          <w:rFonts w:cs="Times New Roman"/>
          <w:b/>
        </w:rPr>
      </w:pPr>
      <w:r w:rsidRPr="004811C9">
        <w:rPr>
          <w:rFonts w:cs="Times New Roman"/>
          <w:b/>
        </w:rPr>
        <w:t xml:space="preserve">2. LITERATURE OVERVIEW </w:t>
      </w:r>
    </w:p>
    <w:p w14:paraId="75BEC742" w14:textId="785BA08D" w:rsidR="009477A2" w:rsidRPr="004811C9" w:rsidRDefault="009477A2" w:rsidP="009477A2">
      <w:pPr>
        <w:spacing w:after="0" w:line="240" w:lineRule="auto"/>
        <w:jc w:val="both"/>
        <w:rPr>
          <w:rFonts w:cs="Times New Roman"/>
          <w:b/>
          <w:bCs/>
        </w:rPr>
      </w:pPr>
      <w:r w:rsidRPr="004811C9">
        <w:rPr>
          <w:rFonts w:cs="Times New Roman"/>
          <w:b/>
          <w:bCs/>
        </w:rPr>
        <w:t xml:space="preserve">2.1 Travel Context and Heterogeneity in </w:t>
      </w:r>
      <w:r w:rsidR="006C6F92" w:rsidRPr="004811C9">
        <w:rPr>
          <w:rFonts w:cs="Times New Roman"/>
          <w:b/>
          <w:bCs/>
        </w:rPr>
        <w:t>VTTS</w:t>
      </w:r>
    </w:p>
    <w:p w14:paraId="0B116FB0" w14:textId="359648B8" w:rsidR="00C01F94" w:rsidRPr="004811C9" w:rsidRDefault="009477A2" w:rsidP="00C01F94">
      <w:pPr>
        <w:spacing w:after="0" w:line="240" w:lineRule="auto"/>
        <w:jc w:val="both"/>
        <w:rPr>
          <w:rFonts w:cs="Times New Roman"/>
        </w:rPr>
      </w:pPr>
      <w:r w:rsidRPr="004811C9">
        <w:rPr>
          <w:rFonts w:cs="Times New Roman"/>
        </w:rPr>
        <w:t xml:space="preserve">As described above, the value of travel time savings (VTTS) quantifies the trade-off individuals are willing to make between time and money, reflecting the economic principle that time has an opportunity cost </w:t>
      </w:r>
      <w:r w:rsidRPr="004811C9">
        <w:rPr>
          <w:rFonts w:cs="Times New Roman"/>
        </w:rPr>
        <w:fldChar w:fldCharType="begin"/>
      </w:r>
      <w:r w:rsidRPr="004811C9">
        <w:rPr>
          <w:rFonts w:cs="Times New Roman"/>
        </w:rPr>
        <w:instrText xml:space="preserve"> ADDIN ZOTERO_ITEM CSL_CITATION {"citationID":"QAVpuzC3","properties":{"formattedCitation":"(Tveter, 2023)","plainCitation":"(Tveter, 2023)","noteIndex":0},"citationItems":[{"id":4822,"uris":["http://zotero.org/users/12832277/items/5G4DRIH3"],"itemData":{"id":4822,"type":"article-journal","abstract":"This paper suggests an alternative approach to estimate the value of travel time (VTT) savings, using a case study with exogenous variation in travel costs and data from automatic traffic counts (ATC). With this revealed preferences approach, we address a possible bias of VTT estimates because of self-selection. Compared to the VTT estimates used in transport appraisals, the results produce substantially higher estimates of VTT. Unfortunately, our analysis does allow us to distinguish the self-selection bias from other possible sources of bias. The cost of using ATC data is that there is no direct information regarding the motorists, and the analysis must be done using aggregated data at an hourly interval. Still, this alternative approach may complement the results with more detailed data.","container-title":"Transportation","DOI":"10.1007/s11116-022-10308-6","ISSN":"1572-9435","issue":"6","language":"en","page":"2273-2297","source":"Springer Link","title":"The Value of Travel Time: A Revealed Preferences Approach Using Exogenous Variation in Travel Costs and Automatic Traffic Count Data","volume":"50","author":[{"family":"Tveter","given":"Eivind"}],"issued":{"date-parts":[["2023",12,1]]}}}],"schema":"https://github.com/citation-style-language/schema/raw/master/csl-citation.json"} </w:instrText>
      </w:r>
      <w:r w:rsidRPr="004811C9">
        <w:rPr>
          <w:rFonts w:cs="Times New Roman"/>
        </w:rPr>
        <w:fldChar w:fldCharType="separate"/>
      </w:r>
      <w:r w:rsidRPr="004811C9">
        <w:rPr>
          <w:rFonts w:cs="Times New Roman"/>
        </w:rPr>
        <w:t>(Tveter, 2023)</w:t>
      </w:r>
      <w:r w:rsidRPr="004811C9">
        <w:rPr>
          <w:rFonts w:cs="Times New Roman"/>
        </w:rPr>
        <w:fldChar w:fldCharType="end"/>
      </w:r>
      <w:r w:rsidRPr="004811C9">
        <w:rPr>
          <w:rFonts w:cs="Times New Roman"/>
        </w:rPr>
        <w:t xml:space="preserve">. While many approaches have proxied VTTS by the wage rate, in recognition of the generally increased economic resources of higher-income individuals relative to temporal resources </w:t>
      </w:r>
      <w:r w:rsidRPr="004811C9">
        <w:rPr>
          <w:rFonts w:cs="Times New Roman"/>
        </w:rPr>
        <w:fldChar w:fldCharType="begin"/>
      </w:r>
      <w:r w:rsidR="00BA1900">
        <w:rPr>
          <w:rFonts w:cs="Times New Roman"/>
        </w:rPr>
        <w:instrText xml:space="preserve"> ADDIN ZOTERO_ITEM CSL_CITATION {"citationID":"Iqv1Ai6v","properties":{"formattedCitation":"(Becker, 1965; De Serpa, 1971)","plainCitation":"(Becker, 1965; De Serpa, 1971)","noteIndex":0},"citationItems":[{"id":4808,"uris":["http://zotero.org/users/12832277/items/E3WVYDQE"],"itemData":{"id":4808,"type":"article-journal","container-title":"The Economic Journal","DOI":"10.2307/2228949","ISSN":"0013-0133","issue":"299","page":"493-517","source":"Silverchair","title":"A Theory of the Allocation of Time","volume":"75","author":[{"family":"Becker","given":"Gary S."}],"issued":{"date-parts":[["1965",9,1]]}}},{"id":4800,"uris":["http://zotero.org/users/12832277/items/S572S4T2"],"itemData":{"id":4800,"type":"article-journal","container-title":"The Economic Journal","DOI":"10.2307/2230320","ISSN":"0013-0133","issue":"324","page":"828-846","source":"Silverchair","title":"A Theory of the Economics of Time","volume":"81","author":[{"family":"De Serpa","given":"A. C."}],"issued":{"date-parts":[["1971",12,1]]}}}],"schema":"https://github.com/citation-style-language/schema/raw/master/csl-citation.json"} </w:instrText>
      </w:r>
      <w:r w:rsidRPr="004811C9">
        <w:rPr>
          <w:rFonts w:cs="Times New Roman"/>
        </w:rPr>
        <w:fldChar w:fldCharType="separate"/>
      </w:r>
      <w:r w:rsidR="00BA1900" w:rsidRPr="00BA1900">
        <w:rPr>
          <w:rFonts w:cs="Times New Roman"/>
        </w:rPr>
        <w:t>(Becker, 1965; De Serpa, 1971)</w:t>
      </w:r>
      <w:r w:rsidRPr="004811C9">
        <w:rPr>
          <w:rFonts w:cs="Times New Roman"/>
        </w:rPr>
        <w:fldChar w:fldCharType="end"/>
      </w:r>
      <w:r w:rsidRPr="004811C9">
        <w:rPr>
          <w:rFonts w:cs="Times New Roman"/>
        </w:rPr>
        <w:t>,</w:t>
      </w:r>
      <w:r w:rsidR="0047106A" w:rsidRPr="004811C9">
        <w:rPr>
          <w:rFonts w:cs="Times New Roman"/>
        </w:rPr>
        <w:t xml:space="preserve"> research across diverse contexts has </w:t>
      </w:r>
      <w:r w:rsidR="0047106A" w:rsidRPr="004811C9">
        <w:rPr>
          <w:rFonts w:cs="Times New Roman"/>
        </w:rPr>
        <w:lastRenderedPageBreak/>
        <w:t>consistently demonstrated that VTTS is not uniform across population groups or travel contexts</w:t>
      </w:r>
      <w:r w:rsidR="00953528" w:rsidRPr="004811C9">
        <w:rPr>
          <w:rFonts w:cs="Times New Roman"/>
        </w:rPr>
        <w:t xml:space="preserve"> even after accounting for wage rate</w:t>
      </w:r>
      <w:r w:rsidR="00C14DA1">
        <w:rPr>
          <w:rFonts w:cs="Times New Roman"/>
        </w:rPr>
        <w:t xml:space="preserve"> </w:t>
      </w:r>
      <w:r w:rsidR="00E67821">
        <w:rPr>
          <w:rFonts w:cs="Times New Roman"/>
        </w:rPr>
        <w:fldChar w:fldCharType="begin"/>
      </w:r>
      <w:r w:rsidR="00590FD0">
        <w:rPr>
          <w:rFonts w:cs="Times New Roman"/>
        </w:rPr>
        <w:instrText xml:space="preserve"> ADDIN ZOTERO_ITEM CSL_CITATION {"citationID":"ebfe70CF","properties":{"unsorted":true,"formattedCitation":"(MVA Consultancy et al., 1987; Hague Consulting Group, 1990)","plainCitation":"(MVA Consultancy et al., 1987; Hague Consulting Group, 1990)","dontUpdate":true,"noteIndex":0},"citationItems":[{"id":5945,"uris":["http://zotero.org/users/12832277/items/JHXRATEC"],"itemData":{"id":5945,"type":"article-journal","container-title":"Policy Journals","publisher-place":"Newbury, Berks","title":"Value of Travel Time Savings","author":[{"family":"MVA Consultancy","given":""},{"family":"ITS University of Leeds","given":""},{"family":"TSU University of Oxford","given":""}],"issued":{"date-parts":[["1987"]]}}},{"id":5943,"uris":["http://zotero.org/users/12832277/items/ETUP2KGE"],"itemData":{"id":5943,"type":"report","abstract":"Summarises the planning, design and execution of a programme of research into travellers' willingness-to-pay for travel time savings in the Netherlands (Second Transport Structure Plan / SVV II). The report is set out in seven sections, commencing with an introduction. Section 2 deals with the ...","language":"nl","note":"Last Modified: 2023-01-17","number":"175160","publisher":"Rijkswaterstaat, Dienst Verkeerskunde","publisher-place":"The Hague.","title":"The Netherlands' \"Value of Time\" Study: Final Report","title-short":"The Netherlands' \"Value of Time\" Study","URL":"https://open.rijkswaterstaat.nl/@120703/the-netherlands-value-time-study-final/","author":[{"family":"Hague Consulting Group","given":""}],"accessed":{"date-parts":[["2026",1,29]]},"issued":{"date-parts":[["1990"]]}}}],"schema":"https://github.com/citation-style-language/schema/raw/master/csl-citation.json"} </w:instrText>
      </w:r>
      <w:r w:rsidR="00E67821">
        <w:rPr>
          <w:rFonts w:cs="Times New Roman"/>
        </w:rPr>
        <w:fldChar w:fldCharType="separate"/>
      </w:r>
      <w:r w:rsidR="006C2294" w:rsidRPr="006C2294">
        <w:rPr>
          <w:rFonts w:cs="Times New Roman"/>
        </w:rPr>
        <w:t>(</w:t>
      </w:r>
      <w:r w:rsidR="00B23A04">
        <w:rPr>
          <w:rFonts w:cs="Times New Roman"/>
        </w:rPr>
        <w:t xml:space="preserve">for a few foundational examples, see </w:t>
      </w:r>
      <w:r w:rsidR="006C2294" w:rsidRPr="006C2294">
        <w:rPr>
          <w:rFonts w:cs="Times New Roman"/>
        </w:rPr>
        <w:t>MVA Consultancy et al., 1987; Hague Consulting Group, 1990)</w:t>
      </w:r>
      <w:r w:rsidR="00E67821">
        <w:rPr>
          <w:rFonts w:cs="Times New Roman"/>
        </w:rPr>
        <w:fldChar w:fldCharType="end"/>
      </w:r>
      <w:r w:rsidR="002E4A9D" w:rsidRPr="004811C9">
        <w:rPr>
          <w:rFonts w:cs="Times New Roman"/>
        </w:rPr>
        <w:t xml:space="preserve">. </w:t>
      </w:r>
      <w:r w:rsidR="00601B8D" w:rsidRPr="004811C9">
        <w:rPr>
          <w:rFonts w:cs="Times New Roman"/>
        </w:rPr>
        <w:t xml:space="preserve">This </w:t>
      </w:r>
      <w:r w:rsidR="00953528" w:rsidRPr="004811C9">
        <w:rPr>
          <w:rFonts w:cs="Times New Roman"/>
        </w:rPr>
        <w:t xml:space="preserve">multi-dimensional </w:t>
      </w:r>
      <w:r w:rsidR="00601B8D" w:rsidRPr="004811C9">
        <w:rPr>
          <w:rFonts w:cs="Times New Roman"/>
        </w:rPr>
        <w:t xml:space="preserve">heterogeneity has important implications in practice, as individuals with different VTTS will respond differently to </w:t>
      </w:r>
      <w:r w:rsidR="00CD2981" w:rsidRPr="004811C9">
        <w:rPr>
          <w:rFonts w:cs="Times New Roman"/>
        </w:rPr>
        <w:t xml:space="preserve">interventions </w:t>
      </w:r>
      <w:r w:rsidR="00953528" w:rsidRPr="004811C9">
        <w:rPr>
          <w:rFonts w:cs="Times New Roman"/>
        </w:rPr>
        <w:t>such as</w:t>
      </w:r>
      <w:r w:rsidR="00CD2981" w:rsidRPr="004811C9">
        <w:rPr>
          <w:rFonts w:cs="Times New Roman"/>
        </w:rPr>
        <w:t xml:space="preserve"> priced lanes, and accrue different benefits from transportation investments. In fact, Kono et al. </w:t>
      </w:r>
      <w:r w:rsidR="00CD2981" w:rsidRPr="004811C9">
        <w:rPr>
          <w:rFonts w:cs="Times New Roman"/>
        </w:rPr>
        <w:fldChar w:fldCharType="begin"/>
      </w:r>
      <w:r w:rsidR="008345D7">
        <w:rPr>
          <w:rFonts w:cs="Times New Roman"/>
        </w:rPr>
        <w:instrText xml:space="preserve"> ADDIN ZOTERO_ITEM CSL_CITATION {"citationID":"EaIzTngH","properties":{"formattedCitation":"(2018)","plainCitation":"(2018)","noteIndex":0},"citationItems":[{"id":4853,"uris":["http://zotero.org/users/12832277/items/C8R6YAUM"],"itemData":{"id":4853,"type":"article-journal","abstract":"We show that constancy of value of time (VoT), which is assumed in generalized transport costs, can generate a significant bias in trip demand forecasts when travel time and travel fee change, because VoT endogenously changes in reality. Modeling shopping behaviors, we demonstrate that the change in trip demand through changes in travel time and travel fees differs even if the change in the travel fee is equivalent to the changes in the travel time in terms of generalized transport cost. This is because a decrease in travel time decreases VoT, whereas a decrease in travel fee increases VoT. Our simulation shows that the difference is large when there is a high substitutability between sites. This implies that demand estimation assuming a fixed VoT could be inadequate, and that it should treat VoT endogenously.","container-title":"Transportmetrica A: Transport Science","DOI":"10.1080/23249935.2017.1363316","ISSN":"2324-9935","issue":"3","note":"_eprint: https://doi.org/10.1080/23249935.2017.1363316","page":"192-209","publisher":"Taylor &amp; Francis","source":"Taylor and Francis+NEJM","title":"Limitations of Using Generalized Transport Costs to Estimate Changes in Trip Demand: A Bias Caused by the Endogenous Value of Time","volume":"14","author":[{"family":"Kono","given":"Tatsuhito"},{"family":"Kishi","given":"Akio"},{"family":"Seita","given":"Emishi"},{"family":"Yokoi","given":"Takahisa"}],"issued":{"date-parts":[["2018",3,16]]}},"label":"page","suppress-author":true}],"schema":"https://github.com/citation-style-language/schema/raw/master/csl-citation.json"} </w:instrText>
      </w:r>
      <w:r w:rsidR="00CD2981" w:rsidRPr="004811C9">
        <w:rPr>
          <w:rFonts w:cs="Times New Roman"/>
        </w:rPr>
        <w:fldChar w:fldCharType="separate"/>
      </w:r>
      <w:r w:rsidR="00CD2981" w:rsidRPr="004811C9">
        <w:rPr>
          <w:rFonts w:cs="Times New Roman"/>
        </w:rPr>
        <w:t>(2018)</w:t>
      </w:r>
      <w:r w:rsidR="00CD2981" w:rsidRPr="004811C9">
        <w:rPr>
          <w:rFonts w:cs="Times New Roman"/>
        </w:rPr>
        <w:fldChar w:fldCharType="end"/>
      </w:r>
      <w:r w:rsidR="00CD2981" w:rsidRPr="004811C9">
        <w:rPr>
          <w:rFonts w:cs="Times New Roman"/>
        </w:rPr>
        <w:t xml:space="preserve"> demonstrate that considering a </w:t>
      </w:r>
      <w:r w:rsidR="00953528" w:rsidRPr="004811C9">
        <w:rPr>
          <w:rFonts w:cs="Times New Roman"/>
        </w:rPr>
        <w:t>single across-the-board</w:t>
      </w:r>
      <w:r w:rsidR="00CD2981" w:rsidRPr="004811C9">
        <w:rPr>
          <w:rFonts w:cs="Times New Roman"/>
        </w:rPr>
        <w:t xml:space="preserve"> VTTS</w:t>
      </w:r>
      <w:r w:rsidR="00751802" w:rsidRPr="004811C9">
        <w:rPr>
          <w:rFonts w:cs="Times New Roman"/>
        </w:rPr>
        <w:t xml:space="preserve"> (ignoring that VTTS is a function of even one aspect of the travel context of a trip – in their case, trip travel time) </w:t>
      </w:r>
      <w:r w:rsidR="00CD2981" w:rsidRPr="004811C9">
        <w:rPr>
          <w:rFonts w:cs="Times New Roman"/>
        </w:rPr>
        <w:t xml:space="preserve">can lead to significant biases in </w:t>
      </w:r>
      <w:r w:rsidR="00751802" w:rsidRPr="004811C9">
        <w:rPr>
          <w:rFonts w:cs="Times New Roman"/>
        </w:rPr>
        <w:t xml:space="preserve">travel demand </w:t>
      </w:r>
      <w:r w:rsidR="00CD2981" w:rsidRPr="004811C9">
        <w:rPr>
          <w:rFonts w:cs="Times New Roman"/>
        </w:rPr>
        <w:t xml:space="preserve">forecasting. </w:t>
      </w:r>
      <w:r w:rsidR="00C01F94" w:rsidRPr="004811C9">
        <w:rPr>
          <w:rFonts w:cs="Times New Roman"/>
        </w:rPr>
        <w:t xml:space="preserve">Thus, a wide range of existing studies have examined how VTTS is dependent on </w:t>
      </w:r>
      <w:r w:rsidR="00F47BF9" w:rsidRPr="004811C9">
        <w:rPr>
          <w:rFonts w:cs="Times New Roman"/>
        </w:rPr>
        <w:t xml:space="preserve">individual sociodemographic characteristics and </w:t>
      </w:r>
      <w:r w:rsidR="00751802" w:rsidRPr="004811C9">
        <w:rPr>
          <w:rFonts w:cs="Times New Roman"/>
        </w:rPr>
        <w:t xml:space="preserve">different aspects of </w:t>
      </w:r>
      <w:r w:rsidR="00C01F94" w:rsidRPr="004811C9">
        <w:rPr>
          <w:rFonts w:cs="Times New Roman"/>
        </w:rPr>
        <w:t>the travel contex</w:t>
      </w:r>
      <w:r w:rsidR="009312CE" w:rsidRPr="004811C9">
        <w:rPr>
          <w:rFonts w:cs="Times New Roman"/>
        </w:rPr>
        <w:t>t</w:t>
      </w:r>
      <w:r w:rsidR="00C01F94" w:rsidRPr="004811C9">
        <w:rPr>
          <w:rFonts w:cs="Times New Roman"/>
        </w:rPr>
        <w:t xml:space="preserve">. </w:t>
      </w:r>
    </w:p>
    <w:p w14:paraId="50244E12" w14:textId="714B1898" w:rsidR="00F47BF9" w:rsidRPr="004811C9" w:rsidRDefault="004C6FAD" w:rsidP="00F050CC">
      <w:pPr>
        <w:spacing w:after="0" w:line="240" w:lineRule="auto"/>
        <w:jc w:val="both"/>
        <w:rPr>
          <w:rFonts w:cs="Times New Roman"/>
        </w:rPr>
      </w:pPr>
      <w:r w:rsidRPr="004811C9">
        <w:rPr>
          <w:rFonts w:cs="Times New Roman"/>
        </w:rPr>
        <w:tab/>
      </w:r>
      <w:r w:rsidR="00F47BF9" w:rsidRPr="004811C9">
        <w:rPr>
          <w:rFonts w:cs="Times New Roman"/>
        </w:rPr>
        <w:t xml:space="preserve">In terms of </w:t>
      </w:r>
      <w:r w:rsidR="00F47BF9" w:rsidRPr="004811C9">
        <w:rPr>
          <w:rFonts w:cs="Times New Roman"/>
          <w:u w:val="single"/>
        </w:rPr>
        <w:t>individual sociodemographic characteristics</w:t>
      </w:r>
      <w:r w:rsidR="00F47BF9" w:rsidRPr="004811C9">
        <w:rPr>
          <w:rFonts w:cs="Times New Roman"/>
        </w:rPr>
        <w:t xml:space="preserve">, income has been shown repeatedly to significantly influence VTTS </w:t>
      </w:r>
      <w:r w:rsidR="00F47BF9" w:rsidRPr="004811C9">
        <w:rPr>
          <w:rFonts w:cs="Times New Roman"/>
        </w:rPr>
        <w:fldChar w:fldCharType="begin"/>
      </w:r>
      <w:r w:rsidR="008345D7">
        <w:rPr>
          <w:rFonts w:cs="Times New Roman"/>
        </w:rPr>
        <w:instrText xml:space="preserve"> ADDIN ZOTERO_ITEM CSL_CITATION {"citationID":"NraL3GrL","properties":{"unsorted":true,"formattedCitation":"(Jara-Diaz and Guevara, 2003; B\\uc0\\u246{}rjesson et al., 2012; Athira et al., 2016; Binsuwadan et al., 2023)","plainCitation":"(Jara-Diaz and Guevara, 2003; Börjesson et al., 2012; Athira et al., 2016; Binsuwadan et al., 2023)","dontUpdate":true,"noteIndex":0},"citationItems":[{"id":4908,"uris":["http://zotero.org/users/12832277/items/TZ95435N"],"itemData":{"id":4908,"type":"article-journal","abstract":"Many travel choice models estimated throughout the world have been used to calculate the full value of travel time savings. Its components, however, have never been estimated quantitatively. This article takes into consideration the fact that travel (mode) choice and activity demand models come from a common microeconomic framework such that their specifications are linked. The authors show that estimating both types of models from the same population makes it possible to obtain all components of the subjective value of travel time savings empirically because the models share some common parameters. This novel approach is experimentally applied using information on travel choices and homework activities for two income groups collected in Santiago, Chile.","container-title":"Journal of Transport Economics and Policy (JTEP)","issue":"1","page":"29-46","source":"IngentaConnect","title":"Behind the Subjective Value of Travel Time Savings","volume":"37","author":[{"family":"Jara-Diaz","given":"Sergio R."},{"family":"Guevara","given":"Cristián A."}],"issued":{"date-parts":[["2003",1,1]]}}},{"id":4910,"uris":["http://zotero.org/users/12832277/items/7Y2Z6KL9"],"itemData":{"id":4910,"type":"article-journal","abstract":"Transport infrastructure is long-term and in appraisal it is necessary to value travel time savings for future years. This requires knowing how the value of time (VTT) will develop over time as incomes grow. This paper investigates if the cross-sectional income elasticity of the VTT is equal to inter-temporal income elasticity. The study is based on two identical stated choice experiments conducted with a 13year interval. Results indicate that the relationship between income and the VTT in the cross-section has remained unchanged over time. As a consequence, the inter-temporal income elasticity of the VTT can be predicted based on cross-sectional income elasticity. However, the income elasticity of the VTT is not a constant but increases with income. For this reason, the average income elasticity of the VTT in the cross-sections has increased between the two survey years and can be expected to increase further over time.","container-title":"Transportation Research Part A: Policy and Practice","DOI":"10.1016/j.tra.2011.10.007","ISSN":"0965-8564","issue":"2","page":"368-377","source":"ScienceDirect","title":"On the Income Elasticity of the Value of Travel Time","volume":"46","author":[{"family":"Börjesson","given":"Maria"},{"family":"Fosgerau","given":"Mogens"},{"family":"Algers","given":"Staffan"}],"issued":{"date-parts":[["2012",2,1]]}}},{"id":4539,"uris":["http://zotero.org/users/12832277/items/IIMREUBE"],"itemData":{"id":4539,"type":"paper-conference","abstract":"Value of travel time (VOT) is one of the key inputs to travel demand models and is important for management and appraisal of transport investment decisions. The value of travel time can be defined as the price people are willing to pay to acquire an additional unit of time. Value of travel time has most often been determined by estimating mode choice models and evaluating marginal rate of substitution between the cost and travel time of the alternative modes. This study is aimed to find out the value of travel time associated with work trips of travellers within Calicut city. It refers to the concept of willingness to pay for reduction of travel time. Data were collected by means of combined revealed - stated preference survey on representative sample of population in Calicut city by work place interview. Stated preference experiment was designed to capture the responses for estimating VOT values for work trips. Responses in the form of “choice” among the presented choice alternatives were utilized to develop utility models and the estimated coefficients from the developed models were used to estimate VOT measures. The results indicate that the VOT associated with work trips is higher in high income groups. As income increases VOT also increases. Similarly, trip length also has a positive influence on VOT. As trip length increases, VOT increases. Within the same trip length itself, VOT varies among different income groups.","container-title":"Transportation Research Procedia","DOI":"10.1016/j.trpro.2016.11.067","event-title":"International Conference on Transportation Planning and Implementation Methodologies for Developing Countries (12th TPMDC)","page":"116-123","publisher-place":"IIT Bombay, Mumbai, India","source":"ScienceDirect","title":"Estimation of Value of Travel Time for Work Trips","URL":"https://www.sciencedirect.com/science/article/pii/S2352146516306810","volume":"17","author":[{"family":"Athira","given":"I. C."},{"family":"Muneera","given":"C. P."},{"family":"Krishnamurthy","given":"K."},{"family":"Anjaneyulu","given":"M. V. L. R."}],"accessed":{"date-parts":[["2025",5,15]]},"issued":{"date-parts":[["2016",1,1]]}}},{"id":4794,"uris":["http://zotero.org/users/12832277/items/2U8QUE82"],"itemData":{"id":4794,"type":"article-journal","abstract":"The value of travel time savings (VTTS) is an important concept used in cost-benefit analyses for project appraisals and demand modelling in the transport sector. The relationship between the VTTS and income is particularly important since it underpins how official VTTS recommendations are uplifted over time as incomes grow. The income elasticity of VTTS has been investigated in many empirical studies, exhibiting considerable variation across them. Notably, repeat studies tend to find the lowest implied income effects and meta-analyses the largest income elasticities, with those obtained from cross-sectional inter-personal comparisons somewhere between. This paper aims to explain the VTTS variation in terms of an individual's or household's income level by using the meta-analysis technique. The analysis covers 268 income elasticities of the VTTS extracted from 49 studies conducted from 1968 to 2019 in countries across the globe. The meta-analysis method determines the factors that influence these income elasticity variations. The results of the meta-model highlight that the variation of the income elasticity is explained by several factors, including income levels, the transport mode, personal or household income, inter-temporal or cross-sectional elasticity, journey purpose and year of the survey, shedding light on how the VTTS income elasticity varies across different sources.","container-title":"Transport Policy","DOI":"10.1016/j.tranpol.2023.03.013","ISSN":"0967-070X","page":"126-136","source":"ScienceDirect","title":"The Income Elasticity of the Value of Travel Time Savings: A Meta-Analysis","volume":"136","author":[{"family":"Binsuwadan","given":"Jawaher"},{"family":"Wardman","given":"Mark"},{"family":"Jong","given":"Gerard","non-dropping-particle":"de"},{"family":"Batley","given":"Richard"},{"family":"Wheat","given":"Phill"}],"issued":{"date-parts":[["2023",6,1]]}}}],"schema":"https://github.com/citation-style-language/schema/raw/master/csl-citation.json"} </w:instrText>
      </w:r>
      <w:r w:rsidR="00F47BF9" w:rsidRPr="004811C9">
        <w:rPr>
          <w:rFonts w:cs="Times New Roman"/>
        </w:rPr>
        <w:fldChar w:fldCharType="separate"/>
      </w:r>
      <w:r w:rsidR="00F47BF9" w:rsidRPr="004811C9">
        <w:rPr>
          <w:rFonts w:cs="Times New Roman"/>
          <w:kern w:val="0"/>
        </w:rPr>
        <w:t>(see, for example, Jara-Diaz and Guevara, 2003; Börjesson et al., 2012; Athira et al., 2016; Binsuwadan et al., 2023)</w:t>
      </w:r>
      <w:r w:rsidR="00F47BF9" w:rsidRPr="004811C9">
        <w:rPr>
          <w:rFonts w:cs="Times New Roman"/>
        </w:rPr>
        <w:fldChar w:fldCharType="end"/>
      </w:r>
      <w:r w:rsidR="00F47BF9" w:rsidRPr="004811C9">
        <w:rPr>
          <w:rFonts w:cs="Times New Roman"/>
        </w:rPr>
        <w:t xml:space="preserve">. However, a much broader range of factors have also been found to affect VTTS, including characteristics such as age, gender, and level of educational attainment </w:t>
      </w:r>
      <w:r w:rsidR="00F47BF9" w:rsidRPr="004811C9">
        <w:rPr>
          <w:rFonts w:cs="Times New Roman"/>
        </w:rPr>
        <w:fldChar w:fldCharType="begin"/>
      </w:r>
      <w:r w:rsidR="008345D7">
        <w:rPr>
          <w:rFonts w:cs="Times New Roman"/>
        </w:rPr>
        <w:instrText xml:space="preserve"> ADDIN ZOTERO_ITEM CSL_CITATION {"citationID":"xJkulQQk","properties":{"unsorted":true,"formattedCitation":"(Kim and Yook, 2018; Bouscasse and de Lapparent, 2019; Fournier and Christofa, 2021)","plainCitation":"(Kim and Yook, 2018; Bouscasse and de Lapparent, 2019; Fournier and Christofa, 2021)","noteIndex":0},"citationItems":[{"id":4810,"uris":["http://zotero.org/users/12832277/items/7NVNPBNS"],"itemData":{"id":4810,"type":"article-journal","abstract":"This study analyzes how the benefit assessment of roadway investment projects changes when VOT is applied according to trip length. In the theoretical study of VOT variation with respect to trip length, it was found that VOT could be changed by various effects while the direction could not be determined. Yet, the study was able to summarize that most of the empirical studies demonstrate a phenomenon of an increase in trip length. Based on the survey results in Korea, this study compares the case of applying VOT by trip length, the case of using the existing method of fixed VOT, and the results of the benefit calculation. The comparison indicates that applying the differentiated VOT by trip length tends to increase the benefit, however, the benefit yielded is not always higher than applying the fixed VOT, due to the different spatial distributions of travel demand associated with each project.","container-title":"Transport Policy","DOI":"10.1016/j.tranpol.2018.04.003","ISSN":"0967-070X","page":"28-36","source":"ScienceDirect","title":"Enhancing the Economic Benefit Assessment of Roadway Investment Through the Application of Value of Time by Trip Length","volume":"68","author":[{"family":"Kim","given":"Nam Seok"},{"family":"Yook","given":"Donghyung"}],"issued":{"date-parts":[["2018",9,30]]}}},{"id":4804,"uris":["http://zotero.org/users/12832277/items/ZMM6A7D6"],"itemData":{"id":4804,"type":"article-journal","abstract":"Based on choice experiments conducted in the Rhône-Alpes Region (France), we estimate an Integrated Choice and Latent Variable model that addresses heterogeneity in values of interurban travel time. We evaluate how sensitivity to travel time by public transport is distributed according to the level of comfort. Comfort is modeled as a function of objective attributes and individual perceptions about it: whether a seat is guaranteed, quality of trip experience (feelings experienced), (perceived) use of travel time during the trip, and overall ease of using public transport (perceived behavioral control). The results show that the last two play a significant role in the choice of a public transport mode and that the value of time function is downward sloping with higher levels of objective and perceived comfort. We discuss public policy implications and show that the most effective measure, in terms of economic benefits, would be to optimize and target investments in seat capacity supply.","container-title":"Transportation Research Part A: Policy and Practice","DOI":"10.1016/j.tra.2019.04.006","ISSN":"0965-8564","page":"370-387","source":"ScienceDirect","title":"Perceived Comfort and Values of Travel Time Savings in the Rhône-Alpes Region","volume":"124","author":[{"family":"Bouscasse","given":"Hélène"},{"family":"Lapparent","given":"Matthieu","non-dropping-particle":"de"}],"issued":{"date-parts":[["2019",6,1]]}}},{"id":4514,"uris":["http://zotero.org/users/12832277/items/VBN9PAKJ"],"itemData":{"id":4514,"type":"article-journal","abstract":"The value of time (VOT) is a fundamental component used in transportation modeling, policy analysis, and economic appraisal. Decades of research and practice have empirically estimated the VOT across many factors (e.g., mode, purpose, time, comfort, etc.), yet little is known about its underlying form. Although it is well established that VOT can vary, it is still unclear whether patterns exist in this variation. The objective of this paper is not to merely estimate the VOT, but to model the VOT across multiple continuous and interacting variables. The purpose is to reveal its functional form with respect to mode, age, gender, purpose, income, and time of day to provide a generalizable understanding for future research and practice. Such an understanding can help develop simpler models and reduce the need for bespoke estimations for every conceivable variable perturbation. This research utilized a household travel survey containing 14,159 reported trips with imputed travel time and costs for the alternative mode choices. The average overall estimated VOT is 40.32 $/h, with results showing VOT varying log-linearly with income and trip distance, but following a Gaussian function (normal curve) with age. Overall, the results show that travel distance dominates VOT variation, which increases exponentially at a rate that is 3.61 times higher per mile of distance than per $10,000 of income, and that VOT by age peaks at age 54. This basic understanding of how the VOT varies sets the foundation for answering the subsequent question for why it might vary.","container-title":"Transportation Research Record","DOI":"10.1177/0361198120966603","ISSN":"0361-1981","issue":"3","language":"EN","page":"122-135","publisher":"SAGE Publications Inc","source":"SAGE Journals","title":"On the Impact of Income, Age, and Travel Distance on the Value of Time","volume":"2675","author":[{"family":"Fournier","given":"Nicholas"},{"family":"Christofa","given":"Eleni"}],"issued":{"date-parts":[["2021",3,1]]}}}],"schema":"https://github.com/citation-style-language/schema/raw/master/csl-citation.json"} </w:instrText>
      </w:r>
      <w:r w:rsidR="00F47BF9" w:rsidRPr="004811C9">
        <w:rPr>
          <w:rFonts w:cs="Times New Roman"/>
        </w:rPr>
        <w:fldChar w:fldCharType="separate"/>
      </w:r>
      <w:r w:rsidR="00F47BF9" w:rsidRPr="004811C9">
        <w:rPr>
          <w:rFonts w:cs="Times New Roman"/>
        </w:rPr>
        <w:t>(Kim and Yook, 2018; Bouscasse and de Lapparent, 2019; Fournier and Christofa, 2021)</w:t>
      </w:r>
      <w:r w:rsidR="00F47BF9" w:rsidRPr="004811C9">
        <w:rPr>
          <w:rFonts w:cs="Times New Roman"/>
        </w:rPr>
        <w:fldChar w:fldCharType="end"/>
      </w:r>
      <w:r w:rsidR="00F47BF9" w:rsidRPr="004811C9">
        <w:rPr>
          <w:rFonts w:cs="Times New Roman"/>
        </w:rPr>
        <w:t xml:space="preserve">. In an Indian setting, Karmarkar et al. </w:t>
      </w:r>
      <w:r w:rsidR="00F47BF9" w:rsidRPr="004811C9">
        <w:rPr>
          <w:rFonts w:cs="Times New Roman"/>
        </w:rPr>
        <w:fldChar w:fldCharType="begin"/>
      </w:r>
      <w:r w:rsidR="00F47BF9" w:rsidRPr="004811C9">
        <w:rPr>
          <w:rFonts w:cs="Times New Roman"/>
        </w:rPr>
        <w:instrText xml:space="preserve"> ADDIN ZOTERO_ITEM CSL_CITATION {"citationID":"4TWHJhU9","properties":{"formattedCitation":"(2023)","plainCitation":"(2023)","noteIndex":0},"citationItems":[{"id":4797,"uris":["http://zotero.org/users/12832277/items/CINQA7QV"],"itemData":{"id":4797,"type":"article-journal","abstract":"India is constructing its first High Speed Railway (HSR) corridor between Mumbai and Ahmedabad, which is expected to reduce inter-city travel times significantly. However, the affordability of these reductions in travel time is still questionable for a developing country like India. This study analyses the existing conventional train travellers’ Willingness to Pay (WTP) for reduced travel time due to HSR. A questionnaire-based combined RP-SP survey was conducted in Mumbai to capture respondents’ travel details, socioeconomic status and Stated Preference choices. The modified open-ended contingent valuation method and binary logistic regression modelling methods were used for data collection and modelling, respectively. Differential Utility Weighted Mean WTP was calculated for multiple socioeconomic cohorts. It was found that travellers are willing to pay an average INR 300 (as on March 2020) over and above their current travel cost for every hour of travel time saving. The ideal fare range that travellers are willing to pay is between INR 3.25/km to INR 5.25/km. Low-income travellers, occasional travellers, those travelling in a group, and those on social trips had the lowest WTP values in their cohorts. On the contrary, regular business travellers with high incomes had the highest WTP. Analysis showed that the WTP of individuals decreases with the increasing no. of co-passengers and with the increasing comfort of competing modes. The future HSR in India needs a group ticket discount of 10% and an average 25% subsidy on monthly passes to make HSR more attractive for commuters and those travelling with families. This research would help draft the HSR operational policies for subsidies, stronger inter-modal competition, loss minimisation for conventional trains and ridership forecasts.","container-title":"Case Studies on Transport Policy","DOI":"10.1016/j.cstp.2023.100974","ISSN":"2213-624X","page":"100974","source":"ScienceDirect","title":"Willingness to Pay for Reduced Travel Time: Case Study of Mumbai - Ahmedabad High Speed Railway","volume":"12","author":[{"family":"Karmarkar","given":"Omkar Deepak"},{"family":"Jana","given":"Arnab"},{"family":"Velaga","given":"Nagendra R."}],"issued":{"date-parts":[["2023",6,1]]}},"label":"page","suppress-author":true}],"schema":"https://github.com/citation-style-language/schema/raw/master/csl-citation.json"} </w:instrText>
      </w:r>
      <w:r w:rsidR="00F47BF9" w:rsidRPr="004811C9">
        <w:rPr>
          <w:rFonts w:cs="Times New Roman"/>
        </w:rPr>
        <w:fldChar w:fldCharType="separate"/>
      </w:r>
      <w:r w:rsidR="00F47BF9" w:rsidRPr="004811C9">
        <w:rPr>
          <w:rFonts w:cs="Times New Roman"/>
        </w:rPr>
        <w:t>(2023)</w:t>
      </w:r>
      <w:r w:rsidR="00F47BF9" w:rsidRPr="004811C9">
        <w:rPr>
          <w:rFonts w:cs="Times New Roman"/>
        </w:rPr>
        <w:fldChar w:fldCharType="end"/>
      </w:r>
      <w:r w:rsidR="00F47BF9" w:rsidRPr="004811C9">
        <w:rPr>
          <w:rFonts w:cs="Times New Roman"/>
        </w:rPr>
        <w:t xml:space="preserve"> evaluated VTTS for high-speed rail (HSR) travel, noting substantial heterogeneity based on income levels and age, as well as on the presence of accompanying passengers. </w:t>
      </w:r>
    </w:p>
    <w:p w14:paraId="00296545" w14:textId="06BA752C" w:rsidR="00F050CC" w:rsidRPr="004811C9" w:rsidRDefault="004C6FAD" w:rsidP="00661762">
      <w:pPr>
        <w:spacing w:after="0" w:line="240" w:lineRule="auto"/>
        <w:ind w:firstLine="720"/>
        <w:jc w:val="both"/>
        <w:rPr>
          <w:rFonts w:cs="Times New Roman"/>
        </w:rPr>
      </w:pPr>
      <w:r w:rsidRPr="004811C9">
        <w:rPr>
          <w:rFonts w:cs="Times New Roman"/>
        </w:rPr>
        <w:t xml:space="preserve">In </w:t>
      </w:r>
      <w:r w:rsidR="00751802" w:rsidRPr="004811C9">
        <w:rPr>
          <w:rFonts w:cs="Times New Roman"/>
        </w:rPr>
        <w:t xml:space="preserve">terms of </w:t>
      </w:r>
      <w:r w:rsidR="00F47BF9" w:rsidRPr="004811C9">
        <w:rPr>
          <w:rFonts w:cs="Times New Roman"/>
        </w:rPr>
        <w:t xml:space="preserve">an emphasis on </w:t>
      </w:r>
      <w:r w:rsidR="00751802" w:rsidRPr="004811C9">
        <w:rPr>
          <w:rFonts w:cs="Times New Roman"/>
          <w:u w:val="single"/>
        </w:rPr>
        <w:t>travel context</w:t>
      </w:r>
      <w:r w:rsidRPr="004811C9">
        <w:rPr>
          <w:rFonts w:cs="Times New Roman"/>
        </w:rPr>
        <w:t>,</w:t>
      </w:r>
      <w:r w:rsidR="008643A3">
        <w:rPr>
          <w:rFonts w:cs="Times New Roman"/>
        </w:rPr>
        <w:t xml:space="preserve"> mode and trip purpose are </w:t>
      </w:r>
      <w:r w:rsidR="00E46EA1">
        <w:rPr>
          <w:rFonts w:cs="Times New Roman"/>
        </w:rPr>
        <w:t>commonly considered travel context variables considered to influence VTTS</w:t>
      </w:r>
      <w:r w:rsidR="000E7998">
        <w:rPr>
          <w:rFonts w:cs="Times New Roman"/>
        </w:rPr>
        <w:t xml:space="preserve">, and variations based on these variables are more readily applied in practice than </w:t>
      </w:r>
      <w:r w:rsidR="003B1D21">
        <w:rPr>
          <w:rFonts w:cs="Times New Roman"/>
        </w:rPr>
        <w:t>those based on sociodemographic characteristics or other types of travel context variables</w:t>
      </w:r>
      <w:r w:rsidR="00B313FF">
        <w:rPr>
          <w:rFonts w:cs="Times New Roman"/>
        </w:rPr>
        <w:t xml:space="preserve"> </w:t>
      </w:r>
      <w:r w:rsidR="00B313FF">
        <w:rPr>
          <w:rFonts w:cs="Times New Roman"/>
        </w:rPr>
        <w:fldChar w:fldCharType="begin"/>
      </w:r>
      <w:r w:rsidR="00D73A5B">
        <w:rPr>
          <w:rFonts w:cs="Times New Roman"/>
        </w:rPr>
        <w:instrText xml:space="preserve"> ADDIN ZOTERO_ITEM CSL_CITATION {"citationID":"myBcIpxC","properties":{"unsorted":true,"formattedCitation":"(Batley et al., 2019; Wardman et al., 2023; Hartwig et al., 2024)","plainCitation":"(Batley et al., 2019; Wardman et al., 2023; Hartwig et al., 2024)","noteIndex":0},"citationItems":[{"id":5946,"uris":["http://zotero.org/users/12832277/items/EUZM5NHK"],"itemData":{"id":5946,"type":"article-journal","abstract":"This paper provides an overview of the study ‘Provision of market research for value of time savings and reliability’ undertaken by the Arup/ITS Leeds/Accent consortium for the UK Department for Transport (DfT). The paper summarises recommendations for revised national average values of in-vehicle travel time savings, reliability and time-related quality (e.g. crowding and congestion), which were developed using willingness-to-pay (WTP) methods, for a range of modes, and covering both business and non-work travel purposes. The paper examines variation in these values by characteristics of the traveller and trip, and offers insights into the uncertainties around the values, especially through the calculation of confidence intervals. With regards to non-work, our recommendations entail an increase of around 50% in values for commute, but a reduction of around 25% for other non-work—relative to previous DfT ‘WebTAG’ guidance. With regards to business, our recommendations are based on WTP, and thus represent a methodological shift away from the cost saving approach (CSA) traditionally used in WebTAG. These WTP-based business values show marked variation by distance; for trips of less than 20 miles, values are around 75% lower than previous WebTAG values; for trips of around 100 miles, WTP-based values are comparable to previous WebTAG; and for longer trips still, WTP-based values exceed those previously in WebTAG.","container-title":"Transportation","DOI":"10.1007/s11116-017-9798-7","ISSN":"1572-9435","issue":"3","journalAbbreviation":"Transportation","language":"en","page":"583-621","source":"Springer Link","title":"New Appraisal Values of Travel Time Saving and Reliability in Great Britain","volume":"46","author":[{"family":"Batley","given":"Richard"},{"family":"Bates","given":"John"},{"family":"Bliemer","given":"Michiel"},{"family":"Börjesson","given":"Maria"},{"family":"Bourdon","given":"Jeremy"},{"family":"Cabral","given":"Manuel Ojeda"},{"family":"Chintakayala","given":"Phani Kumar"},{"family":"Choudhury","given":"Charisma"},{"family":"Daly","given":"Andrew"},{"family":"Dekker","given":"Thijs"},{"family":"Drivyla","given":"Efie"},{"family":"Fowkes","given":"Tony"},{"family":"Hess","given":"Stephane"},{"family":"Heywood","given":"Chris"},{"family":"Johnson","given":"Daniel"},{"family":"Laird","given":"James"},{"family":"Mackie","given":"Peter"},{"family":"Parkin","given":"John"},{"family":"Sanders","given":"Stefan"},{"family":"Sheldon","given":"Rob"},{"family":"Wardman","given":"Mark"},{"family":"Worsley","given":"Tom"}],"issued":{"date-parts":[["2019",6,1]]}}},{"id":4885,"uris":["http://zotero.org/users/12832277/items/89MHENGL"],"itemData":{"id":4885,"type":"article-journal","container-title":"World Bank, Washington, DC","source":"Google Scholar","title":"Meta-analysis of the Value of Travel Time Savings in Low-and Middle-Income Countries","URL":"https://documents1.worldbank.org/curated/en/099032124211022462/pdf/P1775471cf971e0ee1becd1a1faab55d1d7.pdf","author":[{"family":"Wardman","given":"Mark"},{"family":"Neki","given":"Kazuyuki"},{"family":"Humphreys","given":"Richard Martin"}],"accessed":{"date-parts":[["2025",7,17]]},"issued":{"date-parts":[["2023"]]}}},{"id":4897,"uris":["http://zotero.org/users/12832277/items/U86NTTK6"],"itemData":{"id":4897,"type":"article-journal","abstract":"There is ample evidence that the VTTS of public transport (PT) users is lower than that of car drivers and dropped further in recent years. One reason could be the better conditions for multitasking in PT, which improve continuously with the availability of mobile information and communication technologies. While this was addressed in several stated preference studies, revealed preference studies are scarce. None of them estimated the effect of multitasking on the VTTS and how this effect depends on activity types and travel modes. We estimate the effect of multitasking on the VTTS of PT users and car drivers using revealed preference data from a weeklong mobility and activity survey in Austria. Multitasking activities were allocated to two levels depending on whether they can be performed while driving (level 1) or not (level 2). In our two-stage modelling approach, stage 1 predicts the multitasking behaviour in non-chosen modes, while stage 2 uses these predictions to estimate the effect of multitasking on the VTTS using a mode choice model as utility framework. We find that the VTTS of PT users is lower than that of car drivers even without multitasking (5.50 vs. 14.32 €/h) and further drops with different levels of multitasking (3.95 and 3.35 €/h for levels 1 and 2), whereas the VTTS of car drivers drops only insignificantly to 14.05 €/h with level 1multitasking. The results emphasise the importance of good multitasking conditions alongside fast connections for the choice of PT.","container-title":"Travel Behaviour and Society","DOI":"10.1016/j.tbs.2023.100700","ISSN":"2214-367X","page":"100700","source":"ScienceDirect","title":"Decomposing Mode-Specific Values of Travel Time Savings with Respect to Different Levels of Travel-Based Multitasking: A Revealed Preference Study","volume":"34","author":[{"family":"Hartwig","given":"Lukas"},{"family":"Gühnemann","given":"Astrid"},{"family":"Hössinger","given":"Reinhard"}],"issued":{"date-parts":[["2024",1,1]]}}}],"schema":"https://github.com/citation-style-language/schema/raw/master/csl-citation.json"} </w:instrText>
      </w:r>
      <w:r w:rsidR="00B313FF">
        <w:rPr>
          <w:rFonts w:cs="Times New Roman"/>
        </w:rPr>
        <w:fldChar w:fldCharType="separate"/>
      </w:r>
      <w:r w:rsidR="00D73A5B" w:rsidRPr="00D73A5B">
        <w:rPr>
          <w:rFonts w:cs="Times New Roman"/>
        </w:rPr>
        <w:t>(Batley et al., 2019; Wardman et al., 2023; Hartwig et al., 2024)</w:t>
      </w:r>
      <w:r w:rsidR="00B313FF">
        <w:rPr>
          <w:rFonts w:cs="Times New Roman"/>
        </w:rPr>
        <w:fldChar w:fldCharType="end"/>
      </w:r>
      <w:r w:rsidR="00E46EA1">
        <w:rPr>
          <w:rFonts w:cs="Times New Roman"/>
        </w:rPr>
        <w:t>. Beyond these,</w:t>
      </w:r>
      <w:r w:rsidRPr="004811C9">
        <w:rPr>
          <w:rFonts w:cs="Times New Roman"/>
        </w:rPr>
        <w:t xml:space="preserve"> Bouscasse and de Lapparent </w:t>
      </w:r>
      <w:r w:rsidRPr="004811C9">
        <w:rPr>
          <w:rFonts w:cs="Times New Roman"/>
        </w:rPr>
        <w:fldChar w:fldCharType="begin"/>
      </w:r>
      <w:r w:rsidRPr="004811C9">
        <w:rPr>
          <w:rFonts w:cs="Times New Roman"/>
        </w:rPr>
        <w:instrText xml:space="preserve"> ADDIN ZOTERO_ITEM CSL_CITATION {"citationID":"MRuHyb7w","properties":{"formattedCitation":"(2019)","plainCitation":"(2019)","noteIndex":0},"citationItems":[{"id":4804,"uris":["http://zotero.org/users/12832277/items/ZMM6A7D6"],"itemData":{"id":4804,"type":"article-journal","abstract":"Based on choice experiments conducted in the Rhône-Alpes Region (France), we estimate an Integrated Choice and Latent Variable model that addresses heterogeneity in values of interurban travel time. We evaluate how sensitivity to travel time by public transport is distributed according to the level of comfort. Comfort is modeled as a function of objective attributes and individual perceptions about it: whether a seat is guaranteed, quality of trip experience (feelings experienced), (perceived) use of travel time during the trip, and overall ease of using public transport (perceived behavioral control). The results show that the last two play a significant role in the choice of a public transport mode and that the value of time function is downward sloping with higher levels of objective and perceived comfort. We discuss public policy implications and show that the most effective measure, in terms of economic benefits, would be to optimize and target investments in seat capacity supply.","container-title":"Transportation Research Part A: Policy and Practice","DOI":"10.1016/j.tra.2019.04.006","ISSN":"0965-8564","page":"370-387","source":"ScienceDirect","title":"Perceived Comfort and Values of Travel Time Savings in the Rhône-Alpes Region","volume":"124","author":[{"family":"Bouscasse","given":"Hélène"},{"family":"Lapparent","given":"Matthieu","non-dropping-particle":"de"}],"issued":{"date-parts":[["2019",6,1]]}},"label":"page","suppress-author":true}],"schema":"https://github.com/citation-style-language/schema/raw/master/csl-citation.json"} </w:instrText>
      </w:r>
      <w:r w:rsidRPr="004811C9">
        <w:rPr>
          <w:rFonts w:cs="Times New Roman"/>
        </w:rPr>
        <w:fldChar w:fldCharType="separate"/>
      </w:r>
      <w:r w:rsidRPr="004811C9">
        <w:rPr>
          <w:rFonts w:cs="Times New Roman"/>
        </w:rPr>
        <w:t>(2019)</w:t>
      </w:r>
      <w:r w:rsidRPr="004811C9">
        <w:rPr>
          <w:rFonts w:cs="Times New Roman"/>
        </w:rPr>
        <w:fldChar w:fldCharType="end"/>
      </w:r>
      <w:r w:rsidRPr="004811C9">
        <w:rPr>
          <w:rFonts w:cs="Times New Roman"/>
        </w:rPr>
        <w:t xml:space="preserve"> </w:t>
      </w:r>
      <w:r w:rsidR="00F47BF9" w:rsidRPr="004811C9">
        <w:rPr>
          <w:rFonts w:cs="Times New Roman"/>
        </w:rPr>
        <w:t>observed</w:t>
      </w:r>
      <w:r w:rsidRPr="004811C9">
        <w:rPr>
          <w:rFonts w:cs="Times New Roman"/>
        </w:rPr>
        <w:t xml:space="preserve"> that perceived ease of travel and positive emotional experience</w:t>
      </w:r>
      <w:r w:rsidR="00F47BF9" w:rsidRPr="004811C9">
        <w:rPr>
          <w:rFonts w:cs="Times New Roman"/>
        </w:rPr>
        <w:t>s</w:t>
      </w:r>
      <w:r w:rsidRPr="004811C9">
        <w:rPr>
          <w:rFonts w:cs="Times New Roman"/>
        </w:rPr>
        <w:t xml:space="preserve"> </w:t>
      </w:r>
      <w:r w:rsidR="00F47BF9" w:rsidRPr="004811C9">
        <w:rPr>
          <w:rFonts w:cs="Times New Roman"/>
        </w:rPr>
        <w:t xml:space="preserve">during travel </w:t>
      </w:r>
      <w:r w:rsidRPr="004811C9">
        <w:rPr>
          <w:rFonts w:cs="Times New Roman"/>
        </w:rPr>
        <w:t xml:space="preserve">can reduce </w:t>
      </w:r>
      <w:r w:rsidR="00847406" w:rsidRPr="004811C9">
        <w:rPr>
          <w:rFonts w:cs="Times New Roman"/>
        </w:rPr>
        <w:t>VTTS</w:t>
      </w:r>
      <w:r w:rsidRPr="004811C9">
        <w:rPr>
          <w:rFonts w:cs="Times New Roman"/>
        </w:rPr>
        <w:t xml:space="preserve"> (especially on public transport)</w:t>
      </w:r>
      <w:r w:rsidR="00751802" w:rsidRPr="004811C9">
        <w:rPr>
          <w:rFonts w:cs="Times New Roman"/>
        </w:rPr>
        <w:t xml:space="preserve">. Similarly, Meunier and Quinet </w:t>
      </w:r>
      <w:r w:rsidR="00661762" w:rsidRPr="004811C9">
        <w:rPr>
          <w:rFonts w:cs="Times New Roman"/>
        </w:rPr>
        <w:fldChar w:fldCharType="begin"/>
      </w:r>
      <w:r w:rsidR="00661762" w:rsidRPr="004811C9">
        <w:rPr>
          <w:rFonts w:cs="Times New Roman"/>
        </w:rPr>
        <w:instrText xml:space="preserve"> ADDIN ZOTERO_ITEM CSL_CITATION {"citationID":"eMIzXdjj","properties":{"formattedCitation":"(2015)","plainCitation":"(2015)","noteIndex":0},"citationItems":[{"id":4816,"uris":["http://zotero.org/users/12832277/items/RD68S6Z6"],"itemData":{"id":4816,"type":"article-journal","abstract":"A recent study has been commissioned by the French Government in the framework of a general review of CBA practices. Among the various outputs of this study is an update of the value of time and the related parameters such as comfort or reliability. The communication first achieves a short presentation of the above-mentioned report and the recommended VOTs. It discusses the differentiation issue and gives comparative elements with a few other national guidelines. Then, it presents the main issues of consistency between traffic modelling and surplus calculation through practical examples, and finally makes recommendations on how to deal with mandatory VOT and how to combine those mandatory values and traffic modeling results.","collection-title":"Current practices in transport: appraisal methods, policies and models – 42nd European Transport Conference Selected Proceedings","container-title":"Transportation Research Procedia","DOI":"10.1016/j.trpro.2015.06.042","ISSN":"2352-1465","page":"62-71","source":"ScienceDirect","title":"Value of Time Estimations in Cost Benefit Analysis: The French Experience","volume":"8","author":[{"family":"Meunier","given":"David"},{"family":"Quinet","given":"Emile"}],"issued":{"date-parts":[["2015",1,1]]}},"label":"page","suppress-author":true}],"schema":"https://github.com/citation-style-language/schema/raw/master/csl-citation.json"} </w:instrText>
      </w:r>
      <w:r w:rsidR="00661762" w:rsidRPr="004811C9">
        <w:rPr>
          <w:rFonts w:cs="Times New Roman"/>
        </w:rPr>
        <w:fldChar w:fldCharType="separate"/>
      </w:r>
      <w:r w:rsidR="00661762" w:rsidRPr="004811C9">
        <w:rPr>
          <w:rFonts w:cs="Times New Roman"/>
        </w:rPr>
        <w:t>(2015)</w:t>
      </w:r>
      <w:r w:rsidR="00661762" w:rsidRPr="004811C9">
        <w:rPr>
          <w:rFonts w:cs="Times New Roman"/>
        </w:rPr>
        <w:fldChar w:fldCharType="end"/>
      </w:r>
      <w:r w:rsidR="00751802" w:rsidRPr="004811C9">
        <w:rPr>
          <w:rFonts w:cs="Times New Roman"/>
        </w:rPr>
        <w:t xml:space="preserve"> and </w:t>
      </w:r>
      <w:r w:rsidRPr="004811C9">
        <w:rPr>
          <w:rFonts w:cs="Times New Roman"/>
        </w:rPr>
        <w:t xml:space="preserve">Mishra et al. </w:t>
      </w:r>
      <w:r w:rsidRPr="004811C9">
        <w:rPr>
          <w:rFonts w:cs="Times New Roman"/>
        </w:rPr>
        <w:fldChar w:fldCharType="begin"/>
      </w:r>
      <w:r w:rsidRPr="004811C9">
        <w:rPr>
          <w:rFonts w:cs="Times New Roman"/>
        </w:rPr>
        <w:instrText xml:space="preserve"> ADDIN ZOTERO_ITEM CSL_CITATION {"citationID":"P8Wmtt9w","properties":{"formattedCitation":"(2018)","plainCitation":"(2018)","noteIndex":0},"citationItems":[{"id":673,"uris":["http://zotero.org/users/12832277/items/NCELHLDM"],"itemData":{"id":673,"type":"article-journal","abstract":"This paper proposes a method to measure the value, forecast, and incorporate reliability in the transportation planning process. Empirically observed travel time data from INRIX are used in an introduced method to measure Origin Destination (OD)-based reliability. OD-based reliability is a valuable concept, since it can be easily incorporated in most travel models. The measured reliability is utilized to find the value of reliability for a specific mode choice problem and to establish the relationship between travel time and reliability. This relationship is useful to forecast reliability in future scenarios. Findings are combined with Maryland Statewide Transportation Model to find the value of reliability savings by improving the network in a case study. The Inter-County Connector is used as the case study to show the significance of reliability savings. The proposed approach can be used to (1) provide a systematic approach to estimate travel time reliability for planning agencies, (2) incorporate travel time reliability in transportation planning models, and (3) evaluate reliability improvements gained from transportation network investments.","container-title":"Case Studies on Transport Policy","DOI":"10.1016/j.cstp.2017.11.005","ISSN":"2213-624X","issue":"1","language":"en","page":"51-62","source":"ScienceDirect","title":"Estimation and Valuation of Travel Time Reliability for Transportation Planning Applications","volume":"6","author":[{"family":"Mishra","given":"Sabyasachee"},{"family":"Tang","given":"Liang"},{"family":"Ghader","given":"Sepehr"},{"family":"Mahapatra","given":"Subrat"},{"family":"Zhang","given":"Lei"}],"issued":{"date-parts":[["2018",3,1]]}},"label":"page","suppress-author":true}],"schema":"https://github.com/citation-style-language/schema/raw/master/csl-citation.json"} </w:instrText>
      </w:r>
      <w:r w:rsidRPr="004811C9">
        <w:rPr>
          <w:rFonts w:cs="Times New Roman"/>
        </w:rPr>
        <w:fldChar w:fldCharType="separate"/>
      </w:r>
      <w:r w:rsidRPr="004811C9">
        <w:rPr>
          <w:rFonts w:cs="Times New Roman"/>
        </w:rPr>
        <w:t>(2018)</w:t>
      </w:r>
      <w:r w:rsidRPr="004811C9">
        <w:rPr>
          <w:rFonts w:cs="Times New Roman"/>
        </w:rPr>
        <w:fldChar w:fldCharType="end"/>
      </w:r>
      <w:r w:rsidRPr="004811C9">
        <w:rPr>
          <w:rFonts w:cs="Times New Roman"/>
        </w:rPr>
        <w:t xml:space="preserve"> </w:t>
      </w:r>
      <w:r w:rsidR="00751802" w:rsidRPr="004811C9">
        <w:rPr>
          <w:rFonts w:cs="Times New Roman"/>
        </w:rPr>
        <w:t>note</w:t>
      </w:r>
      <w:r w:rsidR="00F47BF9" w:rsidRPr="004811C9">
        <w:rPr>
          <w:rFonts w:cs="Times New Roman"/>
        </w:rPr>
        <w:t>d</w:t>
      </w:r>
      <w:r w:rsidR="00751802" w:rsidRPr="004811C9">
        <w:rPr>
          <w:rFonts w:cs="Times New Roman"/>
        </w:rPr>
        <w:t xml:space="preserve"> that comfort and travel time reliability perceptions </w:t>
      </w:r>
      <w:r w:rsidR="005165FE" w:rsidRPr="004811C9">
        <w:rPr>
          <w:rFonts w:cs="Times New Roman"/>
        </w:rPr>
        <w:t xml:space="preserve">affect </w:t>
      </w:r>
      <w:r w:rsidR="00847406" w:rsidRPr="004811C9">
        <w:rPr>
          <w:rFonts w:cs="Times New Roman"/>
        </w:rPr>
        <w:t>VTTS</w:t>
      </w:r>
      <w:r w:rsidRPr="004811C9">
        <w:rPr>
          <w:rFonts w:cs="Times New Roman"/>
        </w:rPr>
        <w:t xml:space="preserve">. </w:t>
      </w:r>
      <w:r w:rsidR="00E46EA1">
        <w:rPr>
          <w:rFonts w:cs="Times New Roman"/>
        </w:rPr>
        <w:t>Further, b</w:t>
      </w:r>
      <w:r w:rsidR="00F212B1">
        <w:rPr>
          <w:rFonts w:cs="Times New Roman"/>
        </w:rPr>
        <w:t>eyond the focus on VTTS in</w:t>
      </w:r>
      <w:r w:rsidR="005165FE" w:rsidRPr="004811C9">
        <w:rPr>
          <w:rFonts w:cs="Times New Roman"/>
        </w:rPr>
        <w:t xml:space="preserve"> human-driven vehicles, </w:t>
      </w:r>
      <w:r w:rsidR="00847406" w:rsidRPr="004811C9">
        <w:rPr>
          <w:rFonts w:cs="Times New Roman"/>
        </w:rPr>
        <w:t xml:space="preserve">Kolarova et al. </w:t>
      </w:r>
      <w:r w:rsidR="00847406" w:rsidRPr="004811C9">
        <w:rPr>
          <w:rFonts w:cs="Times New Roman"/>
        </w:rPr>
        <w:fldChar w:fldCharType="begin"/>
      </w:r>
      <w:r w:rsidR="00847406" w:rsidRPr="004811C9">
        <w:rPr>
          <w:rFonts w:cs="Times New Roman"/>
        </w:rPr>
        <w:instrText xml:space="preserve"> ADDIN ZOTERO_ITEM CSL_CITATION {"citationID":"QTNwlfGH","properties":{"formattedCitation":"(2018)","plainCitation":"(2018)","noteIndex":0},"citationItems":[{"id":4813,"uris":["http://zotero.org/users/12832277/items/U9685WEN"],"itemData":{"id":4813,"type":"article-journal","abstract":"In recent years the transportation system, and in particular road vehicles, are becoming increasingly automated and connected. Thus there is the expectation that in the near future there will be fully automated vehicles on roads. Support for road vehicles automation include increased safety, more efficient transport system, as well as increase of the comfort level and enabling users to do other activities while travelling. Especially the last two aspects might potentially change the way people perceive the time spent travelling by car and hence lead to a reduction of the value of time in terms of willingness to pay for saving travel time. Additionally, automation enables new mobility options and access to car use for people who are currently not able or not willing to drive. As a result, mode choice preferences and travel behaviour might change in favour of the individual motorized transport. Understanding these changes is crucial when predicting the impact of automation in the context of developing a sustainable and efficient future transportation system. This study addresses the potential mode choice preference changes once automated driving becomes available. For this purpose, a stated choice experiment for currently available modes of transport and a second experiment on potentially future available alternatives were conducted. Two concepts of automated vehicles are considered – a privately owned vehicle and a vehicle on demand (i.e., a driverless taxi). This paper describes the survey design as well as the methodology used in the study and presents the first results of model estimations using simple multinomial logit for the analysis of the study data. The results suggest a potential reduction in the value of time for automated driving. Solutions for the integration of the results into a microscopic travel demand models as well as further analysis are discussed.","collection-title":"Assessing wider impacts of transportation policies","container-title":"Transportation Research Procedia","DOI":"10.1016/j.trpro.2018.09.044","ISSN":"2352-1465","page":"35-46","source":"ScienceDirect","title":"Estimation of the Value of Time for Automated Driving Using Revealed and Stated Preference Methods","volume":"31","author":[{"family":"Kolarova","given":"Viktoriya"},{"family":"Steck","given":"Felix"},{"family":"Cyganski","given":"Rita"},{"family":"Trommer","given":"Stefan"}],"issued":{"date-parts":[["2018",1,1]]}},"label":"page","suppress-author":true}],"schema":"https://github.com/citation-style-language/schema/raw/master/csl-citation.json"} </w:instrText>
      </w:r>
      <w:r w:rsidR="00847406" w:rsidRPr="004811C9">
        <w:rPr>
          <w:rFonts w:cs="Times New Roman"/>
        </w:rPr>
        <w:fldChar w:fldCharType="separate"/>
      </w:r>
      <w:r w:rsidR="00847406" w:rsidRPr="004811C9">
        <w:rPr>
          <w:rFonts w:cs="Times New Roman"/>
        </w:rPr>
        <w:t>(2018)</w:t>
      </w:r>
      <w:r w:rsidR="00847406" w:rsidRPr="004811C9">
        <w:rPr>
          <w:rFonts w:cs="Times New Roman"/>
        </w:rPr>
        <w:fldChar w:fldCharType="end"/>
      </w:r>
      <w:r w:rsidR="00847406" w:rsidRPr="004811C9">
        <w:rPr>
          <w:rFonts w:cs="Times New Roman"/>
        </w:rPr>
        <w:t xml:space="preserve"> explored </w:t>
      </w:r>
      <w:r w:rsidR="00A145B0" w:rsidRPr="004811C9">
        <w:rPr>
          <w:rFonts w:cs="Times New Roman"/>
        </w:rPr>
        <w:t>VTTS</w:t>
      </w:r>
      <w:r w:rsidR="00847406" w:rsidRPr="004811C9">
        <w:rPr>
          <w:rFonts w:cs="Times New Roman"/>
        </w:rPr>
        <w:t xml:space="preserve"> </w:t>
      </w:r>
      <w:r w:rsidR="005165FE" w:rsidRPr="004811C9">
        <w:rPr>
          <w:rFonts w:cs="Times New Roman"/>
        </w:rPr>
        <w:t xml:space="preserve">variations between human-driven and </w:t>
      </w:r>
      <w:r w:rsidR="00847406" w:rsidRPr="004811C9">
        <w:rPr>
          <w:rFonts w:cs="Times New Roman"/>
        </w:rPr>
        <w:t>automated driving</w:t>
      </w:r>
      <w:r w:rsidR="005165FE" w:rsidRPr="004811C9">
        <w:rPr>
          <w:rFonts w:cs="Times New Roman"/>
        </w:rPr>
        <w:t xml:space="preserve"> scenarios</w:t>
      </w:r>
      <w:r w:rsidR="00847406" w:rsidRPr="004811C9">
        <w:rPr>
          <w:rFonts w:cs="Times New Roman"/>
        </w:rPr>
        <w:t xml:space="preserve">, </w:t>
      </w:r>
      <w:r w:rsidR="005165FE" w:rsidRPr="004811C9">
        <w:rPr>
          <w:rFonts w:cs="Times New Roman"/>
        </w:rPr>
        <w:t>observing</w:t>
      </w:r>
      <w:r w:rsidR="00847406" w:rsidRPr="004811C9">
        <w:rPr>
          <w:rFonts w:cs="Times New Roman"/>
        </w:rPr>
        <w:t xml:space="preserve"> that individuals </w:t>
      </w:r>
      <w:r w:rsidR="005165FE" w:rsidRPr="004811C9">
        <w:rPr>
          <w:rFonts w:cs="Times New Roman"/>
        </w:rPr>
        <w:t>expressed a lower VTTS in the automated driving scenario (presumably because of reclaiming time that would have otherwise been spent behind the wheel)</w:t>
      </w:r>
      <w:r w:rsidR="00847406" w:rsidRPr="004811C9">
        <w:rPr>
          <w:rFonts w:cs="Times New Roman"/>
        </w:rPr>
        <w:t xml:space="preserve">. </w:t>
      </w:r>
      <w:r w:rsidR="009F61FC" w:rsidRPr="004811C9">
        <w:rPr>
          <w:rFonts w:cs="Times New Roman"/>
        </w:rPr>
        <w:t xml:space="preserve">Finally, </w:t>
      </w:r>
      <w:r w:rsidR="005165FE" w:rsidRPr="004811C9">
        <w:rPr>
          <w:rFonts w:cs="Times New Roman"/>
        </w:rPr>
        <w:t xml:space="preserve">Shires and de Jong </w:t>
      </w:r>
      <w:r w:rsidR="005165FE" w:rsidRPr="004811C9">
        <w:rPr>
          <w:rFonts w:cs="Times New Roman"/>
        </w:rPr>
        <w:fldChar w:fldCharType="begin"/>
      </w:r>
      <w:r w:rsidR="005165FE" w:rsidRPr="004811C9">
        <w:rPr>
          <w:rFonts w:cs="Times New Roman"/>
        </w:rPr>
        <w:instrText xml:space="preserve"> ADDIN ZOTERO_ITEM CSL_CITATION {"citationID":"5SPMJbOz","properties":{"formattedCitation":"(2009)","plainCitation":"(2009)","noteIndex":0},"citationItems":[{"id":4879,"uris":["http://zotero.org/users/12832277/items/PIEXAA6D"],"itemData":{"id":4879,"type":"article-journal","abstract":"Values of travel time savings are often used in cost–benefit analysis of transport projects and policies, and also to compute generalised travel costs. There has been considerable debate as to whether different research methods (e.g. stated versus revealed preference) will lead to different values of travel time savings, and which segmentations (e.g. by income or mode) are most important to capture the heterogeneity in these values. In addition there are many countries where no specific valuation studies have been done. In this paper new equations are estimated on the outcomes of value of travel time savings studies from various countries. In the data set, several countries appear more than once, which is taken into account by estimating random effects panel models. The meta-analysis sheds some new light on the variation of the value of travel time savings by income, country, travel purpose, mode, distance and by survey method. Furthermore, the resulting meta-models are applied to produce new values of travel time savings for business travel, commuting and for other purposes in passenger transport, for 25 European Union Member states. Similar methods could be used to statistically analyse studies carried out on other non-monetary effects, both for transport and non-transport projects, and for inclusion in cost–benefit analysis.","collection-title":"Evaluating the Impact of Transport Projects: Lessons for Other Disciplines","container-title":"Evaluation and Program Planning","DOI":"10.1016/j.evalprogplan.2009.06.010","ISSN":"0149-7189","issue":"4","page":"315-325","source":"ScienceDirect","title":"An International Meta-Analysis of Values of Travel Time Savings","volume":"32","author":[{"family":"Shires","given":"J. D."},{"family":"Jong","given":"G. C.","non-dropping-particle":"de"}],"issued":{"date-parts":[["2009",11,1]]}},"label":"page","suppress-author":true}],"schema":"https://github.com/citation-style-language/schema/raw/master/csl-citation.json"} </w:instrText>
      </w:r>
      <w:r w:rsidR="005165FE" w:rsidRPr="004811C9">
        <w:rPr>
          <w:rFonts w:cs="Times New Roman"/>
        </w:rPr>
        <w:fldChar w:fldCharType="separate"/>
      </w:r>
      <w:r w:rsidR="005165FE" w:rsidRPr="004811C9">
        <w:rPr>
          <w:rFonts w:cs="Times New Roman"/>
        </w:rPr>
        <w:t>(2009)</w:t>
      </w:r>
      <w:r w:rsidR="005165FE" w:rsidRPr="004811C9">
        <w:rPr>
          <w:rFonts w:cs="Times New Roman"/>
        </w:rPr>
        <w:fldChar w:fldCharType="end"/>
      </w:r>
      <w:r w:rsidR="005165FE" w:rsidRPr="004811C9">
        <w:rPr>
          <w:rFonts w:cs="Times New Roman"/>
        </w:rPr>
        <w:t xml:space="preserve"> and Wardman et al., </w:t>
      </w:r>
      <w:r w:rsidR="005165FE" w:rsidRPr="004811C9">
        <w:rPr>
          <w:rFonts w:cs="Times New Roman"/>
        </w:rPr>
        <w:fldChar w:fldCharType="begin"/>
      </w:r>
      <w:r w:rsidR="005165FE" w:rsidRPr="004811C9">
        <w:rPr>
          <w:rFonts w:cs="Times New Roman"/>
        </w:rPr>
        <w:instrText xml:space="preserve"> ADDIN ZOTERO_ITEM CSL_CITATION {"citationID":"svaGPiN6","properties":{"formattedCitation":"(2023)","plainCitation":"(2023)","noteIndex":0},"citationItems":[{"id":4885,"uris":["http://zotero.org/users/12832277/items/89MHENGL"],"itemData":{"id":4885,"type":"article-journal","container-title":"World Bank, Washington, DC","source":"Google Scholar","title":"Meta-analysis of the Value of Travel Time Savings in Low-and Middle-Income Countries","URL":"https://documents1.worldbank.org/curated/en/099032124211022462/pdf/P1775471cf971e0ee1becd1a1faab55d1d7.pdf","author":[{"family":"Wardman","given":"Mark"},{"family":"Neki","given":"Kazuyuki"},{"family":"Humphreys","given":"Richard Martin"}],"accessed":{"date-parts":[["2025",7,17]]},"issued":{"date-parts":[["2023"]]}},"label":"page","suppress-author":true}],"schema":"https://github.com/citation-style-language/schema/raw/master/csl-citation.json"} </w:instrText>
      </w:r>
      <w:r w:rsidR="005165FE" w:rsidRPr="004811C9">
        <w:rPr>
          <w:rFonts w:cs="Times New Roman"/>
        </w:rPr>
        <w:fldChar w:fldCharType="separate"/>
      </w:r>
      <w:r w:rsidR="005165FE" w:rsidRPr="004811C9">
        <w:rPr>
          <w:rFonts w:cs="Times New Roman"/>
        </w:rPr>
        <w:t>(2023)</w:t>
      </w:r>
      <w:r w:rsidR="005165FE" w:rsidRPr="004811C9">
        <w:rPr>
          <w:rFonts w:cs="Times New Roman"/>
        </w:rPr>
        <w:fldChar w:fldCharType="end"/>
      </w:r>
      <w:r w:rsidR="005165FE" w:rsidRPr="004811C9">
        <w:rPr>
          <w:rFonts w:cs="Times New Roman"/>
        </w:rPr>
        <w:t xml:space="preserve"> undertook extensive meta-analyses of VTTS estimates across different regions, identifying substantial VTTS variations </w:t>
      </w:r>
      <w:r w:rsidR="009312CE" w:rsidRPr="004811C9">
        <w:rPr>
          <w:rFonts w:cs="Times New Roman"/>
        </w:rPr>
        <w:t xml:space="preserve">across </w:t>
      </w:r>
      <w:r w:rsidR="00F47BF9" w:rsidRPr="004811C9">
        <w:rPr>
          <w:rFonts w:cs="Times New Roman"/>
        </w:rPr>
        <w:t>geographies</w:t>
      </w:r>
      <w:r w:rsidR="009312CE" w:rsidRPr="004811C9">
        <w:rPr>
          <w:rFonts w:cs="Times New Roman"/>
        </w:rPr>
        <w:t>.</w:t>
      </w:r>
      <w:r w:rsidR="00130939" w:rsidRPr="004811C9">
        <w:rPr>
          <w:rFonts w:cs="Times New Roman"/>
        </w:rPr>
        <w:t xml:space="preserve"> </w:t>
      </w:r>
      <w:r w:rsidR="00130939" w:rsidRPr="004811C9">
        <w:rPr>
          <w:rFonts w:cs="Times New Roman"/>
        </w:rPr>
        <w:tab/>
      </w:r>
      <w:r w:rsidR="00860408" w:rsidRPr="004811C9">
        <w:rPr>
          <w:rFonts w:cs="Times New Roman"/>
        </w:rPr>
        <w:t xml:space="preserve"> </w:t>
      </w:r>
    </w:p>
    <w:p w14:paraId="7A8A8C9B" w14:textId="1CEED5BC" w:rsidR="00BC5233" w:rsidRPr="004811C9" w:rsidRDefault="00B10C22" w:rsidP="00F050CC">
      <w:pPr>
        <w:spacing w:after="0" w:line="240" w:lineRule="auto"/>
        <w:jc w:val="both"/>
        <w:rPr>
          <w:rFonts w:cs="Times New Roman"/>
        </w:rPr>
      </w:pPr>
      <w:r w:rsidRPr="004811C9">
        <w:rPr>
          <w:rFonts w:cs="Times New Roman"/>
        </w:rPr>
        <w:tab/>
      </w:r>
      <w:r w:rsidR="00F47BF9" w:rsidRPr="004811C9">
        <w:rPr>
          <w:rFonts w:cs="Times New Roman"/>
        </w:rPr>
        <w:t xml:space="preserve">In addition to examining sociodemographic and travel context based VTTS heterogeneity, there has been some debate in the literature about whether VTTS needs to be necessarily strictly positive. In this regard, </w:t>
      </w:r>
      <w:r w:rsidR="00D75186" w:rsidRPr="004811C9">
        <w:rPr>
          <w:rFonts w:cs="Times New Roman"/>
        </w:rPr>
        <w:t xml:space="preserve">there is evidence that in </w:t>
      </w:r>
      <w:r w:rsidR="00147A52" w:rsidRPr="004811C9">
        <w:rPr>
          <w:rFonts w:cs="Times New Roman"/>
        </w:rPr>
        <w:t>many</w:t>
      </w:r>
      <w:r w:rsidR="00D75186" w:rsidRPr="004811C9">
        <w:rPr>
          <w:rFonts w:cs="Times New Roman"/>
        </w:rPr>
        <w:t xml:space="preserve"> circumstances it is possible to have a VTTS of zero. </w:t>
      </w:r>
      <w:r w:rsidR="00F47BF9" w:rsidRPr="004811C9">
        <w:rPr>
          <w:rFonts w:cs="Times New Roman"/>
        </w:rPr>
        <w:t>For instance</w:t>
      </w:r>
      <w:r w:rsidR="0097711F" w:rsidRPr="004811C9">
        <w:rPr>
          <w:rFonts w:cs="Times New Roman"/>
        </w:rPr>
        <w:t xml:space="preserve">, an </w:t>
      </w:r>
      <w:r w:rsidR="000A53B6" w:rsidRPr="004811C9">
        <w:rPr>
          <w:rFonts w:cs="Times New Roman"/>
        </w:rPr>
        <w:t xml:space="preserve">individual </w:t>
      </w:r>
      <w:r w:rsidR="0097711F" w:rsidRPr="004811C9">
        <w:rPr>
          <w:rFonts w:cs="Times New Roman"/>
        </w:rPr>
        <w:t xml:space="preserve">may </w:t>
      </w:r>
      <w:r w:rsidR="000A53B6" w:rsidRPr="004811C9">
        <w:rPr>
          <w:rFonts w:cs="Times New Roman"/>
        </w:rPr>
        <w:t>enjoy travel</w:t>
      </w:r>
      <w:r w:rsidR="0097711F" w:rsidRPr="004811C9">
        <w:rPr>
          <w:rFonts w:cs="Times New Roman"/>
        </w:rPr>
        <w:t>ing</w:t>
      </w:r>
      <w:r w:rsidR="000A53B6" w:rsidRPr="004811C9">
        <w:rPr>
          <w:rFonts w:cs="Times New Roman"/>
        </w:rPr>
        <w:t xml:space="preserve"> </w:t>
      </w:r>
      <w:r w:rsidR="006944E7" w:rsidRPr="004811C9">
        <w:rPr>
          <w:rFonts w:cs="Times New Roman"/>
        </w:rPr>
        <w:t>and</w:t>
      </w:r>
      <w:r w:rsidR="0097711F" w:rsidRPr="004811C9">
        <w:rPr>
          <w:rFonts w:cs="Times New Roman"/>
        </w:rPr>
        <w:t xml:space="preserve"> may </w:t>
      </w:r>
      <w:r w:rsidR="006944E7" w:rsidRPr="004811C9">
        <w:rPr>
          <w:rFonts w:cs="Times New Roman"/>
        </w:rPr>
        <w:t>prefer not to reduce</w:t>
      </w:r>
      <w:r w:rsidR="0097711F" w:rsidRPr="004811C9">
        <w:rPr>
          <w:rFonts w:cs="Times New Roman"/>
        </w:rPr>
        <w:t xml:space="preserve"> </w:t>
      </w:r>
      <w:r w:rsidR="006944E7" w:rsidRPr="004811C9">
        <w:rPr>
          <w:rFonts w:cs="Times New Roman"/>
        </w:rPr>
        <w:t xml:space="preserve">trip </w:t>
      </w:r>
      <w:r w:rsidR="0097711F" w:rsidRPr="004811C9">
        <w:rPr>
          <w:rFonts w:cs="Times New Roman"/>
        </w:rPr>
        <w:t>time. O</w:t>
      </w:r>
      <w:r w:rsidR="006944E7" w:rsidRPr="004811C9">
        <w:rPr>
          <w:rFonts w:cs="Times New Roman"/>
        </w:rPr>
        <w:t xml:space="preserve">r </w:t>
      </w:r>
      <w:r w:rsidR="0097711F" w:rsidRPr="004811C9">
        <w:rPr>
          <w:rFonts w:cs="Times New Roman"/>
        </w:rPr>
        <w:t xml:space="preserve">an individual may feel a sense of freedom and empowerment from the very act of driving, </w:t>
      </w:r>
      <w:r w:rsidR="00147A52" w:rsidRPr="004811C9">
        <w:rPr>
          <w:rFonts w:cs="Times New Roman"/>
        </w:rPr>
        <w:t xml:space="preserve">perceiving “pay-for-travel time savings” as diminishing that empowerment </w:t>
      </w:r>
      <w:r w:rsidR="0097711F" w:rsidRPr="004811C9">
        <w:rPr>
          <w:rFonts w:cs="Times New Roman"/>
        </w:rPr>
        <w:fldChar w:fldCharType="begin"/>
      </w:r>
      <w:r w:rsidR="0097711F" w:rsidRPr="004811C9">
        <w:rPr>
          <w:rFonts w:cs="Times New Roman"/>
        </w:rPr>
        <w:instrText xml:space="preserve"> ADDIN ZOTERO_ITEM CSL_CITATION {"citationID":"rXr8jnNI","properties":{"formattedCitation":"(Fujii et al., 2004; Hsieh, 2022)","plainCitation":"(Fujii et al., 2004; Hsieh, 2022)","noteIndex":0},"citationItems":[{"id":5028,"uris":["http://zotero.org/users/12832277/items/2MEPEYJC"],"itemData":{"id":5028,"type":"article-journal","abstract":"Jakobsson et al. (2000) found that in Sweden public acceptance of road pricing decreases if it is perceived to be unfair and to infringe on freedom. The present study reports a survey investigating whether the same effects are found in the Asian countries of Japan and Taiwan. The results indicate that fairness plays the same role. However, income had a direct effect on acceptance in Taiwan but not in Japan or Sweden.","container-title":"Transportation","DOI":"10.1023/B:PORT.0000025395.17250.49","ISSN":"1572-9435","issue":"3","language":"en","page":"285-295","source":"Springer Link","title":"A Cross-Country Study of Fairness and Infringement on Freedom as Determinants of Car Owners' Acceptance of Road Pricing","volume":"31","author":[{"family":"Fujii","given":"Satoshi"},{"family":"Gärling","given":"Tommy"},{"family":"Jakobsson","given":"Cecilia"},{"family":"Jou","given":"Rong-Chang"}],"issued":{"date-parts":[["2004",8,1]]}}},{"id":5025,"uris":["http://zotero.org/users/12832277/items/QA8SE385"],"itemData":{"id":5025,"type":"article-journal","abstract":"To facilitate coercive policy implementation encountering public opposition, this study focuses on road pricing policy (1) to examine an integrated framework accommodating the relationships between participation in administration, trust in government, fairness, freedom infringement, public opinion, and policy acceptability; and (2) to analyze the effect of persuasive communication with request and advice methods on policy acceptability. Using data from 175 participants in Taiwan, results find that participation in administration increases procedural fairness, which and distributive fairness via scenario fairness improve acceptability; however, freedom infringement reduces acceptability. Public opinion affects acceptability directly and indirectly through scenario fairness. Moreover, persuasive communication does not change overall acceptability but improves acceptability in the ethical aspect and for males, the middle-aged and elderly, and mixed-mode users. Findings suggest that governments should introduce public participation into coercive policy formulation and apply persuasive communication to policy acceptability improvement.","container-title":"Transport Policy","DOI":"10.1016/j.tranpol.2022.05.004","ISSN":"0967-070X","page":"179-191","source":"ScienceDirect","title":"Road Pricing Acceptability and Persuasive Communication Effectiveness","volume":"125","author":[{"family":"Hsieh","given":"Hsu-Sheng"}],"issued":{"date-parts":[["2022",9,1]]}}}],"schema":"https://github.com/citation-style-language/schema/raw/master/csl-citation.json"} </w:instrText>
      </w:r>
      <w:r w:rsidR="0097711F" w:rsidRPr="004811C9">
        <w:rPr>
          <w:rFonts w:cs="Times New Roman"/>
        </w:rPr>
        <w:fldChar w:fldCharType="separate"/>
      </w:r>
      <w:r w:rsidR="0097711F" w:rsidRPr="004811C9">
        <w:rPr>
          <w:rFonts w:cs="Times New Roman"/>
        </w:rPr>
        <w:t>(Fujii et al., 2004; Hsieh, 2022)</w:t>
      </w:r>
      <w:r w:rsidR="0097711F" w:rsidRPr="004811C9">
        <w:rPr>
          <w:rFonts w:cs="Times New Roman"/>
        </w:rPr>
        <w:fldChar w:fldCharType="end"/>
      </w:r>
      <w:r w:rsidR="0097711F" w:rsidRPr="004811C9">
        <w:rPr>
          <w:rFonts w:cs="Times New Roman"/>
        </w:rPr>
        <w:t xml:space="preserve">. </w:t>
      </w:r>
      <w:r w:rsidR="00147A52" w:rsidRPr="004811C9">
        <w:rPr>
          <w:rFonts w:cs="Times New Roman"/>
        </w:rPr>
        <w:t>Or an individual may have</w:t>
      </w:r>
      <w:r w:rsidR="00CB732E" w:rsidRPr="004811C9">
        <w:rPr>
          <w:rFonts w:cs="Times New Roman"/>
        </w:rPr>
        <w:t xml:space="preserve"> </w:t>
      </w:r>
      <w:r w:rsidR="009312CE" w:rsidRPr="004811C9">
        <w:rPr>
          <w:rFonts w:cs="Times New Roman"/>
        </w:rPr>
        <w:t xml:space="preserve">a substantial </w:t>
      </w:r>
      <w:r w:rsidR="00CB732E" w:rsidRPr="004811C9">
        <w:rPr>
          <w:rFonts w:cs="Times New Roman"/>
        </w:rPr>
        <w:t xml:space="preserve">time </w:t>
      </w:r>
      <w:r w:rsidR="009312CE" w:rsidRPr="004811C9">
        <w:rPr>
          <w:rFonts w:cs="Times New Roman"/>
        </w:rPr>
        <w:t xml:space="preserve">gap (relative to the travel time) </w:t>
      </w:r>
      <w:r w:rsidR="00CB732E" w:rsidRPr="004811C9">
        <w:rPr>
          <w:rFonts w:cs="Times New Roman"/>
        </w:rPr>
        <w:t xml:space="preserve">between </w:t>
      </w:r>
      <w:r w:rsidR="009312CE" w:rsidRPr="004811C9">
        <w:rPr>
          <w:rFonts w:cs="Times New Roman"/>
        </w:rPr>
        <w:t>two scheduled activities</w:t>
      </w:r>
      <w:r w:rsidR="00147A52" w:rsidRPr="004811C9">
        <w:rPr>
          <w:rFonts w:cs="Times New Roman"/>
        </w:rPr>
        <w:t xml:space="preserve">, so that </w:t>
      </w:r>
      <w:r w:rsidR="0097711F" w:rsidRPr="004811C9">
        <w:rPr>
          <w:rFonts w:cs="Times New Roman"/>
        </w:rPr>
        <w:t>travel time savings</w:t>
      </w:r>
      <w:r w:rsidR="00147A52" w:rsidRPr="004811C9">
        <w:rPr>
          <w:rFonts w:cs="Times New Roman"/>
        </w:rPr>
        <w:t xml:space="preserve"> </w:t>
      </w:r>
      <w:r w:rsidR="0097711F" w:rsidRPr="004811C9">
        <w:rPr>
          <w:rFonts w:cs="Times New Roman"/>
        </w:rPr>
        <w:t>provide no tangible benefit</w:t>
      </w:r>
      <w:r w:rsidR="003F0C44" w:rsidRPr="004811C9">
        <w:rPr>
          <w:rFonts w:cs="Times New Roman"/>
        </w:rPr>
        <w:t xml:space="preserve"> </w:t>
      </w:r>
      <w:r w:rsidR="00162042" w:rsidRPr="004811C9">
        <w:rPr>
          <w:rFonts w:cs="Times New Roman"/>
        </w:rPr>
        <w:fldChar w:fldCharType="begin"/>
      </w:r>
      <w:r w:rsidR="00162042" w:rsidRPr="004811C9">
        <w:rPr>
          <w:rFonts w:cs="Times New Roman"/>
        </w:rPr>
        <w:instrText xml:space="preserve"> ADDIN ZOTERO_ITEM CSL_CITATION {"citationID":"Y6h4ixWv","properties":{"formattedCitation":"(Cirillo and Axhausen, 2006; Jara-Diaz, 2024)","plainCitation":"(Cirillo and Axhausen, 2006; Jara-Diaz, 2024)","noteIndex":0},"citationItems":[{"id":5011,"uris":["http://zotero.org/users/12832277/items/CTR5NXRZ"],"itemData":{"id":5011,"type":"article-journal","abstract":"This paper presents the results of a series of mixed logit models focusing on the distribution of the values of travel time savings. The parametric assumptions include both normal and various bounded distributions derived from the normal (log-normal, Johnson’s Sb and a censored normal). The full model, which also incorporates a number of time budget related variables, indicates that a small, but relevant share of the respondents might not value time savings, or would rather extend the journey. This share is consistent with results from other studies. A series of models for the different types of tours indicate even higher potential shares in situations with typically fewer binding time constraints. The RP data used is derived from the six week travel diary Mobidrive. The observations from Karlsruhe are summarised at the level of the tour.","container-title":"Transportation Research Part A: Policy and Practice","DOI":"10.1016/j.tra.2005.06.007","ISSN":"0965-8564","issue":"5","page":"444-457","source":"ScienceDirect","title":"Evidence on the Distribution of Values of Travel Time Savings from a Six-Week Diary","volume":"40","author":[{"family":"Cirillo","given":"C."},{"family":"Axhausen","given":"K. W."}],"issued":{"date-parts":[["2006",6,1]]}}},{"id":5014,"uris":["http://zotero.org/users/12832277/items/QCHMU6XU"],"itemData":{"id":5014,"type":"article-journal","abstract":"In this note I present a theoretical formulation that incorporates the main elements behind the performance of work or leisure activities while travelling, obtaining an expanded interpretation of the values of time in terms of the role played by the values of work and leisure inside the vehicle. We conclude that the value of in-vehicle time is expected to decrease as the conditions to perform those activities inside the vehicle improve. The framework admits the possibility of negative travel time values if there are leisure activities that can only be performed while traveling and are preferred over those that can be done elsewhere.","container-title":"Transportation Research Part A: Policy and Practice","DOI":"10.1016/j.tra.2024.104092","ISSN":"0965-8564","page":"104092","source":"ScienceDirect","title":"The Value(s) of Travel Time Savings Considering in-Vehicle Activities.","volume":"184","author":[{"family":"Jara-Diaz","given":"Sergio"}],"issued":{"date-parts":[["2024",6,1]]}}}],"schema":"https://github.com/citation-style-language/schema/raw/master/csl-citation.json"} </w:instrText>
      </w:r>
      <w:r w:rsidR="00162042" w:rsidRPr="004811C9">
        <w:rPr>
          <w:rFonts w:cs="Times New Roman"/>
        </w:rPr>
        <w:fldChar w:fldCharType="separate"/>
      </w:r>
      <w:r w:rsidR="00162042" w:rsidRPr="004811C9">
        <w:rPr>
          <w:rFonts w:cs="Times New Roman"/>
        </w:rPr>
        <w:t>(Cirillo and Axhausen, 2006; Jara-Diaz, 2024)</w:t>
      </w:r>
      <w:r w:rsidR="00162042" w:rsidRPr="004811C9">
        <w:rPr>
          <w:rFonts w:cs="Times New Roman"/>
        </w:rPr>
        <w:fldChar w:fldCharType="end"/>
      </w:r>
      <w:r w:rsidR="004D5661" w:rsidRPr="004811C9">
        <w:rPr>
          <w:rFonts w:cs="Times New Roman"/>
        </w:rPr>
        <w:t>.</w:t>
      </w:r>
      <w:r w:rsidR="00147A52" w:rsidRPr="004811C9">
        <w:rPr>
          <w:rFonts w:cs="Times New Roman"/>
        </w:rPr>
        <w:t xml:space="preserve"> It is also possible that</w:t>
      </w:r>
      <w:r w:rsidR="00BC5233" w:rsidRPr="004811C9">
        <w:rPr>
          <w:rFonts w:cs="Times New Roman"/>
        </w:rPr>
        <w:t xml:space="preserve"> some individuals may be unwilling to pay for </w:t>
      </w:r>
      <w:r w:rsidR="0097711F" w:rsidRPr="004811C9">
        <w:rPr>
          <w:rFonts w:cs="Times New Roman"/>
        </w:rPr>
        <w:t xml:space="preserve">any amount of </w:t>
      </w:r>
      <w:r w:rsidR="00BC5233" w:rsidRPr="004811C9">
        <w:rPr>
          <w:rFonts w:cs="Times New Roman"/>
        </w:rPr>
        <w:t>travel time savings, not because they would not</w:t>
      </w:r>
      <w:r w:rsidR="0097711F" w:rsidRPr="004811C9">
        <w:rPr>
          <w:rFonts w:cs="Times New Roman"/>
        </w:rPr>
        <w:t xml:space="preserve"> receive </w:t>
      </w:r>
      <w:r w:rsidR="00BC5233" w:rsidRPr="004811C9">
        <w:rPr>
          <w:rFonts w:cs="Times New Roman"/>
        </w:rPr>
        <w:t xml:space="preserve">value from </w:t>
      </w:r>
      <w:r w:rsidR="0097711F" w:rsidRPr="004811C9">
        <w:rPr>
          <w:rFonts w:cs="Times New Roman"/>
        </w:rPr>
        <w:t xml:space="preserve">the </w:t>
      </w:r>
      <w:r w:rsidR="005A6DBD" w:rsidRPr="004811C9">
        <w:rPr>
          <w:rFonts w:cs="Times New Roman"/>
        </w:rPr>
        <w:t xml:space="preserve">time savings, but because </w:t>
      </w:r>
      <w:r w:rsidR="00682829" w:rsidRPr="004811C9">
        <w:rPr>
          <w:rFonts w:cs="Times New Roman"/>
        </w:rPr>
        <w:t xml:space="preserve">of </w:t>
      </w:r>
      <w:r w:rsidR="0097711F" w:rsidRPr="004811C9">
        <w:rPr>
          <w:rFonts w:cs="Times New Roman"/>
        </w:rPr>
        <w:t xml:space="preserve">reasons such as </w:t>
      </w:r>
      <w:r w:rsidR="00095604" w:rsidRPr="004811C9">
        <w:rPr>
          <w:rFonts w:cs="Times New Roman"/>
        </w:rPr>
        <w:t>institutional distrust or fairness concerns</w:t>
      </w:r>
      <w:r w:rsidR="0097711F" w:rsidRPr="004811C9">
        <w:rPr>
          <w:rFonts w:cs="Times New Roman"/>
        </w:rPr>
        <w:t xml:space="preserve"> (for instance, </w:t>
      </w:r>
      <w:r w:rsidR="00483D83" w:rsidRPr="004811C9">
        <w:rPr>
          <w:rFonts w:cs="Times New Roman"/>
        </w:rPr>
        <w:t xml:space="preserve">believing that road users should not need to pay to use public </w:t>
      </w:r>
      <w:r w:rsidR="00A838C1" w:rsidRPr="004811C9">
        <w:rPr>
          <w:rFonts w:cs="Times New Roman"/>
        </w:rPr>
        <w:t>roads</w:t>
      </w:r>
      <w:r w:rsidR="00483D83" w:rsidRPr="004811C9">
        <w:rPr>
          <w:rFonts w:cs="Times New Roman"/>
        </w:rPr>
        <w:t xml:space="preserve"> or that funds received from such programs will be misallocated</w:t>
      </w:r>
      <w:r w:rsidR="0097711F" w:rsidRPr="004811C9">
        <w:rPr>
          <w:rFonts w:cs="Times New Roman"/>
        </w:rPr>
        <w:t>; see</w:t>
      </w:r>
      <w:r w:rsidR="00CD45A0" w:rsidRPr="004811C9">
        <w:rPr>
          <w:rFonts w:cs="Times New Roman"/>
        </w:rPr>
        <w:t xml:space="preserve"> </w:t>
      </w:r>
      <w:r w:rsidR="00A01563" w:rsidRPr="004811C9">
        <w:rPr>
          <w:rFonts w:cs="Times New Roman"/>
        </w:rPr>
        <w:fldChar w:fldCharType="begin"/>
      </w:r>
      <w:r w:rsidR="00BA1900">
        <w:rPr>
          <w:rFonts w:cs="Times New Roman"/>
        </w:rPr>
        <w:instrText xml:space="preserve"> ADDIN ZOTERO_ITEM CSL_CITATION {"citationID":"TiwbvZJQ","properties":{"unsorted":true,"formattedCitation":"(Manville and King, 2013; Eliasson, 2016; Selmoune et al., 2020)","plainCitation":"(Manville and King, 2013; Eliasson, 2016; Selmoune et al., 2020)","dontUpdate":true,"noteIndex":0},"citationItems":[{"id":5017,"uris":["http://zotero.org/users/12832277/items/D5LP3XB8"],"itemData":{"id":5017,"type":"article-journal","abstract":"Transportation analysts frequently assert that congestion pricing’s political obstacles can be overcome through astute use of the toll revenue pricing generates. Such “revenue recycling,” however, implies that the collectors of the toll revenue will not be its final recipients, meaning that any revenue recipient must believe that the revenue collector will honor promises to deliver the money. This raises the potential for credible commitment problems. Promises to spend revenue can solve one political problem, because revenue is an easy benefit to understand, but create another one, because revenue is easy to divert. Revenue recycling may therefore not be a promising way to build political support for congestion pricing. We highlight the role commitment problems have played efforts to implement congestion pricing, using examples from around the world and then focusing on California. Because congestion reduction is a more certain benefit than any particular use of the toll revenue, demonstration projects, rather than revenue promises, will be key to pricing’s political success.","container-title":"Transportation","DOI":"10.1007/s11116-012-9430-9","ISSN":"1572-9435","issue":"2","journalAbbreviation":"Transportation","language":"en","page":"229-249","source":"Springer Link","title":"Credible Commitment and Congestion Pricing","volume":"40","author":[{"family":"Manville","given":"Michael"},{"family":"King","given":"David"}],"issued":{"date-parts":[["2013",2,1]]}}},{"id":5019,"uris":["http://zotero.org/users/12832277/items/ZEBLFSHS"],"itemData":{"id":5019,"type":"article-journal","abstract":"This paper discusses and analyses whether congestion charges can be considered to be “fair” in different senses of the word. Two different perspectives are distinguished: the consumer perspective and the citizen perspective. The consumer perspective is the traditional one in equity analyses, and includes changes in travel costs, travel times and so on. Using data from four European cities, I show that high-income groups pay more than low-income groups, but low-income groups pay a larger share of their income. I argue that which of these distributional measures is most appropriate depends on the purpose(s) of the charging system. The citizen perspective is about individuals’ views of social issues such as equity, procedural fairness and environmental issues. I argue that an individual can be viewed as a “winner” from a citizen perspective if a reform (such as congestion pricing) is aligned with her views of what is socially desirable. Using the same data set, I analyse to what extent different income groups “win” or “lose” from a citizen perspective – i.e., to what extent congestion pricing is aligned with the societal preferences of high- and low-income groups. It turns out that these differences are small, but overall, middle-income groups “win” the most in this sense.","container-title":"Transport Policy","DOI":"10.1016/j.tranpol.2016.06.009","ISSN":"0967-070X","page":"1-15","source":"ScienceDirect","title":"Is Congestion Pricing Fair? Consumer and Citizen Perspectives on Equity Effects","volume":"52","author":[{"family":"Eliasson","given":"Jonas"}],"issued":{"date-parts":[["2016",11,1]]}}},{"id":5022,"uris":["http://zotero.org/users/12832277/items/ATNZL435"],"itemData":{"id":5022,"type":"article-journal","abstract":"Roads congestion pricing has been considered as an effective solution following the successful implementation of such programs by many cities such as Singapore, Stockholm, and London. In multiple cases, congestion pricing projects have not been implemented, and multitudinous industrialized countries’ governments are struggling to find an effective and satisfactory way of introducing congestion pricing schemes that will not be affected by the public’s negative opinion and resistance. The lack of political and public acceptability can, therefore, be blamed for the nonimplementation of many congestion pricing projects in many cities around the world. This paper reviews eight cases where congestion pricing schemes were implemented or rejected, as well as the major influencing factors that enable congestion pricing introduction and acceptability by road users, discusses public and political acceptance of urban road pricing, and provides a valuable guideline for policy and decision-makers.","container-title":"Journal of Advanced Transportation","DOI":"10.1155/2020/4242964","ISSN":"2042-3195","issue":"1","language":"en","license":"Copyright © 2020 Aya Selmoune et al.","note":"_eprint: https://onlinelibrary.wiley.com/doi/pdf/10.1155/2020/4242964","page":"4242964","source":"Wiley Online Library","title":"Influencing Factors in Congestion Pricing Acceptability: A Literature Review","volume":"2020","author":[{"family":"Selmoune","given":"Aya"},{"family":"Cheng","given":"Qixiu"},{"family":"Wang","given":"Lumeng"},{"family":"Liu","given":"Zhiyuan"}],"issued":{"date-parts":[["2020"]]}}}],"schema":"https://github.com/citation-style-language/schema/raw/master/csl-citation.json"} </w:instrText>
      </w:r>
      <w:r w:rsidR="00A01563" w:rsidRPr="004811C9">
        <w:rPr>
          <w:rFonts w:cs="Times New Roman"/>
        </w:rPr>
        <w:fldChar w:fldCharType="separate"/>
      </w:r>
      <w:r w:rsidR="007F5D01" w:rsidRPr="004811C9">
        <w:rPr>
          <w:rFonts w:cs="Times New Roman"/>
        </w:rPr>
        <w:t>Manville and King, 2013; Eliasson, 2016; Selmoune et al., 2020)</w:t>
      </w:r>
      <w:r w:rsidR="00A01563" w:rsidRPr="004811C9">
        <w:rPr>
          <w:rFonts w:cs="Times New Roman"/>
        </w:rPr>
        <w:fldChar w:fldCharType="end"/>
      </w:r>
      <w:r w:rsidR="00483D83" w:rsidRPr="004811C9">
        <w:rPr>
          <w:rFonts w:cs="Times New Roman"/>
        </w:rPr>
        <w:t xml:space="preserve">. </w:t>
      </w:r>
      <w:r w:rsidR="00C5703E" w:rsidRPr="004811C9">
        <w:rPr>
          <w:rFonts w:cs="Times New Roman"/>
        </w:rPr>
        <w:t xml:space="preserve">Thus, </w:t>
      </w:r>
      <w:r w:rsidR="00147A52" w:rsidRPr="004811C9">
        <w:rPr>
          <w:rFonts w:cs="Times New Roman"/>
        </w:rPr>
        <w:t xml:space="preserve">some individuals may simply be entirely insensitive to travel time savings (that </w:t>
      </w:r>
      <w:r w:rsidR="00147A52" w:rsidRPr="004811C9">
        <w:rPr>
          <w:rFonts w:cs="Times New Roman"/>
        </w:rPr>
        <w:lastRenderedPageBreak/>
        <w:t xml:space="preserve">is, have a VTTS of zero) and may be systematically different from those who are willing to pay </w:t>
      </w:r>
      <w:r w:rsidR="000269FA">
        <w:rPr>
          <w:rFonts w:cs="Times New Roman"/>
        </w:rPr>
        <w:t xml:space="preserve">at least some positive amount </w:t>
      </w:r>
      <w:r w:rsidR="00147A52" w:rsidRPr="004811C9">
        <w:rPr>
          <w:rFonts w:cs="Times New Roman"/>
        </w:rPr>
        <w:t xml:space="preserve">for travel time savings </w:t>
      </w:r>
      <w:r w:rsidR="00AA2858" w:rsidRPr="004811C9">
        <w:rPr>
          <w:rFonts w:cs="Times New Roman"/>
        </w:rPr>
        <w:t>(</w:t>
      </w:r>
      <w:r w:rsidR="00147A52" w:rsidRPr="004811C9">
        <w:rPr>
          <w:rFonts w:cs="Times New Roman"/>
        </w:rPr>
        <w:t xml:space="preserve">we discuss </w:t>
      </w:r>
      <w:r w:rsidR="00F47BF9" w:rsidRPr="004811C9">
        <w:rPr>
          <w:rFonts w:cs="Times New Roman"/>
        </w:rPr>
        <w:t xml:space="preserve">this </w:t>
      </w:r>
      <w:r w:rsidR="00AA2858" w:rsidRPr="004811C9">
        <w:rPr>
          <w:rFonts w:cs="Times New Roman"/>
        </w:rPr>
        <w:t xml:space="preserve">issue in more detail in the following section). </w:t>
      </w:r>
    </w:p>
    <w:p w14:paraId="3EC1702D" w14:textId="77777777" w:rsidR="009477A2" w:rsidRPr="004811C9" w:rsidRDefault="009477A2" w:rsidP="00B3067B">
      <w:pPr>
        <w:spacing w:after="0" w:line="240" w:lineRule="auto"/>
        <w:jc w:val="both"/>
        <w:rPr>
          <w:rFonts w:cs="Times New Roman"/>
          <w:b/>
          <w:bCs/>
        </w:rPr>
      </w:pPr>
    </w:p>
    <w:p w14:paraId="53D27378" w14:textId="1AF8801F" w:rsidR="00B3067B" w:rsidRPr="004811C9" w:rsidRDefault="00B3067B" w:rsidP="00EC71A1">
      <w:pPr>
        <w:keepNext/>
        <w:spacing w:after="0" w:line="240" w:lineRule="auto"/>
        <w:jc w:val="both"/>
        <w:rPr>
          <w:rFonts w:cs="Times New Roman"/>
          <w:b/>
          <w:bCs/>
        </w:rPr>
      </w:pPr>
      <w:r w:rsidRPr="004811C9">
        <w:rPr>
          <w:rFonts w:cs="Times New Roman"/>
          <w:b/>
          <w:bCs/>
        </w:rPr>
        <w:t>2.</w:t>
      </w:r>
      <w:r w:rsidR="00973B9A" w:rsidRPr="004811C9">
        <w:rPr>
          <w:rFonts w:cs="Times New Roman"/>
          <w:b/>
          <w:bCs/>
        </w:rPr>
        <w:t>2</w:t>
      </w:r>
      <w:r w:rsidRPr="004811C9">
        <w:rPr>
          <w:rFonts w:cs="Times New Roman"/>
          <w:b/>
          <w:bCs/>
        </w:rPr>
        <w:t xml:space="preserve"> Methods for Estimating the Value of Travel Time Savings</w:t>
      </w:r>
    </w:p>
    <w:p w14:paraId="614E5B56" w14:textId="657A953D" w:rsidR="00EF5F8A" w:rsidRPr="00F8453A" w:rsidRDefault="001126B4" w:rsidP="00B3067B">
      <w:pPr>
        <w:spacing w:after="0" w:line="240" w:lineRule="auto"/>
        <w:jc w:val="both"/>
        <w:rPr>
          <w:rFonts w:cs="Times New Roman"/>
          <w:i/>
          <w:iCs/>
        </w:rPr>
      </w:pPr>
      <w:r w:rsidRPr="00F8453A">
        <w:rPr>
          <w:rFonts w:cs="Times New Roman"/>
          <w:i/>
          <w:iCs/>
        </w:rPr>
        <w:t>2.</w:t>
      </w:r>
      <w:r w:rsidR="00973B9A" w:rsidRPr="00F8453A">
        <w:rPr>
          <w:rFonts w:cs="Times New Roman"/>
          <w:i/>
          <w:iCs/>
        </w:rPr>
        <w:t>2</w:t>
      </w:r>
      <w:r w:rsidRPr="00F8453A">
        <w:rPr>
          <w:rFonts w:cs="Times New Roman"/>
          <w:i/>
          <w:iCs/>
        </w:rPr>
        <w:t xml:space="preserve">.1 Imputation </w:t>
      </w:r>
      <w:r w:rsidR="00F47BF9" w:rsidRPr="00F8453A">
        <w:rPr>
          <w:rFonts w:cs="Times New Roman"/>
          <w:i/>
          <w:iCs/>
        </w:rPr>
        <w:t>Approach</w:t>
      </w:r>
    </w:p>
    <w:p w14:paraId="4BA4A8DF" w14:textId="1CAC03B1" w:rsidR="00B3067B" w:rsidRPr="004811C9" w:rsidRDefault="00B3067B" w:rsidP="00B3067B">
      <w:pPr>
        <w:spacing w:after="0" w:line="240" w:lineRule="auto"/>
        <w:jc w:val="both"/>
        <w:rPr>
          <w:rFonts w:cs="Times New Roman"/>
        </w:rPr>
      </w:pPr>
      <w:r w:rsidRPr="004811C9">
        <w:rPr>
          <w:rFonts w:cs="Times New Roman"/>
        </w:rPr>
        <w:t xml:space="preserve">The </w:t>
      </w:r>
      <w:r w:rsidR="00DE3308" w:rsidRPr="004811C9">
        <w:rPr>
          <w:rFonts w:cs="Times New Roman"/>
        </w:rPr>
        <w:t xml:space="preserve">most common </w:t>
      </w:r>
      <w:r w:rsidR="00F47BF9" w:rsidRPr="004811C9">
        <w:rPr>
          <w:rFonts w:cs="Times New Roman"/>
        </w:rPr>
        <w:t>approach</w:t>
      </w:r>
      <w:r w:rsidR="00DE3308" w:rsidRPr="004811C9">
        <w:rPr>
          <w:rFonts w:cs="Times New Roman"/>
        </w:rPr>
        <w:t xml:space="preserve"> </w:t>
      </w:r>
      <w:r w:rsidRPr="004811C9">
        <w:rPr>
          <w:rFonts w:cs="Times New Roman"/>
        </w:rPr>
        <w:t xml:space="preserve">to estimate </w:t>
      </w:r>
      <w:r w:rsidR="00CF1704" w:rsidRPr="004811C9">
        <w:rPr>
          <w:rFonts w:cs="Times New Roman"/>
        </w:rPr>
        <w:t>VTTS</w:t>
      </w:r>
      <w:r w:rsidRPr="004811C9">
        <w:rPr>
          <w:rFonts w:cs="Times New Roman"/>
        </w:rPr>
        <w:t xml:space="preserve"> </w:t>
      </w:r>
      <w:r w:rsidR="00DE3308" w:rsidRPr="004811C9">
        <w:rPr>
          <w:rFonts w:cs="Times New Roman"/>
        </w:rPr>
        <w:t>has been based on</w:t>
      </w:r>
      <w:r w:rsidR="009E5CDC">
        <w:rPr>
          <w:rFonts w:cs="Times New Roman"/>
        </w:rPr>
        <w:t xml:space="preserve"> an imputation from</w:t>
      </w:r>
      <w:r w:rsidR="00DE3308" w:rsidRPr="004811C9">
        <w:rPr>
          <w:rFonts w:cs="Times New Roman"/>
        </w:rPr>
        <w:t xml:space="preserve"> the choice made among alternatives with different costs and times. </w:t>
      </w:r>
      <w:r w:rsidR="005F45DB">
        <w:rPr>
          <w:rFonts w:cs="Times New Roman"/>
        </w:rPr>
        <w:t xml:space="preserve">Such an approach </w:t>
      </w:r>
      <w:r w:rsidR="000E6F63">
        <w:rPr>
          <w:rFonts w:cs="Times New Roman"/>
        </w:rPr>
        <w:t xml:space="preserve">follows directly from time-allocation theory, </w:t>
      </w:r>
      <w:r w:rsidR="00696EF6">
        <w:rPr>
          <w:rFonts w:cs="Times New Roman"/>
        </w:rPr>
        <w:t xml:space="preserve">in which </w:t>
      </w:r>
      <w:r w:rsidR="007531CE">
        <w:rPr>
          <w:rFonts w:cs="Times New Roman"/>
        </w:rPr>
        <w:t>travel time and monetary expenditures jointly constrain an individual’s utility, yielding an equilibrium marginal rate of substitution</w:t>
      </w:r>
      <w:r w:rsidR="00520958">
        <w:rPr>
          <w:rFonts w:cs="Times New Roman"/>
        </w:rPr>
        <w:t xml:space="preserve"> </w:t>
      </w:r>
      <w:r w:rsidR="00BA1900">
        <w:rPr>
          <w:rFonts w:cs="Times New Roman"/>
        </w:rPr>
        <w:fldChar w:fldCharType="begin"/>
      </w:r>
      <w:r w:rsidR="00BA1900">
        <w:rPr>
          <w:rFonts w:cs="Times New Roman"/>
        </w:rPr>
        <w:instrText xml:space="preserve"> ADDIN ZOTERO_ITEM CSL_CITATION {"citationID":"wdc8A4x8","properties":{"formattedCitation":"(De Serpa, 1971)","plainCitation":"(De Serpa, 1971)","noteIndex":0},"citationItems":[{"id":4800,"uris":["http://zotero.org/users/12832277/items/S572S4T2"],"itemData":{"id":4800,"type":"article-journal","container-title":"The Economic Journal","DOI":"10.2307/2230320","ISSN":"0013-0133","issue":"324","page":"828-846","source":"Silverchair","title":"A Theory of the Economics of Time","volume":"81","author":[{"family":"De Serpa","given":"A. C."}],"issued":{"date-parts":[["1971",12,1]]}}}],"schema":"https://github.com/citation-style-language/schema/raw/master/csl-citation.json"} </w:instrText>
      </w:r>
      <w:r w:rsidR="00BA1900">
        <w:rPr>
          <w:rFonts w:cs="Times New Roman"/>
        </w:rPr>
        <w:fldChar w:fldCharType="separate"/>
      </w:r>
      <w:r w:rsidR="00BA1900" w:rsidRPr="00BA1900">
        <w:rPr>
          <w:rFonts w:cs="Times New Roman"/>
        </w:rPr>
        <w:t>(De Serpa, 1971)</w:t>
      </w:r>
      <w:r w:rsidR="00BA1900">
        <w:rPr>
          <w:rFonts w:cs="Times New Roman"/>
        </w:rPr>
        <w:fldChar w:fldCharType="end"/>
      </w:r>
      <w:r w:rsidR="004574A6">
        <w:rPr>
          <w:rFonts w:cs="Times New Roman"/>
        </w:rPr>
        <w:t xml:space="preserve">. </w:t>
      </w:r>
      <w:r w:rsidR="00DE3308" w:rsidRPr="004811C9">
        <w:rPr>
          <w:rFonts w:cs="Times New Roman"/>
        </w:rPr>
        <w:t xml:space="preserve">The choice made, when analyzed from the standpoint of a compensatory decision process (such as utility maximization), effectively reveals </w:t>
      </w:r>
      <w:r w:rsidR="007531CE">
        <w:rPr>
          <w:rFonts w:cs="Times New Roman"/>
        </w:rPr>
        <w:t>this</w:t>
      </w:r>
      <w:r w:rsidR="007531CE" w:rsidRPr="004811C9">
        <w:rPr>
          <w:rFonts w:cs="Times New Roman"/>
        </w:rPr>
        <w:t xml:space="preserve"> </w:t>
      </w:r>
      <w:r w:rsidR="00141AF9">
        <w:rPr>
          <w:rFonts w:cs="Times New Roman"/>
        </w:rPr>
        <w:t xml:space="preserve">time-cost </w:t>
      </w:r>
      <w:r w:rsidR="00DE3308" w:rsidRPr="004811C9">
        <w:rPr>
          <w:rFonts w:cs="Times New Roman"/>
        </w:rPr>
        <w:t xml:space="preserve">tradeoff </w:t>
      </w:r>
      <w:r w:rsidRPr="004811C9">
        <w:rPr>
          <w:rFonts w:cs="Times New Roman"/>
        </w:rPr>
        <w:t xml:space="preserve"> </w:t>
      </w:r>
      <w:r w:rsidRPr="004811C9">
        <w:rPr>
          <w:rFonts w:cs="Times New Roman"/>
          <w:i/>
          <w:iCs/>
        </w:rPr>
        <w:fldChar w:fldCharType="begin"/>
      </w:r>
      <w:r w:rsidR="008345D7">
        <w:rPr>
          <w:rFonts w:cs="Times New Roman"/>
          <w:i/>
          <w:iCs/>
        </w:rPr>
        <w:instrText xml:space="preserve"> ADDIN ZOTERO_ITEM CSL_CITATION {"citationID":"4sXYX3BD","properties":{"unsorted":true,"formattedCitation":"(Gonz\\uc0\\u225{}lez, 1997; Antoniou et al., 2007; Small, 2012; Li et al., 2020; Coppola et al., 2024)","plainCitation":"(González, 1997; Antoniou et al., 2007; Small, 2012; Li et al., 2020; Coppola et al., 2024)","dontUpdate":true,"noteIndex":0},"citationItems":[{"id":4518,"uris":["http://zotero.org/users/12832277/items/ZM9F5RXQ"],"itemData":{"id":4518,"type":"article-journal","abstract":"We review the main models postulated to study the subjective value of non‐working time emphasizing the most important aspects behind the microeconomic formulation of time allocation models: among others we consider the behavioural assumptions, the role of constraints in the maximization process implicit in this task, and the relevant variables in the utility function. We analyse first the pioneering models of Becker (1965), De Serpa (1971, 1973) and Evans (1972), who develop a general theoretical framework which may be applied to modal choice models. We then go on to consider Train and McFadden's model (1978) where the formulation incorporates the theory of random utility in order to analyse the choice of individual transport services. This analysis is further developed in Bates and Roberts (1986), Jara‐Díaz and Farah (1987), and Jara‐Díaz et al. (1988), who extend and perfect the analysis to establish what may be considered as the actual position of research on the subject, and to which the most recent contributions of Jara‐Diaz (1994) are to be added.","container-title":"Transport Reviews","DOI":"10.1080/01441649708716984","ISSN":"0144-1647","issue":"3","note":"_eprint: https://doi.org/10.1080/01441649708716984","page":"245-266","publisher":"Routledge","source":"Taylor and Francis+NEJM","title":"The Value of Time: A Theoretical Review","volume":"17","author":[{"family":"González","given":"Rosa Marina"}],"issued":{"date-parts":[["1997",7,1]]}}},{"id":4522,"uris":["http://zotero.org/users/12832277/items/SKVTI4EG"],"itemData":{"id":4522,"type":"article-journal","abstract":"Value-of-time (VOT) measures are valuable in a wide range of public transport policy and planning applications. However, VOT is a latent variable that cannot be measured directly. In this research, state-of-the-art econometric models are developed within a methodological framework that allows for the estimation of the VOT. Ordered and binary discrete choice models have been developed. Furthermore, a mixed effects model that accounts for the unobserved heterogeneity across different individuals has also been specified. The models have been applied to short intercity trips between two medium-size cities (Agrinio and Patras) in Greece. The model specification combines trip-based characteristics (mode, travel time, and travel cost), with socioeconomic characteristics, such as profession, education, and car ownership. A stated-preference survey has been designed and administered to a random sample of 289 people. The estimated coefficients from the developed models have been used to estimate VOT measures and the overall performance of the ordered logit and the generalized linear mixed model has been found to be superior to the binary logit model.","container-title":"Journal of Public Transportation","DOI":"10.5038/2375-0901.10.3.1","ISSN":"1077-291X","issue":"3","journalAbbreviation":"Journal of Public Transportation","page":"1-19","source":"ScienceDirect","title":"A Methodology for the Estimation of Value-of-Time Using State-of-the-Art Econometric Models","volume":"10","author":[{"family":"Antoniou","given":"Constantinos"},{"family":"Matsoukis","given":"Evangelos"},{"family":"Roussi","given":"Penelope"}],"issued":{"date-parts":[["2007",7,1]]}}},{"id":4848,"uris":["http://zotero.org/users/12832277/items/J64V7ZRU"],"itemData":{"id":4848,"type":"article-journal","abstract":"After decades of study, the value of travel time remains incompletely understood and ripe for further theoretical and empirical investigation. Research has revealed many regularities and connections between willingness to pay for time savings and other economic factors including time of day choice, aversion to unreliability, labor supply, taxation, activity scheduling, intra-household time allocation, and out-of-office productivity. Some of these connections have been addressed through sophisticated modeling, revealing a plethora of reasons for heterogeneity in value of time rooted in behavior at a micro scale. This paper reviews what we know and what we need to know. A recurrent theme is that the value of time for a particular travel movement depends strongly on very specific factors, and that understanding how these factors work will provide new insights into travel behavior and into more general economic choices.","container-title":"Economics of Transportation","DOI":"10.1016/j.ecotra.2012.09.002","ISSN":"2212-0122","issue":"1","page":"2-14","source":"ScienceDirect","title":"Valuation of Travel Time","volume":"1","author":[{"family":"Small","given":"Kenneth A."}],"issued":{"date-parts":[["2012",12,1]]}}},{"id":3590,"uris":["http://zotero.org/users/12832277/items/KU9PVZK6"],"itemData":{"id":3590,"type":"article-journal","abstract":"A number of studies have found that the willingness-to-pay (WTP) results estimated from revealed preference (RP) and stated preference (SP) data tend to be different. In this paper, we empirically estimate values of travel time savings from an SP data set and an RP data set and compare the findings within this study and between studies. The evidence shows that the design of a stated choice experiment has a significant impact on the ratio of SP and RP WTP values and reveals that presenting a full distribution of travel time to address random travel time variation in the choice scenarios, along with using a real market reference alternative as a pivot in the SP design, significantly reduces the gap between values of travel time savings estimated from SP data and RP data.","container-title":"Transportation Letters","DOI":"10.1080/19427867.2018.1546806","ISSN":"1942-7867","issue":"3","note":"_eprint: https://doi.org/10.1080/19427867.2018.1546806","page":"166-171","publisher":"Taylor &amp; Francis","source":"Taylor and Francis+NEJM","title":"An Empirical Investigation of Values of Travel Time Savings from Stated Preference Data and Revealed Preference Data","volume":"12","author":[{"family":"Li","given":"Zheng"},{"family":"Hensher","given":"David A."},{"family":"Ho","given":"Chinh"}],"issued":{"date-parts":[["2020",3,15]]}}},{"id":4536,"uris":["http://zotero.org/users/12832277/items/VA9GSRY6"],"itemData":{"id":4536,"type":"article-journal","abstract":"In the last years, Urban Air Mobility (UAM) has been receiving increasing attention and even if the first services are expected to be launched shortly, there is still uncertainty about which type of commercial services (e.g., airport shuttles or city-taxis) will be implemented at an early stage, as well as which price point will be perceived as affordable by travelers. Based on data collected through a large-scale survey campaign in the Milan metropolitan area (Italy), in this paper passengers' value of travel time savings for different UAM services are estimated using advanced discrete choice modeling. Estimated mixed logit models allowed to comparatively analyze the differences between the two potential use cases, i.e., airport shuttle and city-taxi services. Results show a willingness to pay for UAM services from/to airports that is greater (in a range of 44%–57%) than for travelling within the metropolitan area, and greater (in a range of 31%–44%) for business travels than for other purposes, indicating that the most financially sustainable UAM services will potentially be available for airport-shuttle connections from/to central business districts.","container-title":"Transport Policy","DOI":"10.1016/j.tranpol.2024.03.003","ISSN":"0967-070X","journalAbbreviation":"Transport Policy","page":"24-34","source":"ScienceDirect","title":"Urban Air Mobility (UAM): Airport shuttles or city-taxis?","volume":"150","author":[{"family":"Coppola","given":"Pierluigi"},{"family":"De Fabiis","given":"Francesco"},{"family":"Silvestri","given":"Fulvio"}],"issued":{"date-parts":[["2024",5,1]]}}}],"schema":"https://github.com/citation-style-language/schema/raw/master/csl-citation.json"} </w:instrText>
      </w:r>
      <w:r w:rsidRPr="004811C9">
        <w:rPr>
          <w:rFonts w:cs="Times New Roman"/>
          <w:i/>
          <w:iCs/>
        </w:rPr>
        <w:fldChar w:fldCharType="separate"/>
      </w:r>
      <w:r w:rsidRPr="004811C9">
        <w:rPr>
          <w:rFonts w:cs="Times New Roman"/>
          <w:kern w:val="0"/>
        </w:rPr>
        <w:t>(see, for example, González, 1997; Antoniou et al., 2007; Small, 2012; Li et al., 2020; Coppola et al., 2024)</w:t>
      </w:r>
      <w:r w:rsidRPr="004811C9">
        <w:rPr>
          <w:rFonts w:cs="Times New Roman"/>
          <w:i/>
          <w:iCs/>
        </w:rPr>
        <w:fldChar w:fldCharType="end"/>
      </w:r>
      <w:r w:rsidRPr="004811C9">
        <w:rPr>
          <w:rFonts w:cs="Times New Roman"/>
        </w:rPr>
        <w:t>. For instance, th</w:t>
      </w:r>
      <w:r w:rsidR="00DE3308" w:rsidRPr="004811C9">
        <w:rPr>
          <w:rFonts w:cs="Times New Roman"/>
        </w:rPr>
        <w:t>e</w:t>
      </w:r>
      <w:r w:rsidRPr="004811C9">
        <w:rPr>
          <w:rFonts w:cs="Times New Roman"/>
        </w:rPr>
        <w:t xml:space="preserve"> approach would involve collecting </w:t>
      </w:r>
      <w:r w:rsidR="00DE3308" w:rsidRPr="004811C9">
        <w:rPr>
          <w:rFonts w:cs="Times New Roman"/>
        </w:rPr>
        <w:t xml:space="preserve">travel </w:t>
      </w:r>
      <w:r w:rsidRPr="004811C9">
        <w:rPr>
          <w:rFonts w:cs="Times New Roman"/>
        </w:rPr>
        <w:t xml:space="preserve">mode choice data and estimating a </w:t>
      </w:r>
      <w:r w:rsidR="00DE3308" w:rsidRPr="004811C9">
        <w:rPr>
          <w:rFonts w:cs="Times New Roman"/>
        </w:rPr>
        <w:t xml:space="preserve">utility-maximizing </w:t>
      </w:r>
      <w:r w:rsidRPr="004811C9">
        <w:rPr>
          <w:rFonts w:cs="Times New Roman"/>
        </w:rPr>
        <w:t>discrete choice model for the preferred mode</w:t>
      </w:r>
      <w:r w:rsidR="00F47BF9" w:rsidRPr="004811C9">
        <w:rPr>
          <w:rFonts w:cs="Times New Roman"/>
        </w:rPr>
        <w:t>,</w:t>
      </w:r>
      <w:r w:rsidRPr="004811C9">
        <w:rPr>
          <w:rFonts w:cs="Times New Roman"/>
        </w:rPr>
        <w:t xml:space="preserve"> with coefficients </w:t>
      </w:r>
      <w:r w:rsidR="001F466A" w:rsidRPr="004811C9">
        <w:rPr>
          <w:rFonts w:cs="Times New Roman"/>
        </w:rPr>
        <w:t>reflecting</w:t>
      </w:r>
      <w:r w:rsidRPr="004811C9">
        <w:rPr>
          <w:rFonts w:cs="Times New Roman"/>
        </w:rPr>
        <w:t xml:space="preserve"> the </w:t>
      </w:r>
      <w:r w:rsidR="001F466A" w:rsidRPr="004811C9">
        <w:rPr>
          <w:rFonts w:cs="Times New Roman"/>
        </w:rPr>
        <w:t xml:space="preserve">relative </w:t>
      </w:r>
      <w:r w:rsidRPr="004811C9">
        <w:rPr>
          <w:rFonts w:cs="Times New Roman"/>
        </w:rPr>
        <w:t xml:space="preserve">value of monetary cost and time cost </w:t>
      </w:r>
      <w:r w:rsidR="001F466A" w:rsidRPr="004811C9">
        <w:rPr>
          <w:rFonts w:cs="Times New Roman"/>
        </w:rPr>
        <w:t xml:space="preserve">in mode choice </w:t>
      </w:r>
      <w:r w:rsidR="00DE3308" w:rsidRPr="004811C9">
        <w:rPr>
          <w:rFonts w:cs="Times New Roman"/>
        </w:rPr>
        <w:t>utilities</w:t>
      </w:r>
      <w:r w:rsidRPr="004811C9">
        <w:rPr>
          <w:rFonts w:cs="Times New Roman"/>
        </w:rPr>
        <w:t>. The ratio of the</w:t>
      </w:r>
      <w:r w:rsidR="00DE3308" w:rsidRPr="004811C9">
        <w:rPr>
          <w:rFonts w:cs="Times New Roman"/>
        </w:rPr>
        <w:t xml:space="preserve"> time to cost </w:t>
      </w:r>
      <w:r w:rsidRPr="004811C9">
        <w:rPr>
          <w:rFonts w:cs="Times New Roman"/>
        </w:rPr>
        <w:t>coefficient</w:t>
      </w:r>
      <w:r w:rsidR="00A32543" w:rsidRPr="004811C9">
        <w:rPr>
          <w:rFonts w:cs="Times New Roman"/>
        </w:rPr>
        <w:t>s</w:t>
      </w:r>
      <w:r w:rsidRPr="004811C9">
        <w:rPr>
          <w:rFonts w:cs="Times New Roman"/>
        </w:rPr>
        <w:t xml:space="preserve"> would then </w:t>
      </w:r>
      <w:r w:rsidR="00DE3308" w:rsidRPr="004811C9">
        <w:rPr>
          <w:rFonts w:cs="Times New Roman"/>
        </w:rPr>
        <w:t xml:space="preserve">be imputed as an estimate of </w:t>
      </w:r>
      <w:r w:rsidR="00800FC7" w:rsidRPr="004811C9">
        <w:rPr>
          <w:rFonts w:cs="Times New Roman"/>
        </w:rPr>
        <w:t>VTTS</w:t>
      </w:r>
      <w:r w:rsidRPr="004811C9">
        <w:rPr>
          <w:rFonts w:cs="Times New Roman"/>
        </w:rPr>
        <w:t xml:space="preserve">. </w:t>
      </w:r>
    </w:p>
    <w:p w14:paraId="250AFCE1" w14:textId="65C41277" w:rsidR="00B3067B" w:rsidRPr="004811C9" w:rsidRDefault="00DE3308" w:rsidP="00A32543">
      <w:pPr>
        <w:spacing w:after="0" w:line="240" w:lineRule="auto"/>
        <w:ind w:firstLine="720"/>
        <w:jc w:val="both"/>
        <w:rPr>
          <w:rFonts w:cs="Times New Roman"/>
        </w:rPr>
      </w:pPr>
      <w:r w:rsidRPr="004811C9">
        <w:rPr>
          <w:rFonts w:cs="Times New Roman"/>
        </w:rPr>
        <w:t>The data used in imputation-based studies may originate from revealed preference (RP)</w:t>
      </w:r>
      <w:r w:rsidR="00F47BF9" w:rsidRPr="004811C9">
        <w:rPr>
          <w:rFonts w:cs="Times New Roman"/>
        </w:rPr>
        <w:t xml:space="preserve"> surveys</w:t>
      </w:r>
      <w:r w:rsidRPr="004811C9">
        <w:rPr>
          <w:rFonts w:cs="Times New Roman"/>
        </w:rPr>
        <w:t>, stated preference (SP)</w:t>
      </w:r>
      <w:r w:rsidR="00F47BF9" w:rsidRPr="004811C9">
        <w:rPr>
          <w:rFonts w:cs="Times New Roman"/>
        </w:rPr>
        <w:t xml:space="preserve"> elicitations</w:t>
      </w:r>
      <w:r w:rsidRPr="004811C9">
        <w:rPr>
          <w:rFonts w:cs="Times New Roman"/>
        </w:rPr>
        <w:t xml:space="preserve">, or a combination of both. </w:t>
      </w:r>
      <w:r w:rsidR="0060471C" w:rsidRPr="004811C9">
        <w:rPr>
          <w:rFonts w:cs="Times New Roman"/>
        </w:rPr>
        <w:t>Additionally,</w:t>
      </w:r>
      <w:r w:rsidRPr="004811C9">
        <w:rPr>
          <w:rFonts w:cs="Times New Roman"/>
        </w:rPr>
        <w:t xml:space="preserve"> the travel dimension being analyzed may be mode choice, or time-of-day choice, or other travel choices (the only requirement is that the attributes of the alternatives in the choice process involve both travel time and travel cost). RP</w:t>
      </w:r>
      <w:r w:rsidR="00A11FC4" w:rsidRPr="004811C9">
        <w:rPr>
          <w:rFonts w:cs="Times New Roman"/>
        </w:rPr>
        <w:t xml:space="preserve"> data-based</w:t>
      </w:r>
      <w:r w:rsidRPr="004811C9">
        <w:rPr>
          <w:rFonts w:cs="Times New Roman"/>
        </w:rPr>
        <w:t xml:space="preserve"> studies derive VTTS from actual behavioral choices. For instance, recently, Hartwig et al. </w:t>
      </w:r>
      <w:r w:rsidRPr="004811C9">
        <w:rPr>
          <w:rFonts w:cs="Times New Roman"/>
        </w:rPr>
        <w:fldChar w:fldCharType="begin"/>
      </w:r>
      <w:r w:rsidRPr="004811C9">
        <w:rPr>
          <w:rFonts w:cs="Times New Roman"/>
        </w:rPr>
        <w:instrText xml:space="preserve"> ADDIN ZOTERO_ITEM CSL_CITATION {"citationID":"r8CeOapQ","properties":{"formattedCitation":"(2024)","plainCitation":"(2024)","noteIndex":0},"citationItems":[{"id":4897,"uris":["http://zotero.org/users/12832277/items/U86NTTK6"],"itemData":{"id":4897,"type":"article-journal","abstract":"There is ample evidence that the VTTS of public transport (PT) users is lower than that of car drivers and dropped further in recent years. One reason could be the better conditions for multitasking in PT, which improve continuously with the availability of mobile information and communication technologies. While this was addressed in several stated preference studies, revealed preference studies are scarce. None of them estimated the effect of multitasking on the VTTS and how this effect depends on activity types and travel modes. We estimate the effect of multitasking on the VTTS of PT users and car drivers using revealed preference data from a weeklong mobility and activity survey in Austria. Multitasking activities were allocated to two levels depending on whether they can be performed while driving (level 1) or not (level 2). In our two-stage modelling approach, stage 1 predicts the multitasking behaviour in non-chosen modes, while stage 2 uses these predictions to estimate the effect of multitasking on the VTTS using a mode choice model as utility framework. We find that the VTTS of PT users is lower than that of car drivers even without multitasking (5.50 vs. 14.32 €/h) and further drops with different levels of multitasking (3.95 and 3.35 €/h for levels 1 and 2), whereas the VTTS of car drivers drops only insignificantly to 14.05 €/h with level 1multitasking. The results emphasise the importance of good multitasking conditions alongside fast connections for the choice of PT.","container-title":"Travel Behaviour and Society","DOI":"10.1016/j.tbs.2023.100700","ISSN":"2214-367X","page":"100700","source":"ScienceDirect","title":"Decomposing Mode-Specific Values of Travel Time Savings with Respect to Different Levels of Travel-Based Multitasking: A Revealed Preference Study","volume":"34","author":[{"family":"Hartwig","given":"Lukas"},{"family":"Gühnemann","given":"Astrid"},{"family":"Hössinger","given":"Reinhard"}],"issued":{"date-parts":[["2024",1,1]]}},"label":"page","suppress-author":true}],"schema":"https://github.com/citation-style-language/schema/raw/master/csl-citation.json"} </w:instrText>
      </w:r>
      <w:r w:rsidRPr="004811C9">
        <w:rPr>
          <w:rFonts w:cs="Times New Roman"/>
        </w:rPr>
        <w:fldChar w:fldCharType="separate"/>
      </w:r>
      <w:r w:rsidRPr="004811C9">
        <w:rPr>
          <w:rFonts w:cs="Times New Roman"/>
        </w:rPr>
        <w:t>(2024)</w:t>
      </w:r>
      <w:r w:rsidRPr="004811C9">
        <w:rPr>
          <w:rFonts w:cs="Times New Roman"/>
        </w:rPr>
        <w:fldChar w:fldCharType="end"/>
      </w:r>
      <w:r w:rsidRPr="004811C9">
        <w:rPr>
          <w:rFonts w:cs="Times New Roman"/>
        </w:rPr>
        <w:t xml:space="preserve"> </w:t>
      </w:r>
      <w:r w:rsidR="007F1070" w:rsidRPr="004811C9">
        <w:rPr>
          <w:rFonts w:cs="Times New Roman"/>
        </w:rPr>
        <w:t xml:space="preserve">used </w:t>
      </w:r>
      <w:r w:rsidRPr="004811C9">
        <w:rPr>
          <w:rFonts w:cs="Times New Roman"/>
        </w:rPr>
        <w:t xml:space="preserve">RP data to estimate VTTS based on travel mode choices, finding a lower VTTS for rail users who </w:t>
      </w:r>
      <w:r w:rsidR="007F1070" w:rsidRPr="004811C9">
        <w:rPr>
          <w:rFonts w:cs="Times New Roman"/>
        </w:rPr>
        <w:t xml:space="preserve">can </w:t>
      </w:r>
      <w:r w:rsidRPr="004811C9">
        <w:rPr>
          <w:rFonts w:cs="Times New Roman"/>
        </w:rPr>
        <w:t xml:space="preserve">utilize travel time productively. In another recent study, Tveter </w:t>
      </w:r>
      <w:r w:rsidRPr="004811C9">
        <w:rPr>
          <w:rFonts w:cs="Times New Roman"/>
        </w:rPr>
        <w:fldChar w:fldCharType="begin"/>
      </w:r>
      <w:r w:rsidRPr="004811C9">
        <w:rPr>
          <w:rFonts w:cs="Times New Roman"/>
        </w:rPr>
        <w:instrText xml:space="preserve"> ADDIN ZOTERO_ITEM CSL_CITATION {"citationID":"GhiWLxUk","properties":{"formattedCitation":"(2023)","plainCitation":"(2023)","noteIndex":0},"citationItems":[{"id":4822,"uris":["http://zotero.org/users/12832277/items/5G4DRIH3"],"itemData":{"id":4822,"type":"article-journal","abstract":"This paper suggests an alternative approach to estimate the value of travel time (VTT) savings, using a case study with exogenous variation in travel costs and data from automatic traffic counts (ATC). With this revealed preferences approach, we address a possible bias of VTT estimates because of self-selection. Compared to the VTT estimates used in transport appraisals, the results produce substantially higher estimates of VTT. Unfortunately, our analysis does allow us to distinguish the self-selection bias from other possible sources of bias. The cost of using ATC data is that there is no direct information regarding the motorists, and the analysis must be done using aggregated data at an hourly interval. Still, this alternative approach may complement the results with more detailed data.","container-title":"Transportation","DOI":"10.1007/s11116-022-10308-6","ISSN":"1572-9435","issue":"6","language":"en","page":"2273-2297","source":"Springer Link","title":"The Value of Travel Time: A Revealed Preferences Approach Using Exogenous Variation in Travel Costs and Automatic Traffic Count Data","volume":"50","author":[{"family":"Tveter","given":"Eivind"}],"issued":{"date-parts":[["2023",12,1]]}},"label":"page","suppress-author":true}],"schema":"https://github.com/citation-style-language/schema/raw/master/csl-citation.json"} </w:instrText>
      </w:r>
      <w:r w:rsidRPr="004811C9">
        <w:rPr>
          <w:rFonts w:cs="Times New Roman"/>
        </w:rPr>
        <w:fldChar w:fldCharType="separate"/>
      </w:r>
      <w:r w:rsidRPr="004811C9">
        <w:rPr>
          <w:rFonts w:cs="Times New Roman"/>
        </w:rPr>
        <w:t>(2023)</w:t>
      </w:r>
      <w:r w:rsidRPr="004811C9">
        <w:rPr>
          <w:rFonts w:cs="Times New Roman"/>
        </w:rPr>
        <w:fldChar w:fldCharType="end"/>
      </w:r>
      <w:r w:rsidRPr="004811C9">
        <w:rPr>
          <w:rFonts w:cs="Times New Roman"/>
        </w:rPr>
        <w:t xml:space="preserve"> used real-world </w:t>
      </w:r>
      <w:r w:rsidR="007F1070" w:rsidRPr="004811C9">
        <w:rPr>
          <w:rFonts w:cs="Times New Roman"/>
        </w:rPr>
        <w:t xml:space="preserve">travel </w:t>
      </w:r>
      <w:r w:rsidRPr="004811C9">
        <w:rPr>
          <w:rFonts w:cs="Times New Roman"/>
        </w:rPr>
        <w:t>pric</w:t>
      </w:r>
      <w:r w:rsidR="007F1070" w:rsidRPr="004811C9">
        <w:rPr>
          <w:rFonts w:cs="Times New Roman"/>
        </w:rPr>
        <w:t>ing</w:t>
      </w:r>
      <w:r w:rsidRPr="004811C9">
        <w:rPr>
          <w:rFonts w:cs="Times New Roman"/>
        </w:rPr>
        <w:t xml:space="preserve"> variation</w:t>
      </w:r>
      <w:r w:rsidR="007F1070" w:rsidRPr="004811C9">
        <w:rPr>
          <w:rFonts w:cs="Times New Roman"/>
        </w:rPr>
        <w:t>s</w:t>
      </w:r>
      <w:r w:rsidRPr="004811C9">
        <w:rPr>
          <w:rFonts w:cs="Times New Roman"/>
        </w:rPr>
        <w:t xml:space="preserve"> and </w:t>
      </w:r>
      <w:r w:rsidR="00A11FC4" w:rsidRPr="004811C9">
        <w:rPr>
          <w:rFonts w:cs="Times New Roman"/>
        </w:rPr>
        <w:t>aggregate</w:t>
      </w:r>
      <w:r w:rsidR="007F1070" w:rsidRPr="004811C9">
        <w:rPr>
          <w:rFonts w:cs="Times New Roman"/>
        </w:rPr>
        <w:t xml:space="preserve"> travel count </w:t>
      </w:r>
      <w:r w:rsidR="00A11FC4" w:rsidRPr="004811C9">
        <w:rPr>
          <w:rFonts w:cs="Times New Roman"/>
        </w:rPr>
        <w:t xml:space="preserve">data (obtained from </w:t>
      </w:r>
      <w:r w:rsidRPr="004811C9">
        <w:rPr>
          <w:rFonts w:cs="Times New Roman"/>
        </w:rPr>
        <w:t>automatic traffic count data</w:t>
      </w:r>
      <w:r w:rsidR="00A11FC4" w:rsidRPr="004811C9">
        <w:rPr>
          <w:rFonts w:cs="Times New Roman"/>
        </w:rPr>
        <w:t>)</w:t>
      </w:r>
      <w:r w:rsidRPr="004811C9">
        <w:rPr>
          <w:rFonts w:cs="Times New Roman"/>
        </w:rPr>
        <w:t xml:space="preserve"> in Norway to </w:t>
      </w:r>
      <w:r w:rsidR="00A11FC4" w:rsidRPr="004811C9">
        <w:rPr>
          <w:rFonts w:cs="Times New Roman"/>
        </w:rPr>
        <w:t>estimate</w:t>
      </w:r>
      <w:r w:rsidRPr="004811C9">
        <w:rPr>
          <w:rFonts w:cs="Times New Roman"/>
        </w:rPr>
        <w:t xml:space="preserve"> VTTS based on changing demand due to day-to-day cost shocks. However, </w:t>
      </w:r>
      <w:r w:rsidR="007F1070" w:rsidRPr="004811C9">
        <w:rPr>
          <w:rFonts w:cs="Times New Roman"/>
        </w:rPr>
        <w:t xml:space="preserve">such </w:t>
      </w:r>
      <w:r w:rsidRPr="004811C9">
        <w:rPr>
          <w:rFonts w:cs="Times New Roman"/>
        </w:rPr>
        <w:t xml:space="preserve">RP studies have less flexibility to explore specific emerging travel scenarios, and are more susceptible to multicollinearity between time and cost attributes </w:t>
      </w:r>
      <w:r w:rsidRPr="004811C9">
        <w:rPr>
          <w:rFonts w:cs="Times New Roman"/>
        </w:rPr>
        <w:fldChar w:fldCharType="begin"/>
      </w:r>
      <w:r w:rsidRPr="004811C9">
        <w:rPr>
          <w:rFonts w:cs="Times New Roman"/>
        </w:rPr>
        <w:instrText xml:space="preserve"> ADDIN ZOTERO_ITEM CSL_CITATION {"citationID":"YQTbiuS1","properties":{"formattedCitation":"(Meunier and Quinet, 2015; Tveter, 2023)","plainCitation":"(Meunier and Quinet, 2015; Tveter, 2023)","noteIndex":0},"citationItems":[{"id":4816,"uris":["http://zotero.org/users/12832277/items/RD68S6Z6"],"itemData":{"id":4816,"type":"article-journal","abstract":"A recent study has been commissioned by the French Government in the framework of a general review of CBA practices. Among the various outputs of this study is an update of the value of time and the related parameters such as comfort or reliability. The communication first achieves a short presentation of the above-mentioned report and the recommended VOTs. It discusses the differentiation issue and gives comparative elements with a few other national guidelines. Then, it presents the main issues of consistency between traffic modelling and surplus calculation through practical examples, and finally makes recommendations on how to deal with mandatory VOT and how to combine those mandatory values and traffic modeling results.","collection-title":"Current practices in transport: appraisal methods, policies and models – 42nd European Transport Conference Selected Proceedings","container-title":"Transportation Research Procedia","DOI":"10.1016/j.trpro.2015.06.042","ISSN":"2352-1465","page":"62-71","source":"ScienceDirect","title":"Value of Time Estimations in Cost Benefit Analysis: The French Experience","volume":"8","author":[{"family":"Meunier","given":"David"},{"family":"Quinet","given":"Emile"}],"issued":{"date-parts":[["2015",1,1]]}}},{"id":4822,"uris":["http://zotero.org/users/12832277/items/5G4DRIH3"],"itemData":{"id":4822,"type":"article-journal","abstract":"This paper suggests an alternative approach to estimate the value of travel time (VTT) savings, using a case study with exogenous variation in travel costs and data from automatic traffic counts (ATC). With this revealed preferences approach, we address a possible bias of VTT estimates because of self-selection. Compared to the VTT estimates used in transport appraisals, the results produce substantially higher estimates of VTT. Unfortunately, our analysis does allow us to distinguish the self-selection bias from other possible sources of bias. The cost of using ATC data is that there is no direct information regarding the motorists, and the analysis must be done using aggregated data at an hourly interval. Still, this alternative approach may complement the results with more detailed data.","container-title":"Transportation","DOI":"10.1007/s11116-022-10308-6","ISSN":"1572-9435","issue":"6","language":"en","page":"2273-2297","source":"Springer Link","title":"The Value of Travel Time: A Revealed Preferences Approach Using Exogenous Variation in Travel Costs and Automatic Traffic Count Data","volume":"50","author":[{"family":"Tveter","given":"Eivind"}],"issued":{"date-parts":[["2023",12,1]]}}}],"schema":"https://github.com/citation-style-language/schema/raw/master/csl-citation.json"} </w:instrText>
      </w:r>
      <w:r w:rsidRPr="004811C9">
        <w:rPr>
          <w:rFonts w:cs="Times New Roman"/>
        </w:rPr>
        <w:fldChar w:fldCharType="separate"/>
      </w:r>
      <w:r w:rsidRPr="004811C9">
        <w:rPr>
          <w:rFonts w:cs="Times New Roman"/>
        </w:rPr>
        <w:t>(Meunier and Quinet, 2015; Tveter, 2023)</w:t>
      </w:r>
      <w:r w:rsidRPr="004811C9">
        <w:rPr>
          <w:rFonts w:cs="Times New Roman"/>
        </w:rPr>
        <w:fldChar w:fldCharType="end"/>
      </w:r>
      <w:r w:rsidRPr="004811C9">
        <w:rPr>
          <w:rFonts w:cs="Times New Roman"/>
        </w:rPr>
        <w:t>.</w:t>
      </w:r>
      <w:r w:rsidR="00A11FC4" w:rsidRPr="004811C9">
        <w:rPr>
          <w:rFonts w:cs="Times New Roman"/>
        </w:rPr>
        <w:t xml:space="preserve"> </w:t>
      </w:r>
      <w:r w:rsidR="00B3067B" w:rsidRPr="004811C9">
        <w:rPr>
          <w:rFonts w:cs="Times New Roman"/>
        </w:rPr>
        <w:t>SP</w:t>
      </w:r>
      <w:r w:rsidR="00A11FC4" w:rsidRPr="004811C9">
        <w:rPr>
          <w:rFonts w:cs="Times New Roman"/>
        </w:rPr>
        <w:t xml:space="preserve"> data-based</w:t>
      </w:r>
      <w:r w:rsidR="00B3067B" w:rsidRPr="004811C9">
        <w:rPr>
          <w:rFonts w:cs="Times New Roman"/>
        </w:rPr>
        <w:t xml:space="preserve"> studies, such as those by Bradley and Gunn </w:t>
      </w:r>
      <w:r w:rsidR="00B3067B" w:rsidRPr="004811C9">
        <w:rPr>
          <w:rFonts w:cs="Times New Roman"/>
        </w:rPr>
        <w:fldChar w:fldCharType="begin"/>
      </w:r>
      <w:r w:rsidR="00B3067B" w:rsidRPr="004811C9">
        <w:rPr>
          <w:rFonts w:cs="Times New Roman"/>
        </w:rPr>
        <w:instrText xml:space="preserve"> ADDIN ZOTERO_ITEM CSL_CITATION {"citationID":"FPiWErwW","properties":{"formattedCitation":"(1990)","plainCitation":"(1990)","noteIndex":0},"citationItems":[{"id":4887,"uris":["http://zotero.org/users/12832277/items/IGDN2HSD"],"itemData":{"id":4887,"type":"article-journal","container-title":"Transportation Research Record","ISSN":"0361-1981","issue":"1285","language":"en-US","note":"ISBN: 9780309050548","page":"78-88","source":"trid.trb.org","title":"Stated Preference Analysis of Values of Travel Time in the Netherlands","author":[{"family":"Bradley","given":"Mark A."},{"family":"Gunn","given":"Hugh F."}],"issued":{"date-parts":[["1990"]]}},"label":"page","suppress-author":true}],"schema":"https://github.com/citation-style-language/schema/raw/master/csl-citation.json"} </w:instrText>
      </w:r>
      <w:r w:rsidR="00B3067B" w:rsidRPr="004811C9">
        <w:rPr>
          <w:rFonts w:cs="Times New Roman"/>
        </w:rPr>
        <w:fldChar w:fldCharType="separate"/>
      </w:r>
      <w:r w:rsidR="00B3067B" w:rsidRPr="004811C9">
        <w:rPr>
          <w:rFonts w:cs="Times New Roman"/>
        </w:rPr>
        <w:t>(1990)</w:t>
      </w:r>
      <w:r w:rsidR="00B3067B" w:rsidRPr="004811C9">
        <w:rPr>
          <w:rFonts w:cs="Times New Roman"/>
        </w:rPr>
        <w:fldChar w:fldCharType="end"/>
      </w:r>
      <w:r w:rsidR="00B3067B" w:rsidRPr="004811C9">
        <w:rPr>
          <w:rFonts w:cs="Times New Roman"/>
        </w:rPr>
        <w:t xml:space="preserve">, Beck et al. </w:t>
      </w:r>
      <w:r w:rsidR="00B3067B" w:rsidRPr="004811C9">
        <w:rPr>
          <w:rFonts w:cs="Times New Roman"/>
        </w:rPr>
        <w:fldChar w:fldCharType="begin"/>
      </w:r>
      <w:r w:rsidR="00B3067B" w:rsidRPr="004811C9">
        <w:rPr>
          <w:rFonts w:cs="Times New Roman"/>
        </w:rPr>
        <w:instrText xml:space="preserve"> ADDIN ZOTERO_ITEM CSL_CITATION {"citationID":"bwxfESs5","properties":{"formattedCitation":"(2017)","plainCitation":"(2017)","noteIndex":0},"citationItems":[{"id":4890,"uris":["http://zotero.org/users/12832277/items/AHX2RZZZ"],"itemData":{"id":4890,"type":"article-journal","abstract":"The valuation of travel time is of crucial importance in many transport decisions. Most studies make use of data framed around short-term decisions such as route choice. However, people may have a greater ability to trade time and money in a longer term setting, such as when considering changes in residential or employment locations. We study the value of travel time in both the short and long-term, finding differences in the valuations. Given the importance of these valuations for policy making, our results call for more research into how time-cost trade-offs should be represented with stated preference.","container-title":"Transportation Research Part E: Logistics and Transportation Review","DOI":"10.1016/j.tre.2017.02.001","ISSN":"1366-5545","journalAbbreviation":"Transportation Research Part E: Logistics and Transportation Review","page":"133-143","source":"ScienceDirect","title":"Valuing Travel Time Savings: A Case of Short-Term or Long Term Choices?","title-short":"Valuing Travel Time Savings","volume":"100","author":[{"family":"Beck","given":"Matthew J."},{"family":"Hess","given":"Stephane"},{"family":"Ojeda-Cabral","given":"Manuel"},{"family":"Dubernet","given":"Ilka"}],"issued":{"date-parts":[["2017",4,1]]}},"label":"page","suppress-author":true}],"schema":"https://github.com/citation-style-language/schema/raw/master/csl-citation.json"} </w:instrText>
      </w:r>
      <w:r w:rsidR="00B3067B" w:rsidRPr="004811C9">
        <w:rPr>
          <w:rFonts w:cs="Times New Roman"/>
        </w:rPr>
        <w:fldChar w:fldCharType="separate"/>
      </w:r>
      <w:r w:rsidR="00B3067B" w:rsidRPr="004811C9">
        <w:rPr>
          <w:rFonts w:cs="Times New Roman"/>
        </w:rPr>
        <w:t>(2017)</w:t>
      </w:r>
      <w:r w:rsidR="00B3067B" w:rsidRPr="004811C9">
        <w:rPr>
          <w:rFonts w:cs="Times New Roman"/>
        </w:rPr>
        <w:fldChar w:fldCharType="end"/>
      </w:r>
      <w:r w:rsidR="00B3067B" w:rsidRPr="004811C9">
        <w:rPr>
          <w:rFonts w:cs="Times New Roman"/>
        </w:rPr>
        <w:t xml:space="preserve">, and Ojeda-Cabral et al. </w:t>
      </w:r>
      <w:r w:rsidR="00B3067B" w:rsidRPr="004811C9">
        <w:rPr>
          <w:rFonts w:cs="Times New Roman"/>
        </w:rPr>
        <w:fldChar w:fldCharType="begin"/>
      </w:r>
      <w:r w:rsidR="00B3067B" w:rsidRPr="004811C9">
        <w:rPr>
          <w:rFonts w:cs="Times New Roman"/>
        </w:rPr>
        <w:instrText xml:space="preserve"> ADDIN ZOTERO_ITEM CSL_CITATION {"citationID":"iVonQCO2","properties":{"formattedCitation":"(2018)","plainCitation":"(2018)","noteIndex":0},"citationItems":[{"id":4893,"uris":["http://zotero.org/users/12832277/items/NZ92KBQH"],"itemData":{"id":4893,"type":"article-journal","abstract":"Stated choice (SC) experiments are the most popular method to estimate the value of travel time changes (VTTC) of a population. In the simplest VTTC experiment, the SC design variables are time changes and cost changes. The levels of these variables create a particular setting from which preferences are inferred. This paper tries to answer the question “do preferences vary with SC settings?”. For this, we investigate the role of the variables used in the SC experiment on the estimation of the set of VTTC (i.e. mean and covariates). Ideally, one would like to observe the same individuals completing different SC experiments. Since that option is not available, an alternative approach is to use a large dataset of responses, and split it according to different levels of the variable of interest. We refer to this as partial data analysis. The estimation of the same model on each sub-sample provides insights into potential effects of the variable of interest. This approach is applied in relation to three design variables on the data for the last national VTTC study in the UK, using state-of-the-art model specifications. The results show several ways in which the estimated set of VTTC can be affected by the levels of SC design variables. We conclude that model estimates (including the VTTC and covariates) are different in different settings. Hence by focussing the survey on specific settings, sample level results will be affected accordingly. Our findings have implications for appraisal and can inform the construction of future SC experiments.","container-title":"Transportation","DOI":"10.1007/s11116-016-9716-4","ISSN":"1572-9435","issue":"1","language":"en","page":"1-21","source":"Springer Link","title":"Understanding Valuation of Travel Time Changes: Are Preferences Different Under Different Stated Choice Design Settings?","volume":"45","author":[{"family":"Ojeda-Cabral","given":"Manuel"},{"family":"Hess","given":"Stephane"},{"family":"Batley","given":"Richard"}],"issued":{"date-parts":[["2018",1,1]]}},"label":"page","suppress-author":true}],"schema":"https://github.com/citation-style-language/schema/raw/master/csl-citation.json"} </w:instrText>
      </w:r>
      <w:r w:rsidR="00B3067B" w:rsidRPr="004811C9">
        <w:rPr>
          <w:rFonts w:cs="Times New Roman"/>
        </w:rPr>
        <w:fldChar w:fldCharType="separate"/>
      </w:r>
      <w:r w:rsidR="00B3067B" w:rsidRPr="004811C9">
        <w:rPr>
          <w:rFonts w:cs="Times New Roman"/>
        </w:rPr>
        <w:t>(2018)</w:t>
      </w:r>
      <w:r w:rsidR="00B3067B" w:rsidRPr="004811C9">
        <w:rPr>
          <w:rFonts w:cs="Times New Roman"/>
        </w:rPr>
        <w:fldChar w:fldCharType="end"/>
      </w:r>
      <w:r w:rsidR="00B3067B" w:rsidRPr="004811C9">
        <w:rPr>
          <w:rFonts w:cs="Times New Roman"/>
        </w:rPr>
        <w:t>, enable researchers to design controlled experiments that isolate specific attributes (</w:t>
      </w:r>
      <w:r w:rsidR="00114F4F" w:rsidRPr="004811C9">
        <w:rPr>
          <w:rFonts w:cs="Times New Roman"/>
        </w:rPr>
        <w:t>such as</w:t>
      </w:r>
      <w:r w:rsidR="00B3067B" w:rsidRPr="004811C9">
        <w:rPr>
          <w:rFonts w:cs="Times New Roman"/>
        </w:rPr>
        <w:t xml:space="preserve"> reliability, congestion, or long-term decision contexts) and assess traveler responses to hypothetical scenarios. For instance, Wardman et al. </w:t>
      </w:r>
      <w:r w:rsidR="00B3067B" w:rsidRPr="004811C9">
        <w:rPr>
          <w:rFonts w:cs="Times New Roman"/>
        </w:rPr>
        <w:fldChar w:fldCharType="begin"/>
      </w:r>
      <w:r w:rsidR="00B3067B" w:rsidRPr="004811C9">
        <w:rPr>
          <w:rFonts w:cs="Times New Roman"/>
        </w:rPr>
        <w:instrText xml:space="preserve"> ADDIN ZOTERO_ITEM CSL_CITATION {"citationID":"OoqreSof","properties":{"formattedCitation":"(2020)","plainCitation":"(2020)","noteIndex":0},"citationItems":[{"id":4895,"uris":["http://zotero.org/users/12832277/items/P246CF7L"],"itemData":{"id":4895,"type":"article-journal","abstract":"The research reported here is concerned with how the worthwhile use of travel time might impact on the value of travel time savings (VTTS) and on demand set in the context of the rail travel market in Great Britain. It has long been recognised, in a variety of literature, that improvements in worthwhile activities which will have been delivered by the digital revolution will impact VTTS and demand yet there is surprisingly little reliable evidence and official appraisal practice does not accommodate any such effects. In a large survey of rail travellers, we have explored how activities while travelling impact on VTTS and demand. An important feature of the study was to account for endogeneity whereby variations in VTTS estimates according to the worthwhile use of time are biased if drawn from comparisons across individuals of what they do while travelling rather from comparing within individual variations in activities. Indeed, we clearly demonstrate the impact of not allowing for endogeneity and indicate its presence in other studies. We find that the VTTS does vary according to activities undertaken while travelling in a largely credible manner and is broadly consistent with behavioural responses to different available activities. The evidence supports the VTTS falling over time due to the digital revolution and rail demand increasing. These are modest rather than considerable changes but nonetheless contribute a better understanding of evidence relating to VTTS and rail demand variations over time.","container-title":"Transportation","DOI":"10.1007/s11116-019-10059-x","ISSN":"1572-9435","issue":"3","language":"en","page":"1515-1540","source":"Springer Link","title":"The Valuation and Demand Impacts of the Worthwhile Use of Travel Time with Specific Reference to the Digital Revolution and Endogeneity","volume":"47","author":[{"family":"Wardman","given":"Mark"},{"family":"Chintakayala","given":"Phani"},{"family":"Heywood","given":"Chris"}],"issued":{"date-parts":[["2020",6,1]]}},"label":"page","suppress-author":true}],"schema":"https://github.com/citation-style-language/schema/raw/master/csl-citation.json"} </w:instrText>
      </w:r>
      <w:r w:rsidR="00B3067B" w:rsidRPr="004811C9">
        <w:rPr>
          <w:rFonts w:cs="Times New Roman"/>
        </w:rPr>
        <w:fldChar w:fldCharType="separate"/>
      </w:r>
      <w:r w:rsidR="00B3067B" w:rsidRPr="004811C9">
        <w:rPr>
          <w:rFonts w:cs="Times New Roman"/>
        </w:rPr>
        <w:t>(2020)</w:t>
      </w:r>
      <w:r w:rsidR="00B3067B" w:rsidRPr="004811C9">
        <w:rPr>
          <w:rFonts w:cs="Times New Roman"/>
        </w:rPr>
        <w:fldChar w:fldCharType="end"/>
      </w:r>
      <w:r w:rsidR="00B3067B" w:rsidRPr="004811C9">
        <w:rPr>
          <w:rFonts w:cs="Times New Roman"/>
        </w:rPr>
        <w:t xml:space="preserve"> demonstrated that when travel time is perceived as productive, the value of travel time savings decreases, illustrating the sensitivity of </w:t>
      </w:r>
      <w:r w:rsidR="00CF1704" w:rsidRPr="004811C9">
        <w:rPr>
          <w:rFonts w:cs="Times New Roman"/>
        </w:rPr>
        <w:t>VTTS</w:t>
      </w:r>
      <w:r w:rsidR="00B3067B" w:rsidRPr="004811C9">
        <w:rPr>
          <w:rFonts w:cs="Times New Roman"/>
        </w:rPr>
        <w:t xml:space="preserve"> to how time use is framed. However, SP estimates are subject to hypothetical bias and may not fully capture real-world constraints or habits. Specifically, as shown by Fayyaz et al. </w:t>
      </w:r>
      <w:r w:rsidR="00B3067B" w:rsidRPr="004811C9">
        <w:rPr>
          <w:rFonts w:cs="Times New Roman"/>
        </w:rPr>
        <w:fldChar w:fldCharType="begin"/>
      </w:r>
      <w:r w:rsidR="00B3067B" w:rsidRPr="004811C9">
        <w:rPr>
          <w:rFonts w:cs="Times New Roman"/>
        </w:rPr>
        <w:instrText xml:space="preserve"> ADDIN ZOTERO_ITEM CSL_CITATION {"citationID":"d0RKaDWN","properties":{"formattedCitation":"(2021)","plainCitation":"(2021)","noteIndex":0},"citationItems":[{"id":4834,"uris":["http://zotero.org/users/12832277/items/P32C8C8J"],"itemData":{"id":4834,"type":"article-journal","abstract":"Surveys with stated choice experiments (SCE) are widely used to derive values of time and reliability for transport project appraisal purposes. However, such methods ask respondents to make hypothetical choices, which in turn could create a bias between choices made in the experiment compared to those in an environment where the choices have consequence. In this paper, borrowing principles of experimental economics, we introduce an incentive compatible driving simulator experiment, where participants are required to experience the travel time of their chosen route and actually pay any toll costs associated with the choice of a tolled road. In a first for the literature, we use a within respondent design to compare both the value of travel time savings (VTT) and value of travel time reliability (VOR) across a typical SCE and an environment with simulated consequence. Given the importance of VTT and VOR to transport decision making and the difficulty in estimating VOR using revealed preference data, our results are noteworthy and emphasise that more research on this topic is imperative. We provide suggestions on how the results herein may be used in future studies, to potentially reduce hypothetical bias that may be exhibited in SCE.","container-title":"Transportation Research Part C: Emerging Technologies","DOI":"10.1016/j.trc.2021.103145","ISSN":"0968-090X","page":"103145","source":"ScienceDirect","title":"Stated Choices and Simulated Experiences: Differences in the Value of Travel Time and Reliability","volume":"128","author":[{"family":"Fayyaz","given":"Muhammad"},{"family":"Bliemer","given":"Michiel C. J."},{"family":"Beck","given":"Matthew J."},{"family":"Hess","given":"Stephane"},{"family":"Lint","given":"J. W. C.","non-dropping-particle":"van"}],"issued":{"date-parts":[["2021",7,1]]}},"label":"page","suppress-author":true}],"schema":"https://github.com/citation-style-language/schema/raw/master/csl-citation.json"} </w:instrText>
      </w:r>
      <w:r w:rsidR="00B3067B" w:rsidRPr="004811C9">
        <w:rPr>
          <w:rFonts w:cs="Times New Roman"/>
        </w:rPr>
        <w:fldChar w:fldCharType="separate"/>
      </w:r>
      <w:r w:rsidR="00B3067B" w:rsidRPr="004811C9">
        <w:rPr>
          <w:rFonts w:cs="Times New Roman"/>
        </w:rPr>
        <w:t>(2021)</w:t>
      </w:r>
      <w:r w:rsidR="00B3067B" w:rsidRPr="004811C9">
        <w:rPr>
          <w:rFonts w:cs="Times New Roman"/>
        </w:rPr>
        <w:fldChar w:fldCharType="end"/>
      </w:r>
      <w:r w:rsidR="00B3067B" w:rsidRPr="004811C9">
        <w:rPr>
          <w:rFonts w:cs="Times New Roman"/>
        </w:rPr>
        <w:t xml:space="preserve">, </w:t>
      </w:r>
      <w:r w:rsidR="00A11FC4" w:rsidRPr="004811C9">
        <w:rPr>
          <w:rFonts w:cs="Times New Roman"/>
        </w:rPr>
        <w:t xml:space="preserve">the way the SP questions are posed and worded can have a substantial effect on imputed VTTS. </w:t>
      </w:r>
      <w:r w:rsidR="008739BA" w:rsidRPr="004811C9">
        <w:rPr>
          <w:rFonts w:cs="Times New Roman"/>
        </w:rPr>
        <w:t xml:space="preserve">Finally, a variety of authors have combined RP and SP </w:t>
      </w:r>
      <w:r w:rsidR="00A11FC4" w:rsidRPr="004811C9">
        <w:rPr>
          <w:rFonts w:cs="Times New Roman"/>
        </w:rPr>
        <w:t>data</w:t>
      </w:r>
      <w:r w:rsidR="00D67C02" w:rsidRPr="004811C9">
        <w:rPr>
          <w:rFonts w:cs="Times New Roman"/>
        </w:rPr>
        <w:t xml:space="preserve">, leveraging the benefits of </w:t>
      </w:r>
      <w:r w:rsidR="00885988" w:rsidRPr="004811C9">
        <w:rPr>
          <w:rFonts w:cs="Times New Roman"/>
        </w:rPr>
        <w:t xml:space="preserve">matching real-world behavioral choices through the RP </w:t>
      </w:r>
      <w:r w:rsidR="00A11FC4" w:rsidRPr="004811C9">
        <w:rPr>
          <w:rFonts w:cs="Times New Roman"/>
        </w:rPr>
        <w:t xml:space="preserve">data </w:t>
      </w:r>
      <w:r w:rsidR="00885988" w:rsidRPr="004811C9">
        <w:rPr>
          <w:rFonts w:cs="Times New Roman"/>
        </w:rPr>
        <w:t xml:space="preserve"> w</w:t>
      </w:r>
      <w:r w:rsidR="00A11FC4" w:rsidRPr="004811C9">
        <w:rPr>
          <w:rFonts w:cs="Times New Roman"/>
        </w:rPr>
        <w:t xml:space="preserve">ith </w:t>
      </w:r>
      <w:r w:rsidR="002866CC" w:rsidRPr="004811C9">
        <w:rPr>
          <w:rFonts w:cs="Times New Roman"/>
        </w:rPr>
        <w:t>system</w:t>
      </w:r>
      <w:r w:rsidR="007F1070" w:rsidRPr="004811C9">
        <w:rPr>
          <w:rFonts w:cs="Times New Roman"/>
        </w:rPr>
        <w:t>at</w:t>
      </w:r>
      <w:r w:rsidR="002866CC" w:rsidRPr="004811C9">
        <w:rPr>
          <w:rFonts w:cs="Times New Roman"/>
        </w:rPr>
        <w:t xml:space="preserve">ic variation in attributes </w:t>
      </w:r>
      <w:r w:rsidR="00A11FC4" w:rsidRPr="004811C9">
        <w:rPr>
          <w:rFonts w:cs="Times New Roman"/>
        </w:rPr>
        <w:t xml:space="preserve">as presented </w:t>
      </w:r>
      <w:r w:rsidR="002866CC" w:rsidRPr="004811C9">
        <w:rPr>
          <w:rFonts w:cs="Times New Roman"/>
        </w:rPr>
        <w:t xml:space="preserve">in the SP </w:t>
      </w:r>
      <w:r w:rsidR="00A11FC4" w:rsidRPr="004811C9">
        <w:rPr>
          <w:rFonts w:cs="Times New Roman"/>
        </w:rPr>
        <w:t>portion</w:t>
      </w:r>
      <w:r w:rsidR="0066596D" w:rsidRPr="004811C9">
        <w:rPr>
          <w:rFonts w:cs="Times New Roman"/>
        </w:rPr>
        <w:t xml:space="preserve"> </w:t>
      </w:r>
      <w:r w:rsidR="00A11FC4" w:rsidRPr="004811C9">
        <w:rPr>
          <w:rFonts w:cs="Times New Roman"/>
        </w:rPr>
        <w:t xml:space="preserve">to break high multicollinearity problems in time and cost  </w:t>
      </w:r>
      <w:r w:rsidR="0066596D" w:rsidRPr="004811C9">
        <w:rPr>
          <w:rFonts w:cs="Times New Roman"/>
        </w:rPr>
        <w:fldChar w:fldCharType="begin"/>
      </w:r>
      <w:r w:rsidR="008345D7">
        <w:rPr>
          <w:rFonts w:cs="Times New Roman"/>
        </w:rPr>
        <w:instrText xml:space="preserve"> ADDIN ZOTERO_ITEM CSL_CITATION {"citationID":"TtS4CCGk","properties":{"formattedCitation":"(Bhat and Castelar, 2002; Bhat and Sardesai, 2006; Schmid et al., 2022; Tabasi et al., 2023)","plainCitation":"(Bhat and Castelar, 2002; Bhat and Sardesai, 2006; Schmid et al., 2022; Tabasi et al., 2023)","noteIndex":0},"citationItems":[{"id":5058,"uris":["http://zotero.org/users/12832277/items/Y65PGKCE"],"itemData":{"id":5058,"type":"article-journal","abstract":"This paper formulates and applies a unified mixed-logit framework for joint analysis of revealed and stated preference data that accommodates a flexible competition pattern across alternatives, scale difference in the revealed and stated choice contexts, heterogeneity across individuals in the intrinsic preferences for alternatives, heterogeneity across individuals in the responsiveness to level-of-service factors, state-dependence of the stated choices on the revealed choice, and heterogeneity across individuals in the state-dependence effect. The estimation of the mixed logit formulation is achieved using simulation techniques that employ quasi-random Monte Carlo draws. The formulation is applied to examine the travel behavior responses of San Francisco Bay Bridge users to changes in travel conditions. The data for the study are drawn from surveys conducted as part of the 1996 San Francisco Bay Area Travel Study. The results of the mixed logit formulation are compared with those of more restrictive structures on the basis of parameter estimates, implied trade-offs among level-of-service attributes, heterogeneity and state-dependence effects, data fit, and substantive implications of congestion pricing policy simulations.","container-title":"Transportation Research Part B: Methodological","DOI":"10.1016/S0191-2615(01)00020-0","ISSN":"0191-2615","issue":"7","page":"593-616","source":"ScienceDirect","title":"A Unified Mixed Logit Framework for Modeling Revealed and Stated Preferences: Formulation and Application to Congestion Pricing Analysis in the San Francisco Bay Area","volume":"36","author":[{"family":"Bhat","given":"Chandra R."},{"family":"Castelar","given":"Saul"}],"issued":{"date-parts":[["2002",8,1]]}}},{"id":5055,"uris":["http://zotero.org/users/12832277/items/6EVIX7YX","http://zotero.org/users/12832277/items/2GH643YY"],"itemData":{"id":5055,"type":"article-journal","abstract":"This paper uses revealed preference and stated preference data collected from a web-based commuter survey in Austin, Texas, to estimate a commute mode choice model. This model accommodates weekly and daily commute and midday stop-making behavior, as well as travel time reliability. A mixed logit framework is used in estimation. The results emphasize the effects of commute and midday stop-making on commute mode choice. The results also indicate that travel time reliability is an important variable in commute mode choice decisions. The paper applies the estimated model to predict the potential mode usage of a proposed commuter rail option as well as to examine the impact of highway tolls. More generally, the mode choice model can be used to examine a whole range of travel mode-related policy actions for the Austin metropolitan region.","container-title":"Transportation Research Part B: Methodological","DOI":"10.1016/j.trb.2005.09.008","ISSN":"0191-2615","issue":"9","page":"709-730","source":"ScienceDirect","title":"The Impact of Stop-Making and Travel Time Reliability on Commute Mode Choice","volume":"40","author":[{"family":"Bhat","given":"Chandra R."},{"family":"Sardesai","given":"Rupali"}],"issued":{"date-parts":[["2006",11,1]]}}},{"id":5061,"uris":["http://zotero.org/users/12832277/items/CCFB3XZ9"],"itemData":{"id":5061,"type":"article-journal","abstract":"Studies obtaining the value of travel time (VTT) typically have used data about short-term decisions such as mode/route choice. We present new results of long-term VTT using stated preference (SP) data on residential and workplace location choice and compare them with short-term (ST) values for the same respondents. In the long-term (LT) the VTT tend to be higher for car/motorbike (most pronounced for work trips by more than factor two) and public transportation, while for bike they tend to be lower. We conclude that collecting LT data may be more problematic, since it is based on stronger assumptions about the choice context, the choice situations are harder to process by the respondents, many relevant attributes cannot be included due to the otherwise too high complexity of the SP task and the travel related attributes need to be weighted according to the trip frequencies to obtain the relevant VTT metric.","container-title":"Arbeitsberichte Verkehrs- und Raumplanung","DOI":"10.3929/ethz-b-000536709","language":"en","license":"http://rightsstatements.org/page/InC-NC/1.0/","note":"Accepted: 2022-03-14T14:00:26Z","publisher":"IVT, ETH Zurich","source":"www.research-collection.ethz.ch","title":"A Two-Stage RP/SP Survey to Estimate the Value of Travel Time in Switzerland: Short- Versus Long-Term Choice Behavior","URL":"https://www.research-collection.ethz.ch/handle/20.500.11850/536709","volume":"1724","author":[{"family":"Schmid","given":"Basil"},{"family":"Schatzmann","given":"Thomas"},{"family":"Winkler","given":"Caroline"},{"family":"Axhausen","given":"Kay W."}],"accessed":{"date-parts":[["2025",7,23]]},"issued":{"date-parts":[["2022",3]]}}},{"id":5063,"uris":["http://zotero.org/users/12832277/items/UJ4P8V9N"],"itemData":{"id":5063,"type":"article-journal","abstract":"Mode choice models play a pivotal role in transport demand modelling and help transport planners, engineers and researchers with policy and infrastructure investment evaluation. Recent mode choice studies primarily use revealed preference (RP) data to reflect individuals’ true behaviour. However, this may not be the best practice, given the lack of information in RP data. This study uses a nonlinear utility specification for a multinomial logit mode choice model development using high-quality travel data collected by a GPS-based smartphone application complemented by stated preference (SP) data. The model results highlight the impact of sociodemographic variables on mode choice behaviour and individuals’ willingness-to-pay (WTP) when the model is jointly developed compared to stand-alone SP and RP models. The main message of this study is that in addition to collecting RP, which is a reliable and unbiased source of data, collecting complementary SP data is beneficial as it provides information that is not otherwise available in RP data. This may include a proper variation in the public transport cost variable as demonstrated in this study. Moreover, to better understand the travellers' behaviour regarding the trade-off between time and cost a mixed multinomial logit (MMNL) model in the willingness to pay space is developed on the SP data. capturing the unobserved heterogeneity within the estimated WTPs, the MMNL model outputs reveal a higher variation in WTP of car in-vehicle travel time compared to bus in-vehicle travel time.","container-title":"Travel Behaviour and Society","DOI":"10.1016/j.tbs.2023.100632","ISSN":"2214-367X","page":"100632","source":"ScienceDirect","title":"Empowering Revealed Preference Survey with a Supplementary Stated Preference Survey: Demonstration of Willingness-to-Pay Estimation Within a Mode Choice Case","volume":"33","author":[{"family":"Tabasi","given":"Maliheh"},{"family":"Raei","given":"Alireza"},{"family":"Hillel","given":"Tim"},{"family":"Krueger","given":"Rico"},{"family":"Hossein Rashidi","given":"Taha"}],"issued":{"date-parts":[["2023",10,1]]}}}],"schema":"https://github.com/citation-style-language/schema/raw/master/csl-citation.json"} </w:instrText>
      </w:r>
      <w:r w:rsidR="0066596D" w:rsidRPr="004811C9">
        <w:rPr>
          <w:rFonts w:cs="Times New Roman"/>
        </w:rPr>
        <w:fldChar w:fldCharType="separate"/>
      </w:r>
      <w:r w:rsidR="00207DF3" w:rsidRPr="004811C9">
        <w:rPr>
          <w:rFonts w:cs="Times New Roman"/>
        </w:rPr>
        <w:t>(Bhat and Castelar, 2002; Bhat and Sardesai, 2006; Schmid et al., 2022; Tabasi et al., 2023)</w:t>
      </w:r>
      <w:r w:rsidR="0066596D" w:rsidRPr="004811C9">
        <w:rPr>
          <w:rFonts w:cs="Times New Roman"/>
        </w:rPr>
        <w:fldChar w:fldCharType="end"/>
      </w:r>
      <w:r w:rsidR="002866CC" w:rsidRPr="004811C9">
        <w:rPr>
          <w:rFonts w:cs="Times New Roman"/>
        </w:rPr>
        <w:t xml:space="preserve">. </w:t>
      </w:r>
    </w:p>
    <w:p w14:paraId="0ADC696B" w14:textId="5CED9BC8" w:rsidR="00AB64D0" w:rsidRPr="004811C9" w:rsidRDefault="004051CD" w:rsidP="00B7351D">
      <w:pPr>
        <w:spacing w:after="0" w:line="240" w:lineRule="auto"/>
        <w:jc w:val="both"/>
        <w:rPr>
          <w:rFonts w:cs="Times New Roman"/>
          <w:b/>
          <w:bCs/>
        </w:rPr>
      </w:pPr>
      <w:r w:rsidRPr="004811C9">
        <w:rPr>
          <w:rFonts w:cs="Times New Roman"/>
        </w:rPr>
        <w:tab/>
      </w:r>
      <w:r w:rsidR="007F1070" w:rsidRPr="004811C9">
        <w:rPr>
          <w:rFonts w:cs="Times New Roman"/>
        </w:rPr>
        <w:t>While providing a reasonable approach to estimate VTTS, t</w:t>
      </w:r>
      <w:r w:rsidR="0007687E" w:rsidRPr="004811C9">
        <w:rPr>
          <w:rFonts w:cs="Times New Roman"/>
        </w:rPr>
        <w:t xml:space="preserve">wo challenges arise </w:t>
      </w:r>
      <w:r w:rsidR="007F1070" w:rsidRPr="004811C9">
        <w:rPr>
          <w:rFonts w:cs="Times New Roman"/>
        </w:rPr>
        <w:t xml:space="preserve">when using the </w:t>
      </w:r>
      <w:r w:rsidR="0007687E" w:rsidRPr="004811C9">
        <w:rPr>
          <w:rFonts w:cs="Times New Roman"/>
        </w:rPr>
        <w:t>imputation-based approach</w:t>
      </w:r>
      <w:r w:rsidR="007F1070" w:rsidRPr="004811C9">
        <w:rPr>
          <w:rFonts w:cs="Times New Roman"/>
        </w:rPr>
        <w:t xml:space="preserve">, regardless of the specific elicitation method </w:t>
      </w:r>
      <w:r w:rsidR="000269FA">
        <w:rPr>
          <w:rFonts w:cs="Times New Roman"/>
        </w:rPr>
        <w:t>(RP, SP</w:t>
      </w:r>
      <w:r w:rsidR="00361E40">
        <w:rPr>
          <w:rFonts w:cs="Times New Roman"/>
        </w:rPr>
        <w:t>,</w:t>
      </w:r>
      <w:r w:rsidR="000269FA">
        <w:rPr>
          <w:rFonts w:cs="Times New Roman"/>
        </w:rPr>
        <w:t xml:space="preserve"> or a combination) </w:t>
      </w:r>
      <w:r w:rsidR="007F1070" w:rsidRPr="004811C9">
        <w:rPr>
          <w:rFonts w:cs="Times New Roman"/>
        </w:rPr>
        <w:t>employed</w:t>
      </w:r>
      <w:r w:rsidR="0007687E" w:rsidRPr="004811C9">
        <w:rPr>
          <w:rFonts w:cs="Times New Roman"/>
        </w:rPr>
        <w:t xml:space="preserve">. First, the </w:t>
      </w:r>
      <w:r w:rsidR="007F1070" w:rsidRPr="004811C9">
        <w:rPr>
          <w:rFonts w:cs="Times New Roman"/>
        </w:rPr>
        <w:t>approach</w:t>
      </w:r>
      <w:r w:rsidR="0007687E" w:rsidRPr="004811C9">
        <w:rPr>
          <w:rFonts w:cs="Times New Roman"/>
        </w:rPr>
        <w:t xml:space="preserve"> allow</w:t>
      </w:r>
      <w:r w:rsidR="007F1070" w:rsidRPr="004811C9">
        <w:rPr>
          <w:rFonts w:cs="Times New Roman"/>
        </w:rPr>
        <w:t>s</w:t>
      </w:r>
      <w:r w:rsidR="0007687E" w:rsidRPr="004811C9">
        <w:rPr>
          <w:rFonts w:cs="Times New Roman"/>
        </w:rPr>
        <w:t xml:space="preserve"> </w:t>
      </w:r>
      <w:r w:rsidR="007F1070" w:rsidRPr="004811C9">
        <w:rPr>
          <w:rFonts w:cs="Times New Roman"/>
        </w:rPr>
        <w:t xml:space="preserve">the consideration of VTTS </w:t>
      </w:r>
      <w:r w:rsidR="0007687E" w:rsidRPr="004811C9">
        <w:rPr>
          <w:rFonts w:cs="Times New Roman"/>
        </w:rPr>
        <w:t>heterogeneity</w:t>
      </w:r>
      <w:r w:rsidR="007F1070" w:rsidRPr="004811C9">
        <w:rPr>
          <w:rFonts w:cs="Times New Roman"/>
        </w:rPr>
        <w:t xml:space="preserve"> </w:t>
      </w:r>
      <w:r w:rsidR="0007687E" w:rsidRPr="004811C9">
        <w:rPr>
          <w:rFonts w:cs="Times New Roman"/>
        </w:rPr>
        <w:t xml:space="preserve">in </w:t>
      </w:r>
      <w:r w:rsidR="000269FA">
        <w:rPr>
          <w:rFonts w:cs="Times New Roman"/>
        </w:rPr>
        <w:t xml:space="preserve">only </w:t>
      </w:r>
      <w:r w:rsidR="0007687E" w:rsidRPr="004811C9">
        <w:rPr>
          <w:rFonts w:cs="Times New Roman"/>
        </w:rPr>
        <w:t xml:space="preserve">a </w:t>
      </w:r>
      <w:r w:rsidR="00A11FC4" w:rsidRPr="004811C9">
        <w:rPr>
          <w:rFonts w:cs="Times New Roman"/>
        </w:rPr>
        <w:t xml:space="preserve">rather </w:t>
      </w:r>
      <w:r w:rsidR="0007687E" w:rsidRPr="004811C9">
        <w:rPr>
          <w:rFonts w:cs="Times New Roman"/>
        </w:rPr>
        <w:t>limited fashion</w:t>
      </w:r>
      <w:r w:rsidR="007F1070" w:rsidRPr="004811C9">
        <w:rPr>
          <w:rFonts w:cs="Times New Roman"/>
        </w:rPr>
        <w:t>,</w:t>
      </w:r>
      <w:r w:rsidR="00A11FC4" w:rsidRPr="004811C9">
        <w:rPr>
          <w:rFonts w:cs="Times New Roman"/>
        </w:rPr>
        <w:t xml:space="preserve"> through the </w:t>
      </w:r>
      <w:r w:rsidR="00D66CC1" w:rsidRPr="004811C9">
        <w:rPr>
          <w:rFonts w:cs="Times New Roman"/>
        </w:rPr>
        <w:t>estimati</w:t>
      </w:r>
      <w:r w:rsidR="00A11FC4" w:rsidRPr="004811C9">
        <w:rPr>
          <w:rFonts w:cs="Times New Roman"/>
        </w:rPr>
        <w:t xml:space="preserve">on of </w:t>
      </w:r>
      <w:r w:rsidR="00D66CC1" w:rsidRPr="004811C9">
        <w:rPr>
          <w:rFonts w:cs="Times New Roman"/>
        </w:rPr>
        <w:t>separate models for different market segments or by including int</w:t>
      </w:r>
      <w:r w:rsidR="00D66CC1" w:rsidRPr="00710211">
        <w:t xml:space="preserve">eraction terms </w:t>
      </w:r>
      <w:r w:rsidR="002C3D05" w:rsidRPr="00710211">
        <w:t xml:space="preserve">with individual characteristics (such as including an </w:t>
      </w:r>
      <w:r w:rsidR="002C3D05" w:rsidRPr="00710211">
        <w:lastRenderedPageBreak/>
        <w:t xml:space="preserve">interaction between cost and income to accommodate </w:t>
      </w:r>
      <w:r w:rsidR="00722910" w:rsidRPr="00710211">
        <w:t>a higher VTTS for higher-income individuals)</w:t>
      </w:r>
      <w:r w:rsidR="00E279E4" w:rsidRPr="00710211">
        <w:t xml:space="preserve">. However, including a large number of </w:t>
      </w:r>
      <w:r w:rsidR="004454BD" w:rsidRPr="00710211">
        <w:t xml:space="preserve">segments or </w:t>
      </w:r>
      <w:r w:rsidR="00E279E4" w:rsidRPr="00710211">
        <w:t xml:space="preserve">interaction terms leads to a rapid </w:t>
      </w:r>
      <w:r w:rsidR="007F1070" w:rsidRPr="00710211">
        <w:t>proliferation</w:t>
      </w:r>
      <w:r w:rsidR="00E279E4" w:rsidRPr="00710211">
        <w:t xml:space="preserve"> in the number of parameters </w:t>
      </w:r>
      <w:r w:rsidR="00E279E4" w:rsidRPr="00507D16">
        <w:t>to be estimated</w:t>
      </w:r>
      <w:r w:rsidR="0000553D" w:rsidRPr="00507D16">
        <w:t xml:space="preserve"> as well as </w:t>
      </w:r>
      <w:r w:rsidR="007F1070" w:rsidRPr="00507D16">
        <w:t xml:space="preserve">introduces </w:t>
      </w:r>
      <w:r w:rsidR="0000553D" w:rsidRPr="00507D16">
        <w:t>multicollinearity across interaction terms</w:t>
      </w:r>
      <w:r w:rsidR="00D2429A" w:rsidRPr="00507D16">
        <w:t xml:space="preserve"> </w:t>
      </w:r>
      <w:r w:rsidR="00D2429A" w:rsidRPr="00507D16">
        <w:fldChar w:fldCharType="begin"/>
      </w:r>
      <w:r w:rsidR="008345D7" w:rsidRPr="00507D16">
        <w:instrText xml:space="preserve"> ADDIN ZOTERO_ITEM CSL_CITATION {"citationID":"b0nZBluS","properties":{"formattedCitation":"(Fournier and Christofa, 2021; Tabasi et al., 2023)","plainCitation":"(Fournier and Christofa, 2021; Tabasi et al., 2023)","dontUpdate":true,"noteIndex":0},"citationItems":[{"id":4514,"uris":["http://zotero.org/users/12832277/items/VBN9PAKJ"],"itemData":{"id":4514,"type":"article-journal","abstract":"The value of time (VOT) is a fundamental component used in transportation modeling, policy analysis, and economic appraisal. Decades of research and practice have empirically estimated the VOT across many factors (e.g., mode, purpose, time, comfort, etc.), yet little is known about its underlying form. Although it is well established that VOT can vary, it is still unclear whether patterns exist in this variation. The objective of this paper is not to merely estimate the VOT, but to model the VOT across multiple continuous and interacting variables. The purpose is to reveal its functional form with respect to mode, age, gender, purpose, income, and time of day to provide a generalizable understanding for future research and practice. Such an understanding can help develop simpler models and reduce the need for bespoke estimations for every conceivable variable perturbation. This research utilized a household travel survey containing 14,159 reported trips with imputed travel time and costs for the alternative mode choices. The average overall estimated VOT is 40.32 $/h, with results showing VOT varying log-linearly with income and trip distance, but following a Gaussian function (normal curve) with age. Overall, the results show that travel distance dominates VOT variation, which increases exponentially at a rate that is 3.61 times higher per mile of distance than per $10,000 of income, and that VOT by age peaks at age 54. This basic understanding of how the VOT varies sets the foundation for answering the subsequent question for why it might vary.","container-title":"Transportation Research Record","DOI":"10.1177/0361198120966603","ISSN":"0361-1981","issue":"3","language":"EN","page":"122-135","publisher":"SAGE Publications Inc","source":"SAGE Journals","title":"On the Impact of Income, Age, and Travel Distance on the Value of Time","volume":"2675","author":[{"family":"Fournier","given":"Nicholas"},{"family":"Christofa","given":"Eleni"}],"issued":{"date-parts":[["2021",3,1]]}}},{"id":5063,"uris":["http://zotero.org/users/12832277/items/UJ4P8V9N"],"itemData":{"id":5063,"type":"article-journal","abstract":"Mode choice models play a pivotal role in transport demand modelling and help transport planners, engineers and researchers with policy and infrastructure investment evaluation. Recent mode choice studies primarily use revealed preference (RP) data to reflect individuals’ true behaviour. However, this may not be the best practice, given the lack of information in RP data. This study uses a nonlinear utility specification for a multinomial logit mode choice model development using high-quality travel data collected by a GPS-based smartphone application complemented by stated preference (SP) data. The model results highlight the impact of sociodemographic variables on mode choice behaviour and individuals’ willingness-to-pay (WTP) when the model is jointly developed compared to stand-alone SP and RP models. The main message of this study is that in addition to collecting RP, which is a reliable and unbiased source of data, collecting complementary SP data is beneficial as it provides information that is not otherwise available in RP data. This may include a proper variation in the public transport cost variable as demonstrated in this study. Moreover, to better understand the travellers' behaviour regarding the trade-off between time and cost a mixed multinomial logit (MMNL) model in the willingness to pay space is developed on the SP data. capturing the unobserved heterogeneity within the estimated WTPs, the MMNL model outputs reveal a higher variation in WTP of car in-vehicle travel time compared to bus in-vehicle travel time.","container-title":"Travel Behaviour and Society","DOI":"10.1016/j.tbs.2023.100632","ISSN":"2214-367X","page":"100632","source":"ScienceDirect","title":"Empowering Revealed Preference Survey with a Supplementary Stated Preference Survey: Demonstration of Willingness-to-Pay Estimation Within a Mode Choice Case","volume":"33","author":[{"family":"Tabasi","given":"Maliheh"},{"family":"Raei","given":"Alireza"},{"family":"Hillel","given":"Tim"},{"family":"Krueger","given":"Rico"},{"family":"Hossein Rashidi","given":"Taha"}],"issued":{"date-parts":[["2023",10,1]]}}}],"schema":"https://github.com/citation-style-language/schema/raw/master/csl-citation.json"} </w:instrText>
      </w:r>
      <w:r w:rsidR="00D2429A" w:rsidRPr="00507D16">
        <w:fldChar w:fldCharType="separate"/>
      </w:r>
      <w:r w:rsidR="00F31C16" w:rsidRPr="00507D16">
        <w:t>(see Fournier and Christofa, 2021; Tabasi et al., 2023)</w:t>
      </w:r>
      <w:r w:rsidR="00D2429A" w:rsidRPr="00507D16">
        <w:fldChar w:fldCharType="end"/>
      </w:r>
      <w:r w:rsidR="0000553D" w:rsidRPr="00507D16">
        <w:t>.</w:t>
      </w:r>
      <w:r w:rsidR="00A26D74" w:rsidRPr="00507D16">
        <w:t xml:space="preserve"> Of course, approache</w:t>
      </w:r>
      <w:r w:rsidR="00D849CE" w:rsidRPr="00507D16">
        <w:t xml:space="preserve">s that accommodate random taste variation </w:t>
      </w:r>
      <w:r w:rsidR="008345D7" w:rsidRPr="00507D16">
        <w:fldChar w:fldCharType="begin"/>
      </w:r>
      <w:r w:rsidR="00D06793">
        <w:instrText xml:space="preserve"> ADDIN ZOTERO_ITEM CSL_CITATION {"citationID":"SdSfPeVq","properties":{"unsorted":true,"formattedCitation":"(Bhat, 1998; Hess et al., 2005; Fosgerau, 2006; Rubite and Muromachi, 2008; Bhat and Lavieri, 2018; Parmar et al., 2023; Bhat et al., 2025; Hayes and Venter, 2025)","plainCitation":"(Bhat, 1998; Hess et al., 2005; Fosgerau, 2006; Rubite and Muromachi, 2008; Bhat and Lavieri, 2018; Parmar et al., 2023; Bhat et al., 2025; Hayes and Venter, 2025)","dontUpdate":true,"noteIndex":0},"citationItems":[{"id":6269,"uris":["http://zotero.org/users/12832277/items/V2WLDR3W"],"itemData":{"id":6269,"type":"article-journal","abstract":"An individual’s responsiveness to level-of-service variables affects her or his travel mode choice for a trip. This responsiveness will, in general, vary across individuals based on observed (to an analyst) and unobserved (to an analyst) individual characteristics. The current paper formulates a multinomial-logit based model of travel mode choice that accommodates variations in responsiveness to level-of-service measures due to both observed and unobserved individual characteristics in a comprehensive manner. The choice probabilities in the resulting model are evaluated using Monte Carlo simulation techniques and the model parameters are estimated using a maximum simulated likelihood approach. The model is applied to examine the impact of improved rail service on weekday, business travel in the Toronto—Montreal corridor. The empirical results show that not accounting adequately for variations in responsiveness across individuals leads to a statistically inferior data fit and also to inappropriate evaluations of policy actions aimed at improving inter-city transportation services.","container-title":"Transportation Research Part A: Policy and Practice","DOI":"10.1016/S0965-8564(98)00011-1","ISSN":"0965-8564","issue":"7","journalAbbreviation":"Transportation Research Part A: Policy and Practice","page":"495-507","source":"ScienceDirect","title":"Accommodating Variations in Responsiveness to Level-of-Service Measures in Travel Mode Choice Modeling","volume":"32","author":[{"family":"Bhat","given":"Chandra R."}],"issued":{"date-parts":[["1998",9,1]]}}},{"id":4533,"uris":["http://zotero.org/users/12832277/items/ICPFI9NC"],"itemData":{"id":4533,"type":"article-journal","abstract":"In this paper, we discuss some of the issues that arise with the computation of the implied value of travel-time savings in the case of discrete choice models allowing for random taste heterogeneity. We specifically look at the case of models producing a non-zero probability of positive travel-time coefficients, and discuss the consistency of such estimates with theories of rational economic behaviour. We then describe how the presence of unobserved travel-experience attributes or conjoint activities can bias the estimation of the travel-time coefficient, and can lead to false conclusions with regards to the existence of negative valuations of travel-time savings. We note that while it is important not to interpret such estimates as travel-time coefficients per se, it is nevertheless similarly important to allow such effects to manifest themselves; as such, the use of distributions with fixed bounds is inappropriate. On the other hand, the use of unbounded distributions can lead to further problems, as their shape (especially in the case of symmetrical distributions) can falsely imply the presence of positive estimates. We note that a preferable solution is to use bounded distributions where the bounds are estimated from the data during model calibration. This allows for the effects of data impurities or model misspecifications to manifest themselves, while reducing the risk of bias as a result of the shape of the distribution. To conclude, a brief application is conducted to support the theoretical claims made in the paper.","container-title":"Transportation Research Part A: Policy and Practice","DOI":"10.1016/j.tra.2004.09.007","ISSN":"0965-8564","issue":"2","page":"221-236","source":"ScienceDirect","title":"Estimation of Value of Travel-Time Savings Using Mixed Logit Models","volume":"39","author":[{"family":"Hess","given":"Stephane"},{"family":"Bierlaire","given":"Michel"},{"family":"Polak","given":"John W."}],"issued":{"date-parts":[["2005",2,1]]}}},{"id":4916,"uris":["http://zotero.org/users/12832277/items/2YHS89CB"],"itemData":{"id":4916,"type":"article-journal","abstract":"The distribution of the value of travel time savings (VTTS) is investigated employing various nonparametric techniques to a large dataset originating from a stated choice experiment. The data contain choices between a fast and more expensive alternative and a slow and less expensive alternative. Increasing the implicit price of time leads to an increased share of respondents who decline to pay to save time. But a significant proportion of respondents, 13%, remain willing to pay to save time at the highest price of time in the design. This means that the right tail of the VTTS distribution is not observed and hence the mean VTTS cannot be evaluated without additional assumptions. When socio-economic and situational variables are introduced into a semiparametric model it becomes possible to accept that the whole VTTS distribution is observed. Sixteen candidates for parametric VTTS distributions are investigated. Some distributions are simply not able to fit to the empirical distribution while others have very long tails. The mean VTTS is shown to be extremely dependent on the choice of parametric distribution. Requiring that the parametric distribution should be accepted against the nonparametric alternative narrows the field down to five candidates. One of the distributions tested here has also support within the observed range such that the estimated VTTS is bounded by the data.","container-title":"Transportation Research Part B: Methodological","DOI":"10.1016/j.trb.2005.09.007","ISSN":"0191-2615","issue":"8","page":"688-707","source":"ScienceDirect","title":"Investigating the Distribution of the Value of Travel Time Savings","volume":"40","author":[{"family":"Fosgerau","given":"Mogens"}],"issued":{"date-parts":[["2006",9,1]]}}},{"id":5935,"uris":["http://zotero.org/users/12832277/items/9VK46FNA"],"itemData":{"id":5935,"type":"article-journal","abstract":"The purpose of this study was to assess the value of travel time savings (VTTS) of urban travelers in the setting of a city in a developing country. It contributes to the few empirical studies on calculations of the benefits of transportation facility development and evaluation. In practice, VTTS can be taken as an average value for the population. However, the wider socioeconomic disparities among travelers in cities in developing countries might suggest significant taste variations. The standard logit formulation fails to account for such random tastes. To capture the heterogeneity among individuals and the correlations between alternatives, this study explores the aptness and flexibility of the mixed logit formulation with revealed-preference data. By specifying a random travel time coefficient, it compares the total travel time savings by using different statistical distributions. Depending on the assumed statistical distribution of the travel time coefficient, the study reveals that significant increases in total travel time savings are achieved by the use of random coefficients logit compared with those achieved by the use of standard logit. The results indicate that by accounting for random taste variations among individuals, total VTTS increases by a minimum of 28% and a maximum of more than 80% compared with the values obtained by the fixed coefficients approach.","container-title":"Transportation Research Record","DOI":"10.3141/2082-18","ISSN":"0361-1981","issue":"1","language":"EN","page":"148-155","publisher":"SAGE Publications Inc","source":"SAGE Journals","title":"Value of Travel Time Savings under Random Taste Heterogeneity: Application to Cities in Developing Countries","title-short":"Value of Travel Time Savings under Random Taste Heterogeneity","volume":"2082","author":[{"family":"Rubite","given":"Caesar P."},{"family":"Muromachi","given":"Yasunori"}],"issued":{"date-parts":[["2008",1,1]]}}},{"id":6272,"uris":["http://zotero.org/users/12832277/items/EZ82NPVN"],"itemData":{"id":6272,"type":"article-journal","abstract":"In this paper, we propose a general copula approach to accommodate non-normal continuous mixing distributions in multinomial probit models. In particular, we specify a multivariate mixing distribution that allows different marginal continuous parametric distributions for different coefficients. A new hybrid estimation technique is proposed to estimate the model, which combines the advantageous features of each of the maximum simulated likelihood inference technique and Bhat’s maximum approximate composite marginal likelihood inference approach. The effectiveness of our formulation and inference approach is demonstrated through simulation exercises and an empirical application.","container-title":"Theory and Decision","DOI":"10.1007/s11238-017-9638-4","ISSN":"1573-7187","issue":"2","journalAbbreviation":"Theory Decis","language":"en","page":"239-275","source":"Springer Link","title":"A new mixed MNP model accommodating a variety of dependent non-normal coefficient distributions","volume":"84","author":[{"family":"Bhat","given":"Chandra R."},{"family":"Lavieri","given":"Patrícia S."}],"issued":{"date-parts":[["2018",3,1]]}}},{"id":6262,"uris":["http://zotero.org/users/12832277/items/MI6VKVIA"],"itemData":{"id":6262,"type":"article-journal","abstract":"In developing countries like India, the policymakers have largely focused on supply-side measures, yet demand-side measures have remained unaddressed in policy implications. Ample literature is available presenting responses of TDM strategies, but most studies account mode choice and parking choice behaviour separately rather than considering trade-offs between them. This paper seeks to fill this gap by admitting parking choice as an endogenous decision within the model of mode choice behaviour which can present more valuable insights in understanding travel behaviour. This study integrates attitudinal factors and built-environment variables in addition to parking and travel attributes for developing comprehensive estimation results. A hybrid discrete choice model with random coefficients is estimated using hierarchical Bayes approach based on the Markov Chain Monte Carlo simulation method. The results reveal significant influence of mode/parking specific attitudes on commuters’ choice behaviour in addition to the built-environment factors and mode/parking related attributes. It is identified that considerable shift is occurring between parking-types in preference to switching travel mode with hypothetical changes in parking attributes. Besides, study investigates the heterogeneity in the willingness-to-pay (WTP) through follow-up regression models, which provides important insights for identifying possible sources of this heterogeneity among respondents. The study provides remarkable findings which may be beneficial to city authorities for improving TDM strategies especially in developing countries.","container-title":"Transportation Research Part A: Policy and Practice","DOI":"10.1016/j.tra.2023.103610","ISSN":"0965-8564","journalAbbreviation":"Transportation Research Part A: Policy and Practice","page":"103610","source":"ScienceDirect","title":"Analysis of Taste Heterogeneity in Commuters’ Travel Decisions Using Joint Parking– and Mode–Choice Model: A Case from Urban India","title-short":"Analysis of Taste Heterogeneity in Commuters’ Travel Decisions Using Joint Parking– and Mode–Choice Model","volume":"170","author":[{"family":"Parmar","given":"Janak"},{"family":"Saiyed","given":"Gulnazbanu"},{"family":"Dave","given":"Sanjaykumar"}],"issued":{"date-parts":[["2023",4,1]]}}},{"id":6266,"uris":["http://zotero.org/users/12832277/items/J8LS7J7K"],"itemData":{"id":6266,"type":"article-journal","abstract":"There is growing interest in employing non-normal parameter distributions on covariates to account for random taste heterogeneity in multinomial choice models. In this study, we propose a flexible, computationally tractable, structurally simple, and parsimonious-in-specification random coefficients multinomial probit (MNP) model that can accommodate non-normality in the random coefficients. Our proposed methodology subsumes the normally distributed random coefficient MNP model as a special case, thus eliminating the need to a priori decide on the distributional assumption for each coefficient. The approach employs an implicit Gaussian copula to combine the univariate coefficient distributions into a multivariate distribution with a flexible dependence structure. Using our new flexible MNP framework, we investigate the commute mode choice behavior for workers in the city of Bengaluru, a metropolitan city in southern India. Results from our analysis indicate that sociodemographic variables, commute characteristics, and mode-related attributes significantly impact the commute mode choice decision. Importantly, our results indicate the presence of unobserved taste heterogeneity in the sensitivities to the travel time and travel cost variables; moreover, the distribution of the travel time coefficient is found to be significantly non-normal. In terms of data fit, our proposed model statistically outperforms the traditional MNP model as well as an MNP model that imposes normality on the travel time coefficient. The pitfalls of ignoring non-normality in the distribution of parameters are also discussed, as are several policies to promote a shift from private modes of transportation to more sustainable public transportation/walk modes.","container-title":"Transportation Research Part B: Methodological","DOI":"10.1016/j.trb.2025.103186","ISSN":"0191-2615","journalAbbreviation":"Transportation Research Part B: Methodological","page":"103186","source":"ScienceDirect","title":"A Flexible Non-Normal Random Coefficient Multinomial Probit Model: Application to Investigating Commuter's Mode Choice Behavior in a Developing Economy Context","title-short":"A Flexible Non-Normal Random Coefficient Multinomial Probit Model","volume":"195","author":[{"family":"Bhat","given":"Chandra R."},{"family":"Mondal","given":"Aupal"},{"family":"Pinjari","given":"Abdul Rawoof"}],"issued":{"date-parts":[["2025",5,1]]}}},{"id":6260,"uris":["http://zotero.org/users/12832277/items/THLQLBKK"],"itemData":{"id":6260,"type":"article-journal","abstract":"Several significant urban transportation projects implemented in South Africa over the last decade have had disappointing results at odds with ex-ante and ex-post economic appraisals of their feasibility. The economic and financial implications are significant and enduring and, in the case of the bus rapid transit (BRT) systems, have resulted in criticism of their value for money proposition. A key input into the economic appraisal of transport schemes is the value of travel time (VTT), which is based on micro-economic theory of time allocation and derived from users' willingness to pay for travel time savings. This paper contends that the correct valuation of VTT benefits has been under-researched in South Africa. We review historical values of non-work–related travel time and compare these with values derived from two types of discrete choice models estimated from a consolidated stated preference dataset from Tshwane, Johannesburg and Ekurhuleni in Gauteng Province, South Africa. An elasticity analysis highlights that the key BRT demand sensitivities are the number of transfers, fare levels and travel time. A mean value of non-work–related travel time of R13.89/h (currently US$0.80/h) confirms that public transport commuters in South Africa have lower VTTs than previously assumed. These findings are contrary to the characteristics of the BRT systems that have been implemented, which emphasise faster travel times and higher fare levels. The analysis also highlights the significant heterogeneity in VTT across the population because of a combination of taste, mode and income effects. These findings have important implications for public transport system designs and operations, which should emphasise reliable services, minimising transfers and lower fares.","container-title":"South African Journal of Economics","DOI":"10.1111/saje.70002","ISSN":"1813-6982","issue":"4","language":"en","note":"_eprint: https://onlinelibrary.wiley.com/doi/pdf/10.1111/saje.70002","page":"374-386","source":"Wiley Online Library","title":"Willingness to Pay for Travel Time Savings on Public Transport: Past Practice, New Evidence and Implications for Policy","title-short":"Willingness to Pay for Travel Time Savings on Public Transport","volume":"93","author":[{"family":"Hayes","given":"Gary P."},{"family":"Venter","given":"Christoffel J."}],"issued":{"date-parts":[["2025"]]}}}],"schema":"https://github.com/citation-style-language/schema/raw/master/csl-citation.json"} </w:instrText>
      </w:r>
      <w:r w:rsidR="008345D7" w:rsidRPr="00507D16">
        <w:fldChar w:fldCharType="separate"/>
      </w:r>
      <w:r w:rsidR="00BD4CF5" w:rsidRPr="00F16FEB">
        <w:rPr>
          <w:rFonts w:cs="Times New Roman"/>
        </w:rPr>
        <w:t>(</w:t>
      </w:r>
      <w:r w:rsidR="00A357FC" w:rsidRPr="00F16FEB">
        <w:rPr>
          <w:rFonts w:cs="Times New Roman"/>
        </w:rPr>
        <w:t xml:space="preserve">see, for example, </w:t>
      </w:r>
      <w:r w:rsidR="00BD4CF5" w:rsidRPr="00F16FEB">
        <w:rPr>
          <w:rFonts w:cs="Times New Roman"/>
        </w:rPr>
        <w:t>Bhat, 1998; Hess et al., 2005; Fosgerau, 2006; Rubite and Muromachi, 2008; Bhat and Lavieri, 2018; Parmar et al., 2023; Bhat et al., 2025; Hayes and Venter, 2025)</w:t>
      </w:r>
      <w:r w:rsidR="008345D7" w:rsidRPr="00507D16">
        <w:fldChar w:fldCharType="end"/>
      </w:r>
      <w:r w:rsidR="00B36A25" w:rsidRPr="00507D16">
        <w:rPr>
          <w:b/>
          <w:bCs/>
        </w:rPr>
        <w:t xml:space="preserve"> </w:t>
      </w:r>
      <w:r w:rsidR="004A0245" w:rsidRPr="00507D16">
        <w:t xml:space="preserve">do allow for unobserved heterogeneity in VTTS through random coefficients and </w:t>
      </w:r>
      <w:r w:rsidR="000C7C2A" w:rsidRPr="00507D16">
        <w:t>may be combined wit</w:t>
      </w:r>
      <w:r w:rsidR="000C7C2A" w:rsidRPr="00710211">
        <w:t xml:space="preserve">h interactions to let distributional moments vary with demographics or travel context. However, </w:t>
      </w:r>
      <w:r w:rsidR="00E42A01" w:rsidRPr="00710211">
        <w:t xml:space="preserve">such random parameter approaches still face issues with the proliferation of </w:t>
      </w:r>
      <w:r w:rsidR="0001274E" w:rsidRPr="00710211">
        <w:t xml:space="preserve">parameters and potential multicollinearity </w:t>
      </w:r>
      <w:r w:rsidR="00835180" w:rsidRPr="00710211">
        <w:t>when attempting to capture a large amount of systematic heterogeneity in VTTS.</w:t>
      </w:r>
      <w:r w:rsidR="0000553D" w:rsidRPr="00710211">
        <w:t xml:space="preserve"> </w:t>
      </w:r>
      <w:r w:rsidR="00514BC1">
        <w:t xml:space="preserve">Also, </w:t>
      </w:r>
      <w:r w:rsidR="005305A5" w:rsidRPr="005305A5">
        <w:t>the characterization of random heterogeneity is itself highly sensitive to the assumed distributional form</w:t>
      </w:r>
      <w:r w:rsidR="00A54515">
        <w:t xml:space="preserve"> </w:t>
      </w:r>
      <w:r w:rsidR="005C4287">
        <w:fldChar w:fldCharType="begin"/>
      </w:r>
      <w:r w:rsidR="005C4287">
        <w:instrText xml:space="preserve"> ADDIN ZOTERO_ITEM CSL_CITATION {"citationID":"VWqHlKSq","properties":{"unsorted":true,"formattedCitation":"(Fosgerau, 2006; Tabasi et al., 2024; Bhat et al., 2025)","plainCitation":"(Fosgerau, 2006; Tabasi et al., 2024; Bhat et al., 2025)","noteIndex":0},"citationItems":[{"id":4916,"uris":["http://zotero.org/users/12832277/items/2YHS89CB"],"itemData":{"id":4916,"type":"article-journal","abstract":"The distribution of the value of travel time savings (VTTS) is investigated employing various nonparametric techniques to a large dataset originating from a stated choice experiment. The data contain choices between a fast and more expensive alternative and a slow and less expensive alternative. Increasing the implicit price of time leads to an increased share of respondents who decline to pay to save time. But a significant proportion of respondents, 13%, remain willing to pay to save time at the highest price of time in the design. This means that the right tail of the VTTS distribution is not observed and hence the mean VTTS cannot be evaluated without additional assumptions. When socio-economic and situational variables are introduced into a semiparametric model it becomes possible to accept that the whole VTTS distribution is observed. Sixteen candidates for parametric VTTS distributions are investigated. Some distributions are simply not able to fit to the empirical distribution while others have very long tails. The mean VTTS is shown to be extremely dependent on the choice of parametric distribution. Requiring that the parametric distribution should be accepted against the nonparametric alternative narrows the field down to five candidates. One of the distributions tested here has also support within the observed range such that the estimated VTTS is bounded by the data.","container-title":"Transportation Research Part B: Methodological","DOI":"10.1016/j.trb.2005.09.007","ISSN":"0191-2615","issue":"8","page":"688-707","source":"ScienceDirect","title":"Investigating the Distribution of the Value of Travel Time Savings","volume":"40","author":[{"family":"Fosgerau","given":"Mogens"}],"issued":{"date-parts":[["2006",9,1]]}}},{"id":6307,"uris":["http://zotero.org/users/12832277/items/WH44WLAF"],"itemData":{"id":6307,"type":"article-journal","abstract":"Understanding the distribution of the willingness-to-pay (WTP) to reduce travel time or other unpleasant travel attributes experienced by travellers is crucial to making well-informed choices about infrastructure investments and the pricing of services. Given multimodality, heavy tails, and the impact of averaging errors in the classical parametric distribution-based analysis of WTP, this study compares WTP distributions across six distinct datasets using a range of model specifications, including multinomial logit (MNL), mixed logit (MMNL) and nonparametric logit mixed logit (LML). The models are estimated directly in willingness-to-pay space, highlighting that WTP is not uniformly distributed with a high likelihood of having a multi-modal distribution across the population. The findings confirm the intuition on the presence of negative WTP for some undesirable travel attributes. This study raises awareness among transport researchers, modellers, and authorities about using the correct WTP distributions in practice. It adds some empirical evidence regarding the true underlying WTP distribution of various travel attributes to the transport literature.","container-title":"Transport Policy","DOI":"10.1016/j.tranpol.2023.12.006","ISSN":"0967-070X","journalAbbreviation":"Transport Policy","page":"312-321","source":"ScienceDirect","title":"An Empirical Investigation of the Distribution of Travellers’ Willingness-to-Pay: A Comparison Between a Parametric and Nonparametric Approach","title-short":"An Empirical Investigation of the Distribution of Travellers’ Willingness-to-Pay","volume":"146","author":[{"family":"Tabasi","given":"Maliheh"},{"family":"Rose","given":"John M."},{"family":"Pellegrini","given":"Andrea"},{"family":"Hossein Rashidi","given":"Taha"}],"issued":{"date-parts":[["2024",2,1]]}}},{"id":6266,"uris":["http://zotero.org/users/12832277/items/J8LS7J7K"],"itemData":{"id":6266,"type":"article-journal","abstract":"There is growing interest in employing non-normal parameter distributions on covariates to account for random taste heterogeneity in multinomial choice models. In this study, we propose a flexible, computationally tractable, structurally simple, and parsimonious-in-specification random coefficients multinomial probit (MNP) model that can accommodate non-normality in the random coefficients. Our proposed methodology subsumes the normally distributed random coefficient MNP model as a special case, thus eliminating the need to a priori decide on the distributional assumption for each coefficient. The approach employs an implicit Gaussian copula to combine the univariate coefficient distributions into a multivariate distribution with a flexible dependence structure. Using our new flexible MNP framework, we investigate the commute mode choice behavior for workers in the city of Bengaluru, a metropolitan city in southern India. Results from our analysis indicate that sociodemographic variables, commute characteristics, and mode-related attributes significantly impact the commute mode choice decision. Importantly, our results indicate the presence of unobserved taste heterogeneity in the sensitivities to the travel time and travel cost variables; moreover, the distribution of the travel time coefficient is found to be significantly non-normal. In terms of data fit, our proposed model statistically outperforms the traditional MNP model as well as an MNP model that imposes normality on the travel time coefficient. The pitfalls of ignoring non-normality in the distribution of parameters are also discussed, as are several policies to promote a shift from private modes of transportation to more sustainable public transportation/walk modes.","container-title":"Transportation Research Part B: Methodological","DOI":"10.1016/j.trb.2025.103186","ISSN":"0191-2615","journalAbbreviation":"Transportation Research Part B: Methodological","page":"103186","source":"ScienceDirect","title":"A Flexible Non-Normal Random Coefficient Multinomial Probit Model: Application to Investigating Commuter's Mode Choice Behavior in a Developing Economy Context","title-short":"A Flexible Non-Normal Random Coefficient Multinomial Probit Model","volume":"195","author":[{"family":"Bhat","given":"Chandra R."},{"family":"Mondal","given":"Aupal"},{"family":"Pinjari","given":"Abdul Rawoof"}],"issued":{"date-parts":[["2025",5,1]]}}}],"schema":"https://github.com/citation-style-language/schema/raw/master/csl-citation.json"} </w:instrText>
      </w:r>
      <w:r w:rsidR="005C4287">
        <w:fldChar w:fldCharType="separate"/>
      </w:r>
      <w:r w:rsidR="005C4287" w:rsidRPr="005C4287">
        <w:rPr>
          <w:rFonts w:cs="Times New Roman"/>
        </w:rPr>
        <w:t>(Fosgerau, 2006; Tabasi et al., 2024; Bhat et al., 2025)</w:t>
      </w:r>
      <w:r w:rsidR="005C4287">
        <w:fldChar w:fldCharType="end"/>
      </w:r>
      <w:r w:rsidR="00A54515">
        <w:t>. Thus, it is critical to capture as much heterogeneity as possible through systematic means</w:t>
      </w:r>
      <w:r w:rsidR="00180380">
        <w:t xml:space="preserve">, leaving </w:t>
      </w:r>
      <w:r w:rsidR="004A1CB4">
        <w:t xml:space="preserve">as small of an </w:t>
      </w:r>
      <w:r w:rsidR="005316E2">
        <w:t xml:space="preserve">amount </w:t>
      </w:r>
      <w:r w:rsidR="004A1CB4">
        <w:t>as possible to</w:t>
      </w:r>
      <w:r w:rsidR="005316E2">
        <w:t xml:space="preserve"> idiosyncratic variation </w:t>
      </w:r>
      <w:r w:rsidR="004A1CB4">
        <w:t xml:space="preserve">for capture </w:t>
      </w:r>
      <w:r w:rsidR="005316E2">
        <w:t xml:space="preserve">through random </w:t>
      </w:r>
      <w:r w:rsidR="004A1CB4">
        <w:t>taste variations</w:t>
      </w:r>
      <w:r w:rsidR="005316E2">
        <w:t xml:space="preserve">. </w:t>
      </w:r>
      <w:r w:rsidR="006651F3">
        <w:t xml:space="preserve">Further, </w:t>
      </w:r>
      <w:r w:rsidR="00A35BB8">
        <w:t xml:space="preserve">while random coefficient approaches </w:t>
      </w:r>
      <w:r w:rsidR="00D26B20">
        <w:t xml:space="preserve">do accommodate unobserved heterogeneity in VTTS, this </w:t>
      </w:r>
      <w:r w:rsidR="00123C83">
        <w:t xml:space="preserve">only captures the </w:t>
      </w:r>
      <w:r w:rsidR="00123C83" w:rsidRPr="00F16FEB">
        <w:rPr>
          <w:i/>
          <w:iCs/>
        </w:rPr>
        <w:t>presence</w:t>
      </w:r>
      <w:r w:rsidR="00123C83">
        <w:t xml:space="preserve"> of preference differences across individuals, not the actual </w:t>
      </w:r>
      <w:r w:rsidR="001216E7">
        <w:t xml:space="preserve">drivers </w:t>
      </w:r>
      <w:r w:rsidR="00066EE2">
        <w:t xml:space="preserve">of that variation, so </w:t>
      </w:r>
      <w:r w:rsidR="006651F3">
        <w:t xml:space="preserve">these approaches do not provide the policy-relevant </w:t>
      </w:r>
      <w:r w:rsidR="00246C12">
        <w:t>insights in the ways that VTTS varies across demographics and travel context</w:t>
      </w:r>
      <w:r w:rsidR="004A1CB4">
        <w:t>. As such, random taste variations</w:t>
      </w:r>
      <w:r w:rsidR="00246C12">
        <w:t xml:space="preserve"> </w:t>
      </w:r>
      <w:r w:rsidR="00D26B20">
        <w:t xml:space="preserve">should not be viewed as a substitute for </w:t>
      </w:r>
      <w:r w:rsidR="004A1CB4">
        <w:t>efforts to, first and foremost, capture as much heterogeneity as possible through systematic means</w:t>
      </w:r>
      <w:r w:rsidR="00D06793">
        <w:t xml:space="preserve"> </w:t>
      </w:r>
      <w:r w:rsidR="00D06793">
        <w:fldChar w:fldCharType="begin"/>
      </w:r>
      <w:r w:rsidR="00062C5E">
        <w:instrText xml:space="preserve"> ADDIN ZOTERO_ITEM CSL_CITATION {"citationID":"WlJuakXz","properties":{"unsorted":false,"formattedCitation":"(Bhat, 2000)","plainCitation":"(Bhat, 2000)","dontUpdate":true,"noteIndex":0},"citationItems":[{"id":6304,"uris":["http://zotero.org/users/12832277/items/NJIMKADM"],"itemData":{"id":6304,"type":"chapter","container-title":"Handbook of Transport Modelling","ISBN":"978-0-08-043594-7","language":"en-US","source":"trid.trb.org","title":"Flexible Model Structures for Discrete Choice Analysis","URL":"https://trid.trb.org/View/677891","author":[{"family":"Bhat","given":"Chandra R."}],"accessed":{"date-parts":[["2026",2,18]]},"issued":{"date-parts":[["2000"]]}}}],"schema":"https://github.com/citation-style-language/schema/raw/master/csl-citation.json"} </w:instrText>
      </w:r>
      <w:r w:rsidR="00D06793">
        <w:fldChar w:fldCharType="separate"/>
      </w:r>
      <w:r w:rsidR="00D06793" w:rsidRPr="00D06793">
        <w:rPr>
          <w:rFonts w:cs="Times New Roman"/>
        </w:rPr>
        <w:t>(</w:t>
      </w:r>
      <w:r w:rsidR="004722E8">
        <w:rPr>
          <w:rFonts w:cs="Times New Roman"/>
        </w:rPr>
        <w:t xml:space="preserve">see </w:t>
      </w:r>
      <w:r w:rsidR="00D06793" w:rsidRPr="00D06793">
        <w:rPr>
          <w:rFonts w:cs="Times New Roman"/>
        </w:rPr>
        <w:t>Bhat, 2000)</w:t>
      </w:r>
      <w:r w:rsidR="00D06793">
        <w:fldChar w:fldCharType="end"/>
      </w:r>
      <w:r w:rsidR="00066EE2">
        <w:t xml:space="preserve">. </w:t>
      </w:r>
      <w:r w:rsidR="00EE5D4C" w:rsidRPr="00710211">
        <w:t xml:space="preserve">Second, the </w:t>
      </w:r>
      <w:r w:rsidR="00835180" w:rsidRPr="00710211">
        <w:t xml:space="preserve">imputation </w:t>
      </w:r>
      <w:r w:rsidR="00EE5D4C" w:rsidRPr="00710211">
        <w:t>approach implicitly assume</w:t>
      </w:r>
      <w:r w:rsidR="007F1070" w:rsidRPr="00710211">
        <w:t>s</w:t>
      </w:r>
      <w:r w:rsidR="00EE5D4C" w:rsidRPr="00710211">
        <w:t xml:space="preserve"> that there is a single continuous distribution for VTTS</w:t>
      </w:r>
      <w:r w:rsidR="00010E51" w:rsidRPr="00710211">
        <w:t xml:space="preserve"> (this is the case even </w:t>
      </w:r>
      <w:r w:rsidR="00AE2422" w:rsidRPr="00710211">
        <w:t>in random coefficient approaches)</w:t>
      </w:r>
      <w:r w:rsidR="004454BD" w:rsidRPr="00710211">
        <w:t>,</w:t>
      </w:r>
      <w:r w:rsidR="00EE5D4C" w:rsidRPr="00710211">
        <w:t xml:space="preserve"> with no </w:t>
      </w:r>
      <w:r w:rsidR="004454BD" w:rsidRPr="00710211">
        <w:t xml:space="preserve">systematic </w:t>
      </w:r>
      <w:r w:rsidR="00EE5D4C" w:rsidRPr="00710211">
        <w:t xml:space="preserve">distinction </w:t>
      </w:r>
      <w:r w:rsidR="004454BD" w:rsidRPr="00710211">
        <w:t xml:space="preserve">in individual </w:t>
      </w:r>
      <w:r w:rsidR="007F1070" w:rsidRPr="00710211">
        <w:t xml:space="preserve">and travel context </w:t>
      </w:r>
      <w:r w:rsidR="004454BD" w:rsidRPr="00710211">
        <w:t xml:space="preserve">characteristics </w:t>
      </w:r>
      <w:r w:rsidR="00EE5D4C" w:rsidRPr="00710211">
        <w:t xml:space="preserve">between those who are unwilling to pay any amount for travel time savings </w:t>
      </w:r>
      <w:r w:rsidR="004454BD" w:rsidRPr="00710211">
        <w:t xml:space="preserve">at all and </w:t>
      </w:r>
      <w:r w:rsidR="006715DC" w:rsidRPr="00710211">
        <w:t>those who are willing to pay</w:t>
      </w:r>
      <w:r w:rsidR="00CE27B3" w:rsidRPr="00710211">
        <w:t xml:space="preserve"> some positive amount</w:t>
      </w:r>
      <w:r w:rsidR="006715DC" w:rsidRPr="00710211">
        <w:t>.</w:t>
      </w:r>
      <w:r w:rsidR="00706238" w:rsidRPr="00710211">
        <w:t xml:space="preserve"> As suggested in the previous section, these travelers </w:t>
      </w:r>
      <w:r w:rsidR="009911D5" w:rsidRPr="00710211">
        <w:t>must be distinguished if individuals wh</w:t>
      </w:r>
      <w:r w:rsidR="009911D5" w:rsidRPr="004811C9">
        <w:rPr>
          <w:rFonts w:cs="Times New Roman"/>
        </w:rPr>
        <w:t xml:space="preserve">o are unwilling to pay for travel time savings </w:t>
      </w:r>
      <w:r w:rsidR="002D5F0D" w:rsidRPr="004811C9">
        <w:rPr>
          <w:rFonts w:cs="Times New Roman"/>
        </w:rPr>
        <w:t xml:space="preserve">differ systematically from those who are willing to pay </w:t>
      </w:r>
      <w:r w:rsidR="005D472D" w:rsidRPr="004811C9">
        <w:rPr>
          <w:rFonts w:cs="Times New Roman"/>
        </w:rPr>
        <w:t xml:space="preserve">some positive amount at least during some travel </w:t>
      </w:r>
      <w:r w:rsidR="007F1070" w:rsidRPr="004811C9">
        <w:rPr>
          <w:rFonts w:cs="Times New Roman"/>
        </w:rPr>
        <w:t xml:space="preserve">contexts </w:t>
      </w:r>
      <w:r w:rsidR="005D472D" w:rsidRPr="004811C9">
        <w:rPr>
          <w:rFonts w:cs="Times New Roman"/>
        </w:rPr>
        <w:t xml:space="preserve">and low pricing circumstances. Relatedly, </w:t>
      </w:r>
      <w:r w:rsidR="000269FA">
        <w:rPr>
          <w:rFonts w:cs="Times New Roman"/>
        </w:rPr>
        <w:t xml:space="preserve">the implicit </w:t>
      </w:r>
      <w:r w:rsidR="005D472D" w:rsidRPr="004811C9">
        <w:rPr>
          <w:rFonts w:cs="Times New Roman"/>
        </w:rPr>
        <w:t xml:space="preserve">continuous distribution assumption </w:t>
      </w:r>
      <w:r w:rsidR="000269FA">
        <w:rPr>
          <w:rFonts w:cs="Times New Roman"/>
        </w:rPr>
        <w:t xml:space="preserve">embedded in the imputation approach </w:t>
      </w:r>
      <w:r w:rsidR="005D472D" w:rsidRPr="004811C9">
        <w:rPr>
          <w:rFonts w:cs="Times New Roman"/>
        </w:rPr>
        <w:t>ignores the clustering of VTTS at the zero</w:t>
      </w:r>
      <w:r w:rsidR="007F1070" w:rsidRPr="004811C9">
        <w:rPr>
          <w:rFonts w:cs="Times New Roman"/>
        </w:rPr>
        <w:t xml:space="preserve"> point </w:t>
      </w:r>
      <w:r w:rsidR="005D472D" w:rsidRPr="004811C9">
        <w:rPr>
          <w:rFonts w:cs="Times New Roman"/>
        </w:rPr>
        <w:t xml:space="preserve">caused by those unwilling to pay any amount for travel. </w:t>
      </w:r>
      <w:r w:rsidR="00FD0400" w:rsidRPr="004811C9">
        <w:rPr>
          <w:rFonts w:cs="Times New Roman"/>
        </w:rPr>
        <w:t xml:space="preserve">That is, the VTTS distribution is a mixture of discrete and continuous parts, not just a single continuous distribution. Ignoring this aspect will, in general, lead to inconsistent effects of </w:t>
      </w:r>
      <w:r w:rsidR="007F1070" w:rsidRPr="004811C9">
        <w:rPr>
          <w:rFonts w:cs="Times New Roman"/>
        </w:rPr>
        <w:t xml:space="preserve">sociodemographic variables and </w:t>
      </w:r>
      <w:r w:rsidR="00FD0400" w:rsidRPr="004811C9">
        <w:rPr>
          <w:rFonts w:cs="Times New Roman"/>
        </w:rPr>
        <w:t xml:space="preserve">travel contexts on VTTS, as well as inconsistent VTTS imputations themselves. </w:t>
      </w:r>
    </w:p>
    <w:p w14:paraId="7E9E67EF" w14:textId="77777777" w:rsidR="00B7351D" w:rsidRPr="004811C9" w:rsidRDefault="00B7351D" w:rsidP="00B7351D">
      <w:pPr>
        <w:spacing w:after="0" w:line="240" w:lineRule="auto"/>
        <w:jc w:val="both"/>
        <w:rPr>
          <w:rFonts w:cs="Times New Roman"/>
        </w:rPr>
      </w:pPr>
    </w:p>
    <w:p w14:paraId="2D28907E" w14:textId="45F8EE0F" w:rsidR="00BE134A" w:rsidRPr="00F8453A" w:rsidRDefault="00BE134A" w:rsidP="006C4B31">
      <w:pPr>
        <w:spacing w:after="0"/>
        <w:rPr>
          <w:rFonts w:cs="Times New Roman"/>
          <w:i/>
          <w:iCs/>
        </w:rPr>
      </w:pPr>
      <w:r w:rsidRPr="00F8453A">
        <w:rPr>
          <w:rFonts w:cs="Times New Roman"/>
          <w:i/>
          <w:iCs/>
        </w:rPr>
        <w:t>2.</w:t>
      </w:r>
      <w:r w:rsidR="00973B9A" w:rsidRPr="00F8453A">
        <w:rPr>
          <w:rFonts w:cs="Times New Roman"/>
          <w:i/>
          <w:iCs/>
        </w:rPr>
        <w:t>2</w:t>
      </w:r>
      <w:r w:rsidRPr="00F8453A">
        <w:rPr>
          <w:rFonts w:cs="Times New Roman"/>
          <w:i/>
          <w:iCs/>
        </w:rPr>
        <w:t xml:space="preserve">.2 </w:t>
      </w:r>
      <w:r w:rsidR="00332F25" w:rsidRPr="00F8453A">
        <w:rPr>
          <w:rFonts w:cs="Times New Roman"/>
          <w:i/>
          <w:iCs/>
        </w:rPr>
        <w:t>Direct Measurement Approach</w:t>
      </w:r>
    </w:p>
    <w:p w14:paraId="025268B3" w14:textId="407E283E" w:rsidR="00503E67" w:rsidRDefault="00FC6918" w:rsidP="00027FE5">
      <w:pPr>
        <w:spacing w:after="0" w:line="240" w:lineRule="auto"/>
        <w:jc w:val="both"/>
        <w:rPr>
          <w:rFonts w:cs="Times New Roman"/>
        </w:rPr>
      </w:pPr>
      <w:r w:rsidRPr="004811C9">
        <w:rPr>
          <w:rFonts w:cs="Times New Roman"/>
        </w:rPr>
        <w:t xml:space="preserve">In contrast to the imputation-based </w:t>
      </w:r>
      <w:r w:rsidR="007F1070" w:rsidRPr="004811C9">
        <w:rPr>
          <w:rFonts w:cs="Times New Roman"/>
        </w:rPr>
        <w:t>approach</w:t>
      </w:r>
      <w:r w:rsidRPr="004811C9">
        <w:rPr>
          <w:rFonts w:cs="Times New Roman"/>
        </w:rPr>
        <w:t xml:space="preserve"> described above, some studies have taken a more direct approach to measuring VTTS</w:t>
      </w:r>
      <w:r w:rsidR="00FB1DBB" w:rsidRPr="004811C9">
        <w:rPr>
          <w:rFonts w:cs="Times New Roman"/>
        </w:rPr>
        <w:t xml:space="preserve">, in which </w:t>
      </w:r>
      <w:r w:rsidR="00B3067B" w:rsidRPr="004811C9">
        <w:rPr>
          <w:rFonts w:cs="Times New Roman"/>
        </w:rPr>
        <w:t>individuals are asked</w:t>
      </w:r>
      <w:r w:rsidR="00FB1DBB" w:rsidRPr="004811C9">
        <w:rPr>
          <w:rFonts w:cs="Times New Roman"/>
        </w:rPr>
        <w:t xml:space="preserve">, within a specific choice context, </w:t>
      </w:r>
      <w:r w:rsidR="00B3067B" w:rsidRPr="004811C9">
        <w:rPr>
          <w:rFonts w:cs="Times New Roman"/>
        </w:rPr>
        <w:t>direct questions about how much they value their time</w:t>
      </w:r>
      <w:r w:rsidR="00FB1DBB" w:rsidRPr="004811C9">
        <w:rPr>
          <w:rFonts w:cs="Times New Roman"/>
        </w:rPr>
        <w:t xml:space="preserve">, </w:t>
      </w:r>
      <w:r w:rsidR="00B3067B" w:rsidRPr="004811C9">
        <w:rPr>
          <w:rFonts w:cs="Times New Roman"/>
        </w:rPr>
        <w:t xml:space="preserve">or </w:t>
      </w:r>
      <w:r w:rsidR="00680972" w:rsidRPr="004811C9">
        <w:rPr>
          <w:rFonts w:cs="Times New Roman"/>
        </w:rPr>
        <w:t xml:space="preserve">whether they are </w:t>
      </w:r>
      <w:r w:rsidR="00B3067B" w:rsidRPr="004811C9">
        <w:rPr>
          <w:rFonts w:cs="Times New Roman"/>
        </w:rPr>
        <w:t xml:space="preserve">willing to pay </w:t>
      </w:r>
      <w:r w:rsidR="00680972" w:rsidRPr="004811C9">
        <w:rPr>
          <w:rFonts w:cs="Times New Roman"/>
        </w:rPr>
        <w:t xml:space="preserve">a specific price </w:t>
      </w:r>
      <w:r w:rsidR="00B3067B" w:rsidRPr="004811C9">
        <w:rPr>
          <w:rFonts w:cs="Times New Roman"/>
        </w:rPr>
        <w:t xml:space="preserve">for </w:t>
      </w:r>
      <w:r w:rsidR="00680972" w:rsidRPr="004811C9">
        <w:rPr>
          <w:rFonts w:cs="Times New Roman"/>
        </w:rPr>
        <w:t>different amounts of</w:t>
      </w:r>
      <w:r w:rsidR="00B3067B" w:rsidRPr="004811C9">
        <w:rPr>
          <w:rFonts w:cs="Times New Roman"/>
        </w:rPr>
        <w:t xml:space="preserve"> travel time savings.</w:t>
      </w:r>
      <w:r w:rsidR="00680972" w:rsidRPr="004811C9">
        <w:rPr>
          <w:rFonts w:cs="Times New Roman"/>
        </w:rPr>
        <w:t xml:space="preserve"> </w:t>
      </w:r>
      <w:r w:rsidR="007F1070" w:rsidRPr="004811C9">
        <w:rPr>
          <w:rFonts w:cs="Times New Roman"/>
        </w:rPr>
        <w:t xml:space="preserve">Also referred to as the </w:t>
      </w:r>
      <w:r w:rsidR="00090943" w:rsidRPr="004811C9">
        <w:rPr>
          <w:rFonts w:cs="Times New Roman"/>
        </w:rPr>
        <w:t>“</w:t>
      </w:r>
      <w:r w:rsidR="00FB1DBB" w:rsidRPr="004811C9">
        <w:rPr>
          <w:rFonts w:cs="Times New Roman"/>
        </w:rPr>
        <w:t xml:space="preserve">contingent evaluation </w:t>
      </w:r>
      <w:r w:rsidR="00090943" w:rsidRPr="004811C9">
        <w:rPr>
          <w:rFonts w:cs="Times New Roman"/>
        </w:rPr>
        <w:t>(CV)</w:t>
      </w:r>
      <w:r w:rsidR="007F1070" w:rsidRPr="004811C9">
        <w:rPr>
          <w:rFonts w:cs="Times New Roman"/>
        </w:rPr>
        <w:t xml:space="preserve"> approach</w:t>
      </w:r>
      <w:r w:rsidR="00090943" w:rsidRPr="004811C9">
        <w:rPr>
          <w:rFonts w:cs="Times New Roman"/>
        </w:rPr>
        <w:t>”</w:t>
      </w:r>
      <w:r w:rsidR="007F1070" w:rsidRPr="004811C9">
        <w:rPr>
          <w:rFonts w:cs="Times New Roman"/>
        </w:rPr>
        <w:t xml:space="preserve"> </w:t>
      </w:r>
      <w:r w:rsidR="00C4609F" w:rsidRPr="004811C9">
        <w:rPr>
          <w:rFonts w:cs="Times New Roman"/>
        </w:rPr>
        <w:t>in the economics and marketing literature</w:t>
      </w:r>
      <w:r w:rsidR="00FB1DBB" w:rsidRPr="004811C9">
        <w:rPr>
          <w:rFonts w:cs="Times New Roman"/>
        </w:rPr>
        <w:t xml:space="preserve"> </w:t>
      </w:r>
      <w:r w:rsidR="00DB038D" w:rsidRPr="004811C9">
        <w:rPr>
          <w:rFonts w:cs="Times New Roman"/>
        </w:rPr>
        <w:fldChar w:fldCharType="begin"/>
      </w:r>
      <w:r w:rsidR="008345D7">
        <w:rPr>
          <w:rFonts w:cs="Times New Roman"/>
        </w:rPr>
        <w:instrText xml:space="preserve"> ADDIN ZOTERO_ITEM CSL_CITATION {"citationID":"mkGNL27Z","properties":{"formattedCitation":"(Boyle et al., 1985; Hoyos and Mariel, 2010; Mitchell and Carson, 2013)","plainCitation":"(Boyle et al., 1985; Hoyos and Mariel, 2010; Mitchell and Carson, 2013)","dontUpdate":true,"noteIndex":0},"citationItems":[{"id":5040,"uris":["http://zotero.org/users/12832277/items/NSED87PM"],"itemData":{"id":5040,"type":"article-journal","container-title":"Land Economics","DOI":"10.2307/3145811","ISSN":"0023-7639","issue":"2","page":"188-194","publisher":"[Board of Regents of the University of Wisconsin System, University of Wisconsin Press]","source":"JSTOR","title":"Starting Point Bias in Contingent Valuation Bidding Games","volume":"61","author":[{"family":"Boyle","given":"Kevin J."},{"family":"Bishop","given":"Richard C."},{"family":"Welsh","given":"Michael P."}],"issued":{"date-parts":[["1985"]]}}},{"id":5036,"uris":["http://zotero.org/users/12832277/items/Z2LSH57I"],"itemData":{"id":5036,"type":"article-journal","container-title":"Prague Economic Papers","issue":"2010","page":"329–343","publisher":"Prague Economic Papers","source":"Google Scholar","title":"Contingent Valuation: Past, Present and Future","title-short":"Contingent Valuation","volume":"4","author":[{"family":"Hoyos","given":"David"},{"family":"Mariel","given":"Petr"}],"issued":{"date-parts":[["2010"]]}}},{"id":5038,"uris":["http://zotero.org/users/12832277/items/RLGFYCMB"],"itemData":{"id":5038,"type":"book","abstract":"Economists and others have long believed that by balancing the costs of such public goods as air quality and wilderness areas against their benefits, informed policy choices can be made. But the problem of putting a dollar value on cleaner air or water and other goods not sold in the marketplace has been a major stumbling block. Mitchell and Carson, for reasons presented in this book, argue that at this time the contingent valuation (CV) method offers the most promising approach for determining public willingness to pay for many public goods---an approach likely to succeed, if used carefully, where other methods may fail. The result of ten years of research by the authors aimed at assessing how surveys might best be used to value public goods validly and reliably, this book makes a major contribution to what constitutes best practice in CV surveys.\n\nMitchell and Carson begin by introducing the contingent valuation method, describing how it works and the nature of the benefits it can be used to measure, comparing it to other methods for measuring benefits, and examining the data-gathering technique on which it is based---survey research. Placing contingent valuation in the larger context of welfare theory, the authors examine how the CV method impels a deeper understanding of willingness-to-pay versus willingness-to-accept compensation measures, the possibility of existence values for public goods, the role of uncertainty in benefit valuation, and the question of whether a consumer goods market or a political goods market (referenda) should be emulated. In developing a CV methodology, the authors deal with issues of broader significance to survey research. Their model of respondent error is relevant to current efforts to frame a theory of response behavior and bias typology will interest those considering the cognitive aspects of answering survey questions.\n\nMitchell and Carson conclude that the contingent valuation method can obtain valid valuation information on public goods, but only if the method is applied in a way that addresses the potential sources of error and bias. They end their book by providing guidelines for CV practitioners, a list of questions that should be asked by any decision maker who wishes to use the findings of a CV study, and suggestions for new applications of contingent valuation. Additional features include a comprehensive bibliography of the CV literature and an appendix summarizing more than 100 CV studies.","DOI":"10.4324/9781315060569","ISBN":"978-1-315-06056-9","number-of-pages":"484","publisher":"RFF Press","publisher-place":"New York","title":"Using Surveys to Value Public Goods: The Contingent Valuation Method","author":[{"family":"Mitchell","given":"Robert Cameron"},{"family":"Carson","given":"Richard T."}],"issued":{"date-parts":[["2013",10,17]]}}}],"schema":"https://github.com/citation-style-language/schema/raw/master/csl-citation.json"} </w:instrText>
      </w:r>
      <w:r w:rsidR="00DB038D" w:rsidRPr="004811C9">
        <w:rPr>
          <w:rFonts w:cs="Times New Roman"/>
        </w:rPr>
        <w:fldChar w:fldCharType="separate"/>
      </w:r>
      <w:r w:rsidR="0023745F" w:rsidRPr="004811C9">
        <w:rPr>
          <w:rFonts w:cs="Times New Roman"/>
        </w:rPr>
        <w:t xml:space="preserve">(see, for example, </w:t>
      </w:r>
      <w:r w:rsidR="00DB038D" w:rsidRPr="004811C9">
        <w:rPr>
          <w:rFonts w:cs="Times New Roman"/>
        </w:rPr>
        <w:t>Boyle et al., 1985; Hoyos and Mariel, 2010; Mitchell and Carson, 2013)</w:t>
      </w:r>
      <w:r w:rsidR="00DB038D" w:rsidRPr="004811C9">
        <w:rPr>
          <w:rFonts w:cs="Times New Roman"/>
        </w:rPr>
        <w:fldChar w:fldCharType="end"/>
      </w:r>
      <w:r w:rsidR="0023745F" w:rsidRPr="004811C9">
        <w:rPr>
          <w:rFonts w:cs="Times New Roman"/>
        </w:rPr>
        <w:t>, t</w:t>
      </w:r>
      <w:r w:rsidR="00090943" w:rsidRPr="004811C9">
        <w:rPr>
          <w:rFonts w:cs="Times New Roman"/>
        </w:rPr>
        <w:t>his measurement approach</w:t>
      </w:r>
      <w:r w:rsidR="0024622A" w:rsidRPr="004811C9">
        <w:rPr>
          <w:rFonts w:cs="Times New Roman"/>
          <w:b/>
          <w:bCs/>
        </w:rPr>
        <w:t xml:space="preserve"> </w:t>
      </w:r>
      <w:r w:rsidR="000D69B0" w:rsidRPr="004811C9">
        <w:rPr>
          <w:rFonts w:cs="Times New Roman"/>
        </w:rPr>
        <w:t>ask</w:t>
      </w:r>
      <w:r w:rsidR="00090943" w:rsidRPr="004811C9">
        <w:rPr>
          <w:rFonts w:cs="Times New Roman"/>
        </w:rPr>
        <w:t>s</w:t>
      </w:r>
      <w:r w:rsidR="000D69B0" w:rsidRPr="004811C9">
        <w:rPr>
          <w:rFonts w:cs="Times New Roman"/>
        </w:rPr>
        <w:t xml:space="preserve"> respondents</w:t>
      </w:r>
      <w:r w:rsidR="00090943" w:rsidRPr="004811C9">
        <w:rPr>
          <w:rFonts w:cs="Times New Roman"/>
        </w:rPr>
        <w:t xml:space="preserve"> directly</w:t>
      </w:r>
      <w:r w:rsidR="000D69B0" w:rsidRPr="004811C9">
        <w:rPr>
          <w:rFonts w:cs="Times New Roman"/>
        </w:rPr>
        <w:t xml:space="preserve"> to provide information about how much they would be willing to pay </w:t>
      </w:r>
      <w:r w:rsidR="002D1910" w:rsidRPr="004811C9">
        <w:rPr>
          <w:rFonts w:cs="Times New Roman"/>
        </w:rPr>
        <w:t>to become beneficiaries of a particular program (in the</w:t>
      </w:r>
      <w:r w:rsidR="00ED229E" w:rsidRPr="004811C9">
        <w:rPr>
          <w:rFonts w:cs="Times New Roman"/>
        </w:rPr>
        <w:t xml:space="preserve"> </w:t>
      </w:r>
      <w:r w:rsidR="0023745F" w:rsidRPr="004811C9">
        <w:rPr>
          <w:rFonts w:cs="Times New Roman"/>
        </w:rPr>
        <w:t>congestion pricing context,</w:t>
      </w:r>
      <w:r w:rsidR="00ED229E" w:rsidRPr="004811C9">
        <w:rPr>
          <w:rFonts w:cs="Times New Roman"/>
        </w:rPr>
        <w:t xml:space="preserve"> this would be the amount they are willing to pay </w:t>
      </w:r>
      <w:r w:rsidR="00694B16" w:rsidRPr="004811C9">
        <w:rPr>
          <w:rFonts w:cs="Times New Roman"/>
        </w:rPr>
        <w:t>to use a priced lane that would provide a specific delay reduction</w:t>
      </w:r>
      <w:r w:rsidR="00962B5C" w:rsidRPr="004811C9">
        <w:rPr>
          <w:rFonts w:cs="Times New Roman"/>
        </w:rPr>
        <w:t xml:space="preserve">). </w:t>
      </w:r>
      <w:r w:rsidR="00912DF4">
        <w:rPr>
          <w:rFonts w:cs="Times New Roman"/>
        </w:rPr>
        <w:t xml:space="preserve">In the transportation literature, such methods are </w:t>
      </w:r>
      <w:r w:rsidR="004E4789">
        <w:rPr>
          <w:rFonts w:cs="Times New Roman"/>
        </w:rPr>
        <w:t>also</w:t>
      </w:r>
      <w:r w:rsidR="00D15AA5">
        <w:rPr>
          <w:rFonts w:cs="Times New Roman"/>
        </w:rPr>
        <w:t xml:space="preserve"> commonly </w:t>
      </w:r>
      <w:r w:rsidR="009F7919">
        <w:rPr>
          <w:rFonts w:cs="Times New Roman"/>
        </w:rPr>
        <w:t>referred to as</w:t>
      </w:r>
      <w:r w:rsidR="00795912">
        <w:rPr>
          <w:rFonts w:cs="Times New Roman"/>
        </w:rPr>
        <w:t xml:space="preserve"> Transfer Price (TP) or Transfer </w:t>
      </w:r>
      <w:r w:rsidR="004E4789">
        <w:rPr>
          <w:rFonts w:cs="Times New Roman"/>
        </w:rPr>
        <w:t xml:space="preserve">Time (TT) </w:t>
      </w:r>
      <w:r w:rsidR="009F7919">
        <w:rPr>
          <w:rFonts w:cs="Times New Roman"/>
        </w:rPr>
        <w:t>methods</w:t>
      </w:r>
      <w:r w:rsidR="008D14F8">
        <w:rPr>
          <w:rFonts w:cs="Times New Roman"/>
        </w:rPr>
        <w:t xml:space="preserve"> </w:t>
      </w:r>
      <w:r w:rsidR="008D14F8">
        <w:rPr>
          <w:rFonts w:cs="Times New Roman"/>
        </w:rPr>
        <w:fldChar w:fldCharType="begin"/>
      </w:r>
      <w:r w:rsidR="002A33F9">
        <w:rPr>
          <w:rFonts w:cs="Times New Roman"/>
        </w:rPr>
        <w:instrText xml:space="preserve"> ADDIN ZOTERO_ITEM CSL_CITATION {"citationID":"vOime803","properties":{"unsorted":true,"formattedCitation":"(Dalvi and Lee, 1971; Bonsall, 1985; Daly and Gunn, 2002)","plainCitation":"(Dalvi and Lee, 1971; Bonsall, 1985; Daly and Gunn, 2002)","noteIndex":0},"citationItems":[{"id":5956,"uris":["http://zotero.org/users/12832277/items/U3A9XARI"],"itemData":{"id":5956,"type":"article-journal","container-title":"The Manchester School","DOI":"10.1111/j.1467-9957.1971.tb00379.x","ISSN":"1463-6786, 1467-9957","issue":"3","journalAbbreviation":"The Manchester School","language":"en","license":"http://onlinelibrary.wiley.com/termsAndConditions#vor","page":"187-204","source":"DOI.org (Crossref)","title":"Variations in the Value of Travel Time: Further Analysis","title-short":"Variations in the Value of Travel Time","volume":"39","author":[{"family":"Dalvi","given":"M. Q."},{"family":"Lee","given":"N."}],"issued":{"date-parts":[["1971",9]]}}},{"id":5957,"uris":["http://zotero.org/users/12832277/items/2M9F6BJZ"],"itemData":{"id":5957,"type":"chapter","container-title":"New survey methods in transport","publisher":"VNU Science Press Utrecht","source":"Google Scholar","title":"Transfer Price Data-Its Definition, Collection and Use","URL":"https://books.google.com/books?hl=en&amp;lr=&amp;id=nvYSL9JPB00C&amp;oi=fnd&amp;pg=PA257&amp;dq=lee+dalvi+1971+transfer+price&amp;ots=q7q3w-4zz5&amp;sig=ATl7r3UR9Tp8LznxECjfAzrculY","author":[{"family":"Bonsall","given":"Peter"}],"accessed":{"date-parts":[["2026",1,29]]},"issued":{"date-parts":[["1985"]]}}},{"id":5958,"uris":["http://zotero.org/users/12832277/items/JLM8N44K"],"itemData":{"id":5958,"type":"paper-conference","container-title":"European Transport Conference","source":"Google Scholar","title":"Simultaneous Analysis of Choice and Transfer Price Data","URL":"https://alogit.com/papers/TP%20RP%20and%20SP.pdf","author":[{"family":"Daly","given":"Andrew"},{"family":"Gunn","given":"Hugh"}],"accessed":{"date-parts":[["2026",1,29]]},"issued":{"date-parts":[["2002"]]}}}],"schema":"https://github.com/citation-style-language/schema/raw/master/csl-citation.json"} </w:instrText>
      </w:r>
      <w:r w:rsidR="008D14F8">
        <w:rPr>
          <w:rFonts w:cs="Times New Roman"/>
        </w:rPr>
        <w:fldChar w:fldCharType="separate"/>
      </w:r>
      <w:r w:rsidR="002A33F9" w:rsidRPr="002A33F9">
        <w:rPr>
          <w:rFonts w:cs="Times New Roman"/>
        </w:rPr>
        <w:t>(Dalvi and Lee, 1971; Bonsall, 1985; Daly and Gunn, 2002)</w:t>
      </w:r>
      <w:r w:rsidR="008D14F8">
        <w:rPr>
          <w:rFonts w:cs="Times New Roman"/>
        </w:rPr>
        <w:fldChar w:fldCharType="end"/>
      </w:r>
      <w:r w:rsidR="009139B4">
        <w:rPr>
          <w:rFonts w:cs="Times New Roman"/>
        </w:rPr>
        <w:t xml:space="preserve">, </w:t>
      </w:r>
      <w:r w:rsidR="009139B4">
        <w:rPr>
          <w:rFonts w:cs="Times New Roman"/>
        </w:rPr>
        <w:lastRenderedPageBreak/>
        <w:t xml:space="preserve">focusing on the </w:t>
      </w:r>
      <w:r w:rsidR="00261B3B">
        <w:rPr>
          <w:rFonts w:cs="Times New Roman"/>
        </w:rPr>
        <w:t xml:space="preserve">change in price or travel time that would cause </w:t>
      </w:r>
      <w:r w:rsidR="004E4789">
        <w:rPr>
          <w:rFonts w:cs="Times New Roman"/>
        </w:rPr>
        <w:t>the respondent</w:t>
      </w:r>
      <w:r w:rsidR="00261B3B">
        <w:rPr>
          <w:rFonts w:cs="Times New Roman"/>
        </w:rPr>
        <w:t xml:space="preserve"> to switch </w:t>
      </w:r>
      <w:r w:rsidR="00303A45">
        <w:t xml:space="preserve">(or “transfer”) </w:t>
      </w:r>
      <w:r w:rsidR="00261B3B">
        <w:rPr>
          <w:rFonts w:cs="Times New Roman"/>
        </w:rPr>
        <w:t xml:space="preserve">from one alternative to another </w:t>
      </w:r>
      <w:r w:rsidR="004E4789">
        <w:rPr>
          <w:rFonts w:cs="Times New Roman"/>
        </w:rPr>
        <w:t xml:space="preserve">(in the congestion pricing context, this would be the </w:t>
      </w:r>
      <w:r w:rsidR="00A97D79">
        <w:rPr>
          <w:rFonts w:cs="Times New Roman"/>
        </w:rPr>
        <w:t xml:space="preserve">amount of travel time </w:t>
      </w:r>
      <w:r w:rsidR="00A84ADF">
        <w:rPr>
          <w:rFonts w:cs="Times New Roman"/>
        </w:rPr>
        <w:t xml:space="preserve">savings to </w:t>
      </w:r>
      <w:r w:rsidR="00A97D79">
        <w:rPr>
          <w:rFonts w:cs="Times New Roman"/>
        </w:rPr>
        <w:t xml:space="preserve">have </w:t>
      </w:r>
      <w:r w:rsidR="00A84ADF">
        <w:rPr>
          <w:rFonts w:cs="Times New Roman"/>
        </w:rPr>
        <w:t>them</w:t>
      </w:r>
      <w:r w:rsidR="00A97D79">
        <w:rPr>
          <w:rFonts w:cs="Times New Roman"/>
        </w:rPr>
        <w:t xml:space="preserve"> </w:t>
      </w:r>
      <w:r w:rsidR="00545353">
        <w:rPr>
          <w:rFonts w:cs="Times New Roman"/>
        </w:rPr>
        <w:t>switch from a free route to a priced route</w:t>
      </w:r>
      <w:r w:rsidR="00B51E45">
        <w:rPr>
          <w:rFonts w:cs="Times New Roman"/>
        </w:rPr>
        <w:t xml:space="preserve">). </w:t>
      </w:r>
      <w:r w:rsidR="006746F7">
        <w:rPr>
          <w:rFonts w:cs="Times New Roman"/>
        </w:rPr>
        <w:t xml:space="preserve">Such </w:t>
      </w:r>
      <w:r w:rsidR="003110AD">
        <w:rPr>
          <w:rFonts w:cs="Times New Roman"/>
        </w:rPr>
        <w:t xml:space="preserve">approaches have </w:t>
      </w:r>
      <w:r w:rsidR="00A84ADF">
        <w:rPr>
          <w:rFonts w:cs="Times New Roman"/>
        </w:rPr>
        <w:t xml:space="preserve">not </w:t>
      </w:r>
      <w:r w:rsidR="003110AD">
        <w:rPr>
          <w:rFonts w:cs="Times New Roman"/>
        </w:rPr>
        <w:t xml:space="preserve">been </w:t>
      </w:r>
      <w:r w:rsidR="00A84ADF">
        <w:rPr>
          <w:rFonts w:cs="Times New Roman"/>
        </w:rPr>
        <w:t>routinely</w:t>
      </w:r>
      <w:r w:rsidR="003110AD">
        <w:rPr>
          <w:rFonts w:cs="Times New Roman"/>
        </w:rPr>
        <w:t xml:space="preserve"> used in the transportation context because, when tied to SP mode choice experiments, there are concerns that unobserved mode preferences (beyond </w:t>
      </w:r>
      <w:r w:rsidR="00E06AC6">
        <w:rPr>
          <w:rFonts w:cs="Times New Roman"/>
        </w:rPr>
        <w:t xml:space="preserve">variations in the actual cost and time attributes considered) </w:t>
      </w:r>
      <w:r w:rsidR="003E1829">
        <w:rPr>
          <w:rFonts w:cs="Times New Roman"/>
        </w:rPr>
        <w:t>may bias</w:t>
      </w:r>
      <w:r w:rsidR="00E06AC6">
        <w:rPr>
          <w:rFonts w:cs="Times New Roman"/>
        </w:rPr>
        <w:t xml:space="preserve"> the valuations of TP/TT</w:t>
      </w:r>
      <w:r w:rsidR="00CF6648">
        <w:rPr>
          <w:rFonts w:cs="Times New Roman"/>
        </w:rPr>
        <w:t xml:space="preserve"> </w:t>
      </w:r>
      <w:r w:rsidR="00CF6648">
        <w:rPr>
          <w:rFonts w:cs="Times New Roman"/>
        </w:rPr>
        <w:fldChar w:fldCharType="begin"/>
      </w:r>
      <w:r w:rsidR="00590FD0">
        <w:rPr>
          <w:rFonts w:cs="Times New Roman"/>
        </w:rPr>
        <w:instrText xml:space="preserve"> ADDIN ZOTERO_ITEM CSL_CITATION {"citationID":"WJuCCqI4","properties":{"unsorted":false,"formattedCitation":"(Bonsall, 1985)","plainCitation":"(Bonsall, 1985)","dontUpdate":true,"noteIndex":0},"citationItems":[{"id":5957,"uris":["http://zotero.org/users/12832277/items/2M9F6BJZ"],"itemData":{"id":5957,"type":"chapter","container-title":"New survey methods in transport","publisher":"VNU Science Press Utrecht","source":"Google Scholar","title":"Transfer Price Data-Its Definition, Collection and Use","URL":"https://books.google.com/books?hl=en&amp;lr=&amp;id=nvYSL9JPB00C&amp;oi=fnd&amp;pg=PA257&amp;dq=lee+dalvi+1971+transfer+price&amp;ots=q7q3w-4zz5&amp;sig=ATl7r3UR9Tp8LznxECjfAzrculY","author":[{"family":"Bonsall","given":"Peter"}],"accessed":{"date-parts":[["2026",1,29]]},"issued":{"date-parts":[["1985"]]}}}],"schema":"https://github.com/citation-style-language/schema/raw/master/csl-citation.json"} </w:instrText>
      </w:r>
      <w:r w:rsidR="00CF6648">
        <w:rPr>
          <w:rFonts w:cs="Times New Roman"/>
        </w:rPr>
        <w:fldChar w:fldCharType="separate"/>
      </w:r>
      <w:r w:rsidR="00CF6648" w:rsidRPr="00CF6648">
        <w:rPr>
          <w:rFonts w:cs="Times New Roman"/>
        </w:rPr>
        <w:t>(</w:t>
      </w:r>
      <w:r w:rsidR="00CF6648">
        <w:rPr>
          <w:rFonts w:cs="Times New Roman"/>
        </w:rPr>
        <w:t xml:space="preserve">see </w:t>
      </w:r>
      <w:r w:rsidR="00CF6648" w:rsidRPr="00CF6648">
        <w:rPr>
          <w:rFonts w:cs="Times New Roman"/>
        </w:rPr>
        <w:t>Bonsall, 1985)</w:t>
      </w:r>
      <w:r w:rsidR="00CF6648">
        <w:rPr>
          <w:rFonts w:cs="Times New Roman"/>
        </w:rPr>
        <w:fldChar w:fldCharType="end"/>
      </w:r>
      <w:r w:rsidR="003E1829">
        <w:rPr>
          <w:rFonts w:cs="Times New Roman"/>
        </w:rPr>
        <w:t xml:space="preserve">. </w:t>
      </w:r>
      <w:r w:rsidR="00A84ADF">
        <w:rPr>
          <w:rFonts w:cs="Times New Roman"/>
        </w:rPr>
        <w:t>In contrast</w:t>
      </w:r>
      <w:r w:rsidR="003E1829">
        <w:rPr>
          <w:rFonts w:cs="Times New Roman"/>
        </w:rPr>
        <w:t xml:space="preserve">, </w:t>
      </w:r>
      <w:r w:rsidR="00C87679">
        <w:rPr>
          <w:rFonts w:cs="Times New Roman"/>
        </w:rPr>
        <w:t xml:space="preserve">while TP/TT </w:t>
      </w:r>
      <w:r w:rsidR="009E4D28">
        <w:rPr>
          <w:rFonts w:cs="Times New Roman"/>
        </w:rPr>
        <w:t>applications</w:t>
      </w:r>
      <w:r w:rsidR="00C87679">
        <w:rPr>
          <w:rFonts w:cs="Times New Roman"/>
        </w:rPr>
        <w:t xml:space="preserve"> generally focus on switching behaviors, CV methods </w:t>
      </w:r>
      <w:r w:rsidR="00A84ADF">
        <w:rPr>
          <w:rFonts w:cs="Times New Roman"/>
        </w:rPr>
        <w:t>have retained their attractiveness</w:t>
      </w:r>
      <w:r w:rsidR="007948B6">
        <w:rPr>
          <w:rFonts w:cs="Times New Roman"/>
        </w:rPr>
        <w:t xml:space="preserve"> in contexts where </w:t>
      </w:r>
      <w:r w:rsidR="00C33916">
        <w:rPr>
          <w:rFonts w:cs="Times New Roman"/>
        </w:rPr>
        <w:t xml:space="preserve">attribute effects remain </w:t>
      </w:r>
      <w:r w:rsidR="00A84ADF">
        <w:rPr>
          <w:rFonts w:cs="Times New Roman"/>
        </w:rPr>
        <w:t>relatively</w:t>
      </w:r>
      <w:r w:rsidR="00C33916">
        <w:rPr>
          <w:rFonts w:cs="Times New Roman"/>
        </w:rPr>
        <w:t xml:space="preserve"> isolated</w:t>
      </w:r>
      <w:r w:rsidR="009E4D28">
        <w:rPr>
          <w:rFonts w:cs="Times New Roman"/>
        </w:rPr>
        <w:t xml:space="preserve"> (</w:t>
      </w:r>
      <w:r w:rsidR="004B3B1E">
        <w:rPr>
          <w:rFonts w:cs="Times New Roman"/>
        </w:rPr>
        <w:t>primarily for policy changes or unlabeled choice switching)</w:t>
      </w:r>
      <w:r w:rsidR="00C33916">
        <w:rPr>
          <w:rFonts w:cs="Times New Roman"/>
        </w:rPr>
        <w:t>.</w:t>
      </w:r>
      <w:r w:rsidR="007A5E0A">
        <w:rPr>
          <w:rFonts w:cs="Times New Roman"/>
        </w:rPr>
        <w:t xml:space="preserve"> </w:t>
      </w:r>
      <w:r w:rsidR="00D14157">
        <w:rPr>
          <w:rFonts w:cs="Times New Roman"/>
        </w:rPr>
        <w:t>That is, i</w:t>
      </w:r>
      <w:r w:rsidR="007A5E0A">
        <w:rPr>
          <w:rFonts w:cs="Times New Roman"/>
        </w:rPr>
        <w:t xml:space="preserve">n </w:t>
      </w:r>
      <w:r w:rsidR="006C0357">
        <w:rPr>
          <w:rFonts w:cs="Times New Roman"/>
        </w:rPr>
        <w:t xml:space="preserve">scenarios that isolate a single policy-relevant change, </w:t>
      </w:r>
      <w:r w:rsidR="00950EA5">
        <w:rPr>
          <w:rFonts w:cs="Times New Roman"/>
        </w:rPr>
        <w:t xml:space="preserve">CV methods </w:t>
      </w:r>
      <w:r w:rsidR="00B17DDC">
        <w:rPr>
          <w:rFonts w:cs="Times New Roman"/>
        </w:rPr>
        <w:t>can</w:t>
      </w:r>
      <w:r w:rsidR="00950EA5">
        <w:rPr>
          <w:rFonts w:cs="Times New Roman"/>
        </w:rPr>
        <w:t xml:space="preserve"> be more effective </w:t>
      </w:r>
      <w:r w:rsidR="00B17DDC">
        <w:rPr>
          <w:rFonts w:cs="Times New Roman"/>
        </w:rPr>
        <w:t xml:space="preserve">than SP choice experiments </w:t>
      </w:r>
      <w:r w:rsidR="00950EA5">
        <w:rPr>
          <w:rFonts w:cs="Times New Roman"/>
        </w:rPr>
        <w:t>because attribute effects can be evaluated independently</w:t>
      </w:r>
      <w:r w:rsidR="00A17A09">
        <w:rPr>
          <w:rFonts w:cs="Times New Roman"/>
        </w:rPr>
        <w:t>, avoiding concerns of confounding influences</w:t>
      </w:r>
      <w:r w:rsidR="00212B8B">
        <w:rPr>
          <w:rFonts w:cs="Times New Roman"/>
        </w:rPr>
        <w:t xml:space="preserve"> and</w:t>
      </w:r>
      <w:r w:rsidR="00835874">
        <w:rPr>
          <w:rFonts w:cs="Times New Roman"/>
        </w:rPr>
        <w:t xml:space="preserve"> </w:t>
      </w:r>
      <w:r w:rsidR="00A17A09">
        <w:rPr>
          <w:rFonts w:cs="Times New Roman"/>
        </w:rPr>
        <w:t xml:space="preserve">preferences tied </w:t>
      </w:r>
      <w:r w:rsidR="004D448E">
        <w:rPr>
          <w:rFonts w:cs="Times New Roman"/>
        </w:rPr>
        <w:t xml:space="preserve">to the </w:t>
      </w:r>
      <w:r w:rsidR="00A17A09">
        <w:rPr>
          <w:rFonts w:cs="Times New Roman"/>
        </w:rPr>
        <w:t xml:space="preserve">choice </w:t>
      </w:r>
      <w:r w:rsidR="00B17DDC">
        <w:rPr>
          <w:rFonts w:cs="Times New Roman"/>
        </w:rPr>
        <w:t>alternatives</w:t>
      </w:r>
      <w:r w:rsidR="006A7C4D">
        <w:rPr>
          <w:rFonts w:cs="Times New Roman"/>
        </w:rPr>
        <w:t xml:space="preserve"> or to</w:t>
      </w:r>
      <w:r w:rsidR="004D448E">
        <w:rPr>
          <w:rFonts w:cs="Times New Roman"/>
        </w:rPr>
        <w:t xml:space="preserve"> other </w:t>
      </w:r>
      <w:r w:rsidR="00A17A09">
        <w:rPr>
          <w:rFonts w:cs="Times New Roman"/>
        </w:rPr>
        <w:t>attributes</w:t>
      </w:r>
      <w:r w:rsidR="004D448E">
        <w:rPr>
          <w:rFonts w:cs="Times New Roman"/>
        </w:rPr>
        <w:t xml:space="preserve"> considered in the choice </w:t>
      </w:r>
      <w:r w:rsidR="006A7C4D">
        <w:rPr>
          <w:rFonts w:cs="Times New Roman"/>
        </w:rPr>
        <w:t>experiment</w:t>
      </w:r>
      <w:r w:rsidR="00212B8B">
        <w:rPr>
          <w:rFonts w:cs="Times New Roman"/>
        </w:rPr>
        <w:t xml:space="preserve"> </w:t>
      </w:r>
      <w:r w:rsidR="00F41431">
        <w:rPr>
          <w:rFonts w:cs="Times New Roman"/>
        </w:rPr>
        <w:fldChar w:fldCharType="begin"/>
      </w:r>
      <w:r w:rsidR="00F41431">
        <w:rPr>
          <w:rFonts w:cs="Times New Roman"/>
        </w:rPr>
        <w:instrText xml:space="preserve"> ADDIN ZOTERO_ITEM CSL_CITATION {"citationID":"nmUaa1go","properties":{"unsorted":false,"formattedCitation":"(Armbrecht, 2014; Boyle, 2017; Steigenberger et al., 2022)","plainCitation":"(Armbrecht, 2014; Boyle, 2017; Steigenberger et al., 2022)","noteIndex":0},"citationItems":[{"id":6287,"uris":["http://zotero.org/users/12832277/items/TKQYXVLL"],"itemData":{"id":6287,"type":"article-journal","abstract":"Few applications to assess the value of cultural experiences exist. This is particularly frustrating for cultural institutions, as it provides them with few opportunities to reveal their importance in terms of attractiveness and thus what drives tourism demand. This study applies the travel cost method (TCM) and contingent valuation method (CVM) to assess the value of two rural cultural institutions in order to compare the results of the valuation methods. The results reveal that visitor experiences consist of a core cultural experience as well as other valuable experiences before and after. Whereas CVM allows for a valuation of the core cultural experience separately from other experiences, the TCM is limited to an overall assessment. The TCM is therefore an inappropriate measure of the value of the cultural experiences when the total experience includes several other experiences. If visitors travel for the sake of only one cultural experience, TCM may be preferable due to its simple applicability and cost efficiency. If, however, as is most often the case, a cultural experience is part of a bundle of experiences, the application of CVM is recommendable. This is also the case, if only visitors who state the cultural experience to be the primary reason for travelling are included.","container-title":"Tourism Management","DOI":"10.1016/j.tourman.2013.11.010","ISSN":"0261-5177","journalAbbreviation":"Tourism Management","page":"141-148","source":"ScienceDirect","title":"Use Value of Cultural Experiences: A Comparison of Contingent Valuation and Travel Cost","title-short":"Use Value of Cultural Experiences","volume":"42","author":[{"family":"Armbrecht","given":"John"}],"issued":{"date-parts":[["2014",6,1]]}}},{"id":6283,"uris":["http://zotero.org/users/12832277/items/AGNCMKUU"],"itemData":{"id":6283,"type":"chapter","abstract":"Contingent Valuation in Practice takes the reader through each of the basic steps in the design and administration of a contingent-valuation study. The text is written for the novice conducting their first study, decision makers who might want to better understand the method, and experienced researchers. Rich citations to the literature are provided to help a novice reader gain a deeper understanding of the supporting literature and to assist experienced researchers in developing the context for research to enhance contingent valuation in practice. The novice and users of value estimates can rely on the content of this chapter to understand best current practices and researchers can use the content to identify research that addresses uncertainties in the design and conduct of contingent valuation studies. Following the steps outlined in the chapter provides a basis to establish that an empirical study satisfies conditions of content validity.","container-title":"A Primer on Nonmarket Valuation","DOI":"10.1007/978-94-007-7104-8_4","ISBN":"978-94-007-7104-8","language":"en","page":"83-131","publisher":"Springer Netherlands","publisher-place":"Dordrecht","source":"Springer Link","title":"Contingent Valuation in Practice","URL":"https://doi.org/10.1007/978-94-007-7104-8_4","author":[{"family":"Boyle","given":"Kevin J."}],"editor":[{"family":"Champ","given":"Patricia A."},{"family":"Boyle","given":"Kevin J."},{"family":"Brown","given":"Thomas C."}],"accessed":{"date-parts":[["2026",2,18]]},"issued":{"date-parts":[["2017"]]}}},{"id":6285,"uris":["http://zotero.org/users/12832277/items/3XWIQQVJ"],"itemData":{"id":6285,"type":"article-journal","abstract":"Stated preference studies are a valuable tool to elicit respondents’ willingness to pay (WTP) for goods or services, especially in situations where no market valuation exists. Contingent valuation (CV) is a widely used approach among stated-preference techniques for eliciting WTP if prices do not exist or do not reflect actual costs, for example, when services are covered by insurance. This review aimed to provide an overview of relevant factors determining WTP for health services to support variable selection.","container-title":"The European Journal of Health Economics","DOI":"10.1007/s10198-022-01437-x","ISSN":"1618-7601","issue":"9","journalAbbreviation":"Eur J Health Econ","language":"en","page":"1455-1482","source":"Springer Link","title":"Determinants of willingness to pay for health services: a systematic review of contingent valuation studies","title-short":"Determinants of willingness to pay for health services","volume":"23","author":[{"family":"Steigenberger","given":"Caroline"},{"family":"Flatscher-Thoeni","given":"Magdalena"},{"family":"Siebert","given":"Uwe"},{"family":"Leiter","given":"Andrea M."}],"issued":{"date-parts":[["2022",12,1]]}}}],"schema":"https://github.com/citation-style-language/schema/raw/master/csl-citation.json"} </w:instrText>
      </w:r>
      <w:r w:rsidR="00F41431">
        <w:rPr>
          <w:rFonts w:cs="Times New Roman"/>
        </w:rPr>
        <w:fldChar w:fldCharType="separate"/>
      </w:r>
      <w:r w:rsidR="00F41431" w:rsidRPr="00F41431">
        <w:rPr>
          <w:rFonts w:cs="Times New Roman"/>
        </w:rPr>
        <w:t>(Armbrecht, 2014; Boyle, 2017; Steigenberger et al., 2022)</w:t>
      </w:r>
      <w:r w:rsidR="00F41431">
        <w:rPr>
          <w:rFonts w:cs="Times New Roman"/>
        </w:rPr>
        <w:fldChar w:fldCharType="end"/>
      </w:r>
      <w:r w:rsidR="00212B8B" w:rsidRPr="00F16FEB">
        <w:rPr>
          <w:rFonts w:cs="Times New Roman"/>
        </w:rPr>
        <w:t>.</w:t>
      </w:r>
      <w:r w:rsidR="00A07870">
        <w:rPr>
          <w:rFonts w:cs="Times New Roman"/>
        </w:rPr>
        <w:t xml:space="preserve"> </w:t>
      </w:r>
      <w:r w:rsidR="00C33916">
        <w:rPr>
          <w:rFonts w:cs="Times New Roman"/>
        </w:rPr>
        <w:t xml:space="preserve">Thus, in the current pricing context, we apply CV to the case of </w:t>
      </w:r>
      <w:r w:rsidR="004B3B1E">
        <w:rPr>
          <w:rFonts w:cs="Times New Roman"/>
        </w:rPr>
        <w:t>choosing</w:t>
      </w:r>
      <w:r w:rsidR="0012705F">
        <w:rPr>
          <w:rFonts w:cs="Times New Roman"/>
        </w:rPr>
        <w:t xml:space="preserve"> a priced lane, isolating the relative values of monetary and time costs </w:t>
      </w:r>
      <w:r w:rsidR="00A84ADF">
        <w:rPr>
          <w:rFonts w:cs="Times New Roman"/>
        </w:rPr>
        <w:t>separate</w:t>
      </w:r>
      <w:r w:rsidR="008D14F8">
        <w:rPr>
          <w:rFonts w:cs="Times New Roman"/>
        </w:rPr>
        <w:t xml:space="preserve"> from mode switching effects.</w:t>
      </w:r>
      <w:r w:rsidR="00A84ADF" w:rsidRPr="00F16FEB">
        <w:rPr>
          <w:rStyle w:val="FootnoteReference"/>
        </w:rPr>
        <w:footnoteReference w:id="1"/>
      </w:r>
      <w:r w:rsidR="008D14F8">
        <w:rPr>
          <w:rFonts w:cs="Times New Roman"/>
        </w:rPr>
        <w:t xml:space="preserve"> </w:t>
      </w:r>
      <w:r w:rsidR="00C33916">
        <w:rPr>
          <w:rFonts w:cs="Times New Roman"/>
        </w:rPr>
        <w:t xml:space="preserve"> </w:t>
      </w:r>
    </w:p>
    <w:p w14:paraId="4AC80038" w14:textId="1B5EB9CC" w:rsidR="00AA12F1" w:rsidRPr="004811C9" w:rsidRDefault="00090943" w:rsidP="006C4B31">
      <w:pPr>
        <w:spacing w:after="0" w:line="240" w:lineRule="auto"/>
        <w:ind w:firstLine="720"/>
        <w:jc w:val="both"/>
        <w:rPr>
          <w:rFonts w:cs="Times New Roman"/>
        </w:rPr>
      </w:pPr>
      <w:r w:rsidRPr="004811C9">
        <w:rPr>
          <w:rFonts w:cs="Times New Roman"/>
        </w:rPr>
        <w:t>Multiple methods may be adopted under this CV approach</w:t>
      </w:r>
      <w:r w:rsidR="00694B16" w:rsidRPr="004811C9">
        <w:rPr>
          <w:rFonts w:cs="Times New Roman"/>
        </w:rPr>
        <w:t xml:space="preserve">, </w:t>
      </w:r>
      <w:r w:rsidR="009D3F7C" w:rsidRPr="004811C9">
        <w:rPr>
          <w:rFonts w:cs="Times New Roman"/>
        </w:rPr>
        <w:t>including</w:t>
      </w:r>
      <w:r w:rsidR="008037EB" w:rsidRPr="004811C9">
        <w:rPr>
          <w:rFonts w:cs="Times New Roman"/>
        </w:rPr>
        <w:t xml:space="preserve"> ask</w:t>
      </w:r>
      <w:r w:rsidRPr="004811C9">
        <w:rPr>
          <w:rFonts w:cs="Times New Roman"/>
        </w:rPr>
        <w:t>ing</w:t>
      </w:r>
      <w:r w:rsidR="008037EB" w:rsidRPr="004811C9">
        <w:rPr>
          <w:rFonts w:cs="Times New Roman"/>
        </w:rPr>
        <w:t xml:space="preserve"> </w:t>
      </w:r>
      <w:r w:rsidR="009D3F7C" w:rsidRPr="004811C9">
        <w:rPr>
          <w:rFonts w:cs="Times New Roman"/>
        </w:rPr>
        <w:t>respondents to provide the specific amount they are willing to pay</w:t>
      </w:r>
      <w:r w:rsidR="00AD7B0A" w:rsidRPr="004811C9">
        <w:rPr>
          <w:rFonts w:cs="Times New Roman"/>
        </w:rPr>
        <w:t xml:space="preserve"> (open-ended </w:t>
      </w:r>
      <w:r w:rsidR="007F1070" w:rsidRPr="004811C9">
        <w:rPr>
          <w:rFonts w:cs="Times New Roman"/>
        </w:rPr>
        <w:t>method</w:t>
      </w:r>
      <w:r w:rsidR="00AD7B0A" w:rsidRPr="004811C9">
        <w:rPr>
          <w:rFonts w:cs="Times New Roman"/>
        </w:rPr>
        <w:t>)</w:t>
      </w:r>
      <w:r w:rsidR="008037EB" w:rsidRPr="004811C9">
        <w:rPr>
          <w:rFonts w:cs="Times New Roman"/>
        </w:rPr>
        <w:t xml:space="preserve">, </w:t>
      </w:r>
      <w:r w:rsidR="00A83E81" w:rsidRPr="004811C9">
        <w:rPr>
          <w:rFonts w:cs="Times New Roman"/>
        </w:rPr>
        <w:t>request</w:t>
      </w:r>
      <w:r w:rsidR="009D3F7C" w:rsidRPr="004811C9">
        <w:rPr>
          <w:rFonts w:cs="Times New Roman"/>
        </w:rPr>
        <w:t>ing</w:t>
      </w:r>
      <w:r w:rsidR="00A83E81" w:rsidRPr="004811C9">
        <w:rPr>
          <w:rFonts w:cs="Times New Roman"/>
        </w:rPr>
        <w:t xml:space="preserve"> a</w:t>
      </w:r>
      <w:r w:rsidR="00CE3D8E" w:rsidRPr="004811C9">
        <w:rPr>
          <w:rFonts w:cs="Times New Roman"/>
        </w:rPr>
        <w:t xml:space="preserve"> “yes” or “no” vote to a </w:t>
      </w:r>
      <w:r w:rsidR="0029165C">
        <w:rPr>
          <w:rFonts w:cs="Times New Roman"/>
        </w:rPr>
        <w:t xml:space="preserve">single </w:t>
      </w:r>
      <w:r w:rsidR="00CE3D8E" w:rsidRPr="004811C9">
        <w:rPr>
          <w:rFonts w:cs="Times New Roman"/>
        </w:rPr>
        <w:t>specified price</w:t>
      </w:r>
      <w:r w:rsidR="005E60C1">
        <w:rPr>
          <w:rFonts w:cs="Times New Roman"/>
        </w:rPr>
        <w:t xml:space="preserve"> for a policy</w:t>
      </w:r>
      <w:r w:rsidR="00CE3D8E" w:rsidRPr="004811C9">
        <w:rPr>
          <w:rFonts w:cs="Times New Roman"/>
        </w:rPr>
        <w:t xml:space="preserve"> (referendum method)</w:t>
      </w:r>
      <w:r w:rsidR="009D3F7C" w:rsidRPr="004811C9">
        <w:rPr>
          <w:rFonts w:cs="Times New Roman"/>
        </w:rPr>
        <w:t xml:space="preserve">, </w:t>
      </w:r>
      <w:r w:rsidR="00E91D69" w:rsidRPr="004811C9">
        <w:rPr>
          <w:rFonts w:cs="Times New Roman"/>
        </w:rPr>
        <w:t xml:space="preserve">or </w:t>
      </w:r>
      <w:r w:rsidR="005239C1" w:rsidRPr="004811C9">
        <w:rPr>
          <w:rFonts w:cs="Times New Roman"/>
        </w:rPr>
        <w:t>ask</w:t>
      </w:r>
      <w:r w:rsidR="00CE3D8E" w:rsidRPr="004811C9">
        <w:rPr>
          <w:rFonts w:cs="Times New Roman"/>
        </w:rPr>
        <w:t>ing</w:t>
      </w:r>
      <w:r w:rsidRPr="004811C9">
        <w:rPr>
          <w:rFonts w:cs="Times New Roman"/>
        </w:rPr>
        <w:t xml:space="preserve"> respondents </w:t>
      </w:r>
      <w:r w:rsidR="00B84A68">
        <w:rPr>
          <w:rFonts w:cs="Times New Roman"/>
        </w:rPr>
        <w:t xml:space="preserve">iteratively </w:t>
      </w:r>
      <w:r w:rsidR="005239C1" w:rsidRPr="004811C9">
        <w:rPr>
          <w:rFonts w:cs="Times New Roman"/>
        </w:rPr>
        <w:t xml:space="preserve">whether they would be willing to pay </w:t>
      </w:r>
      <w:r w:rsidR="00B84A68">
        <w:rPr>
          <w:rFonts w:cs="Times New Roman"/>
        </w:rPr>
        <w:t xml:space="preserve">each </w:t>
      </w:r>
      <w:r w:rsidR="005239C1" w:rsidRPr="004811C9">
        <w:rPr>
          <w:rFonts w:cs="Times New Roman"/>
        </w:rPr>
        <w:t>specific offered price</w:t>
      </w:r>
      <w:r w:rsidR="00B84A68">
        <w:rPr>
          <w:rFonts w:cs="Times New Roman"/>
        </w:rPr>
        <w:t xml:space="preserve"> in a series </w:t>
      </w:r>
      <w:r w:rsidR="00CE4CEA">
        <w:rPr>
          <w:rFonts w:cs="Times New Roman"/>
        </w:rPr>
        <w:t>of increasingly-priced bids</w:t>
      </w:r>
      <w:r w:rsidR="00CE3D8E" w:rsidRPr="004811C9">
        <w:rPr>
          <w:rFonts w:cs="Times New Roman"/>
        </w:rPr>
        <w:t xml:space="preserve"> (iterative bidding method)</w:t>
      </w:r>
      <w:r w:rsidR="005239C1" w:rsidRPr="004811C9">
        <w:rPr>
          <w:rFonts w:cs="Times New Roman"/>
        </w:rPr>
        <w:t xml:space="preserve">. </w:t>
      </w:r>
      <w:r w:rsidR="00041153" w:rsidRPr="004811C9">
        <w:rPr>
          <w:rFonts w:cs="Times New Roman"/>
        </w:rPr>
        <w:t xml:space="preserve">This final </w:t>
      </w:r>
      <w:r w:rsidR="00AD7B0A" w:rsidRPr="004811C9">
        <w:rPr>
          <w:rFonts w:cs="Times New Roman"/>
        </w:rPr>
        <w:t xml:space="preserve">iterative bidding </w:t>
      </w:r>
      <w:r w:rsidRPr="004811C9">
        <w:rPr>
          <w:rFonts w:cs="Times New Roman"/>
        </w:rPr>
        <w:t>method</w:t>
      </w:r>
      <w:r w:rsidR="00041153" w:rsidRPr="004811C9">
        <w:rPr>
          <w:rFonts w:cs="Times New Roman"/>
        </w:rPr>
        <w:t xml:space="preserve"> </w:t>
      </w:r>
      <w:r w:rsidR="00530111" w:rsidRPr="004811C9">
        <w:rPr>
          <w:rFonts w:cs="Times New Roman"/>
        </w:rPr>
        <w:t xml:space="preserve">can be particularly effective </w:t>
      </w:r>
      <w:r w:rsidR="004D6AD7" w:rsidRPr="004811C9">
        <w:rPr>
          <w:rFonts w:cs="Times New Roman"/>
        </w:rPr>
        <w:t>relative to other CV methods because</w:t>
      </w:r>
      <w:r w:rsidR="00CE3D8E" w:rsidRPr="004811C9">
        <w:rPr>
          <w:rFonts w:cs="Times New Roman"/>
        </w:rPr>
        <w:t xml:space="preserve"> (</w:t>
      </w:r>
      <w:r w:rsidR="004D6AD7" w:rsidRPr="004811C9">
        <w:rPr>
          <w:rFonts w:cs="Times New Roman"/>
        </w:rPr>
        <w:t xml:space="preserve">in contrast to an open-ended </w:t>
      </w:r>
      <w:r w:rsidRPr="004811C9">
        <w:rPr>
          <w:rFonts w:cs="Times New Roman"/>
        </w:rPr>
        <w:t>method</w:t>
      </w:r>
      <w:r w:rsidR="00CE3D8E" w:rsidRPr="004811C9">
        <w:rPr>
          <w:rFonts w:cs="Times New Roman"/>
        </w:rPr>
        <w:t>)</w:t>
      </w:r>
      <w:r w:rsidR="004D6AD7" w:rsidRPr="004811C9">
        <w:rPr>
          <w:rFonts w:cs="Times New Roman"/>
        </w:rPr>
        <w:t xml:space="preserve"> it is relatively straightforward for respondents to respond to the binary outcome at each offered price level rather than requiring respondents to generate their own precise value </w:t>
      </w:r>
      <w:r w:rsidR="004D6AD7" w:rsidRPr="004811C9">
        <w:rPr>
          <w:rFonts w:cs="Times New Roman"/>
        </w:rPr>
        <w:fldChar w:fldCharType="begin"/>
      </w:r>
      <w:r w:rsidR="004D6AD7" w:rsidRPr="004811C9">
        <w:rPr>
          <w:rFonts w:cs="Times New Roman"/>
        </w:rPr>
        <w:instrText xml:space="preserve"> ADDIN ZOTERO_ITEM CSL_CITATION {"citationID":"4vDyvhI6","properties":{"formattedCitation":"(Bishop and Heberlein, 1990; Sajise et al., 2021)","plainCitation":"(Bishop and Heberlein, 1990; Sajise et al., 2021)","noteIndex":0},"citationItems":[{"id":5066,"uris":["http://zotero.org/users/12832277/items/QNK7LK4E"],"itemData":{"id":5066,"type":"chapter","abstract":"The contingent valuation method employs survey techniques to ask people about the values they would place on nonmarket commodities if markets did exist or if other means of payment such as taxes were in effect. All other methods of valuing publicly provided goods and services require linkages to actual market transactions. For example, the travel-cost method uses market expenditures for transportation and other trip-related items to infer a demand function for recreation. No such connection to market transactions is required for contingent valuation. This makes contingent valuation the most flexible of the valuation techniques. However, this flexibility is gained at a cost. Once the link to actual payments is lost, questions arise about the validity of the values estimated. Doubts have focused on both the willingness and ability of people to state accurate dollar values for environmental assets and other nonmarket commodities.","container-title":"Economic Valuation Of Natural Resources","ISBN":"978-0-429-04326-0","note":"number-of-pages: 24","publisher":"Routledge","title":"The Contingent Valuation Method","author":[{"family":"Bishop","given":"Richard C."},{"family":"Heberlein","given":"Thomas A."}],"issued":{"date-parts":[["1990"]]}}},{"id":5068,"uris":["http://zotero.org/users/12832277/items/I67H53G2"],"itemData":{"id":5068,"type":"book","publisher":"Asian Development Bank","source":"Google Scholar","title":"Contingent Valuation of Nonmarket Benefits in Project Economic Analysis: A Guide to Good Practice","URL":"https://www.adb.org/sites/default/files/publication/761816/valuation-nonmarket-benefits-project-economic-analysis-guide.pdf","author":[{"family":"Sajise","given":"Asa Jose"},{"family":"Samson","given":"Jindra Nuella"},{"family":"Quiao","given":"Lotis"},{"family":"Sibal","given":"Jasmin"},{"family":"Raitzer","given":"David A."},{"family":"Harder","given":"Dieldre"}],"accessed":{"date-parts":[["2025",7,23]]},"issued":{"date-parts":[["2021"]]}}}],"schema":"https://github.com/citation-style-language/schema/raw/master/csl-citation.json"} </w:instrText>
      </w:r>
      <w:r w:rsidR="004D6AD7" w:rsidRPr="004811C9">
        <w:rPr>
          <w:rFonts w:cs="Times New Roman"/>
        </w:rPr>
        <w:fldChar w:fldCharType="separate"/>
      </w:r>
      <w:r w:rsidR="004D6AD7" w:rsidRPr="004811C9">
        <w:rPr>
          <w:rFonts w:cs="Times New Roman"/>
        </w:rPr>
        <w:t>(Bishop and Heberlein, 1990; Sajise et al., 2021)</w:t>
      </w:r>
      <w:r w:rsidR="004D6AD7" w:rsidRPr="004811C9">
        <w:rPr>
          <w:rFonts w:cs="Times New Roman"/>
        </w:rPr>
        <w:fldChar w:fldCharType="end"/>
      </w:r>
      <w:r w:rsidR="004D6AD7" w:rsidRPr="004811C9">
        <w:rPr>
          <w:rFonts w:cs="Times New Roman"/>
        </w:rPr>
        <w:t xml:space="preserve">, and </w:t>
      </w:r>
      <w:r w:rsidR="00530111" w:rsidRPr="004811C9">
        <w:rPr>
          <w:rFonts w:cs="Times New Roman"/>
        </w:rPr>
        <w:t xml:space="preserve">because (in contrast to the referendum </w:t>
      </w:r>
      <w:r w:rsidRPr="004811C9">
        <w:rPr>
          <w:rFonts w:cs="Times New Roman"/>
        </w:rPr>
        <w:t>method</w:t>
      </w:r>
      <w:r w:rsidR="00530111" w:rsidRPr="004811C9">
        <w:rPr>
          <w:rFonts w:cs="Times New Roman"/>
        </w:rPr>
        <w:t xml:space="preserve">) it can obtain a good </w:t>
      </w:r>
      <w:r w:rsidR="004D6AD7" w:rsidRPr="004811C9">
        <w:rPr>
          <w:rFonts w:cs="Times New Roman"/>
        </w:rPr>
        <w:t xml:space="preserve">point </w:t>
      </w:r>
      <w:r w:rsidR="00530111" w:rsidRPr="004811C9">
        <w:rPr>
          <w:rFonts w:cs="Times New Roman"/>
        </w:rPr>
        <w:t xml:space="preserve">estimate of the actual </w:t>
      </w:r>
      <w:r w:rsidR="006C6F92" w:rsidRPr="004811C9">
        <w:rPr>
          <w:rFonts w:cs="Times New Roman"/>
        </w:rPr>
        <w:t>VTTS</w:t>
      </w:r>
      <w:r w:rsidR="00530111" w:rsidRPr="004811C9">
        <w:rPr>
          <w:rFonts w:cs="Times New Roman"/>
        </w:rPr>
        <w:t xml:space="preserve"> for an individual rather than </w:t>
      </w:r>
      <w:r w:rsidR="00EC1ED8" w:rsidRPr="004811C9">
        <w:rPr>
          <w:rFonts w:cs="Times New Roman"/>
        </w:rPr>
        <w:t xml:space="preserve">a censored range of </w:t>
      </w:r>
      <w:r w:rsidR="00902F27" w:rsidRPr="004811C9">
        <w:rPr>
          <w:rFonts w:cs="Times New Roman"/>
        </w:rPr>
        <w:t>VTTS</w:t>
      </w:r>
      <w:r w:rsidR="004D6AD7" w:rsidRPr="004811C9">
        <w:rPr>
          <w:rFonts w:cs="Times New Roman"/>
        </w:rPr>
        <w:t xml:space="preserve">. </w:t>
      </w:r>
      <w:r w:rsidR="00A84ADF">
        <w:t xml:space="preserve">One limitation of the iterative bidding method is the potential for starting-point bias. That is, unlike the open-ended method, respondents may anchor their valuations to the initial bid presented. However, this concern is likely to be limited in our application because it entails a </w:t>
      </w:r>
      <w:r w:rsidR="00A84ADF" w:rsidRPr="00EB5327">
        <w:t>relatively low-cost</w:t>
      </w:r>
      <w:r w:rsidR="00A84ADF">
        <w:t xml:space="preserve"> valuation setting, as well as because our framing draws on respondents’ real-world experiences that provides them with a well-formed sense of their own valuation prior to encountering their first bid</w:t>
      </w:r>
      <w:r w:rsidR="00487E08">
        <w:rPr>
          <w:rFonts w:cs="Times New Roman"/>
        </w:rPr>
        <w:t xml:space="preserve"> </w:t>
      </w:r>
      <w:r w:rsidR="00487E08">
        <w:rPr>
          <w:rFonts w:cs="Times New Roman"/>
        </w:rPr>
        <w:fldChar w:fldCharType="begin"/>
      </w:r>
      <w:r w:rsidR="00487E08">
        <w:rPr>
          <w:rFonts w:cs="Times New Roman"/>
        </w:rPr>
        <w:instrText xml:space="preserve"> ADDIN ZOTERO_ITEM CSL_CITATION {"citationID":"EChFTCzY","properties":{"unsorted":true,"formattedCitation":"(Herriges and Shogren, 1996; Aprahamian et al., 2008; Veronesi et al., 2011)","plainCitation":"(Herriges and Shogren, 1996; Aprahamian et al., 2008; Veronesi et al., 2011)","noteIndex":0},"citationItems":[{"id":5948,"uris":["http://zotero.org/users/12832277/items/TPMIHKXY"],"itemData":{"id":5948,"type":"article-journal","abstract":"Follow-up questions are frequently used to improve the efficiency of dichotomous choice contingent valuation questionnaires. However, a number of authors (e.g., [12, 16]) have noted a significant difference between the WTP distributions implied by initial and follow-up question responses. This paper investigates starting point bias as one explanation for the phenomenon. We develop a model of starting point bias in the context of dichotomous choice questioning with follow-up, using a Monte Carlo simulation to illustrate the potential bias imparted to WTP estimates. An application is provided based on data from a CV study in northcentral Iowa.","container-title":"Journal of Environmental Economics and Management","DOI":"10.1006/jeem.1996.0008","ISSN":"0095-0696","issue":"1","journalAbbreviation":"Journal of Environmental Economics and Management","page":"112-131","source":"ScienceDirect","title":"Starting Point Bias in Dichotomous Choice Valuation with Follow-Up Questioning","volume":"30","author":[{"family":"Herriges","given":"Joseph A."},{"family":"Shogren","given":"Jason F."}],"issued":{"date-parts":[["1996",1,1]]}}},{"id":5951,"uris":["http://zotero.org/users/12832277/items/MRC43MRT"],"itemData":{"id":5951,"type":"article-journal","abstract":"In this article, we consider starting point bias as a heterogeneous phenomenon, that is, respondents in contingent valuation surveys do not anchor in the same way. We study the consequences of a mistaken assumption of homogeneous anchoring for the analysis of the shift effect in multiple-bounded dichotomous choice format, when respondents really have heterogeneous anchoring. We show that the shift effect, generally interpreted as incentive incompatibility or “yea”-saying, can be the spurious outcome of disregarded heterogeneous anchoring.","container-title":"Resource and Energy Economics","DOI":"10.1016/j.reseneeco.2007.03.002","ISSN":"0928-7655","issue":"1","journalAbbreviation":"Resource and Energy Economics","page":"12-20","source":"ScienceDirect","title":"Heterogeneous Anchoring and the Shift Effect in Iterative Valuation Questions","volume":"30","author":[{"family":"Aprahamian","given":"Frédéric"},{"family":"Chanel","given":"Olivier"},{"family":"Luchini","given":"Stéphane"}],"issued":{"date-parts":[["2008",1,1]]}}},{"id":5954,"uris":["http://zotero.org/users/12832277/items/J8P7MKI9"],"itemData":{"id":5954,"type":"article-journal","abstract":"We examine starting point bias in double-bounded dichotomous choice contingent valuation surveys. We investigate (1) the seriousness of the biases for the location and scale parameters of the willingness-to-pay (WTP) in the presence of starting point bias; (2) whether or not these biases depend on the distribution of WTP and on the bid design; and (3) how well a commonly used diagnostic for starting point bias—a test of the null that bid set dummies entered in the right-hand side of the WTP model are jointly equal to zero—performs under various circumstances. Monte Carlo simulations suggest that the effect of ignoring starting point bias depends on the bid design and on the true distribution of WTP. A well-balanced, symmetric bid design may result in very modest biases even when the anchoring mechanism is very strong. The power of bid set dummies in detecting starting point bias is low. They tend to account for misspecifications in the distribution assumed by the researcher for the latent WTP, rather than capturing the presence of starting point bias.","container-title":"Environmental and Resource Economics","DOI":"10.1007/s10640-010-9430-1","ISSN":"1573-1502","issue":"2","journalAbbreviation":"Environ Resource Econ","language":"en","page":"199-215","source":"Springer Link","title":"Implications of Bid Design and Willingness-To-Pay Distribution for Starting Point Bias in Double-Bounded Dichotomous Choice Contingent Valuation Surveys","volume":"49","author":[{"family":"Veronesi","given":"Marcella"},{"family":"Alberini","given":"Anna"},{"family":"Cooper","given":"Joseph C."}],"issued":{"date-parts":[["2011",6,1]]}}}],"schema":"https://github.com/citation-style-language/schema/raw/master/csl-citation.json"} </w:instrText>
      </w:r>
      <w:r w:rsidR="00487E08">
        <w:rPr>
          <w:rFonts w:cs="Times New Roman"/>
        </w:rPr>
        <w:fldChar w:fldCharType="separate"/>
      </w:r>
      <w:r w:rsidR="00487E08" w:rsidRPr="00487E08">
        <w:rPr>
          <w:rFonts w:cs="Times New Roman"/>
        </w:rPr>
        <w:t>(Herriges and Shogren, 1996; Aprahamian et al., 2008; Veronesi et al., 2011)</w:t>
      </w:r>
      <w:r w:rsidR="00487E08">
        <w:rPr>
          <w:rFonts w:cs="Times New Roman"/>
        </w:rPr>
        <w:fldChar w:fldCharType="end"/>
      </w:r>
      <w:r w:rsidR="00B34DBF">
        <w:rPr>
          <w:rFonts w:cs="Times New Roman"/>
        </w:rPr>
        <w:t>.</w:t>
      </w:r>
      <w:r w:rsidR="00A95BC6">
        <w:rPr>
          <w:rFonts w:cs="Times New Roman"/>
        </w:rPr>
        <w:t xml:space="preserve"> </w:t>
      </w:r>
      <w:r w:rsidR="00A84ADF">
        <w:rPr>
          <w:rFonts w:cs="Times New Roman"/>
        </w:rPr>
        <w:t>Indeed</w:t>
      </w:r>
      <w:r w:rsidR="005844A9">
        <w:rPr>
          <w:rFonts w:cs="Times New Roman"/>
        </w:rPr>
        <w:t xml:space="preserve">, </w:t>
      </w:r>
      <w:r w:rsidR="00D34EFD">
        <w:rPr>
          <w:rFonts w:cs="Times New Roman"/>
        </w:rPr>
        <w:t xml:space="preserve">Green et al. </w:t>
      </w:r>
      <w:r w:rsidR="000543D8">
        <w:rPr>
          <w:rFonts w:cs="Times New Roman"/>
        </w:rPr>
        <w:fldChar w:fldCharType="begin"/>
      </w:r>
      <w:r w:rsidR="000543D8">
        <w:rPr>
          <w:rFonts w:cs="Times New Roman"/>
        </w:rPr>
        <w:instrText xml:space="preserve"> ADDIN ZOTERO_ITEM CSL_CITATION {"citationID":"ntRAtuV2","properties":{"unsorted":false,"formattedCitation":"(1998)","plainCitation":"(1998)","noteIndex":0},"citationItems":[{"id":6295,"uris":["http://zotero.org/users/12832277/items/JTPPBCZR"],"itemData":{"id":6295,"type":"article-journal","abstract":"This study reports on experiments that examine anchoring in single referendum questions in contingent valuation surveys on willingness to pay for public goods, and on objective estimation. Strong anchoring effects are found that lead to systematically higher estimated mean responses from Yes/No referendum responses than from open-ended responses. This response pattern is similar for contingent valuation questions and for objective estimation questions. The paper concludes that psychometric anchoring effects, rather than incentive effects, are the likely cause of results commonly found in contingent valuation studies, and that the currently popular single referendum elicitation format is highly vulnerable to anchoring.","container-title":"Resource and Energy Economics","DOI":"10.1016/S0928-7655(97)00031-6","ISSN":"0928-7655","issue":"2","journalAbbreviation":"Resource and Energy Economics","page":"85-116","source":"ScienceDirect","title":"Referendum Contingent Valuation, Anchoring, and Willingness to Pay for Public Goods","volume":"20","author":[{"family":"Green","given":"Donald"},{"family":"Jacowitz","given":"Karen E."},{"family":"Kahneman","given":"Daniel"},{"family":"McFadden","given":"Daniel"}],"issued":{"date-parts":[["1998",6,1]]}},"suppress-author":true}],"schema":"https://github.com/citation-style-language/schema/raw/master/csl-citation.json"} </w:instrText>
      </w:r>
      <w:r w:rsidR="000543D8">
        <w:rPr>
          <w:rFonts w:cs="Times New Roman"/>
        </w:rPr>
        <w:fldChar w:fldCharType="separate"/>
      </w:r>
      <w:r w:rsidR="000543D8" w:rsidRPr="000543D8">
        <w:rPr>
          <w:rFonts w:cs="Times New Roman"/>
        </w:rPr>
        <w:t>(1998)</w:t>
      </w:r>
      <w:r w:rsidR="000543D8">
        <w:rPr>
          <w:rFonts w:cs="Times New Roman"/>
        </w:rPr>
        <w:fldChar w:fldCharType="end"/>
      </w:r>
      <w:r w:rsidR="00D34EFD">
        <w:rPr>
          <w:rFonts w:cs="Times New Roman"/>
        </w:rPr>
        <w:t xml:space="preserve"> and</w:t>
      </w:r>
      <w:r w:rsidR="004A2BDA">
        <w:rPr>
          <w:rFonts w:cs="Times New Roman"/>
        </w:rPr>
        <w:t xml:space="preserve"> Mussweiler and Strack </w:t>
      </w:r>
      <w:r w:rsidR="004A2BDA">
        <w:rPr>
          <w:rFonts w:cs="Times New Roman"/>
        </w:rPr>
        <w:fldChar w:fldCharType="begin"/>
      </w:r>
      <w:r w:rsidR="004A2BDA">
        <w:rPr>
          <w:rFonts w:cs="Times New Roman"/>
        </w:rPr>
        <w:instrText xml:space="preserve"> ADDIN ZOTERO_ITEM CSL_CITATION {"citationID":"d9SyU1F5","properties":{"unsorted":false,"formattedCitation":"(2000)","plainCitation":"(2000)","noteIndex":0},"citationItems":[{"id":6292,"uris":["http://zotero.org/users/12832277/items/V9XJ3E73"],"itemData":{"id":6292,"type":"article-journal","abstract":"Three studies demonstrate that anchoring effects—the assimilation of a numeric estimate to a previously considered standard—depend on judges' knowledge about the target object. Manipulating judges' knowledge by varying the context in which a fictitious target is presented, Study 1 demonstrates that anchor plausibility determines how a given anchor is processed and depends on what knowledge base is used to judge the anchor. Studies 2 and 3 show that the less judges know about the target object, the more they assimilate their estimate to the anchor. These differences in the magnitude of the anchoring effect appear to be mediated by differences in the perceived plausibility of the anchors. Furthermore, Study 3 demonstrates that these effects even hold when the selection of the anchor values is under participants' control.","container-title":"Journal of Experimental Social Psychology","DOI":"10.1006/jesp.1999.1414","ISSN":"0022-1031","issue":"5","journalAbbreviation":"Journal of Experimental Social Psychology","page":"495-518","source":"ScienceDirect","title":"Numeric Judgments under Uncertainty: The Role of Knowledge in Anchoring","title-short":"Numeric Judgments under Uncertainty","volume":"36","author":[{"family":"Mussweiler","given":"Thomas"},{"family":"Strack","given":"Fritz"}],"issued":{"date-parts":[["2000",9,1]]}},"suppress-author":true}],"schema":"https://github.com/citation-style-language/schema/raw/master/csl-citation.json"} </w:instrText>
      </w:r>
      <w:r w:rsidR="004A2BDA">
        <w:rPr>
          <w:rFonts w:cs="Times New Roman"/>
        </w:rPr>
        <w:fldChar w:fldCharType="separate"/>
      </w:r>
      <w:r w:rsidR="004A2BDA" w:rsidRPr="004A2BDA">
        <w:rPr>
          <w:rFonts w:cs="Times New Roman"/>
        </w:rPr>
        <w:t>(2000)</w:t>
      </w:r>
      <w:r w:rsidR="004A2BDA">
        <w:rPr>
          <w:rFonts w:cs="Times New Roman"/>
        </w:rPr>
        <w:fldChar w:fldCharType="end"/>
      </w:r>
      <w:r w:rsidR="004B4F26">
        <w:rPr>
          <w:rFonts w:cs="Times New Roman"/>
          <w:b/>
          <w:bCs/>
        </w:rPr>
        <w:t xml:space="preserve"> </w:t>
      </w:r>
      <w:r w:rsidR="00A84ADF">
        <w:t xml:space="preserve">argue that starting point bias is most pronounced when respondents face substantial uncertainty about their preferences of the decision context. When the valuation task is grounded in familiar, concrete experiences, such uncertainty – and therefore the scope for anchoring – is reduced. </w:t>
      </w:r>
      <w:r w:rsidR="00D5085A">
        <w:rPr>
          <w:rFonts w:cs="Times New Roman"/>
        </w:rPr>
        <w:t>Similarly</w:t>
      </w:r>
      <w:r w:rsidR="00C87EC9">
        <w:rPr>
          <w:rFonts w:cs="Times New Roman"/>
        </w:rPr>
        <w:t xml:space="preserve">, Schmidt and Bijmolt </w:t>
      </w:r>
      <w:r w:rsidR="008C178A">
        <w:rPr>
          <w:rFonts w:cs="Times New Roman"/>
        </w:rPr>
        <w:fldChar w:fldCharType="begin"/>
      </w:r>
      <w:r w:rsidR="008C178A">
        <w:rPr>
          <w:rFonts w:cs="Times New Roman"/>
        </w:rPr>
        <w:instrText xml:space="preserve"> ADDIN ZOTERO_ITEM CSL_CITATION {"citationID":"UEPKlOS2","properties":{"unsorted":false,"formattedCitation":"(2020)","plainCitation":"(2020)","noteIndex":0},"citationItems":[{"id":6290,"uris":["http://zotero.org/users/12832277/items/UK28EME4"],"itemData":{"id":6290,"type":"article-journal","abstract":"Consumers’ willingness to pay (WTP) is highly relevant to managers and academics, and the various direct and indirect methods used to measure it vary in their accuracy, defined as how closely the hypothetically measured WTP (HWTP) matches consumers’ real WTP (RWTP). The difference between HWTP and RWTP is the “hypothetical bias.” A prevalent assumption in marketing science is that indirect methods measure WTP more accurately than do direct methods. With a meta-analysis of 77 studies reported in 47 papers and resulting in 115 effect sizes, we test that assumption by assessing the hypothetical bias. The total sample consists of 24,347 included observations for HWTP and 20,656 for RWTP. Moving beyond extant meta-analyses in marketing, we introduce an effect size metric (i.e., response ratio) and a novel analysis method (i.e., multivariate mixed linear model) to analyze the stochastically dependent effect sizes. Our findings are relevant for academic researchers and managers. First, on average, the hypothetical bias is 21%, and this study provides a reference point for the expected magnitude of the hypothetical bias. Second, the deviation primarily depends on the use of a direct or indirect method for measuring HWTP. In contrast with conventional wisdom, indirect methods actually overestimate RWTP significantly stronger than direct methods. Third, the hypothetical bias is greater for higher valued products, specialty goods (cf. other product types), and within-subject designs (cf. between-subject designs), thus a stronger downward adjustment of HWTP values is necessary to reflect consumers’ RWTP.","container-title":"Journal of the Academy of Marketing Science","DOI":"10.1007/s11747-019-00666-6","ISSN":"1552-7824","issue":"3","journalAbbreviation":"J. of the Acad. Mark. Sci.","language":"en","page":"499-518","source":"Springer Link","title":"Accurately Measuring Willingness to Pay for Consumer Goods: A Meta-Analysis of the Hypothetical Bias","title-short":"Accurately Measuring Willingness to Pay for Consumer Goods","volume":"48","author":[{"family":"Schmidt","given":"Jonas"},{"family":"Bijmolt","given":"Tammo H. A."}],"issued":{"date-parts":[["2020",5,1]]}},"suppress-author":true}],"schema":"https://github.com/citation-style-language/schema/raw/master/csl-citation.json"} </w:instrText>
      </w:r>
      <w:r w:rsidR="008C178A">
        <w:rPr>
          <w:rFonts w:cs="Times New Roman"/>
        </w:rPr>
        <w:fldChar w:fldCharType="separate"/>
      </w:r>
      <w:r w:rsidR="008C178A" w:rsidRPr="008C178A">
        <w:rPr>
          <w:rFonts w:cs="Times New Roman"/>
        </w:rPr>
        <w:t>(2020)</w:t>
      </w:r>
      <w:r w:rsidR="008C178A">
        <w:rPr>
          <w:rFonts w:cs="Times New Roman"/>
        </w:rPr>
        <w:fldChar w:fldCharType="end"/>
      </w:r>
      <w:r w:rsidR="00C87EC9">
        <w:rPr>
          <w:rFonts w:cs="Times New Roman"/>
        </w:rPr>
        <w:t xml:space="preserve"> </w:t>
      </w:r>
      <w:r w:rsidR="00A84ADF">
        <w:t>find that anchoring effects are considerably stronger for high-value, infrequently purchased luxury goods, but comparatively modest for lower-value, routine expenditures such as paying for travel time savings,</w:t>
      </w:r>
      <w:r w:rsidR="000B6D75">
        <w:rPr>
          <w:rFonts w:cs="Times New Roman"/>
        </w:rPr>
        <w:t xml:space="preserve"> while Berg and Moss </w:t>
      </w:r>
      <w:r w:rsidR="00DA0AE6">
        <w:rPr>
          <w:rFonts w:cs="Times New Roman"/>
        </w:rPr>
        <w:fldChar w:fldCharType="begin"/>
      </w:r>
      <w:r w:rsidR="00DA0AE6">
        <w:rPr>
          <w:rFonts w:cs="Times New Roman"/>
        </w:rPr>
        <w:instrText xml:space="preserve"> ADDIN ZOTERO_ITEM CSL_CITATION {"citationID":"TUPsxjx5","properties":{"unsorted":false,"formattedCitation":"(2022)","plainCitation":"(2022)","noteIndex":0},"citationItems":[{"id":6298,"uris":["http://zotero.org/users/12832277/items/Q95HB6BF"],"itemData":{"id":6298,"type":"article-journal","abstract":"The current investigation examined the nature of the cognitive processes that underlie decision-making behavior. The focus of this project centered on the effects of utilizing heuristics that pertain to the availability of information stored in memory. Anchoring effects demonstrate that people will use any available information sampled from memory as a reference for making judgments of frequency. The specific aim of the experiment was to examine whether people exhibit patterns of behavior consistent with anchoring effects, revealed by corrupted subjective judgments, despite explicit notice of instruction to disregard the experimenter-supplied information (the anchor). Subjects failed to demonstrate an ability to disregard a relatively high anchor even when the instruction to do so was explicit. However, in contrast, subjects demonstrated an ability to disregard a relatively low anchor. More broadly, subjects instructed to disregard demonstrated a reduced effect of anchoring. Implications are considered within the context of the availability heuristic and the directly related effects of anchoring. The results may be interpreted within the framework of a dual-process model, two-system view that distinguishes intuition from reasoning. The present findings fit with well-supported theoretical explanations of anchoring effects, such as selective accessibility and numerical priming.","container-title":"Psychological Reports","DOI":"10.1177/00332941211016750","ISSN":"0033-2941","issue":"5","journalAbbreviation":"Psychol Rep","language":"EN","page":"2688-2708","publisher":"SAGE Publications Inc","source":"SAGE Journals","title":"Anchoring and Judgment Bias: Disregarding Under Uncertainty","title-short":"Anchoring and Judgment Bias","volume":"125","author":[{"family":"Berg","given":"Steven A."},{"family":"Moss","given":"Justin H."}],"issued":{"date-parts":[["2022",10,1]]}},"suppress-author":true}],"schema":"https://github.com/citation-style-language/schema/raw/master/csl-citation.json"} </w:instrText>
      </w:r>
      <w:r w:rsidR="00DA0AE6">
        <w:rPr>
          <w:rFonts w:cs="Times New Roman"/>
        </w:rPr>
        <w:fldChar w:fldCharType="separate"/>
      </w:r>
      <w:r w:rsidR="00DA0AE6" w:rsidRPr="00DA0AE6">
        <w:rPr>
          <w:rFonts w:cs="Times New Roman"/>
        </w:rPr>
        <w:t>(2022)</w:t>
      </w:r>
      <w:r w:rsidR="00DA0AE6">
        <w:rPr>
          <w:rFonts w:cs="Times New Roman"/>
        </w:rPr>
        <w:fldChar w:fldCharType="end"/>
      </w:r>
      <w:r w:rsidR="000B6D75">
        <w:rPr>
          <w:rFonts w:cs="Times New Roman"/>
        </w:rPr>
        <w:t xml:space="preserve"> </w:t>
      </w:r>
      <w:r w:rsidR="00A84ADF">
        <w:t xml:space="preserve">demonstrate that anchoring effects are reduced when the initial bid is set at a relatively low level as in our design rather than at a high starting </w:t>
      </w:r>
      <w:r w:rsidR="00A84ADF">
        <w:lastRenderedPageBreak/>
        <w:t xml:space="preserve">value. </w:t>
      </w:r>
      <w:r w:rsidRPr="004811C9">
        <w:rPr>
          <w:rFonts w:cs="Times New Roman"/>
        </w:rPr>
        <w:t xml:space="preserve">Further, </w:t>
      </w:r>
      <w:r w:rsidR="00777756" w:rsidRPr="004811C9">
        <w:rPr>
          <w:rFonts w:cs="Times New Roman"/>
        </w:rPr>
        <w:t xml:space="preserve">the iterative bidding </w:t>
      </w:r>
      <w:r w:rsidRPr="004811C9">
        <w:rPr>
          <w:rFonts w:cs="Times New Roman"/>
        </w:rPr>
        <w:t>method</w:t>
      </w:r>
      <w:r w:rsidR="00777756" w:rsidRPr="004811C9">
        <w:rPr>
          <w:rFonts w:cs="Times New Roman"/>
        </w:rPr>
        <w:t xml:space="preserve"> </w:t>
      </w:r>
      <w:r w:rsidR="00544962" w:rsidRPr="004811C9">
        <w:rPr>
          <w:rFonts w:cs="Times New Roman"/>
        </w:rPr>
        <w:t xml:space="preserve">allows for the </w:t>
      </w:r>
      <w:r w:rsidR="00CE3D8E" w:rsidRPr="004811C9">
        <w:rPr>
          <w:rFonts w:cs="Times New Roman"/>
        </w:rPr>
        <w:t xml:space="preserve">direct </w:t>
      </w:r>
      <w:r w:rsidR="00544962" w:rsidRPr="004811C9">
        <w:rPr>
          <w:rFonts w:cs="Times New Roman"/>
        </w:rPr>
        <w:t xml:space="preserve">calculation of VTTS for each individual, </w:t>
      </w:r>
      <w:r w:rsidR="00CE3D8E" w:rsidRPr="004811C9">
        <w:rPr>
          <w:rFonts w:cs="Times New Roman"/>
        </w:rPr>
        <w:t xml:space="preserve">so that </w:t>
      </w:r>
      <w:r w:rsidR="00933933" w:rsidRPr="004811C9">
        <w:rPr>
          <w:rFonts w:cs="Times New Roman"/>
        </w:rPr>
        <w:t>VTTS</w:t>
      </w:r>
      <w:r w:rsidR="008175EA" w:rsidRPr="004811C9">
        <w:rPr>
          <w:rFonts w:cs="Times New Roman"/>
        </w:rPr>
        <w:t xml:space="preserve"> can be modeled as an outcome itself, allowing for </w:t>
      </w:r>
      <w:r w:rsidR="00D25463" w:rsidRPr="004811C9">
        <w:rPr>
          <w:rFonts w:cs="Times New Roman"/>
        </w:rPr>
        <w:t xml:space="preserve">a </w:t>
      </w:r>
      <w:r w:rsidR="00CE3D8E" w:rsidRPr="004811C9">
        <w:rPr>
          <w:rFonts w:cs="Times New Roman"/>
        </w:rPr>
        <w:t xml:space="preserve">straightforward analysis </w:t>
      </w:r>
      <w:r w:rsidR="00D25463" w:rsidRPr="004811C9">
        <w:rPr>
          <w:rFonts w:cs="Times New Roman"/>
        </w:rPr>
        <w:t xml:space="preserve">of exogenous variable </w:t>
      </w:r>
      <w:r w:rsidR="00CE3D8E" w:rsidRPr="004811C9">
        <w:rPr>
          <w:rFonts w:cs="Times New Roman"/>
        </w:rPr>
        <w:t>effects</w:t>
      </w:r>
      <w:r w:rsidR="00D25463" w:rsidRPr="004811C9">
        <w:rPr>
          <w:rFonts w:cs="Times New Roman"/>
        </w:rPr>
        <w:t xml:space="preserve"> on VTTS</w:t>
      </w:r>
      <w:r w:rsidR="00CE15A5">
        <w:rPr>
          <w:rFonts w:cs="Times New Roman"/>
        </w:rPr>
        <w:t xml:space="preserve"> (including connecting VTTS directly to variables relating to the travel time and time savings)</w:t>
      </w:r>
      <w:r w:rsidR="00D25463" w:rsidRPr="004811C9">
        <w:rPr>
          <w:rFonts w:cs="Times New Roman"/>
        </w:rPr>
        <w:t>.</w:t>
      </w:r>
      <w:r w:rsidR="00E97E36">
        <w:rPr>
          <w:rFonts w:cs="Times New Roman"/>
        </w:rPr>
        <w:t xml:space="preserve"> </w:t>
      </w:r>
      <w:r w:rsidR="00A84ADF">
        <w:t xml:space="preserve">Of course, the iterative bidding method results in a small bounded range of VTTS for each individual rather than an exact point estimate. However, in practice, many “continuous” open-ended survey responses also reflect rounding or focal-point behavior, so the apparent precision of a single stated value may overstate its true information content. The iterative bidding approach provides a useful alternative by decomposing the valuation task into a series of simpler comparisons, thereby reducing cognitive burden and limiting the scope for strategic overstatement </w:t>
      </w:r>
      <w:r w:rsidR="001A1BF6">
        <w:rPr>
          <w:rFonts w:cs="Times New Roman"/>
        </w:rPr>
        <w:fldChar w:fldCharType="begin"/>
      </w:r>
      <w:r w:rsidR="00D06793">
        <w:rPr>
          <w:rFonts w:cs="Times New Roman"/>
        </w:rPr>
        <w:instrText xml:space="preserve"> ADDIN ZOTERO_ITEM CSL_CITATION {"citationID":"NspJTa9o","properties":{"unsorted":false,"formattedCitation":"(Andersson and Svensson, 2008; Johnston et al., 2017)","plainCitation":"(Andersson and Svensson, 2008; Johnston et al., 2017)","dontUpdate":true,"noteIndex":0},"citationItems":[{"id":6300,"uris":["http://zotero.org/users/12832277/items/JJZHRTUE"],"itemData":{"id":6300,"type":"article-journal","abstract":"This study investigates whether or not the scale bias found in contingent valuation (CVM) studies on mortality risk reductions is a result of cognitive constraints among respondents. Scale bias refers to insensitivity and non-near-proportionality of the respondents’ willingness to pay (WTP) to the size of the risk reduction. Two hundred Swedish students participated in an experiment in which their cognitive ability was tested before they took part in a CVM-study asking them about their WTP to reduce bus-mortality risk. The results imply that WTP answers from respondents with a higher cognitive ability are less flawed by scale bias.","container-title":"Environmental and Resource Economics","DOI":"10.1007/s10640-007-9137-0","ISSN":"1573-1502","issue":"4","journalAbbreviation":"Environ Resource Econ","language":"en","page":"481-495","source":"Springer Link","title":"Cognitive Ability and Scale Bias in the Contingent Valuation Method","volume":"39","author":[{"family":"Andersson","given":"Henrik"},{"family":"Svensson","given":"Mikael"}],"issued":{"date-parts":[["2008",4,1]]}}},{"id":5916,"uris":["http://zotero.org/users/12832277/items/BYHGCT5X"],"itemData":{"id":5916,"type":"article-journal","abstract":"This article proposes contemporary best-practice recommendations for stated preference (SP) studies used to inform decision making, grounded in the accumulated body of peer-reviewed literature. These recommendations consider the use of SP methods to estimate both use and non-use (passive-use) values, and cover the broad SP domain, including contingent valuation and discrete choice experiments. We focus on applications to public goods in the context of the environment and human health but also consider ways in which the proposed recommendations might apply to other common areas of application. The recommendations recognize that SP results may be used and reused (benefit transfers) by governmental agencies and nongovernmental organizations, and that all such applications must be considered. The intended result is a set of guidelines for SP studies that is more comprehensive than that of the original National Oceanic and Atmospheric Administration (NOAA) Blue Ribbon Panel on contingent valuation, is more germane to contemporary applications, and reflects the two decades of research since that time. We also distinguish between practices for which accumulated research is sufficient to support recommendations and those for which greater uncertainty remains. The goal of this article is to raise the quality of SP studies used to support decision making and promote research that will further enhance the practice of these studies worldwide.","container-title":"Journal of the Association of Environmental and Resource Economists","DOI":"10.1086/691697","ISSN":"2333-5955","issue":"2","page":"319-405","publisher":"The University of Chicago Press","source":"journals.uchicago.edu (Atypon)","title":"Contemporary Guidance for Stated Preference Studies","volume":"4","author":[{"family":"Johnston","given":"Robert J."},{"family":"Boyle","given":"Kevin J."},{"family":"Adamowicz","given":"Wiktor (Vic)"},{"family":"Bennett","given":"Jeff"},{"family":"Brouwer","given":"Roy"},{"family":"Cameron","given":"Trudy Ann"},{"family":"Hanemann","given":"W. Michael"},{"family":"Hanley","given":"Nick"},{"family":"Ryan","given":"Mandy"},{"family":"Scarpa","given":"Riccardo"},{"family":"Tourangeau","given":"Roger"},{"family":"Vossler","given":"Christian A."}],"issued":{"date-parts":[["2017",6]]}}}],"schema":"https://github.com/citation-style-language/schema/raw/master/csl-citation.json"} </w:instrText>
      </w:r>
      <w:r w:rsidR="001A1BF6">
        <w:rPr>
          <w:rFonts w:cs="Times New Roman"/>
        </w:rPr>
        <w:fldChar w:fldCharType="separate"/>
      </w:r>
      <w:r w:rsidR="001A1BF6" w:rsidRPr="001A1BF6">
        <w:rPr>
          <w:rFonts w:cs="Times New Roman"/>
        </w:rPr>
        <w:t>(Andersson and Svensson, 2008; Johnston et al., 2017)</w:t>
      </w:r>
      <w:r w:rsidR="001A1BF6">
        <w:rPr>
          <w:rFonts w:cs="Times New Roman"/>
        </w:rPr>
        <w:fldChar w:fldCharType="end"/>
      </w:r>
      <w:r w:rsidR="00A84ADF">
        <w:t>, even if the resulting estimate is expressed as a narrow interval rather than a single point</w:t>
      </w:r>
      <w:r w:rsidR="004A45AF">
        <w:rPr>
          <w:rFonts w:cs="Times New Roman"/>
        </w:rPr>
        <w:t>.</w:t>
      </w:r>
      <w:r w:rsidR="00D25463" w:rsidRPr="004811C9">
        <w:rPr>
          <w:rFonts w:cs="Times New Roman"/>
        </w:rPr>
        <w:t xml:space="preserve"> </w:t>
      </w:r>
      <w:r w:rsidR="00CE3D8E" w:rsidRPr="004811C9">
        <w:rPr>
          <w:rFonts w:cs="Times New Roman"/>
        </w:rPr>
        <w:t xml:space="preserve">Besides, the method obtains information on </w:t>
      </w:r>
      <w:r w:rsidR="00933933" w:rsidRPr="004811C9">
        <w:rPr>
          <w:rFonts w:cs="Times New Roman"/>
        </w:rPr>
        <w:t xml:space="preserve">those individuals who are unwilling to pay </w:t>
      </w:r>
      <w:r w:rsidR="00CE3D8E" w:rsidRPr="004811C9">
        <w:rPr>
          <w:rFonts w:cs="Times New Roman"/>
        </w:rPr>
        <w:t xml:space="preserve">any amount </w:t>
      </w:r>
      <w:r w:rsidRPr="004811C9">
        <w:rPr>
          <w:rFonts w:cs="Times New Roman"/>
        </w:rPr>
        <w:t xml:space="preserve">at all </w:t>
      </w:r>
      <w:r w:rsidR="00CE3D8E" w:rsidRPr="004811C9">
        <w:rPr>
          <w:rFonts w:cs="Times New Roman"/>
        </w:rPr>
        <w:t xml:space="preserve">to reduce travel time </w:t>
      </w:r>
      <w:r w:rsidR="00A32543" w:rsidRPr="004811C9">
        <w:rPr>
          <w:rFonts w:cs="Times New Roman"/>
        </w:rPr>
        <w:t>savings, thus</w:t>
      </w:r>
      <w:r w:rsidR="00CE3D8E" w:rsidRPr="004811C9">
        <w:rPr>
          <w:rFonts w:cs="Times New Roman"/>
        </w:rPr>
        <w:t xml:space="preserve"> enabling the distinction of </w:t>
      </w:r>
      <w:r w:rsidRPr="004811C9">
        <w:rPr>
          <w:rFonts w:cs="Times New Roman"/>
        </w:rPr>
        <w:t>such individuals from those who are willing to pay at least occasionally under the right circumstances</w:t>
      </w:r>
      <w:r w:rsidR="00CE3D8E" w:rsidRPr="004811C9">
        <w:rPr>
          <w:rFonts w:cs="Times New Roman"/>
        </w:rPr>
        <w:t xml:space="preserve">. From an econometric estimation standpoint, the method also allows the explicit recognition of the </w:t>
      </w:r>
      <w:r w:rsidRPr="004811C9">
        <w:rPr>
          <w:rFonts w:cs="Times New Roman"/>
        </w:rPr>
        <w:t xml:space="preserve">discrete-continuous nature of </w:t>
      </w:r>
      <w:r w:rsidR="00CE3D8E" w:rsidRPr="004811C9">
        <w:rPr>
          <w:rFonts w:cs="Times New Roman"/>
        </w:rPr>
        <w:t xml:space="preserve">the </w:t>
      </w:r>
      <w:r w:rsidRPr="004811C9">
        <w:rPr>
          <w:rFonts w:cs="Times New Roman"/>
        </w:rPr>
        <w:t xml:space="preserve">VTTS </w:t>
      </w:r>
      <w:r w:rsidR="00CE3D8E" w:rsidRPr="004811C9">
        <w:rPr>
          <w:rFonts w:cs="Times New Roman"/>
        </w:rPr>
        <w:t xml:space="preserve">distribution </w:t>
      </w:r>
      <w:r w:rsidRPr="004811C9">
        <w:rPr>
          <w:rFonts w:cs="Times New Roman"/>
        </w:rPr>
        <w:t>among users</w:t>
      </w:r>
      <w:r w:rsidR="007C166D" w:rsidRPr="004811C9">
        <w:rPr>
          <w:rFonts w:cs="Times New Roman"/>
        </w:rPr>
        <w:t xml:space="preserve">. </w:t>
      </w:r>
    </w:p>
    <w:p w14:paraId="7386A30F" w14:textId="133BB68F" w:rsidR="00E60884" w:rsidRPr="004811C9" w:rsidRDefault="00E60884" w:rsidP="00A67E19">
      <w:pPr>
        <w:spacing w:after="0" w:line="240" w:lineRule="auto"/>
        <w:jc w:val="both"/>
        <w:rPr>
          <w:rFonts w:cs="Times New Roman"/>
        </w:rPr>
      </w:pPr>
    </w:p>
    <w:p w14:paraId="6ACBF9C6" w14:textId="0BBE7F08" w:rsidR="00E60884" w:rsidRPr="004811C9" w:rsidRDefault="00E60884" w:rsidP="00E60884">
      <w:pPr>
        <w:spacing w:after="0" w:line="240" w:lineRule="auto"/>
        <w:jc w:val="both"/>
        <w:rPr>
          <w:rFonts w:cs="Times New Roman"/>
          <w:b/>
          <w:bCs/>
        </w:rPr>
      </w:pPr>
      <w:r w:rsidRPr="004811C9">
        <w:rPr>
          <w:rFonts w:cs="Times New Roman"/>
          <w:b/>
          <w:bCs/>
        </w:rPr>
        <w:t>2.</w:t>
      </w:r>
      <w:r w:rsidR="00973B9A" w:rsidRPr="004811C9">
        <w:rPr>
          <w:rFonts w:cs="Times New Roman"/>
          <w:b/>
          <w:bCs/>
        </w:rPr>
        <w:t>3</w:t>
      </w:r>
      <w:r w:rsidRPr="004811C9">
        <w:rPr>
          <w:rFonts w:cs="Times New Roman"/>
          <w:b/>
          <w:bCs/>
        </w:rPr>
        <w:t xml:space="preserve"> Contributions </w:t>
      </w:r>
    </w:p>
    <w:p w14:paraId="72EF078E" w14:textId="48B9D392" w:rsidR="007C7AEC" w:rsidRPr="004811C9" w:rsidRDefault="00F66C15" w:rsidP="007C7AEC">
      <w:pPr>
        <w:spacing w:after="0" w:line="240" w:lineRule="auto"/>
        <w:jc w:val="both"/>
        <w:rPr>
          <w:rFonts w:cs="Times New Roman"/>
        </w:rPr>
      </w:pPr>
      <w:r w:rsidRPr="004811C9">
        <w:rPr>
          <w:rFonts w:cs="Times New Roman"/>
        </w:rPr>
        <w:t>Building on the large body of research o</w:t>
      </w:r>
      <w:r w:rsidR="00D8267F" w:rsidRPr="004811C9">
        <w:rPr>
          <w:rFonts w:cs="Times New Roman"/>
        </w:rPr>
        <w:t>n</w:t>
      </w:r>
      <w:r w:rsidRPr="004811C9">
        <w:rPr>
          <w:rFonts w:cs="Times New Roman"/>
        </w:rPr>
        <w:t xml:space="preserve"> VTTS</w:t>
      </w:r>
      <w:r w:rsidR="003F16C8" w:rsidRPr="004811C9">
        <w:rPr>
          <w:rFonts w:cs="Times New Roman"/>
        </w:rPr>
        <w:t>, this study contributes to the literature in several</w:t>
      </w:r>
      <w:r w:rsidR="00C31604" w:rsidRPr="004811C9">
        <w:rPr>
          <w:rFonts w:cs="Times New Roman"/>
        </w:rPr>
        <w:t xml:space="preserve"> behavioral</w:t>
      </w:r>
      <w:r w:rsidR="003F16C8" w:rsidRPr="004811C9">
        <w:rPr>
          <w:rFonts w:cs="Times New Roman"/>
        </w:rPr>
        <w:t xml:space="preserve"> and methodological ways. </w:t>
      </w:r>
      <w:r w:rsidR="003F16C8" w:rsidRPr="004811C9">
        <w:rPr>
          <w:rFonts w:cs="Times New Roman"/>
          <w:u w:val="single"/>
        </w:rPr>
        <w:t>First</w:t>
      </w:r>
      <w:r w:rsidR="003F16C8" w:rsidRPr="004811C9">
        <w:rPr>
          <w:rFonts w:cs="Times New Roman"/>
        </w:rPr>
        <w:t xml:space="preserve">, </w:t>
      </w:r>
      <w:r w:rsidR="00FE03EF" w:rsidRPr="004811C9">
        <w:rPr>
          <w:rFonts w:cs="Times New Roman"/>
        </w:rPr>
        <w:t xml:space="preserve">we examine VTTS as elicited </w:t>
      </w:r>
      <w:r w:rsidR="00C31604" w:rsidRPr="004811C9">
        <w:rPr>
          <w:rFonts w:cs="Times New Roman"/>
        </w:rPr>
        <w:t xml:space="preserve">in </w:t>
      </w:r>
      <w:r w:rsidR="00FE03EF" w:rsidRPr="004811C9">
        <w:rPr>
          <w:rFonts w:cs="Times New Roman"/>
        </w:rPr>
        <w:t xml:space="preserve">a </w:t>
      </w:r>
      <w:r w:rsidR="00C31604" w:rsidRPr="004811C9">
        <w:rPr>
          <w:rFonts w:cs="Times New Roman"/>
        </w:rPr>
        <w:t xml:space="preserve">CV </w:t>
      </w:r>
      <w:r w:rsidR="00FE03EF" w:rsidRPr="004811C9">
        <w:rPr>
          <w:rFonts w:cs="Times New Roman"/>
        </w:rPr>
        <w:t>approach</w:t>
      </w:r>
      <w:r w:rsidR="00D53E70" w:rsidRPr="004811C9">
        <w:rPr>
          <w:rFonts w:cs="Times New Roman"/>
        </w:rPr>
        <w:t xml:space="preserve"> using </w:t>
      </w:r>
      <w:r w:rsidR="00C31604" w:rsidRPr="004811C9">
        <w:rPr>
          <w:rFonts w:cs="Times New Roman"/>
        </w:rPr>
        <w:t>the</w:t>
      </w:r>
      <w:r w:rsidR="00D53E70" w:rsidRPr="004811C9">
        <w:rPr>
          <w:rFonts w:cs="Times New Roman"/>
        </w:rPr>
        <w:t xml:space="preserve"> iterative bidding design</w:t>
      </w:r>
      <w:r w:rsidR="00C31604" w:rsidRPr="004811C9">
        <w:rPr>
          <w:rFonts w:cs="Times New Roman"/>
        </w:rPr>
        <w:t xml:space="preserve"> method</w:t>
      </w:r>
      <w:r w:rsidR="00FE03EF" w:rsidRPr="004811C9">
        <w:rPr>
          <w:rFonts w:cs="Times New Roman"/>
        </w:rPr>
        <w:t xml:space="preserve">. </w:t>
      </w:r>
      <w:r w:rsidR="0072029A" w:rsidRPr="004811C9">
        <w:rPr>
          <w:rFonts w:cs="Times New Roman"/>
        </w:rPr>
        <w:t xml:space="preserve">Further, these questions are asked in the context of </w:t>
      </w:r>
      <w:r w:rsidR="001D5FF6" w:rsidRPr="004811C9">
        <w:rPr>
          <w:rFonts w:cs="Times New Roman"/>
        </w:rPr>
        <w:t xml:space="preserve">the trip taken most frequently/regularly by each respondent, </w:t>
      </w:r>
      <w:r w:rsidR="00CB457D" w:rsidRPr="004811C9">
        <w:rPr>
          <w:rFonts w:cs="Times New Roman"/>
        </w:rPr>
        <w:t xml:space="preserve">allowing respondents to draw on their actual travel experiences, perceptions, and real-world context when evaluating potential travel time savings. </w:t>
      </w:r>
      <w:r w:rsidR="005533F2" w:rsidRPr="004811C9">
        <w:rPr>
          <w:rFonts w:cs="Times New Roman"/>
        </w:rPr>
        <w:t>Th</w:t>
      </w:r>
      <w:r w:rsidR="00C31604" w:rsidRPr="004811C9">
        <w:rPr>
          <w:rFonts w:cs="Times New Roman"/>
        </w:rPr>
        <w:t>is</w:t>
      </w:r>
      <w:r w:rsidR="005533F2" w:rsidRPr="004811C9">
        <w:rPr>
          <w:rFonts w:cs="Times New Roman"/>
        </w:rPr>
        <w:t xml:space="preserve"> combination of the bidding approach </w:t>
      </w:r>
      <w:r w:rsidR="000269FA">
        <w:rPr>
          <w:rFonts w:cs="Times New Roman"/>
        </w:rPr>
        <w:t>(</w:t>
      </w:r>
      <w:r w:rsidR="005533F2" w:rsidRPr="004811C9">
        <w:rPr>
          <w:rFonts w:cs="Times New Roman"/>
        </w:rPr>
        <w:t xml:space="preserve">that helps respondents </w:t>
      </w:r>
      <w:r w:rsidR="009D16CC" w:rsidRPr="004811C9">
        <w:rPr>
          <w:rFonts w:cs="Times New Roman"/>
        </w:rPr>
        <w:t>come to a reasonable numeric value for their value of travel time savings</w:t>
      </w:r>
      <w:r w:rsidR="000269FA">
        <w:rPr>
          <w:rFonts w:cs="Times New Roman"/>
        </w:rPr>
        <w:t>)</w:t>
      </w:r>
      <w:r w:rsidR="00CE3D8E" w:rsidRPr="004811C9">
        <w:rPr>
          <w:rFonts w:cs="Times New Roman"/>
        </w:rPr>
        <w:t xml:space="preserve"> with</w:t>
      </w:r>
      <w:r w:rsidR="009D16CC" w:rsidRPr="004811C9">
        <w:rPr>
          <w:rFonts w:cs="Times New Roman"/>
        </w:rPr>
        <w:t xml:space="preserve"> the </w:t>
      </w:r>
      <w:r w:rsidR="00700CEC" w:rsidRPr="004811C9">
        <w:rPr>
          <w:rFonts w:cs="Times New Roman"/>
        </w:rPr>
        <w:t>positioning of the question in the context of a familiar trip</w:t>
      </w:r>
      <w:r w:rsidR="000269FA">
        <w:rPr>
          <w:rFonts w:cs="Times New Roman"/>
        </w:rPr>
        <w:t xml:space="preserve"> (</w:t>
      </w:r>
      <w:r w:rsidR="00700CEC" w:rsidRPr="004811C9">
        <w:rPr>
          <w:rFonts w:cs="Times New Roman"/>
        </w:rPr>
        <w:t>after eliciting details about this trip</w:t>
      </w:r>
      <w:r w:rsidR="000269FA">
        <w:rPr>
          <w:rFonts w:cs="Times New Roman"/>
        </w:rPr>
        <w:t>)</w:t>
      </w:r>
      <w:r w:rsidR="00700CEC" w:rsidRPr="004811C9">
        <w:rPr>
          <w:rFonts w:cs="Times New Roman"/>
        </w:rPr>
        <w:t xml:space="preserve"> </w:t>
      </w:r>
      <w:r w:rsidR="002B17C2" w:rsidRPr="004811C9">
        <w:rPr>
          <w:rFonts w:cs="Times New Roman"/>
        </w:rPr>
        <w:t xml:space="preserve">helps alleviate hypothetical bias </w:t>
      </w:r>
      <w:r w:rsidR="00FA59C9" w:rsidRPr="004811C9">
        <w:rPr>
          <w:rFonts w:cs="Times New Roman"/>
        </w:rPr>
        <w:t xml:space="preserve">that may more strongly </w:t>
      </w:r>
      <w:r w:rsidR="00C31604" w:rsidRPr="004811C9">
        <w:rPr>
          <w:rFonts w:cs="Times New Roman"/>
        </w:rPr>
        <w:t>a</w:t>
      </w:r>
      <w:r w:rsidR="00FA59C9" w:rsidRPr="004811C9">
        <w:rPr>
          <w:rFonts w:cs="Times New Roman"/>
        </w:rPr>
        <w:t xml:space="preserve">ffect </w:t>
      </w:r>
      <w:r w:rsidR="00C31604" w:rsidRPr="004811C9">
        <w:rPr>
          <w:rFonts w:cs="Times New Roman"/>
        </w:rPr>
        <w:t xml:space="preserve">traditional stated </w:t>
      </w:r>
      <w:r w:rsidR="00A32543" w:rsidRPr="004811C9">
        <w:rPr>
          <w:rFonts w:cs="Times New Roman"/>
        </w:rPr>
        <w:t>elicitation methods</w:t>
      </w:r>
      <w:r w:rsidR="00FA59C9" w:rsidRPr="004811C9">
        <w:rPr>
          <w:rFonts w:cs="Times New Roman"/>
        </w:rPr>
        <w:t xml:space="preserve">. </w:t>
      </w:r>
      <w:r w:rsidR="00CB785E" w:rsidRPr="004811C9">
        <w:rPr>
          <w:rFonts w:cs="Times New Roman"/>
          <w:u w:val="single"/>
        </w:rPr>
        <w:t>Second</w:t>
      </w:r>
      <w:r w:rsidR="00CB785E" w:rsidRPr="004811C9">
        <w:rPr>
          <w:rFonts w:cs="Times New Roman"/>
        </w:rPr>
        <w:t>, we identify respondents who are unwilling to pay at all for travel time savings</w:t>
      </w:r>
      <w:r w:rsidR="008E18C0" w:rsidRPr="004811C9">
        <w:rPr>
          <w:rFonts w:cs="Times New Roman"/>
        </w:rPr>
        <w:t xml:space="preserve"> (are unwilling to pay at the lowest price level offered). By considering this binary willingness to pay (WTP) dimension </w:t>
      </w:r>
      <w:r w:rsidR="00087503" w:rsidRPr="004811C9">
        <w:rPr>
          <w:rFonts w:cs="Times New Roman"/>
        </w:rPr>
        <w:t>separately from the continuous VTTS dimension</w:t>
      </w:r>
      <w:r w:rsidR="00C31604" w:rsidRPr="004811C9">
        <w:rPr>
          <w:rFonts w:cs="Times New Roman"/>
        </w:rPr>
        <w:t>,</w:t>
      </w:r>
      <w:r w:rsidR="00087503" w:rsidRPr="004811C9">
        <w:rPr>
          <w:rFonts w:cs="Times New Roman"/>
        </w:rPr>
        <w:t xml:space="preserve"> </w:t>
      </w:r>
      <w:r w:rsidR="008E18C0" w:rsidRPr="004811C9">
        <w:rPr>
          <w:rFonts w:cs="Times New Roman"/>
        </w:rPr>
        <w:t xml:space="preserve">we </w:t>
      </w:r>
      <w:r w:rsidR="00C31604" w:rsidRPr="004811C9">
        <w:rPr>
          <w:rFonts w:cs="Times New Roman"/>
        </w:rPr>
        <w:t xml:space="preserve">provide a strong behavioral and econometric foundation for the analysis. </w:t>
      </w:r>
      <w:r w:rsidR="005728FA" w:rsidRPr="004811C9">
        <w:rPr>
          <w:rFonts w:cs="Times New Roman"/>
          <w:u w:val="single"/>
        </w:rPr>
        <w:t>Third</w:t>
      </w:r>
      <w:r w:rsidR="006B0211" w:rsidRPr="004811C9">
        <w:rPr>
          <w:rFonts w:cs="Times New Roman"/>
        </w:rPr>
        <w:t xml:space="preserve">, </w:t>
      </w:r>
      <w:r w:rsidR="005728FA" w:rsidRPr="004811C9">
        <w:rPr>
          <w:rFonts w:cs="Times New Roman"/>
        </w:rPr>
        <w:t xml:space="preserve">we consider </w:t>
      </w:r>
      <w:r w:rsidR="008E4FDA">
        <w:rPr>
          <w:rFonts w:cs="Times New Roman"/>
        </w:rPr>
        <w:t xml:space="preserve">systematic </w:t>
      </w:r>
      <w:r w:rsidR="005728FA" w:rsidRPr="004811C9">
        <w:rPr>
          <w:rFonts w:cs="Times New Roman"/>
        </w:rPr>
        <w:t xml:space="preserve">heterogeneity in VTTS across </w:t>
      </w:r>
      <w:r w:rsidR="001D6CA8" w:rsidRPr="004811C9">
        <w:rPr>
          <w:rFonts w:cs="Times New Roman"/>
        </w:rPr>
        <w:t xml:space="preserve">a wide range of </w:t>
      </w:r>
      <w:r w:rsidR="00CF0227" w:rsidRPr="004811C9">
        <w:rPr>
          <w:rFonts w:cs="Times New Roman"/>
        </w:rPr>
        <w:t xml:space="preserve">individual </w:t>
      </w:r>
      <w:r w:rsidR="00C31604" w:rsidRPr="004811C9">
        <w:rPr>
          <w:rFonts w:cs="Times New Roman"/>
        </w:rPr>
        <w:t xml:space="preserve">sociodemographic </w:t>
      </w:r>
      <w:r w:rsidR="00CF0227" w:rsidRPr="004811C9">
        <w:rPr>
          <w:rFonts w:cs="Times New Roman"/>
        </w:rPr>
        <w:t xml:space="preserve">and trip characteristics, </w:t>
      </w:r>
      <w:r w:rsidR="00C31604" w:rsidRPr="004811C9">
        <w:rPr>
          <w:rFonts w:cs="Times New Roman"/>
        </w:rPr>
        <w:t xml:space="preserve">unraveling </w:t>
      </w:r>
      <w:r w:rsidR="002E3DAD" w:rsidRPr="004811C9">
        <w:rPr>
          <w:rFonts w:cs="Times New Roman"/>
        </w:rPr>
        <w:t xml:space="preserve">significant variations across the population and across travel contexts that would not be </w:t>
      </w:r>
      <w:r w:rsidR="009061C3" w:rsidRPr="004811C9">
        <w:rPr>
          <w:rFonts w:cs="Times New Roman"/>
        </w:rPr>
        <w:t>as easily identified using an imputation-based approach.</w:t>
      </w:r>
      <w:r w:rsidR="00E97C4B" w:rsidRPr="004811C9">
        <w:rPr>
          <w:rFonts w:cs="Times New Roman"/>
        </w:rPr>
        <w:t xml:space="preserve"> From a</w:t>
      </w:r>
      <w:r w:rsidR="00C31604" w:rsidRPr="004811C9">
        <w:rPr>
          <w:rFonts w:cs="Times New Roman"/>
        </w:rPr>
        <w:t xml:space="preserve"> policy</w:t>
      </w:r>
      <w:r w:rsidR="00E97C4B" w:rsidRPr="004811C9">
        <w:rPr>
          <w:rFonts w:cs="Times New Roman"/>
        </w:rPr>
        <w:t xml:space="preserve"> standpoint, </w:t>
      </w:r>
      <w:r w:rsidR="00CE3D8E" w:rsidRPr="004811C9">
        <w:rPr>
          <w:rFonts w:cs="Times New Roman"/>
        </w:rPr>
        <w:t xml:space="preserve">characterizing </w:t>
      </w:r>
      <w:r w:rsidR="00E97C4B" w:rsidRPr="004811C9">
        <w:rPr>
          <w:rFonts w:cs="Times New Roman"/>
        </w:rPr>
        <w:t xml:space="preserve">this heterogeneity </w:t>
      </w:r>
      <w:r w:rsidR="003B0D44">
        <w:rPr>
          <w:rFonts w:cs="Times New Roman"/>
        </w:rPr>
        <w:t>systematically</w:t>
      </w:r>
      <w:r w:rsidR="003B0D44" w:rsidRPr="004811C9">
        <w:rPr>
          <w:rFonts w:cs="Times New Roman"/>
        </w:rPr>
        <w:t xml:space="preserve"> </w:t>
      </w:r>
      <w:r w:rsidR="00E97C4B" w:rsidRPr="004811C9">
        <w:rPr>
          <w:rFonts w:cs="Times New Roman"/>
        </w:rPr>
        <w:t xml:space="preserve">has important implications </w:t>
      </w:r>
      <w:r w:rsidR="00CE3D8E" w:rsidRPr="004811C9">
        <w:rPr>
          <w:rFonts w:cs="Times New Roman"/>
        </w:rPr>
        <w:t xml:space="preserve">for </w:t>
      </w:r>
      <w:r w:rsidR="00E97C4B" w:rsidRPr="004811C9">
        <w:rPr>
          <w:rFonts w:cs="Times New Roman"/>
        </w:rPr>
        <w:t>prioritizing transportation investments, understanding the distribution of impacts of delays and travel improvements, and designing effective transportation pricing strategies.</w:t>
      </w:r>
      <w:r w:rsidR="003B0D44">
        <w:rPr>
          <w:rFonts w:cs="Times New Roman"/>
        </w:rPr>
        <w:t xml:space="preserve"> Also, while many recent studies have captured heterogeneity in VTTS through </w:t>
      </w:r>
      <w:r w:rsidR="00E54062">
        <w:rPr>
          <w:rFonts w:cs="Times New Roman"/>
        </w:rPr>
        <w:t>random taste variation</w:t>
      </w:r>
      <w:r w:rsidR="000374A1">
        <w:rPr>
          <w:rFonts w:cs="Times New Roman"/>
        </w:rPr>
        <w:t xml:space="preserve"> </w:t>
      </w:r>
      <w:r w:rsidR="000374A1" w:rsidRPr="00507D16">
        <w:fldChar w:fldCharType="begin"/>
      </w:r>
      <w:r w:rsidR="005C4287">
        <w:instrText xml:space="preserve"> ADDIN ZOTERO_ITEM CSL_CITATION {"citationID":"DzzPViRy","properties":{"unsorted":true,"formattedCitation":"(Bhat, 1998; Hess et al., 2005; Fosgerau, 2006; Rubite and Muromachi, 2008; Bhat and Lavieri, 2018; Parmar et al., 2023; Bhat et al., 2025; Hayes and Venter, 2025)","plainCitation":"(Bhat, 1998; Hess et al., 2005; Fosgerau, 2006; Rubite and Muromachi, 2008; Bhat and Lavieri, 2018; Parmar et al., 2023; Bhat et al., 2025; Hayes and Venter, 2025)","dontUpdate":true,"noteIndex":0},"citationItems":[{"id":6269,"uris":["http://zotero.org/users/12832277/items/V2WLDR3W"],"itemData":{"id":6269,"type":"article-journal","abstract":"An individual’s responsiveness to level-of-service variables affects her or his travel mode choice for a trip. This responsiveness will, in general, vary across individuals based on observed (to an analyst) and unobserved (to an analyst) individual characteristics. The current paper formulates a multinomial-logit based model of travel mode choice that accommodates variations in responsiveness to level-of-service measures due to both observed and unobserved individual characteristics in a comprehensive manner. The choice probabilities in the resulting model are evaluated using Monte Carlo simulation techniques and the model parameters are estimated using a maximum simulated likelihood approach. The model is applied to examine the impact of improved rail service on weekday, business travel in the Toronto—Montreal corridor. The empirical results show that not accounting adequately for variations in responsiveness across individuals leads to a statistically inferior data fit and also to inappropriate evaluations of policy actions aimed at improving inter-city transportation services.","container-title":"Transportation Research Part A: Policy and Practice","DOI":"10.1016/S0965-8564(98)00011-1","ISSN":"0965-8564","issue":"7","journalAbbreviation":"Transportation Research Part A: Policy and Practice","page":"495-507","source":"ScienceDirect","title":"Accommodating Variations in Responsiveness to Level-of-Service Measures in Travel Mode Choice Modeling","volume":"32","author":[{"family":"Bhat","given":"Chandra R."}],"issued":{"date-parts":[["1998",9,1]]}}},{"id":4533,"uris":["http://zotero.org/users/12832277/items/ICPFI9NC"],"itemData":{"id":4533,"type":"article-journal","abstract":"In this paper, we discuss some of the issues that arise with the computation of the implied value of travel-time savings in the case of discrete choice models allowing for random taste heterogeneity. We specifically look at the case of models producing a non-zero probability of positive travel-time coefficients, and discuss the consistency of such estimates with theories of rational economic behaviour. We then describe how the presence of unobserved travel-experience attributes or conjoint activities can bias the estimation of the travel-time coefficient, and can lead to false conclusions with regards to the existence of negative valuations of travel-time savings. We note that while it is important not to interpret such estimates as travel-time coefficients per se, it is nevertheless similarly important to allow such effects to manifest themselves; as such, the use of distributions with fixed bounds is inappropriate. On the other hand, the use of unbounded distributions can lead to further problems, as their shape (especially in the case of symmetrical distributions) can falsely imply the presence of positive estimates. We note that a preferable solution is to use bounded distributions where the bounds are estimated from the data during model calibration. This allows for the effects of data impurities or model misspecifications to manifest themselves, while reducing the risk of bias as a result of the shape of the distribution. To conclude, a brief application is conducted to support the theoretical claims made in the paper.","container-title":"Transportation Research Part A: Policy and Practice","DOI":"10.1016/j.tra.2004.09.007","ISSN":"0965-8564","issue":"2","page":"221-236","source":"ScienceDirect","title":"Estimation of Value of Travel-Time Savings Using Mixed Logit Models","volume":"39","author":[{"family":"Hess","given":"Stephane"},{"family":"Bierlaire","given":"Michel"},{"family":"Polak","given":"John W."}],"issued":{"date-parts":[["2005",2,1]]}}},{"id":4916,"uris":["http://zotero.org/users/12832277/items/2YHS89CB"],"itemData":{"id":4916,"type":"article-journal","abstract":"The distribution of the value of travel time savings (VTTS) is investigated employing various nonparametric techniques to a large dataset originating from a stated choice experiment. The data contain choices between a fast and more expensive alternative and a slow and less expensive alternative. Increasing the implicit price of time leads to an increased share of respondents who decline to pay to save time. But a significant proportion of respondents, 13%, remain willing to pay to save time at the highest price of time in the design. This means that the right tail of the VTTS distribution is not observed and hence the mean VTTS cannot be evaluated without additional assumptions. When socio-economic and situational variables are introduced into a semiparametric model it becomes possible to accept that the whole VTTS distribution is observed. Sixteen candidates for parametric VTTS distributions are investigated. Some distributions are simply not able to fit to the empirical distribution while others have very long tails. The mean VTTS is shown to be extremely dependent on the choice of parametric distribution. Requiring that the parametric distribution should be accepted against the nonparametric alternative narrows the field down to five candidates. One of the distributions tested here has also support within the observed range such that the estimated VTTS is bounded by the data.","container-title":"Transportation Research Part B: Methodological","DOI":"10.1016/j.trb.2005.09.007","ISSN":"0191-2615","issue":"8","page":"688-707","source":"ScienceDirect","title":"Investigating the Distribution of the Value of Travel Time Savings","volume":"40","author":[{"family":"Fosgerau","given":"Mogens"}],"issued":{"date-parts":[["2006",9,1]]}}},{"id":5935,"uris":["http://zotero.org/users/12832277/items/9VK46FNA"],"itemData":{"id":5935,"type":"article-journal","abstract":"The purpose of this study was to assess the value of travel time savings (VTTS) of urban travelers in the setting of a city in a developing country. It contributes to the few empirical studies on calculations of the benefits of transportation facility development and evaluation. In practice, VTTS can be taken as an average value for the population. However, the wider socioeconomic disparities among travelers in cities in developing countries might suggest significant taste variations. The standard logit formulation fails to account for such random tastes. To capture the heterogeneity among individuals and the correlations between alternatives, this study explores the aptness and flexibility of the mixed logit formulation with revealed-preference data. By specifying a random travel time coefficient, it compares the total travel time savings by using different statistical distributions. Depending on the assumed statistical distribution of the travel time coefficient, the study reveals that significant increases in total travel time savings are achieved by the use of random coefficients logit compared with those achieved by the use of standard logit. The results indicate that by accounting for random taste variations among individuals, total VTTS increases by a minimum of 28% and a maximum of more than 80% compared with the values obtained by the fixed coefficients approach.","container-title":"Transportation Research Record","DOI":"10.3141/2082-18","ISSN":"0361-1981","issue":"1","language":"EN","page":"148-155","publisher":"SAGE Publications Inc","source":"SAGE Journals","title":"Value of Travel Time Savings under Random Taste Heterogeneity: Application to Cities in Developing Countries","title-short":"Value of Travel Time Savings under Random Taste Heterogeneity","volume":"2082","author":[{"family":"Rubite","given":"Caesar P."},{"family":"Muromachi","given":"Yasunori"}],"issued":{"date-parts":[["2008",1,1]]}}},{"id":6272,"uris":["http://zotero.org/users/12832277/items/EZ82NPVN"],"itemData":{"id":6272,"type":"article-journal","abstract":"In this paper, we propose a general copula approach to accommodate non-normal continuous mixing distributions in multinomial probit models. In particular, we specify a multivariate mixing distribution that allows different marginal continuous parametric distributions for different coefficients. A new hybrid estimation technique is proposed to estimate the model, which combines the advantageous features of each of the maximum simulated likelihood inference technique and Bhat’s maximum approximate composite marginal likelihood inference approach. The effectiveness of our formulation and inference approach is demonstrated through simulation exercises and an empirical application.","container-title":"Theory and Decision","DOI":"10.1007/s11238-017-9638-4","ISSN":"1573-7187","issue":"2","journalAbbreviation":"Theory Decis","language":"en","page":"239-275","source":"Springer Link","title":"A new mixed MNP model accommodating a variety of dependent non-normal coefficient distributions","volume":"84","author":[{"family":"Bhat","given":"Chandra R."},{"family":"Lavieri","given":"Patrícia S."}],"issued":{"date-parts":[["2018",3,1]]}}},{"id":6262,"uris":["http://zotero.org/users/12832277/items/MI6VKVIA"],"itemData":{"id":6262,"type":"article-journal","abstract":"In developing countries like India, the policymakers have largely focused on supply-side measures, yet demand-side measures have remained unaddressed in policy implications. Ample literature is available presenting responses of TDM strategies, but most studies account mode choice and parking choice behaviour separately rather than considering trade-offs between them. This paper seeks to fill this gap by admitting parking choice as an endogenous decision within the model of mode choice behaviour which can present more valuable insights in understanding travel behaviour. This study integrates attitudinal factors and built-environment variables in addition to parking and travel attributes for developing comprehensive estimation results. A hybrid discrete choice model with random coefficients is estimated using hierarchical Bayes approach based on the Markov Chain Monte Carlo simulation method. The results reveal significant influence of mode/parking specific attitudes on commuters’ choice behaviour in addition to the built-environment factors and mode/parking related attributes. It is identified that considerable shift is occurring between parking-types in preference to switching travel mode with hypothetical changes in parking attributes. Besides, study investigates the heterogeneity in the willingness-to-pay (WTP) through follow-up regression models, which provides important insights for identifying possible sources of this heterogeneity among respondents. The study provides remarkable findings which may be beneficial to city authorities for improving TDM strategies especially in developing countries.","container-title":"Transportation Research Part A: Policy and Practice","DOI":"10.1016/j.tra.2023.103610","ISSN":"0965-8564","journalAbbreviation":"Transportation Research Part A: Policy and Practice","page":"103610","source":"ScienceDirect","title":"Analysis of Taste Heterogeneity in Commuters’ Travel Decisions Using Joint Parking– and Mode–Choice Model: A Case from Urban India","title-short":"Analysis of Taste Heterogeneity in Commuters’ Travel Decisions Using Joint Parking– and Mode–Choice Model","volume":"170","author":[{"family":"Parmar","given":"Janak"},{"family":"Saiyed","given":"Gulnazbanu"},{"family":"Dave","given":"Sanjaykumar"}],"issued":{"date-parts":[["2023",4,1]]}}},{"id":6266,"uris":["http://zotero.org/users/12832277/items/J8LS7J7K"],"itemData":{"id":6266,"type":"article-journal","abstract":"There is growing interest in employing non-normal parameter distributions on covariates to account for random taste heterogeneity in multinomial choice models. In this study, we propose a flexible, computationally tractable, structurally simple, and parsimonious-in-specification random coefficients multinomial probit (MNP) model that can accommodate non-normality in the random coefficients. Our proposed methodology subsumes the normally distributed random coefficient MNP model as a special case, thus eliminating the need to a priori decide on the distributional assumption for each coefficient. The approach employs an implicit Gaussian copula to combine the univariate coefficient distributions into a multivariate distribution with a flexible dependence structure. Using our new flexible MNP framework, we investigate the commute mode choice behavior for workers in the city of Bengaluru, a metropolitan city in southern India. Results from our analysis indicate that sociodemographic variables, commute characteristics, and mode-related attributes significantly impact the commute mode choice decision. Importantly, our results indicate the presence of unobserved taste heterogeneity in the sensitivities to the travel time and travel cost variables; moreover, the distribution of the travel time coefficient is found to be significantly non-normal. In terms of data fit, our proposed model statistically outperforms the traditional MNP model as well as an MNP model that imposes normality on the travel time coefficient. The pitfalls of ignoring non-normality in the distribution of parameters are also discussed, as are several policies to promote a shift from private modes of transportation to more sustainable public transportation/walk modes.","container-title":"Transportation Research Part B: Methodological","DOI":"10.1016/j.trb.2025.103186","ISSN":"0191-2615","journalAbbreviation":"Transportation Research Part B: Methodological","page":"103186","source":"ScienceDirect","title":"A Flexible Non-Normal Random Coefficient Multinomial Probit Model: Application to Investigating Commuter's Mode Choice Behavior in a Developing Economy Context","title-short":"A Flexible Non-Normal Random Coefficient Multinomial Probit Model","volume":"195","author":[{"family":"Bhat","given":"Chandra R."},{"family":"Mondal","given":"Aupal"},{"family":"Pinjari","given":"Abdul Rawoof"}],"issued":{"date-parts":[["2025",5,1]]}}},{"id":6260,"uris":["http://zotero.org/users/12832277/items/THLQLBKK"],"itemData":{"id":6260,"type":"article-journal","abstract":"Several significant urban transportation projects implemented in South Africa over the last decade have had disappointing results at odds with ex-ante and ex-post economic appraisals of their feasibility. The economic and financial implications are significant and enduring and, in the case of the bus rapid transit (BRT) systems, have resulted in criticism of their value for money proposition. A key input into the economic appraisal of transport schemes is the value of travel time (VTT), which is based on micro-economic theory of time allocation and derived from users' willingness to pay for travel time savings. This paper contends that the correct valuation of VTT benefits has been under-researched in South Africa. We review historical values of non-work–related travel time and compare these with values derived from two types of discrete choice models estimated from a consolidated stated preference dataset from Tshwane, Johannesburg and Ekurhuleni in Gauteng Province, South Africa. An elasticity analysis highlights that the key BRT demand sensitivities are the number of transfers, fare levels and travel time. A mean value of non-work–related travel time of R13.89/h (currently US$0.80/h) confirms that public transport commuters in South Africa have lower VTTs than previously assumed. These findings are contrary to the characteristics of the BRT systems that have been implemented, which emphasise faster travel times and higher fare levels. The analysis also highlights the significant heterogeneity in VTT across the population because of a combination of taste, mode and income effects. These findings have important implications for public transport system designs and operations, which should emphasise reliable services, minimising transfers and lower fares.","container-title":"South African Journal of Economics","DOI":"10.1111/saje.70002","ISSN":"1813-6982","issue":"4","language":"en","note":"_eprint: https://onlinelibrary.wiley.com/doi/pdf/10.1111/saje.70002","page":"374-386","source":"Wiley Online Library","title":"Willingness to Pay for Travel Time Savings on Public Transport: Past Practice, New Evidence and Implications for Policy","title-short":"Willingness to Pay for Travel Time Savings on Public Transport","volume":"93","author":[{"family":"Hayes","given":"Gary P."},{"family":"Venter","given":"Christoffel J."}],"issued":{"date-parts":[["2025"]]}}}],"schema":"https://github.com/citation-style-language/schema/raw/master/csl-citation.json"} </w:instrText>
      </w:r>
      <w:r w:rsidR="000374A1" w:rsidRPr="00507D16">
        <w:fldChar w:fldCharType="separate"/>
      </w:r>
      <w:r w:rsidR="000374A1" w:rsidRPr="00AD5DBB">
        <w:rPr>
          <w:rFonts w:cs="Times New Roman"/>
        </w:rPr>
        <w:t>(see, for example, Bhat, 1998; Hess et al., 2005; Fosgerau, 2006; Rubite and Muromachi, 2008; Bhat and Lavieri, 2018; Parmar et al., 2023; Bhat et al., 2025; Hayes and Venter, 2025)</w:t>
      </w:r>
      <w:r w:rsidR="000374A1" w:rsidRPr="00507D16">
        <w:fldChar w:fldCharType="end"/>
      </w:r>
      <w:r w:rsidR="00E54062">
        <w:rPr>
          <w:rFonts w:cs="Times New Roman"/>
        </w:rPr>
        <w:t xml:space="preserve">, </w:t>
      </w:r>
      <w:r w:rsidR="00454259">
        <w:rPr>
          <w:rFonts w:cs="Times New Roman"/>
        </w:rPr>
        <w:t xml:space="preserve">such random effects should not be considered </w:t>
      </w:r>
      <w:r w:rsidR="003D73A8">
        <w:rPr>
          <w:rFonts w:cs="Times New Roman"/>
        </w:rPr>
        <w:t>as</w:t>
      </w:r>
      <w:r w:rsidR="00164DC0">
        <w:rPr>
          <w:rFonts w:cs="Times New Roman"/>
        </w:rPr>
        <w:t xml:space="preserve"> </w:t>
      </w:r>
      <w:r w:rsidR="00454259">
        <w:rPr>
          <w:rFonts w:cs="Times New Roman"/>
        </w:rPr>
        <w:t>a substitute for capturing systematic heterogeneity</w:t>
      </w:r>
      <w:r w:rsidR="003D73A8">
        <w:t>, especially when the objective is to inform policy discussions and identify effective pricing strategies</w:t>
      </w:r>
      <w:r w:rsidR="00B1758C">
        <w:rPr>
          <w:rFonts w:cs="Times New Roman"/>
        </w:rPr>
        <w:t>.</w:t>
      </w:r>
      <w:r w:rsidR="009061C3" w:rsidRPr="004811C9">
        <w:rPr>
          <w:rFonts w:cs="Times New Roman"/>
        </w:rPr>
        <w:t xml:space="preserve"> </w:t>
      </w:r>
      <w:r w:rsidR="009061C3" w:rsidRPr="004811C9">
        <w:rPr>
          <w:rFonts w:cs="Times New Roman"/>
          <w:u w:val="single"/>
        </w:rPr>
        <w:t>Fourth</w:t>
      </w:r>
      <w:r w:rsidR="009061C3" w:rsidRPr="004811C9">
        <w:rPr>
          <w:rFonts w:cs="Times New Roman"/>
        </w:rPr>
        <w:t xml:space="preserve">, we </w:t>
      </w:r>
      <w:r w:rsidR="0099236A" w:rsidRPr="004811C9">
        <w:rPr>
          <w:rFonts w:cs="Times New Roman"/>
        </w:rPr>
        <w:t>jointly model th</w:t>
      </w:r>
      <w:r w:rsidR="009D1B0A" w:rsidRPr="004811C9">
        <w:rPr>
          <w:rFonts w:cs="Times New Roman"/>
        </w:rPr>
        <w:t xml:space="preserve">e binary WTP dimension alongside the continuous outcome for the value of travel time savings among those with a positive willingness to pay. </w:t>
      </w:r>
      <w:r w:rsidR="00FF5617" w:rsidRPr="004811C9">
        <w:rPr>
          <w:rFonts w:cs="Times New Roman"/>
        </w:rPr>
        <w:t xml:space="preserve">As individuals with a VTTS of zero are accounted for in the </w:t>
      </w:r>
      <w:r w:rsidR="00CE3D8E" w:rsidRPr="004811C9">
        <w:rPr>
          <w:rFonts w:cs="Times New Roman"/>
        </w:rPr>
        <w:t xml:space="preserve">WTP </w:t>
      </w:r>
      <w:r w:rsidR="00FF5617" w:rsidRPr="004811C9">
        <w:rPr>
          <w:rFonts w:cs="Times New Roman"/>
        </w:rPr>
        <w:t>binary outcome, th</w:t>
      </w:r>
      <w:r w:rsidR="00C31604" w:rsidRPr="004811C9">
        <w:rPr>
          <w:rFonts w:cs="Times New Roman"/>
        </w:rPr>
        <w:t>e</w:t>
      </w:r>
      <w:r w:rsidR="00FF5617" w:rsidRPr="004811C9">
        <w:rPr>
          <w:rFonts w:cs="Times New Roman"/>
        </w:rPr>
        <w:t xml:space="preserve"> continuous </w:t>
      </w:r>
      <w:r w:rsidR="00C31604" w:rsidRPr="004811C9">
        <w:rPr>
          <w:rFonts w:cs="Times New Roman"/>
        </w:rPr>
        <w:t xml:space="preserve">VTTS </w:t>
      </w:r>
      <w:r w:rsidR="00FF5617" w:rsidRPr="004811C9">
        <w:rPr>
          <w:rFonts w:cs="Times New Roman"/>
        </w:rPr>
        <w:t xml:space="preserve">value is distinct from the total VTTS, instead representing the </w:t>
      </w:r>
      <w:r w:rsidR="002B6ED7" w:rsidRPr="004811C9">
        <w:rPr>
          <w:rFonts w:cs="Times New Roman"/>
        </w:rPr>
        <w:t xml:space="preserve">conditional value of travel time savings </w:t>
      </w:r>
      <w:r w:rsidR="00FF5617" w:rsidRPr="004811C9">
        <w:rPr>
          <w:rFonts w:cs="Times New Roman"/>
        </w:rPr>
        <w:t>that</w:t>
      </w:r>
      <w:r w:rsidR="002A557F" w:rsidRPr="004811C9">
        <w:rPr>
          <w:rFonts w:cs="Times New Roman"/>
        </w:rPr>
        <w:t xml:space="preserve"> is only available for those who are willing to pay</w:t>
      </w:r>
      <w:r w:rsidR="00FF5617" w:rsidRPr="004811C9">
        <w:rPr>
          <w:rFonts w:cs="Times New Roman"/>
        </w:rPr>
        <w:t xml:space="preserve"> (labeled “</w:t>
      </w:r>
      <w:r w:rsidR="00F4773F" w:rsidRPr="004811C9">
        <w:rPr>
          <w:rFonts w:cs="Times New Roman"/>
          <w:i/>
          <w:iCs/>
        </w:rPr>
        <w:t>cVTTS</w:t>
      </w:r>
      <w:r w:rsidR="00FF5617" w:rsidRPr="004811C9">
        <w:rPr>
          <w:rFonts w:cs="Times New Roman"/>
        </w:rPr>
        <w:t>”</w:t>
      </w:r>
      <w:r w:rsidR="00624FA1" w:rsidRPr="004811C9">
        <w:rPr>
          <w:rFonts w:cs="Times New Roman"/>
        </w:rPr>
        <w:t xml:space="preserve"> to </w:t>
      </w:r>
      <w:r w:rsidR="00C31604" w:rsidRPr="004811C9">
        <w:rPr>
          <w:rFonts w:cs="Times New Roman"/>
        </w:rPr>
        <w:t xml:space="preserve">denote the continuous </w:t>
      </w:r>
      <w:r w:rsidR="00C31604" w:rsidRPr="004811C9">
        <w:rPr>
          <w:rFonts w:cs="Times New Roman"/>
        </w:rPr>
        <w:lastRenderedPageBreak/>
        <w:t xml:space="preserve">component of </w:t>
      </w:r>
      <w:r w:rsidR="00624FA1" w:rsidRPr="004811C9">
        <w:rPr>
          <w:rFonts w:cs="Times New Roman"/>
        </w:rPr>
        <w:t>the total VTTS</w:t>
      </w:r>
      <w:r w:rsidR="00C31604" w:rsidRPr="004811C9">
        <w:rPr>
          <w:rFonts w:cs="Times New Roman"/>
        </w:rPr>
        <w:t>)</w:t>
      </w:r>
      <w:r w:rsidR="00DD378A" w:rsidRPr="004811C9">
        <w:rPr>
          <w:rFonts w:cs="Times New Roman"/>
        </w:rPr>
        <w:t xml:space="preserve">. </w:t>
      </w:r>
      <w:r w:rsidR="003B5CE0">
        <w:rPr>
          <w:rFonts w:cs="Times New Roman"/>
        </w:rPr>
        <w:t xml:space="preserve">Such a separation </w:t>
      </w:r>
      <w:r w:rsidR="009E6060">
        <w:rPr>
          <w:rFonts w:cs="Times New Roman"/>
        </w:rPr>
        <w:t>creates a</w:t>
      </w:r>
      <w:r w:rsidR="003B5CE0" w:rsidRPr="003B5CE0">
        <w:rPr>
          <w:rFonts w:cs="Times New Roman"/>
        </w:rPr>
        <w:t xml:space="preserve"> two</w:t>
      </w:r>
      <w:r w:rsidR="003B5CE0" w:rsidRPr="003B5CE0">
        <w:rPr>
          <w:rFonts w:cs="Times New Roman"/>
        </w:rPr>
        <w:noBreakHyphen/>
        <w:t xml:space="preserve">outcome </w:t>
      </w:r>
      <w:r w:rsidR="009E6060">
        <w:rPr>
          <w:rFonts w:cs="Times New Roman"/>
        </w:rPr>
        <w:t xml:space="preserve">discrete-continuous </w:t>
      </w:r>
      <w:r w:rsidR="003B5CE0" w:rsidRPr="003B5CE0">
        <w:rPr>
          <w:rFonts w:cs="Times New Roman"/>
        </w:rPr>
        <w:t xml:space="preserve">structure </w:t>
      </w:r>
      <w:r w:rsidR="009E6060">
        <w:rPr>
          <w:rFonts w:cs="Times New Roman"/>
        </w:rPr>
        <w:t>that naturally</w:t>
      </w:r>
      <w:r w:rsidR="003B5CE0" w:rsidRPr="003B5CE0">
        <w:rPr>
          <w:rFonts w:cs="Times New Roman"/>
        </w:rPr>
        <w:t xml:space="preserve"> corresponds to what is often described</w:t>
      </w:r>
      <w:r w:rsidR="00F179DB">
        <w:rPr>
          <w:rFonts w:cs="Times New Roman"/>
        </w:rPr>
        <w:t xml:space="preserve"> in the economics</w:t>
      </w:r>
      <w:r w:rsidR="002A65C1">
        <w:rPr>
          <w:rFonts w:cs="Times New Roman"/>
        </w:rPr>
        <w:t xml:space="preserve"> and labor supply</w:t>
      </w:r>
      <w:r w:rsidR="00F179DB">
        <w:rPr>
          <w:rFonts w:cs="Times New Roman"/>
        </w:rPr>
        <w:t xml:space="preserve"> literature</w:t>
      </w:r>
      <w:r w:rsidR="003B5CE0" w:rsidRPr="003B5CE0">
        <w:rPr>
          <w:rFonts w:cs="Times New Roman"/>
        </w:rPr>
        <w:t xml:space="preserve"> as the “extensive” and “intensive” margins of behavior</w:t>
      </w:r>
      <w:r w:rsidR="00AF56A1">
        <w:rPr>
          <w:rFonts w:cs="Times New Roman"/>
        </w:rPr>
        <w:t xml:space="preserve"> </w:t>
      </w:r>
      <w:r w:rsidR="00AF56A1">
        <w:rPr>
          <w:rFonts w:cs="Times New Roman"/>
        </w:rPr>
        <w:fldChar w:fldCharType="begin"/>
      </w:r>
      <w:r w:rsidR="00D06793">
        <w:rPr>
          <w:rFonts w:cs="Times New Roman"/>
        </w:rPr>
        <w:instrText xml:space="preserve"> ADDIN ZOTERO_ITEM CSL_CITATION {"citationID":"nNqrYjj4","properties":{"unsorted":true,"formattedCitation":"(Saez, 2002; Blundell et al., 2013; Fernandes et al., 2023)","plainCitation":"(Saez, 2002; Blundell et al., 2013; Fernandes et al., 2023)","dontUpdate":true,"noteIndex":0},"citationItems":[{"id":6235,"uris":["http://zotero.org/users/12832277/items/EUJ68LWD"],"itemData":{"id":6235,"type":"article-journal","abstract":"This paper analyzes optimal income transfers for low incomes. Labor supply responses are modeled along the intensive margin (intensity of work on the job) and along the extensive margin (participation into the labor force). When behavioral responses are concentrated along the intensive margin, the optimal transfer program is a classical Negative Income Tax program with a substantial guaranteed income support and a large phasing-out tax rate. However, when behavioral responses are concentrated along the extensive margin, the optimal transfer program is similar to the Earned Income Tax Credit with negative marginal tax rates at low income levels and a small guaranteed income. Carefully calibrated numerical simulations are provided.","container-title":"The Quarterly Journal of Economics","DOI":"10.1162/003355302760193959","ISSN":"0033-5533","issue":"3","journalAbbreviation":"Q J Econ","page":"1039-1073","source":"Silverchair","title":"Optimal Income Transfer Programs: Intensive versus Extensive Labor Supply Responses","title-short":"Optimal Income Transfer Programs","volume":"117","author":[{"family":"Saez","given":"Emmanuel"}],"issued":{"date-parts":[["2002",8,1]]}}},{"id":6232,"uris":["http://zotero.org/users/12832277/items/UFP6S87Q"],"itemData":{"id":6232,"type":"article-journal","abstract":"This paper provides a new analysis of the main stylised facts underlying the evolution of labour supply at the extensive and intensive margins in three countries: the United States, the United Kingdom and France. We propose a definition of the extensive and intensive margins corresponding respectively to the employment rate and to hours when employed. This definition is robust to the choice of the reference period and we develop a new statistical decomposition that provides bounds on changes at these margins. We focus on longer-run labour supply changes over the period 1977 to 2007 and abstract from the shorter-run impact of recessions. Examining secular changes over this period, we show that both margins matter in explaining changes in total hours. We then provide a detailed analysis across countries and across time by demographic type. Given the large systematic differences we uncover in the importance of these margins by age and gender, it is unlikely that a single explanation will suffice to account for the macroeconomic evolutions in the three countries.","container-title":"Fiscal Studies","DOI":"10.1111/j.1475-5890.2013.00175.x","ISSN":"1475-5890","issue":"1","language":"en","license":"© 2013 The Authors Fiscal Studies © 2013 Institute for Fiscal Studies","note":"_eprint: https://onlinelibrary.wiley.com/doi/pdf/10.1111/j.1475-5890.2013.00175.x","page":"1-29","source":"Wiley Online Library","title":"Extensive and Intensive Margins of Labour Supply: Work and Working Hours in the US, the UK and France","title-short":"Extensive and Intensive Margins of Labour Supply","volume":"34","author":[{"family":"Blundell","given":"Richard"},{"family":"Bozio","given":"Antoine"},{"family":"Laroque","given":"Guy"}],"issued":{"date-parts":[["2013"]]}}},{"id":6230,"uris":["http://zotero.org/users/12832277/items/HGHDXVCX"],"itemData":{"id":6230,"type":"article-journal","abstract":"In benchmark trade models that feature a constant trade elasticity, bilateral exports vary entirely on the intensive margin (exports per firm) or entirely on the extensive margin (number of firms). Our empirical analysis documents that roughly one-half of this variation occurs along each margin, implying that the trade elasticity is not constant. We estimate a generalized Melitz model with a joint log-normal distribution for firm productivity, fixed costs, and demand shifters. Using exact-hat algebra, we quantify how trade costs affect trade flows and welfare. Welfare effects are similar to those in the Melitz-Pareto model, but implied trade flows differ significantly.","container-title":"American Economic Journal: Macroeconomics","DOI":"10.1257/mac.20200269","ISSN":"1945-7707","issue":"3","language":"en","page":"320-354","source":"www.aeaweb.org","title":"The Intensive Margin in Trade: How Big and How Important?","title-short":"The Intensive Margin in Trade","volume":"15","author":[{"family":"Fernandes","given":"Ana M."},{"family":"Klenow","given":"Peter J."},{"family":"Meleshchuk","given":"Sergii"},{"family":"Pierola","given":"Martha Denisse"},{"family":"Rodríguez-Clare","given":"Andrés"}],"issued":{"date-parts":[["2023",7]]}}}],"schema":"https://github.com/citation-style-language/schema/raw/master/csl-citation.json"} </w:instrText>
      </w:r>
      <w:r w:rsidR="00AF56A1">
        <w:rPr>
          <w:rFonts w:cs="Times New Roman"/>
        </w:rPr>
        <w:fldChar w:fldCharType="separate"/>
      </w:r>
      <w:r w:rsidR="00AF56A1" w:rsidRPr="00AF56A1">
        <w:rPr>
          <w:rFonts w:cs="Times New Roman"/>
        </w:rPr>
        <w:t>(</w:t>
      </w:r>
      <w:r w:rsidR="00AF56A1">
        <w:rPr>
          <w:rFonts w:cs="Times New Roman"/>
        </w:rPr>
        <w:t xml:space="preserve">see </w:t>
      </w:r>
      <w:r w:rsidR="00AF56A1" w:rsidRPr="00AF56A1">
        <w:rPr>
          <w:rFonts w:cs="Times New Roman"/>
        </w:rPr>
        <w:t>Saez, 2002; Blundell et al., 2013; Fernandes et al., 2023)</w:t>
      </w:r>
      <w:r w:rsidR="00AF56A1">
        <w:rPr>
          <w:rFonts w:cs="Times New Roman"/>
        </w:rPr>
        <w:fldChar w:fldCharType="end"/>
      </w:r>
      <w:r w:rsidR="003B5CE0" w:rsidRPr="003B5CE0">
        <w:rPr>
          <w:rFonts w:cs="Times New Roman"/>
        </w:rPr>
        <w:t>: the binary WTP decision captures the extensive margin</w:t>
      </w:r>
      <w:r w:rsidR="009E6060">
        <w:rPr>
          <w:rFonts w:cs="Times New Roman"/>
        </w:rPr>
        <w:t xml:space="preserve"> (</w:t>
      </w:r>
      <w:r w:rsidR="003B5CE0" w:rsidRPr="003B5CE0">
        <w:rPr>
          <w:rFonts w:cs="Times New Roman"/>
        </w:rPr>
        <w:t>whether an individual is willing to pay for time savings</w:t>
      </w:r>
      <w:r w:rsidR="009E6060">
        <w:rPr>
          <w:rFonts w:cs="Times New Roman"/>
        </w:rPr>
        <w:t xml:space="preserve">), </w:t>
      </w:r>
      <w:r w:rsidR="003B5CE0" w:rsidRPr="003B5CE0">
        <w:rPr>
          <w:rFonts w:cs="Times New Roman"/>
        </w:rPr>
        <w:t xml:space="preserve">while the continuous </w:t>
      </w:r>
      <w:r w:rsidR="003B5CE0" w:rsidRPr="006C4B31">
        <w:rPr>
          <w:rFonts w:cs="Times New Roman"/>
          <w:i/>
          <w:iCs/>
        </w:rPr>
        <w:t>cVTTS</w:t>
      </w:r>
      <w:r w:rsidR="003B5CE0" w:rsidRPr="003B5CE0">
        <w:rPr>
          <w:rFonts w:cs="Times New Roman"/>
        </w:rPr>
        <w:t xml:space="preserve"> outcome reflects the intensive margin</w:t>
      </w:r>
      <w:r w:rsidR="009E6060">
        <w:rPr>
          <w:rFonts w:cs="Times New Roman"/>
        </w:rPr>
        <w:t xml:space="preserve"> (</w:t>
      </w:r>
      <w:r w:rsidR="003B5CE0" w:rsidRPr="003B5CE0">
        <w:rPr>
          <w:rFonts w:cs="Times New Roman"/>
        </w:rPr>
        <w:t>how much the individual is willing to pay per unit of time saved, conditional on being willing to pay at all</w:t>
      </w:r>
      <w:r w:rsidR="009E6060">
        <w:rPr>
          <w:rFonts w:cs="Times New Roman"/>
        </w:rPr>
        <w:t>)</w:t>
      </w:r>
      <w:r w:rsidR="003B5CE0" w:rsidRPr="003B5CE0">
        <w:rPr>
          <w:rFonts w:cs="Times New Roman"/>
        </w:rPr>
        <w:t>.</w:t>
      </w:r>
      <w:r w:rsidR="003E4A04">
        <w:rPr>
          <w:rFonts w:cs="Times New Roman"/>
        </w:rPr>
        <w:t xml:space="preserve"> </w:t>
      </w:r>
      <w:r w:rsidR="00BF665D" w:rsidRPr="004811C9">
        <w:rPr>
          <w:rFonts w:cs="Times New Roman"/>
        </w:rPr>
        <w:t xml:space="preserve">The </w:t>
      </w:r>
      <w:r w:rsidR="00C31604" w:rsidRPr="004811C9">
        <w:rPr>
          <w:rFonts w:cs="Times New Roman"/>
        </w:rPr>
        <w:t xml:space="preserve">separate (but </w:t>
      </w:r>
      <w:r w:rsidR="00BF665D" w:rsidRPr="004811C9">
        <w:rPr>
          <w:rFonts w:cs="Times New Roman"/>
        </w:rPr>
        <w:t>joint</w:t>
      </w:r>
      <w:r w:rsidR="00C31604" w:rsidRPr="004811C9">
        <w:rPr>
          <w:rFonts w:cs="Times New Roman"/>
        </w:rPr>
        <w:t>)</w:t>
      </w:r>
      <w:r w:rsidR="00BF665D" w:rsidRPr="004811C9">
        <w:rPr>
          <w:rFonts w:cs="Times New Roman"/>
        </w:rPr>
        <w:t xml:space="preserve"> modeling </w:t>
      </w:r>
      <w:r w:rsidR="00C31604" w:rsidRPr="004811C9">
        <w:rPr>
          <w:rFonts w:cs="Times New Roman"/>
        </w:rPr>
        <w:t xml:space="preserve">of </w:t>
      </w:r>
      <w:r w:rsidR="00BF665D" w:rsidRPr="004811C9">
        <w:rPr>
          <w:rFonts w:cs="Times New Roman"/>
        </w:rPr>
        <w:t xml:space="preserve">these two outcomes </w:t>
      </w:r>
      <w:r w:rsidR="00C31604" w:rsidRPr="004811C9">
        <w:rPr>
          <w:rFonts w:cs="Times New Roman"/>
        </w:rPr>
        <w:t xml:space="preserve">also </w:t>
      </w:r>
      <w:r w:rsidR="00BF665D" w:rsidRPr="004811C9">
        <w:rPr>
          <w:rFonts w:cs="Times New Roman"/>
        </w:rPr>
        <w:t xml:space="preserve">accommodates the presence of unobserved correlation effects that occur between the WTP and </w:t>
      </w:r>
      <w:r w:rsidR="00F4773F" w:rsidRPr="004811C9">
        <w:rPr>
          <w:rFonts w:cs="Times New Roman"/>
          <w:i/>
          <w:iCs/>
        </w:rPr>
        <w:t>cVTTS</w:t>
      </w:r>
      <w:r w:rsidR="00BF665D" w:rsidRPr="004811C9">
        <w:rPr>
          <w:rFonts w:cs="Times New Roman"/>
        </w:rPr>
        <w:t xml:space="preserve"> dimension</w:t>
      </w:r>
      <w:r w:rsidR="00F4773F" w:rsidRPr="004811C9">
        <w:rPr>
          <w:rFonts w:cs="Times New Roman"/>
        </w:rPr>
        <w:t>s</w:t>
      </w:r>
      <w:r w:rsidR="00576679" w:rsidRPr="004811C9">
        <w:rPr>
          <w:rFonts w:cs="Times New Roman"/>
        </w:rPr>
        <w:t xml:space="preserve">, accounting for </w:t>
      </w:r>
      <w:r w:rsidR="007305C3" w:rsidRPr="004811C9">
        <w:rPr>
          <w:rFonts w:cs="Times New Roman"/>
        </w:rPr>
        <w:t xml:space="preserve">“self-selection” due to the fact that </w:t>
      </w:r>
      <w:r w:rsidR="00FC3215" w:rsidRPr="004811C9">
        <w:rPr>
          <w:rFonts w:cs="Times New Roman"/>
          <w:i/>
          <w:iCs/>
        </w:rPr>
        <w:t>cVT</w:t>
      </w:r>
      <w:r w:rsidR="004C2DD7" w:rsidRPr="004811C9">
        <w:rPr>
          <w:rFonts w:cs="Times New Roman"/>
          <w:i/>
          <w:iCs/>
        </w:rPr>
        <w:t>T</w:t>
      </w:r>
      <w:r w:rsidR="00FC3215" w:rsidRPr="004811C9">
        <w:rPr>
          <w:rFonts w:cs="Times New Roman"/>
          <w:i/>
          <w:iCs/>
        </w:rPr>
        <w:t>S</w:t>
      </w:r>
      <w:r w:rsidR="00FC3215" w:rsidRPr="004811C9">
        <w:rPr>
          <w:rFonts w:cs="Times New Roman"/>
        </w:rPr>
        <w:t xml:space="preserve"> is likely to </w:t>
      </w:r>
      <w:r w:rsidR="00C31604" w:rsidRPr="004811C9">
        <w:rPr>
          <w:rFonts w:cs="Times New Roman"/>
        </w:rPr>
        <w:t>be higher among those with a</w:t>
      </w:r>
      <w:r w:rsidR="00157336" w:rsidRPr="004811C9">
        <w:rPr>
          <w:rFonts w:cs="Times New Roman"/>
        </w:rPr>
        <w:t xml:space="preserve"> </w:t>
      </w:r>
      <w:r w:rsidR="00C31604" w:rsidRPr="004811C9">
        <w:rPr>
          <w:rFonts w:cs="Times New Roman"/>
        </w:rPr>
        <w:t>positive</w:t>
      </w:r>
      <w:r w:rsidR="00F4773F" w:rsidRPr="004811C9">
        <w:rPr>
          <w:rFonts w:cs="Times New Roman"/>
        </w:rPr>
        <w:t xml:space="preserve"> WTP </w:t>
      </w:r>
      <w:r w:rsidR="00C31604" w:rsidRPr="004811C9">
        <w:rPr>
          <w:rFonts w:cs="Times New Roman"/>
        </w:rPr>
        <w:t xml:space="preserve">relative to </w:t>
      </w:r>
      <w:r w:rsidR="00157336" w:rsidRPr="004811C9">
        <w:rPr>
          <w:rFonts w:cs="Times New Roman"/>
        </w:rPr>
        <w:t xml:space="preserve">a random individual drawn from the larger population of all individuals. </w:t>
      </w:r>
      <w:r w:rsidR="00BD48CF" w:rsidRPr="004811C9">
        <w:rPr>
          <w:rFonts w:cs="Times New Roman"/>
        </w:rPr>
        <w:t xml:space="preserve">For instance, an individual with a more impatient or impulsive attitude may be </w:t>
      </w:r>
      <w:r w:rsidR="00FE5788" w:rsidRPr="004811C9">
        <w:rPr>
          <w:rFonts w:cs="Times New Roman"/>
        </w:rPr>
        <w:t xml:space="preserve">more likely to be willing to pay in general </w:t>
      </w:r>
      <w:r w:rsidR="00AD6502" w:rsidRPr="004811C9">
        <w:rPr>
          <w:rFonts w:cs="Times New Roman"/>
        </w:rPr>
        <w:t xml:space="preserve">to avoid travel delays due to greater feelings of urgency. At the same time, these more impatient individuals, </w:t>
      </w:r>
      <w:r w:rsidR="0059744C" w:rsidRPr="004811C9">
        <w:rPr>
          <w:rFonts w:cs="Times New Roman"/>
        </w:rPr>
        <w:t>even af</w:t>
      </w:r>
      <w:r w:rsidR="00A50549" w:rsidRPr="004811C9">
        <w:rPr>
          <w:rFonts w:cs="Times New Roman"/>
        </w:rPr>
        <w:t>ter crossing any psychological barrier to paying at all, may be willing to pay a higher amount for each minute of travel time saved</w:t>
      </w:r>
      <w:r w:rsidR="00157336" w:rsidRPr="004811C9">
        <w:rPr>
          <w:rFonts w:cs="Times New Roman"/>
        </w:rPr>
        <w:t xml:space="preserve"> relative to another random observationally-identical individual in the larger population</w:t>
      </w:r>
      <w:r w:rsidR="00A50549" w:rsidRPr="004811C9">
        <w:rPr>
          <w:rFonts w:cs="Times New Roman"/>
        </w:rPr>
        <w:t xml:space="preserve">. </w:t>
      </w:r>
      <w:r w:rsidR="0035213E" w:rsidRPr="004811C9">
        <w:rPr>
          <w:rFonts w:cs="Times New Roman"/>
        </w:rPr>
        <w:t xml:space="preserve">The net effect would be a positive correlation between WTP and </w:t>
      </w:r>
      <w:r w:rsidR="00F4773F" w:rsidRPr="004811C9">
        <w:rPr>
          <w:rFonts w:cs="Times New Roman"/>
          <w:i/>
          <w:iCs/>
        </w:rPr>
        <w:t>cVTTS</w:t>
      </w:r>
      <w:r w:rsidR="00A24361" w:rsidRPr="004811C9">
        <w:rPr>
          <w:rFonts w:cs="Times New Roman"/>
        </w:rPr>
        <w:t xml:space="preserve">. </w:t>
      </w:r>
      <w:r w:rsidR="003E66BE" w:rsidRPr="004811C9">
        <w:rPr>
          <w:rFonts w:cs="Times New Roman"/>
          <w:u w:val="single"/>
        </w:rPr>
        <w:t>Finally</w:t>
      </w:r>
      <w:r w:rsidR="003E66BE" w:rsidRPr="004811C9">
        <w:rPr>
          <w:rFonts w:cs="Times New Roman"/>
        </w:rPr>
        <w:t xml:space="preserve">, we use the model results to quantify the total VTTS (accommodating those </w:t>
      </w:r>
      <w:r w:rsidR="00D03D3A" w:rsidRPr="004811C9">
        <w:rPr>
          <w:rFonts w:cs="Times New Roman"/>
        </w:rPr>
        <w:t>who are unwilling to pay at all</w:t>
      </w:r>
      <w:r w:rsidR="00157336" w:rsidRPr="004811C9">
        <w:rPr>
          <w:rFonts w:cs="Times New Roman"/>
        </w:rPr>
        <w:t xml:space="preserve"> as well as those with a</w:t>
      </w:r>
      <w:r w:rsidR="00F4773F" w:rsidRPr="004811C9">
        <w:rPr>
          <w:rFonts w:cs="Times New Roman"/>
        </w:rPr>
        <w:t xml:space="preserve"> </w:t>
      </w:r>
      <w:r w:rsidR="00157336" w:rsidRPr="004811C9">
        <w:rPr>
          <w:rFonts w:cs="Times New Roman"/>
        </w:rPr>
        <w:t>positive WTP</w:t>
      </w:r>
      <w:r w:rsidR="00D03D3A" w:rsidRPr="004811C9">
        <w:rPr>
          <w:rFonts w:cs="Times New Roman"/>
        </w:rPr>
        <w:t xml:space="preserve">) in different </w:t>
      </w:r>
      <w:r w:rsidR="00F4773F" w:rsidRPr="004811C9">
        <w:rPr>
          <w:rFonts w:cs="Times New Roman"/>
        </w:rPr>
        <w:t xml:space="preserve">population subgroup and trip </w:t>
      </w:r>
      <w:r w:rsidR="00D03D3A" w:rsidRPr="004811C9">
        <w:rPr>
          <w:rFonts w:cs="Times New Roman"/>
        </w:rPr>
        <w:t>market segment</w:t>
      </w:r>
      <w:r w:rsidR="00F4773F" w:rsidRPr="004811C9">
        <w:rPr>
          <w:rFonts w:cs="Times New Roman"/>
        </w:rPr>
        <w:t>s.</w:t>
      </w:r>
    </w:p>
    <w:p w14:paraId="62C76BD0" w14:textId="77777777" w:rsidR="007031E1" w:rsidRPr="004811C9" w:rsidRDefault="007031E1" w:rsidP="00027FE5">
      <w:pPr>
        <w:spacing w:after="0" w:line="240" w:lineRule="auto"/>
        <w:jc w:val="both"/>
        <w:rPr>
          <w:rFonts w:cs="Times New Roman"/>
        </w:rPr>
      </w:pPr>
    </w:p>
    <w:p w14:paraId="24FA53D1" w14:textId="43EE9849" w:rsidR="006644D9" w:rsidRPr="004811C9" w:rsidRDefault="006644D9" w:rsidP="00027FE5">
      <w:pPr>
        <w:spacing w:after="0" w:line="240" w:lineRule="auto"/>
        <w:jc w:val="both"/>
        <w:rPr>
          <w:rFonts w:cs="Times New Roman"/>
          <w:b/>
          <w:bCs/>
        </w:rPr>
      </w:pPr>
      <w:r w:rsidRPr="004811C9">
        <w:rPr>
          <w:rFonts w:cs="Times New Roman"/>
          <w:b/>
        </w:rPr>
        <w:t xml:space="preserve">3. </w:t>
      </w:r>
      <w:r w:rsidR="005201AC">
        <w:rPr>
          <w:rFonts w:cs="Times New Roman"/>
          <w:b/>
        </w:rPr>
        <w:t xml:space="preserve">DATA AND </w:t>
      </w:r>
      <w:r w:rsidRPr="004811C9">
        <w:rPr>
          <w:rFonts w:cs="Times New Roman"/>
          <w:b/>
        </w:rPr>
        <w:t>METHODOLOGY</w:t>
      </w:r>
      <w:r w:rsidRPr="004811C9">
        <w:rPr>
          <w:rFonts w:cs="Times New Roman"/>
          <w:b/>
          <w:bCs/>
        </w:rPr>
        <w:t xml:space="preserve"> </w:t>
      </w:r>
    </w:p>
    <w:p w14:paraId="563406EB" w14:textId="298DFC13" w:rsidR="006644D9" w:rsidRPr="004811C9" w:rsidRDefault="00E61A36" w:rsidP="00027FE5">
      <w:pPr>
        <w:spacing w:after="0" w:line="240" w:lineRule="auto"/>
        <w:jc w:val="both"/>
        <w:rPr>
          <w:rFonts w:cs="Times New Roman"/>
          <w:b/>
          <w:bCs/>
        </w:rPr>
      </w:pPr>
      <w:r w:rsidRPr="004811C9">
        <w:rPr>
          <w:rFonts w:cs="Times New Roman"/>
          <w:b/>
          <w:bCs/>
        </w:rPr>
        <w:t xml:space="preserve">3.1 </w:t>
      </w:r>
      <w:r w:rsidR="005201AC">
        <w:rPr>
          <w:rFonts w:cs="Times New Roman"/>
          <w:b/>
          <w:bCs/>
        </w:rPr>
        <w:t>Data</w:t>
      </w:r>
      <w:r w:rsidR="005201AC" w:rsidRPr="004811C9">
        <w:rPr>
          <w:rFonts w:cs="Times New Roman"/>
          <w:b/>
          <w:bCs/>
        </w:rPr>
        <w:t xml:space="preserve"> </w:t>
      </w:r>
      <w:r w:rsidRPr="004811C9">
        <w:rPr>
          <w:rFonts w:cs="Times New Roman"/>
          <w:b/>
          <w:bCs/>
        </w:rPr>
        <w:t xml:space="preserve">Description </w:t>
      </w:r>
    </w:p>
    <w:p w14:paraId="54CC7257" w14:textId="32A51B1E" w:rsidR="00F308AD" w:rsidRPr="004811C9" w:rsidRDefault="00ED1B5A" w:rsidP="00CD1D2F">
      <w:pPr>
        <w:spacing w:after="0" w:line="240" w:lineRule="auto"/>
        <w:jc w:val="both"/>
        <w:rPr>
          <w:rFonts w:cs="Times New Roman"/>
        </w:rPr>
      </w:pPr>
      <w:r w:rsidRPr="004811C9">
        <w:rPr>
          <w:rFonts w:cs="Times New Roman"/>
        </w:rPr>
        <w:t>We use data from a household travel survey conducted in 2024 in the metropolitan region of Mumbai</w:t>
      </w:r>
      <w:r w:rsidR="00E01748" w:rsidRPr="004811C9">
        <w:rPr>
          <w:rFonts w:cs="Times New Roman"/>
        </w:rPr>
        <w:t>,</w:t>
      </w:r>
      <w:r w:rsidRPr="004811C9">
        <w:rPr>
          <w:rFonts w:cs="Times New Roman"/>
        </w:rPr>
        <w:t xml:space="preserve"> including Navi Mumbai (or New Mumbai)</w:t>
      </w:r>
      <w:r w:rsidR="00E01748" w:rsidRPr="004811C9">
        <w:rPr>
          <w:rFonts w:cs="Times New Roman"/>
        </w:rPr>
        <w:t>,</w:t>
      </w:r>
      <w:r w:rsidRPr="004811C9">
        <w:rPr>
          <w:rFonts w:cs="Times New Roman"/>
        </w:rPr>
        <w:t xml:space="preserve"> in India. The survey questionnaire closely follows the US NHTS (National Household Travel Survey) format and contains </w:t>
      </w:r>
      <w:r w:rsidR="005202C4" w:rsidRPr="004811C9">
        <w:rPr>
          <w:rFonts w:cs="Times New Roman"/>
        </w:rPr>
        <w:t>h</w:t>
      </w:r>
      <w:r w:rsidRPr="004811C9">
        <w:rPr>
          <w:rFonts w:cs="Times New Roman"/>
        </w:rPr>
        <w:t xml:space="preserve">ousehold, </w:t>
      </w:r>
      <w:r w:rsidR="005202C4" w:rsidRPr="004811C9">
        <w:rPr>
          <w:rFonts w:cs="Times New Roman"/>
        </w:rPr>
        <w:t>v</w:t>
      </w:r>
      <w:r w:rsidRPr="004811C9">
        <w:rPr>
          <w:rFonts w:cs="Times New Roman"/>
        </w:rPr>
        <w:t xml:space="preserve">ehicle, </w:t>
      </w:r>
      <w:r w:rsidR="005202C4" w:rsidRPr="004811C9">
        <w:rPr>
          <w:rFonts w:cs="Times New Roman"/>
        </w:rPr>
        <w:t>p</w:t>
      </w:r>
      <w:r w:rsidRPr="004811C9">
        <w:rPr>
          <w:rFonts w:cs="Times New Roman"/>
        </w:rPr>
        <w:t xml:space="preserve">erson, and </w:t>
      </w:r>
      <w:r w:rsidR="005202C4" w:rsidRPr="004811C9">
        <w:rPr>
          <w:rFonts w:cs="Times New Roman"/>
        </w:rPr>
        <w:t>t</w:t>
      </w:r>
      <w:r w:rsidRPr="004811C9">
        <w:rPr>
          <w:rFonts w:cs="Times New Roman"/>
        </w:rPr>
        <w:t xml:space="preserve">rip (24-hour travel diary) modules. In addition, the survey elicits </w:t>
      </w:r>
      <w:r w:rsidR="00D9440B" w:rsidRPr="004811C9">
        <w:rPr>
          <w:rFonts w:cs="Times New Roman"/>
        </w:rPr>
        <w:t xml:space="preserve">details regarding </w:t>
      </w:r>
      <w:r w:rsidRPr="004811C9">
        <w:rPr>
          <w:rFonts w:cs="Times New Roman"/>
        </w:rPr>
        <w:t>congestion pricing acceptability and willingness</w:t>
      </w:r>
      <w:r w:rsidR="00690C3C" w:rsidRPr="004811C9">
        <w:rPr>
          <w:rFonts w:cs="Times New Roman"/>
        </w:rPr>
        <w:t xml:space="preserve"> </w:t>
      </w:r>
      <w:r w:rsidRPr="004811C9">
        <w:rPr>
          <w:rFonts w:cs="Times New Roman"/>
        </w:rPr>
        <w:t>to</w:t>
      </w:r>
      <w:r w:rsidR="00690C3C" w:rsidRPr="004811C9">
        <w:rPr>
          <w:rFonts w:cs="Times New Roman"/>
        </w:rPr>
        <w:t xml:space="preserve"> </w:t>
      </w:r>
      <w:r w:rsidRPr="004811C9">
        <w:rPr>
          <w:rFonts w:cs="Times New Roman"/>
        </w:rPr>
        <w:t>pay to avoid travel time delay</w:t>
      </w:r>
      <w:r w:rsidR="00690C3C" w:rsidRPr="004811C9">
        <w:rPr>
          <w:rFonts w:cs="Times New Roman"/>
        </w:rPr>
        <w:t>.</w:t>
      </w:r>
      <w:r w:rsidR="00D9440B" w:rsidRPr="004811C9">
        <w:rPr>
          <w:rFonts w:cs="Times New Roman"/>
        </w:rPr>
        <w:t xml:space="preserve"> </w:t>
      </w:r>
      <w:r w:rsidRPr="004811C9">
        <w:rPr>
          <w:rFonts w:cs="Times New Roman"/>
        </w:rPr>
        <w:t xml:space="preserve">The </w:t>
      </w:r>
      <w:r w:rsidR="00D9440B" w:rsidRPr="004811C9">
        <w:rPr>
          <w:rFonts w:cs="Times New Roman"/>
        </w:rPr>
        <w:t xml:space="preserve">complete </w:t>
      </w:r>
      <w:r w:rsidRPr="004811C9">
        <w:rPr>
          <w:rFonts w:cs="Times New Roman"/>
        </w:rPr>
        <w:t xml:space="preserve">Mumbai travel survey dataset </w:t>
      </w:r>
      <w:r w:rsidR="00680D7B" w:rsidRPr="004811C9">
        <w:rPr>
          <w:rFonts w:cs="Times New Roman"/>
        </w:rPr>
        <w:t xml:space="preserve">obtained information from </w:t>
      </w:r>
      <w:r w:rsidRPr="004811C9">
        <w:rPr>
          <w:rFonts w:cs="Times New Roman"/>
        </w:rPr>
        <w:t>3</w:t>
      </w:r>
      <w:r w:rsidR="00D9440B" w:rsidRPr="004811C9">
        <w:rPr>
          <w:rFonts w:cs="Times New Roman"/>
        </w:rPr>
        <w:t>,</w:t>
      </w:r>
      <w:r w:rsidRPr="004811C9">
        <w:rPr>
          <w:rFonts w:cs="Times New Roman"/>
        </w:rPr>
        <w:t xml:space="preserve">107 </w:t>
      </w:r>
      <w:r w:rsidR="00D9440B" w:rsidRPr="004811C9">
        <w:rPr>
          <w:rFonts w:cs="Times New Roman"/>
        </w:rPr>
        <w:t>individuals</w:t>
      </w:r>
      <w:r w:rsidRPr="004811C9">
        <w:rPr>
          <w:rFonts w:cs="Times New Roman"/>
        </w:rPr>
        <w:t xml:space="preserve"> across 1</w:t>
      </w:r>
      <w:r w:rsidR="00D9440B" w:rsidRPr="004811C9">
        <w:rPr>
          <w:rFonts w:cs="Times New Roman"/>
        </w:rPr>
        <w:t>,</w:t>
      </w:r>
      <w:r w:rsidRPr="004811C9">
        <w:rPr>
          <w:rFonts w:cs="Times New Roman"/>
        </w:rPr>
        <w:t xml:space="preserve">531 households. </w:t>
      </w:r>
      <w:r w:rsidR="00BD5A3F" w:rsidRPr="004811C9">
        <w:rPr>
          <w:rFonts w:cs="Times New Roman"/>
        </w:rPr>
        <w:t xml:space="preserve">The survey administration approach employed a </w:t>
      </w:r>
      <w:r w:rsidRPr="004811C9">
        <w:rPr>
          <w:rFonts w:cs="Times New Roman"/>
        </w:rPr>
        <w:t>stratified random sampling method</w:t>
      </w:r>
      <w:r w:rsidR="00680D7B" w:rsidRPr="004811C9">
        <w:rPr>
          <w:rFonts w:cs="Times New Roman"/>
        </w:rPr>
        <w:t>,</w:t>
      </w:r>
      <w:r w:rsidRPr="004811C9">
        <w:rPr>
          <w:rFonts w:cs="Times New Roman"/>
        </w:rPr>
        <w:t xml:space="preserve"> using vehicle ownership and residential neighborhood population density as </w:t>
      </w:r>
      <w:r w:rsidR="00680D7B" w:rsidRPr="004811C9">
        <w:rPr>
          <w:rFonts w:cs="Times New Roman"/>
        </w:rPr>
        <w:t xml:space="preserve">the two </w:t>
      </w:r>
      <w:r w:rsidRPr="004811C9">
        <w:rPr>
          <w:rFonts w:cs="Times New Roman"/>
        </w:rPr>
        <w:t xml:space="preserve">key </w:t>
      </w:r>
      <w:r w:rsidR="00680D7B" w:rsidRPr="004811C9">
        <w:rPr>
          <w:rFonts w:cs="Times New Roman"/>
        </w:rPr>
        <w:t xml:space="preserve">strata-defining </w:t>
      </w:r>
      <w:r w:rsidRPr="004811C9">
        <w:rPr>
          <w:rFonts w:cs="Times New Roman"/>
        </w:rPr>
        <w:t>variables</w:t>
      </w:r>
      <w:r w:rsidR="00BD5A3F" w:rsidRPr="004811C9">
        <w:rPr>
          <w:rFonts w:cs="Times New Roman"/>
        </w:rPr>
        <w:t xml:space="preserve">. </w:t>
      </w:r>
      <w:r w:rsidR="0058427E">
        <w:rPr>
          <w:rFonts w:cs="Times New Roman"/>
        </w:rPr>
        <w:t xml:space="preserve">The </w:t>
      </w:r>
      <w:r w:rsidR="0058427E" w:rsidRPr="0058427E">
        <w:rPr>
          <w:rFonts w:cs="Times New Roman"/>
        </w:rPr>
        <w:t>survey covers 20 of the 24 municipal/administrative wards in the Mumbai (Brihanmumbai Municipal Corporation) area and the six most prominent residential and employment zones within Navi (or New) Mumbai (including Nerul, Belapur, Koparkhairane, Airoli, Vashi, and Ghansoli). The survey also encompasses a wide range of ward/zone densities, ranging from about 4,000 persons per sq</w:t>
      </w:r>
      <w:r w:rsidR="009C021C">
        <w:rPr>
          <w:rFonts w:cs="Times New Roman"/>
        </w:rPr>
        <w:t>uare</w:t>
      </w:r>
      <w:r w:rsidR="0058427E" w:rsidRPr="0058427E">
        <w:rPr>
          <w:rFonts w:cs="Times New Roman"/>
        </w:rPr>
        <w:t xml:space="preserve"> </w:t>
      </w:r>
      <w:r w:rsidR="009C021C">
        <w:rPr>
          <w:rFonts w:cs="Times New Roman"/>
        </w:rPr>
        <w:t>kilometer</w:t>
      </w:r>
      <w:r w:rsidR="0058427E" w:rsidRPr="0058427E">
        <w:rPr>
          <w:rFonts w:cs="Times New Roman"/>
        </w:rPr>
        <w:t xml:space="preserve"> (in Ghansoli, Navi Mumbai) to more than 65,000 persons per </w:t>
      </w:r>
      <w:r w:rsidR="009C021C">
        <w:rPr>
          <w:rFonts w:cs="Times New Roman"/>
        </w:rPr>
        <w:t>square kilometer</w:t>
      </w:r>
      <w:r w:rsidR="0058427E" w:rsidRPr="0058427E">
        <w:rPr>
          <w:rFonts w:cs="Times New Roman"/>
        </w:rPr>
        <w:t xml:space="preserve"> (in Dharavi, Dadar, </w:t>
      </w:r>
      <w:r w:rsidR="009C021C">
        <w:rPr>
          <w:rFonts w:cs="Times New Roman"/>
        </w:rPr>
        <w:t xml:space="preserve">and </w:t>
      </w:r>
      <w:r w:rsidR="0058427E" w:rsidRPr="0058427E">
        <w:rPr>
          <w:rFonts w:cs="Times New Roman"/>
        </w:rPr>
        <w:t xml:space="preserve">Bhuleshwar). Samples </w:t>
      </w:r>
      <w:r w:rsidR="000C0B6E">
        <w:rPr>
          <w:rFonts w:cs="Times New Roman"/>
        </w:rPr>
        <w:t>were</w:t>
      </w:r>
      <w:r w:rsidR="0058427E" w:rsidRPr="0058427E">
        <w:rPr>
          <w:rFonts w:cs="Times New Roman"/>
        </w:rPr>
        <w:t xml:space="preserve"> drawn in proportion to ward/zone populations</w:t>
      </w:r>
      <w:r w:rsidR="007A08E9">
        <w:rPr>
          <w:rFonts w:cs="Times New Roman"/>
        </w:rPr>
        <w:t xml:space="preserve"> </w:t>
      </w:r>
      <w:r w:rsidR="007A08E9" w:rsidRPr="007A08E9">
        <w:rPr>
          <w:rFonts w:cs="Times New Roman"/>
        </w:rPr>
        <w:t>to cover the entire spatial extent</w:t>
      </w:r>
      <w:r w:rsidR="007A08E9">
        <w:rPr>
          <w:rFonts w:cs="Times New Roman"/>
        </w:rPr>
        <w:t xml:space="preserve"> of the metropolitan region</w:t>
      </w:r>
      <w:r w:rsidR="007A08E9" w:rsidRPr="007A08E9">
        <w:rPr>
          <w:rFonts w:cs="Times New Roman"/>
        </w:rPr>
        <w:t xml:space="preserve"> and capture the spatial heterogeneity of the Mumbai metropolitan area, including Navi Mumbai.</w:t>
      </w:r>
      <w:r w:rsidR="00B373C3">
        <w:rPr>
          <w:rFonts w:cs="Times New Roman"/>
        </w:rPr>
        <w:t xml:space="preserve"> However, s</w:t>
      </w:r>
      <w:r w:rsidRPr="004811C9">
        <w:rPr>
          <w:rFonts w:cs="Times New Roman"/>
        </w:rPr>
        <w:t xml:space="preserve">ince specified quotas </w:t>
      </w:r>
      <w:r w:rsidR="00B373C3">
        <w:rPr>
          <w:rFonts w:cs="Times New Roman"/>
        </w:rPr>
        <w:t xml:space="preserve">(based on vehicle ownership) </w:t>
      </w:r>
      <w:r w:rsidRPr="004811C9">
        <w:rPr>
          <w:rFonts w:cs="Times New Roman"/>
        </w:rPr>
        <w:t xml:space="preserve">were assigned to each </w:t>
      </w:r>
      <w:r w:rsidR="00BD5A3F" w:rsidRPr="004811C9">
        <w:rPr>
          <w:rFonts w:cs="Times New Roman"/>
        </w:rPr>
        <w:t>stratum</w:t>
      </w:r>
      <w:r w:rsidRPr="004811C9">
        <w:rPr>
          <w:rFonts w:cs="Times New Roman"/>
        </w:rPr>
        <w:t xml:space="preserve"> (with an upper cap of 1500 households</w:t>
      </w:r>
      <w:r w:rsidR="00680D7B" w:rsidRPr="004811C9">
        <w:rPr>
          <w:rFonts w:cs="Times New Roman"/>
        </w:rPr>
        <w:t>,</w:t>
      </w:r>
      <w:r w:rsidRPr="004811C9">
        <w:rPr>
          <w:rFonts w:cs="Times New Roman"/>
        </w:rPr>
        <w:t xml:space="preserve"> given </w:t>
      </w:r>
      <w:r w:rsidR="00680D7B" w:rsidRPr="004811C9">
        <w:rPr>
          <w:rFonts w:cs="Times New Roman"/>
        </w:rPr>
        <w:t xml:space="preserve">the </w:t>
      </w:r>
      <w:r w:rsidRPr="004811C9">
        <w:rPr>
          <w:rFonts w:cs="Times New Roman"/>
        </w:rPr>
        <w:t xml:space="preserve">resource constraints), the survey results are not representative of </w:t>
      </w:r>
      <w:r w:rsidR="00F4773F" w:rsidRPr="004811C9">
        <w:rPr>
          <w:rFonts w:cs="Times New Roman"/>
        </w:rPr>
        <w:t xml:space="preserve">the resident population of </w:t>
      </w:r>
      <w:r w:rsidRPr="004811C9">
        <w:rPr>
          <w:rFonts w:cs="Times New Roman"/>
        </w:rPr>
        <w:t xml:space="preserve">Mumbai/Navi Mumbai. For </w:t>
      </w:r>
      <w:r w:rsidR="00BD5A3F" w:rsidRPr="004811C9">
        <w:rPr>
          <w:rFonts w:cs="Times New Roman"/>
        </w:rPr>
        <w:t>instance</w:t>
      </w:r>
      <w:r w:rsidRPr="004811C9">
        <w:rPr>
          <w:rFonts w:cs="Times New Roman"/>
        </w:rPr>
        <w:t xml:space="preserve">, about half of the </w:t>
      </w:r>
      <w:r w:rsidR="006A1159" w:rsidRPr="004811C9">
        <w:rPr>
          <w:rFonts w:cs="Times New Roman"/>
        </w:rPr>
        <w:t>households surveyed</w:t>
      </w:r>
      <w:r w:rsidRPr="004811C9">
        <w:rPr>
          <w:rFonts w:cs="Times New Roman"/>
        </w:rPr>
        <w:t xml:space="preserve"> are car-owners, and 70% have at least one vehicle </w:t>
      </w:r>
      <w:r w:rsidR="00BD5A3F" w:rsidRPr="004811C9">
        <w:rPr>
          <w:rFonts w:cs="Times New Roman"/>
        </w:rPr>
        <w:t xml:space="preserve">(a </w:t>
      </w:r>
      <w:r w:rsidRPr="004811C9">
        <w:rPr>
          <w:rFonts w:cs="Times New Roman"/>
        </w:rPr>
        <w:t>car or motorized two-wheeler</w:t>
      </w:r>
      <w:r w:rsidR="00BD5A3F" w:rsidRPr="004811C9">
        <w:rPr>
          <w:rFonts w:cs="Times New Roman"/>
        </w:rPr>
        <w:t>)</w:t>
      </w:r>
      <w:r w:rsidRPr="004811C9">
        <w:rPr>
          <w:rFonts w:cs="Times New Roman"/>
        </w:rPr>
        <w:t xml:space="preserve"> in their household. For reference, the per-capita private vehicle ownership </w:t>
      </w:r>
      <w:r w:rsidR="00F4773F" w:rsidRPr="004811C9">
        <w:rPr>
          <w:rFonts w:cs="Times New Roman"/>
        </w:rPr>
        <w:t xml:space="preserve">in Mumbai </w:t>
      </w:r>
      <w:r w:rsidRPr="004811C9">
        <w:rPr>
          <w:rFonts w:cs="Times New Roman"/>
        </w:rPr>
        <w:t xml:space="preserve">was about 13% in 2015 </w:t>
      </w:r>
      <w:r w:rsidR="00E85824" w:rsidRPr="004811C9">
        <w:rPr>
          <w:rFonts w:cs="Times New Roman"/>
        </w:rPr>
        <w:fldChar w:fldCharType="begin"/>
      </w:r>
      <w:r w:rsidR="00E85824" w:rsidRPr="004811C9">
        <w:rPr>
          <w:rFonts w:cs="Times New Roman"/>
        </w:rPr>
        <w:instrText xml:space="preserve"> ADDIN ZOTERO_ITEM CSL_CITATION {"citationID":"OdpLaGvH","properties":{"formattedCitation":"({\\i{}Comprehensive Mobility Plan (CMP) for Greater Mumbai}, 2016)","plainCitation":"(Comprehensive Mobility Plan (CMP) for Greater Mumbai, 2016)","noteIndex":0},"citationItems":[{"id":5004,"uris":["http://zotero.org/users/12832277/items/MZNFR4HM"],"itemData":{"id":5004,"type":"report","publisher":"Municipal Corporate of Greater Mumbai","title":"Comprehensive Mobility Plan (CMP) for Greater Mumbai","URL":"https://portal.mcgm.gov.in/irj/go/km/docs/documents/MCGM%20Department%20List/Roads%20and%20Traffic/Docs/CMP%20for%20Greater%20Mumbai/Executive%20Summary/Executive%20Summary.pdf","issued":{"date-parts":[["2016"]]}}}],"schema":"https://github.com/citation-style-language/schema/raw/master/csl-citation.json"} </w:instrText>
      </w:r>
      <w:r w:rsidR="00E85824" w:rsidRPr="004811C9">
        <w:rPr>
          <w:rFonts w:cs="Times New Roman"/>
        </w:rPr>
        <w:fldChar w:fldCharType="separate"/>
      </w:r>
      <w:r w:rsidR="00E85824" w:rsidRPr="004811C9">
        <w:rPr>
          <w:rFonts w:cs="Times New Roman"/>
          <w:kern w:val="0"/>
        </w:rPr>
        <w:t>(</w:t>
      </w:r>
      <w:r w:rsidR="00E85824" w:rsidRPr="004811C9">
        <w:rPr>
          <w:rFonts w:cs="Times New Roman"/>
          <w:i/>
          <w:iCs/>
          <w:kern w:val="0"/>
        </w:rPr>
        <w:t>Comprehensive Mobility Plan (CMP) for Greater Mumbai</w:t>
      </w:r>
      <w:r w:rsidR="00E85824" w:rsidRPr="004811C9">
        <w:rPr>
          <w:rFonts w:cs="Times New Roman"/>
          <w:kern w:val="0"/>
        </w:rPr>
        <w:t>, 2016)</w:t>
      </w:r>
      <w:r w:rsidR="00E85824" w:rsidRPr="004811C9">
        <w:rPr>
          <w:rFonts w:cs="Times New Roman"/>
        </w:rPr>
        <w:fldChar w:fldCharType="end"/>
      </w:r>
      <w:r w:rsidRPr="004811C9">
        <w:rPr>
          <w:rFonts w:cs="Times New Roman"/>
        </w:rPr>
        <w:t xml:space="preserve">. </w:t>
      </w:r>
      <w:r w:rsidR="00247420" w:rsidRPr="004811C9">
        <w:rPr>
          <w:rFonts w:cs="Times New Roman"/>
        </w:rPr>
        <w:t>For this reason</w:t>
      </w:r>
      <w:r w:rsidR="001E0BA9" w:rsidRPr="004811C9">
        <w:rPr>
          <w:rFonts w:cs="Times New Roman"/>
        </w:rPr>
        <w:t xml:space="preserve">, aggregate descriptive statistics derived from this analysis should not be generalized </w:t>
      </w:r>
      <w:r w:rsidR="00247420" w:rsidRPr="004811C9">
        <w:rPr>
          <w:rFonts w:cs="Times New Roman"/>
        </w:rPr>
        <w:t xml:space="preserve">to the broader Mumbai population. </w:t>
      </w:r>
      <w:r w:rsidR="00AD7FC6" w:rsidRPr="004811C9">
        <w:t>However, despite differences between the characteristics of survey respondents and the broader Mumbai population, weighting is</w:t>
      </w:r>
      <w:r w:rsidR="00AD7FC6">
        <w:t xml:space="preserve"> not required </w:t>
      </w:r>
      <w:r w:rsidR="00AD7FC6" w:rsidRPr="004811C9">
        <w:t xml:space="preserve">for the </w:t>
      </w:r>
      <w:r w:rsidR="00AD7FC6" w:rsidRPr="004811C9">
        <w:lastRenderedPageBreak/>
        <w:t>individual-level disaggregate analysis undertaken in the current study</w:t>
      </w:r>
      <w:r w:rsidR="00AD7FC6">
        <w:t xml:space="preserve">. The objective here is to estimate </w:t>
      </w:r>
      <w:r w:rsidR="00AD7FC6" w:rsidRPr="00CE5DD2">
        <w:t xml:space="preserve">individual-level causal </w:t>
      </w:r>
      <w:r w:rsidR="00AD7FC6">
        <w:t>relationships between observed characteristics and VTTS. Under stratified but exogenous sampling (that is, individuals are not selected into the sample based on their VTTS values), consistent estimation does not require weighting to make the sample representative of the population (see</w:t>
      </w:r>
      <w:r w:rsidR="00AD7FC6" w:rsidRPr="004811C9">
        <w:rPr>
          <w:rFonts w:eastAsia="Times New Roman" w:cs="Times New Roman"/>
          <w:b/>
          <w:bCs/>
          <w:kern w:val="0"/>
          <w14:ligatures w14:val="none"/>
        </w:rPr>
        <w:fldChar w:fldCharType="begin"/>
      </w:r>
      <w:r w:rsidR="00AD7FC6">
        <w:rPr>
          <w:b/>
          <w:bCs/>
        </w:rPr>
        <w:instrText xml:space="preserve"> ADDIN ZOTERO_ITEM CSL_CITATION {"citationID":"2flufT2C","properties":{"unsorted":true,"formattedCitation":"(Solon et al., 2015; Robbennolt et al., 2025)","plainCitation":"(Solon et al., 2015; Robbennolt et al., 2025)","dontUpdate":true,"noteIndex":0},"citationItems":[{"id":721,"uris":["http://zotero.org/users/12832277/items/68L8HU9K"],"itemData":{"id":721,"type":"article-journal","abstract":"When estimating population descriptive statistics, weighting is called for if needed to make the analysis sample representative of the target population. With regard to research directed instead at estimating causal effects, we discuss three distinct weighting motives: (1) to achieve precise estimates by correcting for heteroskedasticity; (2) to achieve consistent estimates by correcting for endogenous sampling; and (3) to identify average partial effects in the presence of unmodeled heterogeneity of effects. In each case, we find that the motive sometimes does not apply in situations where practitioners often assume it does.","container-title":"Journal of Human Resources","DOI":"10.3368/jhr.50.2.301","ISSN":"0022-166X, 1548-8004","issue":"2","language":"en","license":"© 2015 by the Board of Regents of the University of Wisconsin System","page":"301-316","publisher":"University of Wisconsin Press","section":"Symposium on Empirical Methods","source":"jhr.uwpress.org","title":"What Are We Weighting For?","volume":"50","author":[{"family":"Solon","given":"Gary"},{"family":"Haider","given":"Steven J."},{"family":"Wooldridge","given":"Jeffrey M."}],"issued":{"date-parts":[["2015",3,31]]}}},{"id":4729,"uris":["http://zotero.org/users/12832277/items/YTMK2AMV"],"itemData":{"id":4729,"type":"article-journal","container-title":"Transportation Research Part B: Methodological","DOI":"https://doi.org/10.1016/j.trb.2025.103349","ISSN":"103349","part-number":"103349","title":"Data Collection, Weighting, and Modeling Techniques to Estimate Consistent Population Parameters","URL":"https://www.sciencedirect.com/science/article/pii/S0191261525001985","volume":"203","author":[{"family":"Robbennolt","given":"Dale"},{"family":"Pendyala","given":"Ram M."},{"family":"Bhat","given":"Chandra R."}],"issued":{"date-parts":[["2026"]]}}}],"schema":"https://github.com/citation-style-language/schema/raw/master/csl-citation.json"} </w:instrText>
      </w:r>
      <w:r w:rsidR="00AD7FC6" w:rsidRPr="004811C9">
        <w:rPr>
          <w:rFonts w:eastAsia="Times New Roman" w:cs="Times New Roman"/>
          <w:b/>
          <w:bCs/>
          <w:kern w:val="0"/>
          <w14:ligatures w14:val="none"/>
        </w:rPr>
        <w:fldChar w:fldCharType="separate"/>
      </w:r>
      <w:r w:rsidR="00AD7FC6" w:rsidRPr="004811C9">
        <w:t xml:space="preserve"> Solon et al., 2015 and Robbennolt et al., 202</w:t>
      </w:r>
      <w:r w:rsidR="00AD7FC6">
        <w:t>6</w:t>
      </w:r>
      <w:r w:rsidR="00AD7FC6" w:rsidRPr="004811C9">
        <w:t xml:space="preserve"> for detailed discussions of why weighting is not necessary to derive individual-level relationships in such exogenous sampling situations)</w:t>
      </w:r>
      <w:r w:rsidR="00AD7FC6" w:rsidRPr="004811C9">
        <w:rPr>
          <w:rFonts w:eastAsia="Times New Roman" w:cs="Times New Roman"/>
          <w:b/>
          <w:bCs/>
          <w:kern w:val="0"/>
          <w14:ligatures w14:val="none"/>
        </w:rPr>
        <w:fldChar w:fldCharType="end"/>
      </w:r>
      <w:r w:rsidR="00AD7FC6">
        <w:t xml:space="preserve">. The more important issue is the presence of sufficient variation in the exogenous variables of interest (as discussed further in Section 3.1.2). </w:t>
      </w:r>
    </w:p>
    <w:p w14:paraId="622775A4" w14:textId="77777777" w:rsidR="00CD6585" w:rsidRPr="004811C9" w:rsidRDefault="00CD6585" w:rsidP="00ED1B5A">
      <w:pPr>
        <w:spacing w:after="0" w:line="240" w:lineRule="auto"/>
        <w:jc w:val="both"/>
        <w:rPr>
          <w:rFonts w:cs="Times New Roman"/>
        </w:rPr>
      </w:pPr>
    </w:p>
    <w:p w14:paraId="5277E2E6" w14:textId="0A6FFE99" w:rsidR="001C30B2" w:rsidRPr="00F8453A" w:rsidRDefault="001C30B2" w:rsidP="00027FE5">
      <w:pPr>
        <w:spacing w:after="0" w:line="240" w:lineRule="auto"/>
        <w:jc w:val="both"/>
        <w:rPr>
          <w:rFonts w:cs="Times New Roman"/>
          <w:i/>
          <w:iCs/>
        </w:rPr>
      </w:pPr>
      <w:r w:rsidRPr="00F8453A">
        <w:rPr>
          <w:rFonts w:cs="Times New Roman"/>
          <w:i/>
          <w:iCs/>
        </w:rPr>
        <w:t>3.1.1 Outcome Variables</w:t>
      </w:r>
    </w:p>
    <w:p w14:paraId="21D9D610" w14:textId="3D09A1FC" w:rsidR="002E3495" w:rsidRDefault="00C46C51" w:rsidP="00F16FEB">
      <w:pPr>
        <w:pStyle w:val="NormalWeb"/>
        <w:spacing w:before="0" w:beforeAutospacing="0" w:after="0" w:afterAutospacing="0"/>
        <w:jc w:val="both"/>
      </w:pPr>
      <w:r w:rsidRPr="004811C9">
        <w:t xml:space="preserve">The two outcome </w:t>
      </w:r>
      <w:r w:rsidR="00C851AE" w:rsidRPr="004811C9">
        <w:t xml:space="preserve">variables </w:t>
      </w:r>
      <w:r w:rsidRPr="004811C9">
        <w:t>considered in th</w:t>
      </w:r>
      <w:r w:rsidR="00C851AE" w:rsidRPr="004811C9">
        <w:t>e current model</w:t>
      </w:r>
      <w:r w:rsidRPr="004811C9">
        <w:t xml:space="preserve"> are (</w:t>
      </w:r>
      <w:r w:rsidR="00F2009A" w:rsidRPr="004811C9">
        <w:t>a</w:t>
      </w:r>
      <w:r w:rsidRPr="004811C9">
        <w:t xml:space="preserve">) a binary </w:t>
      </w:r>
      <w:r w:rsidR="00680D7B" w:rsidRPr="004811C9">
        <w:t xml:space="preserve">discrete </w:t>
      </w:r>
      <w:r w:rsidRPr="004811C9">
        <w:t xml:space="preserve">variable indicating whether each individual is willing </w:t>
      </w:r>
      <w:r w:rsidR="00A31321" w:rsidRPr="004811C9">
        <w:t>to pay (at all) to reduce their travel time</w:t>
      </w:r>
      <w:r w:rsidR="0031323C" w:rsidRPr="004811C9">
        <w:t xml:space="preserve"> (labeled “WTP”)</w:t>
      </w:r>
      <w:r w:rsidR="00A31321" w:rsidRPr="004811C9">
        <w:t>, and (</w:t>
      </w:r>
      <w:r w:rsidR="00F2009A" w:rsidRPr="004811C9">
        <w:t>b</w:t>
      </w:r>
      <w:r w:rsidR="00A31321" w:rsidRPr="004811C9">
        <w:t xml:space="preserve">) a continuous variable </w:t>
      </w:r>
      <w:r w:rsidR="00695CFE" w:rsidRPr="004811C9">
        <w:t xml:space="preserve">representing the value of </w:t>
      </w:r>
      <w:r w:rsidR="006C6F92" w:rsidRPr="004811C9">
        <w:t xml:space="preserve">travel </w:t>
      </w:r>
      <w:r w:rsidR="00695CFE" w:rsidRPr="004811C9">
        <w:t>time</w:t>
      </w:r>
      <w:r w:rsidR="00C851AE" w:rsidRPr="004811C9">
        <w:t xml:space="preserve"> </w:t>
      </w:r>
      <w:r w:rsidR="006C6F92" w:rsidRPr="004811C9">
        <w:t xml:space="preserve">savings </w:t>
      </w:r>
      <w:r w:rsidR="00C851AE" w:rsidRPr="004811C9">
        <w:t>among those who are willing to pay (labeled “</w:t>
      </w:r>
      <w:r w:rsidR="00F4773F" w:rsidRPr="004811C9">
        <w:rPr>
          <w:i/>
        </w:rPr>
        <w:t>cVTTS</w:t>
      </w:r>
      <w:r w:rsidR="00C851AE" w:rsidRPr="004811C9">
        <w:t>”)</w:t>
      </w:r>
      <w:r w:rsidR="00695CFE" w:rsidRPr="004811C9">
        <w:t xml:space="preserve">. </w:t>
      </w:r>
      <w:r w:rsidR="004979C3" w:rsidRPr="004811C9">
        <w:t xml:space="preserve">To determine these outcomes, participants were asked if they used a personal car “frequently/regularly” for traveling in Mumbai. </w:t>
      </w:r>
      <w:r w:rsidR="00B40187" w:rsidRPr="004811C9">
        <w:t xml:space="preserve">Those that </w:t>
      </w:r>
      <w:r w:rsidR="00CB747D" w:rsidRPr="004811C9">
        <w:t>did use th</w:t>
      </w:r>
      <w:r w:rsidR="00F4773F" w:rsidRPr="004811C9">
        <w:t>e car</w:t>
      </w:r>
      <w:r w:rsidR="00CB747D" w:rsidRPr="004811C9">
        <w:t xml:space="preserve"> mode </w:t>
      </w:r>
      <w:r w:rsidR="00680D7B" w:rsidRPr="004811C9">
        <w:t>“</w:t>
      </w:r>
      <w:r w:rsidR="008E1FFA" w:rsidRPr="004811C9">
        <w:t>frequently/regularly</w:t>
      </w:r>
      <w:r w:rsidR="00680D7B" w:rsidRPr="004811C9">
        <w:t>”</w:t>
      </w:r>
      <w:r w:rsidR="008E1FFA" w:rsidRPr="004811C9">
        <w:t xml:space="preserve"> </w:t>
      </w:r>
      <w:r w:rsidR="00B40187" w:rsidRPr="004811C9">
        <w:t>were asked about the trip they took most</w:t>
      </w:r>
      <w:r w:rsidR="004D09E4" w:rsidRPr="004811C9">
        <w:t xml:space="preserve"> frequently</w:t>
      </w:r>
      <w:r w:rsidR="00B40187" w:rsidRPr="004811C9">
        <w:t xml:space="preserve"> using their personal car. </w:t>
      </w:r>
      <w:r w:rsidR="00B40EB8" w:rsidRPr="004811C9">
        <w:t>Individuals</w:t>
      </w:r>
      <w:r w:rsidR="00B40187" w:rsidRPr="004811C9">
        <w:t xml:space="preserve"> </w:t>
      </w:r>
      <w:r w:rsidR="004D09E4" w:rsidRPr="004811C9">
        <w:t>who reported that they did not travel</w:t>
      </w:r>
      <w:r w:rsidR="00B40187" w:rsidRPr="004811C9">
        <w:t xml:space="preserve"> </w:t>
      </w:r>
      <w:r w:rsidR="00680D7B" w:rsidRPr="004811C9">
        <w:t>“</w:t>
      </w:r>
      <w:r w:rsidR="008E1FFA" w:rsidRPr="004811C9">
        <w:t>frequently/regularly</w:t>
      </w:r>
      <w:r w:rsidR="00680D7B" w:rsidRPr="004811C9">
        <w:t>”</w:t>
      </w:r>
      <w:r w:rsidR="008E1FFA" w:rsidRPr="004811C9">
        <w:t xml:space="preserve"> </w:t>
      </w:r>
      <w:r w:rsidR="00B40187" w:rsidRPr="004811C9">
        <w:t>with a personal car</w:t>
      </w:r>
      <w:r w:rsidR="00D61196" w:rsidRPr="004811C9">
        <w:t xml:space="preserve"> were asked about the trip taken most </w:t>
      </w:r>
      <w:r w:rsidR="00680D7B" w:rsidRPr="004811C9">
        <w:t>“</w:t>
      </w:r>
      <w:r w:rsidR="00FA122A" w:rsidRPr="004811C9">
        <w:t>frequently/regularly</w:t>
      </w:r>
      <w:r w:rsidR="00680D7B" w:rsidRPr="004811C9">
        <w:t>”</w:t>
      </w:r>
      <w:r w:rsidR="00FA122A" w:rsidRPr="004811C9">
        <w:t xml:space="preserve"> </w:t>
      </w:r>
      <w:r w:rsidR="00D61196" w:rsidRPr="004811C9">
        <w:t>with app-based ridehailing, taxi, or autorickshaw</w:t>
      </w:r>
      <w:r w:rsidR="00680D7B" w:rsidRPr="004811C9">
        <w:t>,</w:t>
      </w:r>
      <w:r w:rsidR="00CB747D" w:rsidRPr="004811C9">
        <w:t xml:space="preserve"> and asked to specify which of these three modes </w:t>
      </w:r>
      <w:r w:rsidR="00846415" w:rsidRPr="004811C9">
        <w:t xml:space="preserve">was the primary mode used for these </w:t>
      </w:r>
      <w:r w:rsidR="00B40EB8" w:rsidRPr="004811C9">
        <w:t xml:space="preserve">selected </w:t>
      </w:r>
      <w:r w:rsidR="00846415" w:rsidRPr="004811C9">
        <w:t>trips</w:t>
      </w:r>
      <w:r w:rsidR="00D61196" w:rsidRPr="004811C9">
        <w:t xml:space="preserve">. </w:t>
      </w:r>
      <w:r w:rsidR="00846415" w:rsidRPr="004811C9">
        <w:t xml:space="preserve">Of the </w:t>
      </w:r>
      <w:r w:rsidR="00F54CDB" w:rsidRPr="004811C9">
        <w:t xml:space="preserve">3,107 survey respondents, </w:t>
      </w:r>
      <w:r w:rsidR="00842FDF" w:rsidRPr="004811C9">
        <w:t xml:space="preserve">1,031 </w:t>
      </w:r>
      <w:r w:rsidR="00053594" w:rsidRPr="004811C9">
        <w:t>used a private vehicle</w:t>
      </w:r>
      <w:r w:rsidR="0060471C" w:rsidRPr="004811C9">
        <w:t xml:space="preserve"> “frequently/regularly” </w:t>
      </w:r>
      <w:r w:rsidR="002F7B38" w:rsidRPr="004811C9">
        <w:t>and responded based on the characteristics of their most frequent car trip</w:t>
      </w:r>
      <w:r w:rsidR="00680D7B" w:rsidRPr="004811C9">
        <w:t>,</w:t>
      </w:r>
      <w:r w:rsidR="00FA122A" w:rsidRPr="004811C9">
        <w:t xml:space="preserve"> while an additional</w:t>
      </w:r>
      <w:r w:rsidR="00053594" w:rsidRPr="004811C9">
        <w:t xml:space="preserve"> 1,06</w:t>
      </w:r>
      <w:r w:rsidR="00E066C9" w:rsidRPr="004811C9">
        <w:t>6</w:t>
      </w:r>
      <w:r w:rsidR="00053594" w:rsidRPr="004811C9">
        <w:t xml:space="preserve"> used </w:t>
      </w:r>
      <w:r w:rsidR="004D09E4" w:rsidRPr="004811C9">
        <w:t>ridehailing, taxi, or autorickshaw</w:t>
      </w:r>
      <w:r w:rsidR="00050FA7" w:rsidRPr="004811C9">
        <w:t xml:space="preserve"> </w:t>
      </w:r>
      <w:r w:rsidR="0060471C" w:rsidRPr="004811C9">
        <w:t xml:space="preserve">“frequently/regularly” </w:t>
      </w:r>
      <w:r w:rsidR="00050FA7" w:rsidRPr="004811C9">
        <w:t>and reported the characteristics of the trip taken most frequently using one of these modes. T</w:t>
      </w:r>
      <w:r w:rsidR="00D44F36" w:rsidRPr="004811C9">
        <w:t xml:space="preserve">he remaining </w:t>
      </w:r>
      <w:r w:rsidR="00F6397C" w:rsidRPr="004811C9">
        <w:t>1,0</w:t>
      </w:r>
      <w:r w:rsidR="00E066C9" w:rsidRPr="004811C9">
        <w:t>10</w:t>
      </w:r>
      <w:r w:rsidR="00F6397C" w:rsidRPr="004811C9">
        <w:t xml:space="preserve"> individuals reported not using any of these modes </w:t>
      </w:r>
      <w:r w:rsidR="00680D7B" w:rsidRPr="004811C9">
        <w:t>“</w:t>
      </w:r>
      <w:r w:rsidR="00050FA7" w:rsidRPr="004811C9">
        <w:t>frequently/regularly</w:t>
      </w:r>
      <w:r w:rsidR="002A705C">
        <w:t>.</w:t>
      </w:r>
      <w:r w:rsidR="00680D7B" w:rsidRPr="004811C9">
        <w:t>”</w:t>
      </w:r>
      <w:r w:rsidR="00155ACA">
        <w:t xml:space="preserve"> </w:t>
      </w:r>
      <w:r w:rsidR="00155ACA" w:rsidRPr="004811C9">
        <w:t>The</w:t>
      </w:r>
      <w:r w:rsidR="00155ACA">
        <w:t xml:space="preserve"> vast majority of these </w:t>
      </w:r>
      <w:r w:rsidR="00155ACA" w:rsidRPr="004811C9">
        <w:t>individuals</w:t>
      </w:r>
      <w:r w:rsidR="00155ACA">
        <w:t xml:space="preserve"> </w:t>
      </w:r>
      <w:r w:rsidR="00155ACA" w:rsidRPr="004811C9">
        <w:t xml:space="preserve">reported using walking and public transit as their primary means of transportation. </w:t>
      </w:r>
      <w:r w:rsidR="00155ACA">
        <w:t xml:space="preserve">In any case, these 1,010 individuals were </w:t>
      </w:r>
      <w:r w:rsidR="00F6397C" w:rsidRPr="004811C9">
        <w:t xml:space="preserve">excluded from </w:t>
      </w:r>
      <w:r w:rsidR="00155ACA">
        <w:t xml:space="preserve">the iterative bidding exercise in the survey, and so do not feature in </w:t>
      </w:r>
      <w:r w:rsidR="00F6397C" w:rsidRPr="004811C9">
        <w:t>the remainder of the analysis.</w:t>
      </w:r>
      <w:r w:rsidR="00DC71A4">
        <w:t xml:space="preserve"> </w:t>
      </w:r>
      <w:r w:rsidR="00DC71A4" w:rsidRPr="004811C9">
        <w:t>The</w:t>
      </w:r>
      <w:r w:rsidR="00DC71A4">
        <w:t xml:space="preserve"> vast majority of these </w:t>
      </w:r>
      <w:r w:rsidR="00DC71A4" w:rsidRPr="004811C9">
        <w:t>individuals</w:t>
      </w:r>
      <w:r w:rsidR="00DC71A4">
        <w:t xml:space="preserve"> </w:t>
      </w:r>
      <w:r w:rsidR="00DC71A4" w:rsidRPr="004811C9">
        <w:t>reported using walking and public transit as their primary means of transportation</w:t>
      </w:r>
      <w:r w:rsidR="00DC71A4">
        <w:t xml:space="preserve">, and were excluded from this exercise in the survey. Walking entails no monetary travel cost and is not directly affected by congestion charging. Public transit users are typically </w:t>
      </w:r>
      <w:r w:rsidR="00DC71A4" w:rsidRPr="00D67005">
        <w:t>exempt from congestion charging schemes</w:t>
      </w:r>
      <w:r w:rsidR="00DC71A4">
        <w:t xml:space="preserve">, which </w:t>
      </w:r>
      <w:r w:rsidR="00DC71A4" w:rsidRPr="00D67005">
        <w:t>function similar</w:t>
      </w:r>
      <w:r w:rsidR="00DC71A4">
        <w:t>ly</w:t>
      </w:r>
      <w:r w:rsidR="00DC71A4" w:rsidRPr="00D67005">
        <w:t xml:space="preserve"> to Pigouvian tax</w:t>
      </w:r>
      <w:r w:rsidR="00DC71A4">
        <w:t>es</w:t>
      </w:r>
      <w:r w:rsidR="00DC71A4" w:rsidRPr="00D67005">
        <w:t xml:space="preserve"> </w:t>
      </w:r>
      <w:r w:rsidR="00DC71A4">
        <w:fldChar w:fldCharType="begin"/>
      </w:r>
      <w:r w:rsidR="00DC71A4">
        <w:instrText xml:space="preserve"> ADDIN ZOTERO_ITEM CSL_CITATION {"citationID":"TnTXduvO","properties":{"unsorted":false,"formattedCitation":"(Pigou, 1920)","plainCitation":"(Pigou, 1920)","noteIndex":0},"citationItems":[{"id":6426,"uris":["http://zotero.org/users/12832277/items/FTWPHEUS"],"itemData":{"id":6426,"type":"book","abstract":"The Economics of Welfare occupies a privileged position in economics. It contributed to the professionalization of economics, a goal aggressively and effectively pursued by Pigou's predecessor and teacher Alfred Marshall. The Economics of Welfare also may be credited with establishing welfare economics, by systematically analyzing market departures and their potential remedies. In writing The Economics of Welfare, Pigou built a bridge between the old and the new economics at Cambridge and in Britain. Much of the book remains relevant for contemporary economics. The list of his analyses that continues to play an important role in economics is impressive. Some of the more important include: public goods and externalities, welfare criteria, index number problems, price discrimination, the theory of the firm, the structure of relief programs for the poor, and public finance. Pigou's discussion of the institutional structure governing labor-market operations in his Wealth and Welfare prompted Schumpeter to call the work \"the greatest venture in labor economics ever undertaken by a man who was primarily a theorist.\"The Economics of Welfare established welfare economics as a field of study. The first part analyzes the relationship between the national dividend and economic and total welfare. Parts II and III link the size of the dividend to the allocation of resources in the economy and the institutional structure governing labor-market operations. Part IV explores the relationship between the national dividend and its distribution.In her new introduction, Nahid Aslanbeigui discusses the life of Pigou and the history of The Economics of Welfare. She also discusses Pigou's theories as expressed in this volume and some of the criticisms those theories have met as well as the impact of those criticisms. The Economics of Welfare is a classic that repays careful study.","publisher":"Macmillan and Co.","publisher-place":"London","title":"The Economics of Welfare","author":[{"family":"Pigou","given":"Arthur"}],"issued":{"date-parts":[["1920"]]}}}],"schema":"https://github.com/citation-style-language/schema/raw/master/csl-citation.json"} </w:instrText>
      </w:r>
      <w:r w:rsidR="00DC71A4">
        <w:fldChar w:fldCharType="separate"/>
      </w:r>
      <w:r w:rsidR="00DC71A4" w:rsidRPr="00D464F2">
        <w:t>(Pigou, 1920)</w:t>
      </w:r>
      <w:r w:rsidR="00DC71A4">
        <w:fldChar w:fldCharType="end"/>
      </w:r>
      <w:r w:rsidR="00DC71A4">
        <w:t xml:space="preserve"> designed </w:t>
      </w:r>
      <w:r w:rsidR="00DC71A4" w:rsidRPr="00D67005">
        <w:t xml:space="preserve">to internalize the social and environmental externalities associated with </w:t>
      </w:r>
      <w:r w:rsidR="00DC71A4">
        <w:t xml:space="preserve">private vehicle use </w:t>
      </w:r>
      <w:r w:rsidR="00DC71A4">
        <w:fldChar w:fldCharType="begin"/>
      </w:r>
      <w:r w:rsidR="00DC71A4">
        <w:instrText xml:space="preserve"> ADDIN ZOTERO_ITEM CSL_CITATION {"citationID":"YZFjLKHC","properties":{"unsorted":false,"formattedCitation":"(Anas and Lindsey, 2011; Moulin and Urbano, 2025)","plainCitation":"(Anas and Lindsey, 2011; Moulin and Urbano, 2025)","noteIndex":0},"citationItems":[{"id":6435,"uris":["http://zotero.org/users/12832277/items/2KFYKRAJ"],"itemData":{"id":6435,"type":"article-journal","abstract":"Urban road transportation creates several externalities, the most important of which are congestion (time delay and extra fuel consumption), accidents, pollution, and greenhouse gas emissions. Road pricing is widely promoted as a tool to reduce these externalities. Based on a review of theory as well as experience with existing schemes, this article draws four conclusions about urban road pricing: (1) the benefits of road pricing exceed the costs; (2) the benefits of congestion relief are larger than the benefits of improvements in environmental quality; (3) success depends in part, but only to a limited extent, on the presence of public transit and on how service is adjusted; and (4) the distributional effects and public acceptance of road pricing pose important challenges for policy design.","container-title":"Review of Environmental Economics and Policy","DOI":"10.1093/reep/req019","ISSN":"1750-6816","issue":"1","page":"66-88","publisher":"The University of Chicago Press","source":"journals.uchicago.edu (Atypon)","title":"Reducing Urban Road Transportation Externalities: Road Pricing in                         Theory and in Practice","title-short":"Reducing Urban Road Transportation Externalities","volume":"5","author":[{"family":"Anas","given":"Alex"},{"family":"Lindsey","given":"Robin"}],"issued":{"date-parts":[["2011",1]]}}},{"id":6442,"uris":["http://zotero.org/users/12832277/items/VRFACNRH"],"itemData":{"id":6442,"type":"article-journal","abstract":"Congestion pricing, also referred to as road pricing, is a form of Pigouvian taxation designed to limit or reduce vehicular traffic within a specific area. These systems aim to encourage changes in driving behavior and the choice of transportation mode. An example of a congestion pricing system is the Milan Area C charging zone, which operates on a fixed-rate basis. In recent years, two changes to the system have been introduced: (i) restrictions on the vehicle types allowed to enter the zone, and (ii) a 50 percent increase in the congestion charge. This study introduces a novel and replicable approach to evaluate the effectiveness of these policy changes, by studying the ratio of vehicles entering Area C to the total number of unique individuals within it, leveraging mobile phone data on user presence. Using fixed-effects models to control for unobserved heterogeneity across time, this study analyzes the impact of these two policy changes in the Area C congestion pricing system. The findings indicate that both policy changes influenced individuals’ choice of transportation mode, with vehicle type restrictions having a greater impact than price increases. This shows the effectiveness of the two types of measures, offering insights for policymakers on how to enhance congestion charging system effectiveness through refined pricing strategies and vehicle limitations. Additionally, demographic characteristics of users present in the area, as captured through mobile phone data, such as the proportion of women and elderly individuals, significantly influence transportation choices. Recognizing these factors is essential for policymakers, as it highlights the need for equitable policies that improve acceptance and effectiveness among vulnerable groups. Additionally, demographic characteristics of users present in the area, as captured through mobile phone data—such as the proportion of women and elderly individuals—significantly influence transportation choices.","container-title":"Transport Policy","DOI":"10.1016/j.tranpol.2025.02.006","ISSN":"0967-070X","journalAbbreviation":"Transport Policy","page":"17-27","source":"ScienceDirect","title":"Evaluating the Effectiveness of Two Congestion Limitation Policies in Milan: Charge Increase and Vehicle Type","title-short":"Evaluating the Effectiveness of Two Congestion Limitation Policies in Milan","volume":"165","author":[{"family":"Moulin","given":"Léonard"},{"family":"Urbano","given":"Valeria Maria"}],"issued":{"date-parts":[["2025",5,1]]}}}],"schema":"https://github.com/citation-style-language/schema/raw/master/csl-citation.json"} </w:instrText>
      </w:r>
      <w:r w:rsidR="00DC71A4">
        <w:fldChar w:fldCharType="separate"/>
      </w:r>
      <w:r w:rsidR="00DC71A4" w:rsidRPr="00803112">
        <w:t>(Anas and Lindsey, 2011;</w:t>
      </w:r>
      <w:r w:rsidR="00DC71A4">
        <w:t xml:space="preserve"> </w:t>
      </w:r>
      <w:r w:rsidR="00DC71A4" w:rsidRPr="00803112">
        <w:t>Moulin and Urbano, 2025)</w:t>
      </w:r>
      <w:r w:rsidR="00DC71A4">
        <w:fldChar w:fldCharType="end"/>
      </w:r>
      <w:r w:rsidR="00DC71A4" w:rsidRPr="00D67005">
        <w:t xml:space="preserve">. </w:t>
      </w:r>
      <w:r w:rsidR="00DC71A4">
        <w:t>I</w:t>
      </w:r>
      <w:r w:rsidR="00DC71A4" w:rsidRPr="00D67005">
        <w:t>n many cases globally, congestion charging revenues are reinvested in public transit and other relatively sustainable modes</w:t>
      </w:r>
      <w:r w:rsidR="00DC71A4">
        <w:t xml:space="preserve"> </w:t>
      </w:r>
      <w:r w:rsidR="00DC71A4">
        <w:fldChar w:fldCharType="begin"/>
      </w:r>
      <w:r w:rsidR="00DC71A4">
        <w:instrText xml:space="preserve"> ADDIN ZOTERO_ITEM CSL_CITATION {"citationID":"BSyzxOcS","properties":{"unsorted":false,"formattedCitation":"(D\\uc0\\u8217{}Agostino et al., 2020; Veitch and Rhodes, 2024)","plainCitation":"(D’Agostino et al., 2020; Veitch and Rhodes, 2024)","noteIndex":0},"citationItems":[{"id":6428,"uris":["http://zotero.org/users/12832277/items/5SLP7TB9"],"itemData":{"id":6428,"type":"report","abstract":"Congestion pricing can be an equitable policy strategy. This project consisted of a review of case studies of existing and planned congestion pricing strategies in North America (Vancouver, Seattle, and New York) and elsewhere (Singapore, London, Stockholm, and Gothenberg). The analysis shows that the most equitable congestion pricing systems include 1) a meaningful community-engagement processes to help policymakers identify equitable priorities; 2) pricing structures that strike a balance between efficiency and equity, while encouraging multi-modal travel; 3) clear plans for investing CP revenues to equalize the costs and benefits of congestion relief; and lastly, 4) a comprehensive data reporting plan to ensure equity goals are achieved. This project was developed to support the San Francisco County Transportation Authority in its efforts to conduct the Downtown Congestion Project.","DOI":"10.7922/G2RF5S92","language":"en","number":"UC-ITS-2020-21a","publisher":"University of California Institute of Transportation Studies","source":"escholarship.org","title":"Equitable Congestion Pricing","URL":"https://escholarship.org/uc/item/17h3k4db","author":[{"family":"D’Agostino","given":"Mollie C."},{"family":"Pellaton","given":"Paige"},{"family":"White","given":"Brittany"}],"accessed":{"date-parts":[["2026",2,23]]},"issued":{"date-parts":[["2020",12,1]]}}},{"id":6430,"uris":["http://zotero.org/users/12832277/items/ARQKAUUF"],"itemData":{"id":6430,"type":"article-journal","abstract":"Alongside national and sub-national climate action, local governments play a particularly important role in implementing climate change mitigation policy. While substantial efforts are being taken to reduce greenhouse gas emissions in some communities, additional efforts are needed to encourage behavioural change in driving demand and mode of transportation. Congestion pricing is a key policy which can motivate this change. Using a comparative analysis of congestion pricing systems worldwide, this study examines government policy documents and academic literature to identify policy design features that are most desirable for achieving GHG and air quality emissions targets. Specifically, congestion pricing policies are evaluated against the attributes of implementation context, design characteristics, effectiveness, and political acceptability. In total, 16 congestion pricing systems across 11 cities in OECD member countries are assessed. Findings suggest that area-based congestion pricing systems can provide local governments with a relatively cost-effective tool to implement consistent reductions in greenhouse gas emissions in areas with a pre-existing air quality concern. Congestion pricing policies can achieve broad acceptability with thoughtful design and implementation focusing on equity and user engagement.","container-title":"Case Studies on Transport Policy","DOI":"10.1016/j.cstp.2023.101128","ISSN":"2213-624X","journalAbbreviation":"Case Studies on Transport Policy","page":"101128","source":"ScienceDirect","title":"A Cross-Country Comparative Analysis of Congestion Pricing Systems: Lessons for Decarbonizing Transportation","title-short":"A Cross-Country Comparative Analysis of Congestion Pricing Systems","volume":"15","author":[{"family":"Veitch","given":"Erica"},{"family":"Rhodes","given":"Ekaterina"}],"issued":{"date-parts":[["2024",3,1]]}}}],"schema":"https://github.com/citation-style-language/schema/raw/master/csl-citation.json"} </w:instrText>
      </w:r>
      <w:r w:rsidR="00DC71A4">
        <w:fldChar w:fldCharType="separate"/>
      </w:r>
      <w:r w:rsidR="00DC71A4" w:rsidRPr="00BF5DF7">
        <w:t>(D’Agostino et al., 2020; Veitch and Rhodes, 2024)</w:t>
      </w:r>
      <w:r w:rsidR="00DC71A4">
        <w:fldChar w:fldCharType="end"/>
      </w:r>
      <w:r w:rsidR="00DC71A4" w:rsidRPr="00D67005">
        <w:t xml:space="preserve">. Moreover, when lane or road pricing is used to </w:t>
      </w:r>
      <w:r w:rsidR="00DC71A4">
        <w:t xml:space="preserve">manage travel demand along highly congested corridors, </w:t>
      </w:r>
      <w:r w:rsidR="00DC71A4" w:rsidRPr="00D67005">
        <w:t>priced facilit</w:t>
      </w:r>
      <w:r w:rsidR="00DC71A4">
        <w:t>ies</w:t>
      </w:r>
      <w:r w:rsidR="00DC71A4" w:rsidRPr="00D67005">
        <w:t xml:space="preserve"> </w:t>
      </w:r>
      <w:r w:rsidR="00DC71A4">
        <w:t xml:space="preserve">are </w:t>
      </w:r>
      <w:r w:rsidR="00DC71A4" w:rsidRPr="00D67005">
        <w:t xml:space="preserve">often made available to certain public transit services without additional charges to </w:t>
      </w:r>
      <w:r w:rsidR="00DC71A4">
        <w:t xml:space="preserve">encourage </w:t>
      </w:r>
      <w:r w:rsidR="00DC71A4" w:rsidRPr="00D67005">
        <w:t>transit adoption</w:t>
      </w:r>
      <w:r w:rsidR="00DC71A4">
        <w:t xml:space="preserve"> </w:t>
      </w:r>
      <w:r w:rsidR="00DC71A4">
        <w:fldChar w:fldCharType="begin"/>
      </w:r>
      <w:r w:rsidR="00DC71A4">
        <w:instrText xml:space="preserve"> ADDIN ZOTERO_ITEM CSL_CITATION {"citationID":"YHFVpo3K","properties":{"unsorted":false,"formattedCitation":"(Newmark, 2014)","plainCitation":"(Newmark, 2014)","noteIndex":0},"citationItems":[{"id":6432,"uris":["http://zotero.org/users/12832277/items/GY2I99JH"],"itemData":{"id":6432,"type":"article-journal","abstract":"As more and more regions seek to implement high-occupancy toll or HOT lanes, more and more transit agencies seek knowledge to take advantage of this new infrastructure opportunity. Unfortunately, as is often the case with the rapid diffusion of a new technology, little information is available to guide policy. This research addresses the need for knowledge on the integration of transit with HOT lanes. It first identifies the salient elements of HOT lanes for transit agencies and then systematically compares these features across all 12 HOT lane facilities operating in the United States at the start of 2012. This paper combines a review of the limited literature on HOT lane/transit integration with detailed data collection from functioning projects. The text aims at a general comparison; however, the tables offer an additional degree of detail to facilitate further exploration.","container-title":"Journal of Public Transportation","DOI":"10.5038/2375-0901.17.3.7","ISSN":"1077-291X","issue":"3","journalAbbreviation":"Journal of Public Transportation","page":"97-114","source":"ScienceDirect","title":"HOT for Transit? Transit’s Experience of High-Occupancy Toll Lanes","title-short":"HOT for Transit?","volume":"17","author":[{"family":"Newmark","given":"Gregory L."}],"issued":{"date-parts":[["2014",7,1]]}}}],"schema":"https://github.com/citation-style-language/schema/raw/master/csl-citation.json"} </w:instrText>
      </w:r>
      <w:r w:rsidR="00DC71A4">
        <w:fldChar w:fldCharType="separate"/>
      </w:r>
      <w:r w:rsidR="00DC71A4" w:rsidRPr="008F122F">
        <w:t>(Newmark, 2014)</w:t>
      </w:r>
      <w:r w:rsidR="00DC71A4">
        <w:fldChar w:fldCharType="end"/>
      </w:r>
      <w:r w:rsidR="00DC71A4" w:rsidRPr="00D67005">
        <w:t xml:space="preserve">. Consequently, </w:t>
      </w:r>
      <w:r w:rsidR="00DC71A4">
        <w:t xml:space="preserve">the policy relevance of </w:t>
      </w:r>
      <w:r w:rsidR="00DC71A4" w:rsidRPr="00D67005">
        <w:t xml:space="preserve">estimating </w:t>
      </w:r>
      <w:r w:rsidR="00DC71A4">
        <w:t>VTTS</w:t>
      </w:r>
      <w:r w:rsidR="00DC71A4" w:rsidRPr="00D67005">
        <w:t xml:space="preserve"> for congestion delay reduction among </w:t>
      </w:r>
      <w:r w:rsidR="00DC71A4">
        <w:t xml:space="preserve">regular </w:t>
      </w:r>
      <w:r w:rsidR="00DC71A4" w:rsidRPr="00D67005">
        <w:t xml:space="preserve">public transit users is </w:t>
      </w:r>
      <w:r w:rsidR="00DC71A4">
        <w:t>more indirect than for private motorized modes</w:t>
      </w:r>
      <w:r w:rsidR="00DC71A4" w:rsidRPr="00D67005">
        <w:t>.</w:t>
      </w:r>
      <w:r w:rsidR="00DC71A4">
        <w:t xml:space="preserve"> A</w:t>
      </w:r>
      <w:r w:rsidR="00DC71A4" w:rsidRPr="00D67005">
        <w:t>dditional</w:t>
      </w:r>
      <w:r w:rsidR="00DC71A4">
        <w:t xml:space="preserve">ly, in the Indian context, many public transit users </w:t>
      </w:r>
      <w:r w:rsidR="00DC71A4" w:rsidRPr="00D67005">
        <w:t xml:space="preserve">tend to have relatively lower incomes and </w:t>
      </w:r>
      <w:r w:rsidR="00DC71A4">
        <w:t xml:space="preserve">rely on highly subsidized services with dedicated rights-of-way in certain corridors </w:t>
      </w:r>
      <w:r w:rsidR="00DC71A4">
        <w:fldChar w:fldCharType="begin"/>
      </w:r>
      <w:r w:rsidR="00DC71A4">
        <w:instrText xml:space="preserve"> ADDIN ZOTERO_ITEM CSL_CITATION {"citationID":"uaa86jPz","properties":{"unsorted":true,"formattedCitation":"(Shaban and Sattar, 2023; Sarath et al., 2026)","plainCitation":"(Shaban and Sattar, 2023; Sarath et al., 2026)","noteIndex":0},"citationItems":[{"id":4869,"uris":["http://zotero.org/users/12832277/items/S7LVAMTV"],"itemData":{"id":4869,"type":"article-journal","abstract":"Social and physical infrastructure development needs to catch up to population growth in cities of the Global South. The infrastructures are emerging in piecemeal ways following demand, be it housing, water supply, electricity, financial, educational, health or transport services. Indian cities are typical examples of this and can be called archetypes of the problem. This paper finds that transport infrastructure development in Mumbai Metropolitan Region has not kept pace with the demand. Notwithstanding recent developments, urban mobility in the region is characterised by traffic jams, delays and a lack of integrated and inclusionary transport systems, adversely affecting the economic efficiency of the region through loss of labour time, delays in deliveries of goods and services, environmental pollution and health costs.","container-title":"Urban, Planning and Transport Research","DOI":"10.1080/21650020.2023.2212745","ISSN":"null","issue":"1","note":"_eprint: https://doi.org/10.1080/21650020.2023.2212745","page":"2212745","publisher":"Routledge","source":"Taylor and Francis+NEJM","title":"Mobility and Transport Infrastructure in Mumbai Metropolitan Region: Growth, Exclusion and Modal Choices","volume":"11","author":[{"family":"Shaban","given":"Abdul"},{"family":"Sattar","given":"Sanjukta"}],"issued":{"date-parts":[["2023",12,31]]}}},{"id":6437,"uris":["http://zotero.org/users/12832277/items/2BVJ2WIQ"],"itemData":{"id":6437,"type":"article-journal","abstract":"Urban transport appraisals in emerging economies rely on cost-benefit analysis frameworks that exclude equity and distributional considerations. This approach could exacerbate inequalities in access and opportunities, disproportionately affecting vulnerable populations. Existing literature lacks holistic transport equity assessment frameworks tailored for emerging economies. This study develops and applies a novel framework, grounded in Rawlsian Justice theory and the Capability Approach. The framework adopts a multidimensional evaluation of distributive justice and individual capability perspectives and employs a mixed-method approach incorporating spatial, economic, and qualitative dimensions. Applying the framework to Mumbai reveals notable inequities. 27 % of the slum population lives in areas with severe transit supply-demand deficits. Metro and suburban rail service coverage spatially excludes many slum settlements, and affordability analysis indicates Metro and Suburban AC fares are largely unaffordable for minimum wage earners. The policy analysis reveals limited inclusion of vulnerable groups in planning documents, and budget analysis highlights disproportionate resource allocation: 87 % of the transport budget is directed towards private vehicle-oriented investments that serve only 9 % of the population(private vehicle users), while non-motorised transport and bus service receive a negligible share. Stakeholder perspectives further underscore the fragmented institutional arrangements and technocratic planning that limit consideration of vulnerable groups. The findings indicate a lack of distributive justice principles in the current transport policy, with minimal prioritisation of the least advantaged groups. This study contributes a practical framework for city-level transport equity assessment, offering a valuable tool for policymakers and institutions in emerging economy contexts.","container-title":"Cities","DOI":"10.1016/j.cities.2025.106503","ISSN":"0264-2751","journalAbbreviation":"Cities","page":"106503","source":"ScienceDirect","title":"A Multidimensional Urban Transport Equity Assessment Framework: A Case of Mumbai","title-short":"A Multidimensional Urban Transport Equity Assessment Framework","volume":"169","author":[{"family":"Sarath","given":"K. T."},{"family":"Mishra","given":"Trupti"},{"family":"Banerjee","given":"Rangan"}],"issued":{"date-parts":[["2026",2,1]]}}}],"schema":"https://github.com/citation-style-language/schema/raw/master/csl-citation.json"} </w:instrText>
      </w:r>
      <w:r w:rsidR="00DC71A4">
        <w:fldChar w:fldCharType="separate"/>
      </w:r>
      <w:r w:rsidR="00DC71A4" w:rsidRPr="008461AF">
        <w:t>(Shaban and Sattar, 2023; Sarath et al., 2026)</w:t>
      </w:r>
      <w:r w:rsidR="00DC71A4">
        <w:fldChar w:fldCharType="end"/>
      </w:r>
      <w:r w:rsidR="00DC71A4" w:rsidRPr="00D67005">
        <w:t xml:space="preserve">. </w:t>
      </w:r>
      <w:r w:rsidR="00DC71A4">
        <w:t xml:space="preserve">For these reasons, the current study focuses on motorized road-based modes directly subject to congestion pricing, while recognizing that future work could explicitly examine transit-user VTTS in alternative policy contexts. </w:t>
      </w:r>
    </w:p>
    <w:p w14:paraId="04A88043" w14:textId="07A58495" w:rsidR="00F77ECE" w:rsidRPr="004811C9" w:rsidRDefault="00214D8D" w:rsidP="000F6B57">
      <w:pPr>
        <w:spacing w:after="0" w:line="240" w:lineRule="auto"/>
        <w:ind w:firstLine="720"/>
        <w:jc w:val="both"/>
        <w:rPr>
          <w:rFonts w:cs="Times New Roman"/>
          <w:b/>
          <w:bCs/>
        </w:rPr>
      </w:pPr>
      <w:r w:rsidRPr="004811C9">
        <w:rPr>
          <w:rFonts w:cs="Times New Roman"/>
        </w:rPr>
        <w:t>Next</w:t>
      </w:r>
      <w:r w:rsidR="008E43D8" w:rsidRPr="004811C9">
        <w:rPr>
          <w:rFonts w:cs="Times New Roman"/>
        </w:rPr>
        <w:t xml:space="preserve">, for each </w:t>
      </w:r>
      <w:r w:rsidR="00426E78" w:rsidRPr="004811C9">
        <w:rPr>
          <w:rFonts w:cs="Times New Roman"/>
        </w:rPr>
        <w:t>respondent, based</w:t>
      </w:r>
      <w:r w:rsidR="008E43D8" w:rsidRPr="004811C9">
        <w:rPr>
          <w:rFonts w:cs="Times New Roman"/>
        </w:rPr>
        <w:t xml:space="preserve"> </w:t>
      </w:r>
      <w:r w:rsidR="00426E78" w:rsidRPr="004811C9">
        <w:rPr>
          <w:rFonts w:cs="Times New Roman"/>
        </w:rPr>
        <w:t xml:space="preserve">on </w:t>
      </w:r>
      <w:r w:rsidR="008E43D8" w:rsidRPr="004811C9">
        <w:rPr>
          <w:rFonts w:cs="Times New Roman"/>
        </w:rPr>
        <w:t>their most frequent trip</w:t>
      </w:r>
      <w:r w:rsidR="00426E78" w:rsidRPr="004811C9">
        <w:rPr>
          <w:rFonts w:cs="Times New Roman"/>
        </w:rPr>
        <w:t>-mode combination</w:t>
      </w:r>
      <w:r w:rsidR="008E43D8" w:rsidRPr="004811C9">
        <w:rPr>
          <w:rFonts w:cs="Times New Roman"/>
        </w:rPr>
        <w:t xml:space="preserve">, </w:t>
      </w:r>
      <w:r w:rsidR="002512AD" w:rsidRPr="004811C9">
        <w:rPr>
          <w:rFonts w:cs="Times New Roman"/>
        </w:rPr>
        <w:t>the survey sought informatio</w:t>
      </w:r>
      <w:r w:rsidR="00426E78" w:rsidRPr="004811C9">
        <w:rPr>
          <w:rFonts w:cs="Times New Roman"/>
        </w:rPr>
        <w:t xml:space="preserve">n </w:t>
      </w:r>
      <w:r w:rsidR="002512AD" w:rsidRPr="004811C9">
        <w:rPr>
          <w:rFonts w:cs="Times New Roman"/>
        </w:rPr>
        <w:t xml:space="preserve">on the </w:t>
      </w:r>
      <w:r w:rsidR="004A052B" w:rsidRPr="004811C9">
        <w:rPr>
          <w:rFonts w:cs="Times New Roman"/>
        </w:rPr>
        <w:t xml:space="preserve">“usual travel time,” the “worst case travel time,” and the “travel time </w:t>
      </w:r>
      <w:r w:rsidR="004A052B" w:rsidRPr="004811C9">
        <w:rPr>
          <w:rFonts w:cs="Times New Roman"/>
        </w:rPr>
        <w:lastRenderedPageBreak/>
        <w:t xml:space="preserve">when there is no traffic congestion (imagine traveling at 2 AM).” </w:t>
      </w:r>
      <w:r w:rsidR="002512AD" w:rsidRPr="004811C9">
        <w:rPr>
          <w:rFonts w:cs="Times New Roman"/>
        </w:rPr>
        <w:t>Next</w:t>
      </w:r>
      <w:r w:rsidR="004F5405" w:rsidRPr="004811C9">
        <w:rPr>
          <w:rFonts w:cs="Times New Roman"/>
        </w:rPr>
        <w:t xml:space="preserve">, </w:t>
      </w:r>
      <w:r w:rsidR="004525EB" w:rsidRPr="004811C9">
        <w:rPr>
          <w:rFonts w:cs="Times New Roman"/>
        </w:rPr>
        <w:t xml:space="preserve">respondents were asked </w:t>
      </w:r>
      <w:r w:rsidR="000409E1" w:rsidRPr="004811C9">
        <w:rPr>
          <w:rFonts w:cs="Times New Roman"/>
        </w:rPr>
        <w:t>whether they would be willing to pay to save time on this route. The travel time savings were presented as the difference between the “usual travel time” and the “travel time when there is no traffic congestion,” simulating the addition of a priced lane along the respondent’s route that would operate a</w:t>
      </w:r>
      <w:r w:rsidR="00D66BC3" w:rsidRPr="004811C9">
        <w:rPr>
          <w:rFonts w:cs="Times New Roman"/>
        </w:rPr>
        <w:t>t</w:t>
      </w:r>
      <w:r w:rsidR="000409E1" w:rsidRPr="004811C9">
        <w:rPr>
          <w:rFonts w:cs="Times New Roman"/>
        </w:rPr>
        <w:t xml:space="preserve"> free-flow speeds</w:t>
      </w:r>
      <w:r w:rsidR="0085139E">
        <w:rPr>
          <w:rFonts w:cs="Times New Roman"/>
        </w:rPr>
        <w:t xml:space="preserve"> (</w:t>
      </w:r>
      <w:r w:rsidR="00462BAA">
        <w:rPr>
          <w:rFonts w:cs="Times New Roman"/>
        </w:rPr>
        <w:t>the median offered travel time savings based on these values was 15 minutes, the mean travel time savings was 20 minutes</w:t>
      </w:r>
      <w:r w:rsidR="00A85E13">
        <w:rPr>
          <w:rFonts w:cs="Times New Roman"/>
        </w:rPr>
        <w:t>, the minimum was 2 minutes, and the maximum was 95 minutes</w:t>
      </w:r>
      <w:r w:rsidR="00077273">
        <w:rPr>
          <w:rFonts w:cs="Times New Roman"/>
        </w:rPr>
        <w:t xml:space="preserve">; </w:t>
      </w:r>
      <w:r w:rsidR="00077273">
        <w:t xml:space="preserve">also, when eliciting the travel time savings, </w:t>
      </w:r>
      <w:r w:rsidR="00077273" w:rsidRPr="009219DD">
        <w:t>th</w:t>
      </w:r>
      <w:r w:rsidR="00077273">
        <w:t>e question specifically mentioned the potential of a priced lane being available that users could pay to use to get the reduced travel time</w:t>
      </w:r>
      <w:r w:rsidR="00462BAA">
        <w:rPr>
          <w:rFonts w:cs="Times New Roman"/>
        </w:rPr>
        <w:t>)</w:t>
      </w:r>
      <w:r w:rsidR="000409E1" w:rsidRPr="004811C9">
        <w:rPr>
          <w:rFonts w:cs="Times New Roman"/>
        </w:rPr>
        <w:t xml:space="preserve">. </w:t>
      </w:r>
      <w:r w:rsidR="00446C2E">
        <w:rPr>
          <w:rFonts w:cs="Times New Roman"/>
        </w:rPr>
        <w:t>Notably, t</w:t>
      </w:r>
      <w:r w:rsidR="00547FD2">
        <w:rPr>
          <w:rFonts w:cs="Times New Roman"/>
        </w:rPr>
        <w:t xml:space="preserve">he framing of the question around the respondent’s travel time estimates does not </w:t>
      </w:r>
      <w:r w:rsidR="00EA6A9A">
        <w:rPr>
          <w:rFonts w:cs="Times New Roman"/>
        </w:rPr>
        <w:t xml:space="preserve">rely on </w:t>
      </w:r>
      <w:r w:rsidR="001F76C9">
        <w:rPr>
          <w:rFonts w:cs="Times New Roman"/>
        </w:rPr>
        <w:t xml:space="preserve">them making completely accurate </w:t>
      </w:r>
      <w:r w:rsidR="00A85E13">
        <w:rPr>
          <w:rFonts w:cs="Times New Roman"/>
        </w:rPr>
        <w:t xml:space="preserve">objective </w:t>
      </w:r>
      <w:r w:rsidR="001F76C9">
        <w:rPr>
          <w:rFonts w:cs="Times New Roman"/>
        </w:rPr>
        <w:t xml:space="preserve">predictions of these values, but instead </w:t>
      </w:r>
      <w:r w:rsidR="005C309A">
        <w:rPr>
          <w:rFonts w:cs="Times New Roman"/>
        </w:rPr>
        <w:t>create</w:t>
      </w:r>
      <w:r w:rsidR="00AC401F">
        <w:rPr>
          <w:rFonts w:cs="Times New Roman"/>
        </w:rPr>
        <w:t>s</w:t>
      </w:r>
      <w:r w:rsidR="005C309A">
        <w:rPr>
          <w:rFonts w:cs="Times New Roman"/>
        </w:rPr>
        <w:t xml:space="preserve"> a respondent specific anchor for what </w:t>
      </w:r>
      <w:r w:rsidR="005C309A" w:rsidRPr="005C309A">
        <w:rPr>
          <w:rFonts w:cs="Times New Roman"/>
        </w:rPr>
        <w:t>a congestion-free version of their regular trip would look like</w:t>
      </w:r>
      <w:r w:rsidR="00AC401F">
        <w:rPr>
          <w:rFonts w:cs="Times New Roman"/>
        </w:rPr>
        <w:t xml:space="preserve">. Thus, this approach </w:t>
      </w:r>
      <w:r w:rsidR="00B3483B">
        <w:rPr>
          <w:rFonts w:cs="Times New Roman"/>
        </w:rPr>
        <w:t xml:space="preserve">is essentially a pivot design that </w:t>
      </w:r>
      <w:r w:rsidR="00AC401F">
        <w:rPr>
          <w:rFonts w:cs="Times New Roman"/>
        </w:rPr>
        <w:t xml:space="preserve">generates </w:t>
      </w:r>
      <w:r w:rsidR="0087233B">
        <w:rPr>
          <w:rFonts w:cs="Times New Roman"/>
        </w:rPr>
        <w:t>values for delay reductions that are customized to the trips of each individual</w:t>
      </w:r>
      <w:r w:rsidR="00261168">
        <w:rPr>
          <w:rFonts w:cs="Times New Roman"/>
        </w:rPr>
        <w:t xml:space="preserve">, improving the realism and credibility of the experiment </w:t>
      </w:r>
      <w:r w:rsidR="00590FD0">
        <w:rPr>
          <w:rFonts w:cs="Times New Roman"/>
        </w:rPr>
        <w:fldChar w:fldCharType="begin"/>
      </w:r>
      <w:r w:rsidR="00590FD0">
        <w:rPr>
          <w:rFonts w:cs="Times New Roman"/>
        </w:rPr>
        <w:instrText xml:space="preserve"> ADDIN ZOTERO_ITEM CSL_CITATION {"citationID":"AshYnnQT","properties":{"unsorted":true,"formattedCitation":"(Train and Wilson, 2008; Haghani et al., 2021)","plainCitation":"(Train and Wilson, 2008; Haghani et al., 2021)","noteIndex":0},"citationItems":[{"id":6224,"uris":["http://zotero.org/users/12832277/items/3UU9PIVT"],"itemData":{"id":6224,"type":"article-journal","abstract":"Constructing stated-preference (sp) experiments from a choice that the respondent made in a revealed-preference setting can enhance the realism of the sp task and the efficacy of preference revelation. However, the practice creates dependence between the sp attributes and unobserved factors, contrary to the independence assumption that is maintained for standard estimation procedures. We describe a general estimation method that accounts for this non-independence and give specific examples based on standard and mixed logit specifications of utility. We show conditions under which standard estimation methods are consistent despite the non-independence. We illustrate the general methodology through an application to shippers’ choice of route and mode along the Columbia/Snake River system.","collection-title":"A Tribute to the Career of Frank Koppelman","container-title":"Transportation Research Part B: Methodological","DOI":"10.1016/j.trb.2007.04.012","ISSN":"0191-2615","issue":"3","journalAbbreviation":"Transportation Research Part B: Methodological","page":"191-203","source":"ScienceDirect","title":"Estimation on Stated-Preference Experiments Constructed from Revealed-Preference Choices","volume":"42","author":[{"family":"Train","given":"Kenneth"},{"family":"Wilson","given":"Wesley W."}],"issued":{"date-parts":[["2008",3,1]]}}},{"id":6227,"uris":["http://zotero.org/users/12832277/items/5UQQ7X6E"],"itemData":{"id":6227,"type":"article-journal","abstract":"This paper follows the review of empirical evidence on the existence of hypothetical bias (HB) in choice experiments (CEs) presented in Part I of this study. It observes how the variation in operational definitions of HB has prohibited consistent measurement of HB in CE. It offers a unifying definition of HB and presents an integrative framework of how HB relates to but is also distinct from external validity (EV), with HB representing one component of the wider concept of EV. The paper further identifies major sources of HB and discusses explanations as well as possible moderating factors of HB. The paper reviews methods of HB mitigation identified in the literature and the empirical evidence of their effectiveness. The review includes both ex-ante and ex-post bias mitigation methods. Ex-ante bias mitigation methods include cheap talk, real talk, consequentiality scripts, solemn oath scripts, opt-out reminders, budget reminders, honesty priming, induced truth telling, indirect questioning, time to think and pivot designs. Ex-post methods include follow-up certainty calibration scales, respondent perceived consequentiality scales, and revealed-preference-assisted estimation. It is observed that the mitigation methods and their preferred use vary markedly across different sectors of applied economics. The existing empirical evidence points to the overall effectiveness of mitigation strategies in reducing HB, although there is some variation. The paper further discusses how each mitigation method can counter a certain subset of HB sources. Considering the prevalence of HB in CEs and the effectiveness of bias mitigation methods, it is recommended that implementation of at least one bias mitigation method (or a suitable combination where possible) becomes standard practice in conducting CEs to ensure that inferences and subsequent policy decisions are as much as possible free of HB.","container-title":"Journal of Choice Modelling","DOI":"10.1016/j.jocm.2021.100322","ISSN":"1755-5345","journalAbbreviation":"Journal of Choice Modelling","page":"100322","source":"ScienceDirect","title":"Hypothetical Bias in Stated Choice Experiments: Part II. Conceptualisation of External Validity, Sources and Explanations of Bias and Effectiveness of Mitigation Methods","title-short":"Hypothetical Bias in Stated Choice Experiments","volume":"41","author":[{"family":"Haghani","given":"Milad"},{"family":"Bliemer","given":"Michiel C. J."},{"family":"Rose","given":"John M."},{"family":"Oppewal","given":"Harmen"},{"family":"Lancsar","given":"Emily"}],"issued":{"date-parts":[["2021",12,1]]}}}],"schema":"https://github.com/citation-style-language/schema/raw/master/csl-citation.json"} </w:instrText>
      </w:r>
      <w:r w:rsidR="00590FD0">
        <w:rPr>
          <w:rFonts w:cs="Times New Roman"/>
        </w:rPr>
        <w:fldChar w:fldCharType="separate"/>
      </w:r>
      <w:r w:rsidR="00590FD0" w:rsidRPr="00590FD0">
        <w:rPr>
          <w:rFonts w:cs="Times New Roman"/>
        </w:rPr>
        <w:t>(Train and Wilson, 2008; Haghani et al., 2021)</w:t>
      </w:r>
      <w:r w:rsidR="00590FD0">
        <w:rPr>
          <w:rFonts w:cs="Times New Roman"/>
        </w:rPr>
        <w:fldChar w:fldCharType="end"/>
      </w:r>
      <w:r w:rsidR="00261168" w:rsidRPr="00590FD0">
        <w:rPr>
          <w:rFonts w:cs="Times New Roman"/>
        </w:rPr>
        <w:t xml:space="preserve">. </w:t>
      </w:r>
      <w:r w:rsidR="00DC2277" w:rsidRPr="004811C9">
        <w:rPr>
          <w:rFonts w:cs="Times New Roman"/>
        </w:rPr>
        <w:t xml:space="preserve">For this </w:t>
      </w:r>
      <w:r w:rsidR="00261168">
        <w:rPr>
          <w:rFonts w:cs="Times New Roman"/>
        </w:rPr>
        <w:t>customized</w:t>
      </w:r>
      <w:r w:rsidR="00261168" w:rsidRPr="004811C9">
        <w:rPr>
          <w:rFonts w:cs="Times New Roman"/>
        </w:rPr>
        <w:t xml:space="preserve"> </w:t>
      </w:r>
      <w:r w:rsidR="00DC2277" w:rsidRPr="004811C9">
        <w:rPr>
          <w:rFonts w:cs="Times New Roman"/>
        </w:rPr>
        <w:t>potential delay reduction, respondents were asked</w:t>
      </w:r>
      <w:r w:rsidR="00967C2A" w:rsidRPr="004811C9">
        <w:rPr>
          <w:rFonts w:cs="Times New Roman"/>
        </w:rPr>
        <w:t xml:space="preserve"> whether they would be willing to pay 50 rupees</w:t>
      </w:r>
      <w:r w:rsidR="0014140B" w:rsidRPr="00F16FEB">
        <w:rPr>
          <w:rStyle w:val="FootnoteReference"/>
        </w:rPr>
        <w:footnoteReference w:id="2"/>
      </w:r>
      <w:r w:rsidR="00967C2A" w:rsidRPr="004811C9">
        <w:rPr>
          <w:rFonts w:cs="Times New Roman"/>
        </w:rPr>
        <w:t xml:space="preserve"> </w:t>
      </w:r>
      <w:r w:rsidR="00C0507F" w:rsidRPr="004811C9">
        <w:rPr>
          <w:rFonts w:cs="Times New Roman"/>
        </w:rPr>
        <w:t>to get the delay reduction</w:t>
      </w:r>
      <w:r w:rsidR="00D52724" w:rsidRPr="004811C9">
        <w:rPr>
          <w:rFonts w:cs="Times New Roman"/>
        </w:rPr>
        <w:t xml:space="preserve"> (t</w:t>
      </w:r>
      <w:r w:rsidR="00C0507F" w:rsidRPr="004811C9">
        <w:rPr>
          <w:rFonts w:cs="Times New Roman"/>
        </w:rPr>
        <w:t xml:space="preserve">hose that were not willing to pay 50 rupees </w:t>
      </w:r>
      <w:r w:rsidR="00F25298" w:rsidRPr="004811C9">
        <w:rPr>
          <w:rFonts w:cs="Times New Roman"/>
        </w:rPr>
        <w:t>were assigned</w:t>
      </w:r>
      <w:r w:rsidR="00C0507F" w:rsidRPr="004811C9">
        <w:rPr>
          <w:rFonts w:cs="Times New Roman"/>
        </w:rPr>
        <w:t xml:space="preserve"> the value </w:t>
      </w:r>
      <w:r w:rsidR="00F25298" w:rsidRPr="004811C9">
        <w:rPr>
          <w:rFonts w:cs="Times New Roman"/>
        </w:rPr>
        <w:t xml:space="preserve">of </w:t>
      </w:r>
      <w:r w:rsidR="00C0507F" w:rsidRPr="004811C9">
        <w:rPr>
          <w:rFonts w:cs="Times New Roman"/>
        </w:rPr>
        <w:t>zero</w:t>
      </w:r>
      <w:r w:rsidR="00D52724" w:rsidRPr="004811C9">
        <w:rPr>
          <w:rFonts w:cs="Times New Roman"/>
        </w:rPr>
        <w:t xml:space="preserve"> for the binary </w:t>
      </w:r>
      <w:r w:rsidRPr="004811C9">
        <w:rPr>
          <w:rFonts w:cs="Times New Roman"/>
        </w:rPr>
        <w:t xml:space="preserve">WTP </w:t>
      </w:r>
      <w:r w:rsidR="00D52724" w:rsidRPr="004811C9">
        <w:rPr>
          <w:rFonts w:cs="Times New Roman"/>
        </w:rPr>
        <w:t>outcome</w:t>
      </w:r>
      <w:r w:rsidR="00F25298" w:rsidRPr="004811C9">
        <w:rPr>
          <w:rFonts w:cs="Times New Roman"/>
        </w:rPr>
        <w:t>, while those who were willing to pay 50 rupees were assigned the value of one</w:t>
      </w:r>
      <w:r w:rsidR="00D52724" w:rsidRPr="004811C9">
        <w:rPr>
          <w:rFonts w:cs="Times New Roman"/>
        </w:rPr>
        <w:t>).</w:t>
      </w:r>
      <w:r w:rsidR="002C635F" w:rsidRPr="00F16FEB">
        <w:rPr>
          <w:rStyle w:val="FootnoteReference"/>
        </w:rPr>
        <w:footnoteReference w:id="3"/>
      </w:r>
      <w:r w:rsidR="00D52724" w:rsidRPr="004811C9">
        <w:rPr>
          <w:rFonts w:cs="Times New Roman"/>
        </w:rPr>
        <w:t xml:space="preserve"> Then, respondents who were willing to pay 50 rupees were asked iteratively whether they would pay higher amounts in 50 rupee increments </w:t>
      </w:r>
      <w:r w:rsidR="00B41AEE" w:rsidRPr="004811C9">
        <w:rPr>
          <w:rFonts w:cs="Times New Roman"/>
        </w:rPr>
        <w:t>until they were no longer willing to pay the requested amount</w:t>
      </w:r>
      <w:r w:rsidR="00E101C6">
        <w:rPr>
          <w:rFonts w:cs="Times New Roman"/>
        </w:rPr>
        <w:t>. T</w:t>
      </w:r>
      <w:r w:rsidR="00AD7261">
        <w:rPr>
          <w:rFonts w:cs="Times New Roman"/>
        </w:rPr>
        <w:t>hese requests were made up to a maximum of 1000 rupees or 20 iterative bids</w:t>
      </w:r>
      <w:r w:rsidR="00317432">
        <w:rPr>
          <w:rFonts w:cs="Times New Roman"/>
        </w:rPr>
        <w:t xml:space="preserve"> (</w:t>
      </w:r>
      <w:r w:rsidR="000F6B57">
        <w:rPr>
          <w:rFonts w:cs="Times New Roman"/>
        </w:rPr>
        <w:t>though</w:t>
      </w:r>
      <w:r w:rsidR="00317432">
        <w:rPr>
          <w:rFonts w:cs="Times New Roman"/>
        </w:rPr>
        <w:t xml:space="preserve"> the value of travel time savings </w:t>
      </w:r>
      <w:r w:rsidR="00606126">
        <w:rPr>
          <w:rFonts w:cs="Times New Roman"/>
        </w:rPr>
        <w:t xml:space="preserve">had more variability and </w:t>
      </w:r>
      <w:r w:rsidR="00317432">
        <w:rPr>
          <w:rFonts w:cs="Times New Roman"/>
        </w:rPr>
        <w:t>could be much higher, as the travel time savings presented to each respondent was generally much less than an hour</w:t>
      </w:r>
      <w:r w:rsidR="000F6B57">
        <w:rPr>
          <w:rFonts w:cs="Times New Roman"/>
        </w:rPr>
        <w:t>)</w:t>
      </w:r>
      <w:r w:rsidR="00AD7261">
        <w:rPr>
          <w:rFonts w:cs="Times New Roman"/>
        </w:rPr>
        <w:t xml:space="preserve">, </w:t>
      </w:r>
      <w:r w:rsidR="000F6B57">
        <w:rPr>
          <w:rFonts w:cs="Times New Roman"/>
        </w:rPr>
        <w:t>and</w:t>
      </w:r>
      <w:r w:rsidR="00AD7261">
        <w:rPr>
          <w:rFonts w:cs="Times New Roman"/>
        </w:rPr>
        <w:t xml:space="preserve"> 76% of respondents </w:t>
      </w:r>
      <w:r w:rsidR="00AA1324">
        <w:rPr>
          <w:rFonts w:cs="Times New Roman"/>
        </w:rPr>
        <w:t>rejected a bid within the first eight requests</w:t>
      </w:r>
      <w:r w:rsidR="00B41AEE" w:rsidRPr="004811C9">
        <w:rPr>
          <w:rFonts w:cs="Times New Roman"/>
        </w:rPr>
        <w:t xml:space="preserve">. To calculate the </w:t>
      </w:r>
      <w:r w:rsidR="00F4773F" w:rsidRPr="004811C9">
        <w:rPr>
          <w:rFonts w:cs="Times New Roman"/>
          <w:i/>
        </w:rPr>
        <w:t>cVTTS</w:t>
      </w:r>
      <w:r w:rsidR="00D73BA1" w:rsidRPr="004811C9">
        <w:rPr>
          <w:rFonts w:cs="Times New Roman"/>
        </w:rPr>
        <w:t>, the highest amount that a respondent was willing to pay</w:t>
      </w:r>
      <w:r w:rsidR="008278B3">
        <w:rPr>
          <w:rFonts w:cs="Times New Roman"/>
        </w:rPr>
        <w:t xml:space="preserve"> (the </w:t>
      </w:r>
      <w:r w:rsidR="00144800">
        <w:rPr>
          <w:rFonts w:cs="Times New Roman"/>
        </w:rPr>
        <w:t>last value offered to them that they accepted</w:t>
      </w:r>
      <w:r w:rsidR="00454231">
        <w:rPr>
          <w:rFonts w:cs="Times New Roman"/>
        </w:rPr>
        <w:t xml:space="preserve"> was taken as the highest amount that they were willing to pay</w:t>
      </w:r>
      <w:r w:rsidR="00144800">
        <w:rPr>
          <w:rFonts w:cs="Times New Roman"/>
        </w:rPr>
        <w:t>)</w:t>
      </w:r>
      <w:r w:rsidR="00D73BA1" w:rsidRPr="004811C9">
        <w:rPr>
          <w:rFonts w:cs="Times New Roman"/>
        </w:rPr>
        <w:t xml:space="preserve"> was divided by their potential delay reduction</w:t>
      </w:r>
      <w:r w:rsidR="0007449C" w:rsidRPr="004811C9">
        <w:rPr>
          <w:rFonts w:cs="Times New Roman"/>
        </w:rPr>
        <w:t>.</w:t>
      </w:r>
      <w:r w:rsidR="002C2AD2">
        <w:rPr>
          <w:rFonts w:cs="Times New Roman"/>
        </w:rPr>
        <w:t xml:space="preserve"> </w:t>
      </w:r>
      <w:r w:rsidR="00FC6251">
        <w:rPr>
          <w:rFonts w:cs="Times New Roman"/>
        </w:rPr>
        <w:t>Thus, the time savings presented correspond</w:t>
      </w:r>
      <w:r w:rsidR="003D73A8">
        <w:rPr>
          <w:rFonts w:cs="Times New Roman"/>
        </w:rPr>
        <w:t>s</w:t>
      </w:r>
      <w:r w:rsidR="00FC6251">
        <w:rPr>
          <w:rFonts w:cs="Times New Roman"/>
        </w:rPr>
        <w:t xml:space="preserve"> to </w:t>
      </w:r>
      <w:r w:rsidR="003D73A8">
        <w:rPr>
          <w:rFonts w:cs="Times New Roman"/>
        </w:rPr>
        <w:t>a</w:t>
      </w:r>
      <w:r w:rsidR="00FC6251">
        <w:rPr>
          <w:rFonts w:cs="Times New Roman"/>
        </w:rPr>
        <w:t xml:space="preserve"> reduction </w:t>
      </w:r>
      <w:r w:rsidR="003D73A8">
        <w:rPr>
          <w:rFonts w:cs="Times New Roman"/>
        </w:rPr>
        <w:t>in</w:t>
      </w:r>
      <w:r w:rsidR="00FC6251">
        <w:rPr>
          <w:rFonts w:cs="Times New Roman"/>
        </w:rPr>
        <w:t xml:space="preserve"> congested time</w:t>
      </w:r>
      <w:r w:rsidR="00647F39">
        <w:rPr>
          <w:rFonts w:cs="Times New Roman"/>
        </w:rPr>
        <w:t>,</w:t>
      </w:r>
      <w:r w:rsidR="00897188">
        <w:rPr>
          <w:rFonts w:cs="Times New Roman"/>
        </w:rPr>
        <w:t xml:space="preserve"> and the </w:t>
      </w:r>
      <w:r w:rsidR="00897188">
        <w:rPr>
          <w:rFonts w:cs="Times New Roman"/>
          <w:i/>
          <w:iCs/>
        </w:rPr>
        <w:t>cVTTS</w:t>
      </w:r>
      <w:r w:rsidR="00897188">
        <w:rPr>
          <w:rFonts w:cs="Times New Roman"/>
        </w:rPr>
        <w:t xml:space="preserve"> elicited reflects the </w:t>
      </w:r>
      <w:r w:rsidR="003D73A8">
        <w:rPr>
          <w:rFonts w:cs="Times New Roman"/>
        </w:rPr>
        <w:t xml:space="preserve">stated monetary </w:t>
      </w:r>
      <w:r w:rsidR="00897188">
        <w:rPr>
          <w:rFonts w:cs="Times New Roman"/>
        </w:rPr>
        <w:t xml:space="preserve">value </w:t>
      </w:r>
      <w:r w:rsidR="003D73A8">
        <w:rPr>
          <w:rFonts w:cs="Times New Roman"/>
        </w:rPr>
        <w:t>attributed to this reduction</w:t>
      </w:r>
      <w:r w:rsidR="00897188">
        <w:rPr>
          <w:rFonts w:cs="Times New Roman"/>
        </w:rPr>
        <w:t xml:space="preserve">. </w:t>
      </w:r>
      <w:r w:rsidR="001002D4">
        <w:rPr>
          <w:rFonts w:cs="Times New Roman"/>
        </w:rPr>
        <w:t xml:space="preserve">One limitation of the iterative bidding CV design, as described above, is </w:t>
      </w:r>
      <w:r w:rsidR="00504E12">
        <w:rPr>
          <w:rFonts w:cs="Times New Roman"/>
        </w:rPr>
        <w:t xml:space="preserve">that the elicited values may be affected by starting-point anchoring </w:t>
      </w:r>
      <w:r w:rsidR="00504E12">
        <w:rPr>
          <w:rFonts w:cs="Times New Roman"/>
        </w:rPr>
        <w:fldChar w:fldCharType="begin"/>
      </w:r>
      <w:r w:rsidR="008345D7">
        <w:rPr>
          <w:rFonts w:cs="Times New Roman"/>
        </w:rPr>
        <w:instrText xml:space="preserve"> ADDIN ZOTERO_ITEM CSL_CITATION {"citationID":"SN5KA91p","properties":{"formattedCitation":"(Boyle et al., 1985; Johnston et al., 2017)","plainCitation":"(Boyle et al., 1985; Johnston et al., 2017)","noteIndex":0},"citationItems":[{"id":5040,"uris":["http://zotero.org/users/12832277/items/NSED87PM"],"itemData":{"id":5040,"type":"article-journal","container-title":"Land Economics","DOI":"10.2307/3145811","ISSN":"0023-7639","issue":"2","page":"188-194","publisher":"[Board of Regents of the University of Wisconsin System, University of Wisconsin Press]","source":"JSTOR","title":"Starting Point Bias in Contingent Valuation Bidding Games","volume":"61","author":[{"family":"Boyle","given":"Kevin J."},{"family":"Bishop","given":"Richard C."},{"family":"Welsh","given":"Michael P."}],"issued":{"date-parts":[["1985"]]}}},{"id":5916,"uris":["http://zotero.org/users/12832277/items/BYHGCT5X"],"itemData":{"id":5916,"type":"article-journal","abstract":"This article proposes contemporary best-practice recommendations for stated preference (SP) studies used to inform decision making, grounded in the accumulated body of peer-reviewed literature. These recommendations consider the use of SP methods to estimate both use and non-use (passive-use) values, and cover the broad SP domain, including contingent valuation and discrete choice experiments. We focus on applications to public goods in the context of the environment and human health but also consider ways in which the proposed recommendations might apply to other common areas of application. The recommendations recognize that SP results may be used and reused (benefit transfers) by governmental agencies and nongovernmental organizations, and that all such applications must be considered. The intended result is a set of guidelines for SP studies that is more comprehensive than that of the original National Oceanic and Atmospheric Administration (NOAA) Blue Ribbon Panel on contingent valuation, is more germane to contemporary applications, and reflects the two decades of research since that time. We also distinguish between practices for which accumulated research is sufficient to support recommendations and those for which greater uncertainty remains. The goal of this article is to raise the quality of SP studies used to support decision making and promote research that will further enhance the practice of these studies worldwide.","container-title":"Journal of the Association of Environmental and Resource Economists","DOI":"10.1086/691697","ISSN":"2333-5955","issue":"2","page":"319-405","publisher":"The University of Chicago Press","source":"journals.uchicago.edu (Atypon)","title":"Contemporary Guidance for Stated Preference Studies","volume":"4","author":[{"family":"Johnston","given":"Robert J."},{"family":"Boyle","given":"Kevin J."},{"family":"Adamowicz","given":"Wiktor (Vic)"},{"family":"Bennett","given":"Jeff"},{"family":"Brouwer","given":"Roy"},{"family":"Cameron","given":"Trudy Ann"},{"family":"Hanemann","given":"W. Michael"},{"family":"Hanley","given":"Nick"},{"family":"Ryan","given":"Mandy"},{"family":"Scarpa","given":"Riccardo"},{"family":"Tourangeau","given":"Roger"},{"family":"Vossler","given":"Christian A."}],"issued":{"date-parts":[["2017",6]]}}}],"schema":"https://github.com/citation-style-language/schema/raw/master/csl-citation.json"} </w:instrText>
      </w:r>
      <w:r w:rsidR="00504E12">
        <w:rPr>
          <w:rFonts w:cs="Times New Roman"/>
        </w:rPr>
        <w:fldChar w:fldCharType="separate"/>
      </w:r>
      <w:r w:rsidR="00BB5045" w:rsidRPr="00BB5045">
        <w:rPr>
          <w:rFonts w:cs="Times New Roman"/>
        </w:rPr>
        <w:t>(Boyle et al., 1985; Johnston et al., 2017)</w:t>
      </w:r>
      <w:r w:rsidR="00504E12">
        <w:rPr>
          <w:rFonts w:cs="Times New Roman"/>
        </w:rPr>
        <w:fldChar w:fldCharType="end"/>
      </w:r>
      <w:r w:rsidR="00B26069">
        <w:rPr>
          <w:rFonts w:cs="Times New Roman"/>
        </w:rPr>
        <w:t xml:space="preserve">. In the current </w:t>
      </w:r>
      <w:r w:rsidR="00B26069">
        <w:rPr>
          <w:rFonts w:cs="Times New Roman"/>
        </w:rPr>
        <w:lastRenderedPageBreak/>
        <w:t>context, however, the relatively modest</w:t>
      </w:r>
      <w:r w:rsidR="008F1473">
        <w:rPr>
          <w:rFonts w:cs="Times New Roman"/>
        </w:rPr>
        <w:t xml:space="preserve"> cost of travel time savings, particularly for short trips, means that </w:t>
      </w:r>
      <w:r w:rsidR="004D03B7">
        <w:rPr>
          <w:rFonts w:cs="Times New Roman"/>
        </w:rPr>
        <w:t xml:space="preserve">a relatively </w:t>
      </w:r>
      <w:r w:rsidR="00AF003C">
        <w:rPr>
          <w:rFonts w:cs="Times New Roman"/>
        </w:rPr>
        <w:t xml:space="preserve">low </w:t>
      </w:r>
      <w:r w:rsidR="004D03B7">
        <w:rPr>
          <w:rFonts w:cs="Times New Roman"/>
        </w:rPr>
        <w:t>starting point of 50 rupees</w:t>
      </w:r>
      <w:r w:rsidR="00AF003C">
        <w:rPr>
          <w:rFonts w:cs="Times New Roman"/>
        </w:rPr>
        <w:t>,</w:t>
      </w:r>
      <w:r w:rsidR="004D03B7">
        <w:rPr>
          <w:rFonts w:cs="Times New Roman"/>
        </w:rPr>
        <w:t xml:space="preserve"> which also matches the increment size</w:t>
      </w:r>
      <w:r w:rsidR="00AF003C">
        <w:rPr>
          <w:rFonts w:cs="Times New Roman"/>
        </w:rPr>
        <w:t xml:space="preserve">, </w:t>
      </w:r>
      <w:r w:rsidR="000740F8">
        <w:rPr>
          <w:rFonts w:cs="Times New Roman"/>
        </w:rPr>
        <w:t xml:space="preserve">may be used, and a good range of reasonable VTTS values may be covered </w:t>
      </w:r>
      <w:r w:rsidR="00AF003C">
        <w:rPr>
          <w:rFonts w:cs="Times New Roman"/>
        </w:rPr>
        <w:t xml:space="preserve">without an excessive number of bids, helping to </w:t>
      </w:r>
      <w:r w:rsidR="00DC71A4">
        <w:rPr>
          <w:rFonts w:cs="Times New Roman"/>
        </w:rPr>
        <w:t>reduce the scope for</w:t>
      </w:r>
      <w:r w:rsidR="00AF003C">
        <w:rPr>
          <w:rFonts w:cs="Times New Roman"/>
        </w:rPr>
        <w:t xml:space="preserve"> this concern. </w:t>
      </w:r>
      <w:r w:rsidR="004D03B7">
        <w:rPr>
          <w:rFonts w:cs="Times New Roman"/>
        </w:rPr>
        <w:t xml:space="preserve"> </w:t>
      </w:r>
      <w:r w:rsidR="00AF003C">
        <w:rPr>
          <w:rFonts w:cs="Times New Roman"/>
        </w:rPr>
        <w:t xml:space="preserve">Also, </w:t>
      </w:r>
      <w:r w:rsidR="008E1E6E">
        <w:rPr>
          <w:rFonts w:cs="Times New Roman"/>
        </w:rPr>
        <w:t>a</w:t>
      </w:r>
      <w:r w:rsidR="0012525B" w:rsidRPr="004811C9">
        <w:rPr>
          <w:rFonts w:cs="Times New Roman"/>
        </w:rPr>
        <w:t>s mentioned previously in Section 2.3, the use of an actual trip that respondents routinely take puts respondents in a familiar context, allow</w:t>
      </w:r>
      <w:r w:rsidR="0023373D" w:rsidRPr="004811C9">
        <w:rPr>
          <w:rFonts w:cs="Times New Roman"/>
        </w:rPr>
        <w:t>ing</w:t>
      </w:r>
      <w:r w:rsidR="0012525B" w:rsidRPr="004811C9">
        <w:rPr>
          <w:rFonts w:cs="Times New Roman"/>
        </w:rPr>
        <w:t xml:space="preserve"> them to draw on their own experiences of travel</w:t>
      </w:r>
      <w:r w:rsidR="0023373D" w:rsidRPr="004811C9">
        <w:rPr>
          <w:rFonts w:cs="Times New Roman"/>
        </w:rPr>
        <w:t xml:space="preserve"> and</w:t>
      </w:r>
      <w:r w:rsidR="0012525B" w:rsidRPr="004811C9">
        <w:rPr>
          <w:rFonts w:cs="Times New Roman"/>
        </w:rPr>
        <w:t xml:space="preserve"> the delays they actually experience, </w:t>
      </w:r>
      <w:r w:rsidR="0023373D" w:rsidRPr="004811C9">
        <w:rPr>
          <w:rFonts w:cs="Times New Roman"/>
        </w:rPr>
        <w:t xml:space="preserve">providing more credibility in the </w:t>
      </w:r>
      <w:r w:rsidR="00F4773F" w:rsidRPr="004811C9">
        <w:rPr>
          <w:rFonts w:cs="Times New Roman"/>
          <w:i/>
          <w:iCs/>
        </w:rPr>
        <w:t>cVTTS</w:t>
      </w:r>
      <w:r w:rsidR="0023373D" w:rsidRPr="004811C9">
        <w:rPr>
          <w:rFonts w:cs="Times New Roman"/>
        </w:rPr>
        <w:t xml:space="preserve"> value derived from the iterative bidding exercise</w:t>
      </w:r>
      <w:r w:rsidR="008E1E6E">
        <w:rPr>
          <w:rFonts w:cs="Times New Roman"/>
        </w:rPr>
        <w:t xml:space="preserve"> and also helping to mitigate such anchoring effects</w:t>
      </w:r>
      <w:r w:rsidR="0023373D" w:rsidRPr="004811C9">
        <w:rPr>
          <w:rFonts w:cs="Times New Roman"/>
        </w:rPr>
        <w:t xml:space="preserve">. </w:t>
      </w:r>
    </w:p>
    <w:p w14:paraId="1EF532F4" w14:textId="54AB8882" w:rsidR="00903E49" w:rsidRPr="004811C9" w:rsidRDefault="00D73BA1" w:rsidP="00027FE5">
      <w:pPr>
        <w:spacing w:after="0" w:line="240" w:lineRule="auto"/>
        <w:jc w:val="both"/>
        <w:rPr>
          <w:rFonts w:cs="Times New Roman"/>
        </w:rPr>
      </w:pPr>
      <w:r w:rsidRPr="004811C9">
        <w:rPr>
          <w:rFonts w:cs="Times New Roman"/>
        </w:rPr>
        <w:tab/>
      </w:r>
      <w:r w:rsidR="00D478E5" w:rsidRPr="00D478E5">
        <w:rPr>
          <w:rFonts w:cs="Times New Roman"/>
        </w:rPr>
        <w:t xml:space="preserve">Of the 2,097 respondents considered, 1745 (83.21%) were willing to pay at least 50 rupees to reduce their travel time, while the remaining 352 (16.79%) were not. There is no clear benchmark from other studies in the Indian context to compare these statistics with. The one study that comes somewhat close as a benchmark is by Marazi et al. </w:t>
      </w:r>
      <w:r w:rsidR="00D478E5">
        <w:rPr>
          <w:rFonts w:cs="Times New Roman"/>
        </w:rPr>
        <w:fldChar w:fldCharType="begin"/>
      </w:r>
      <w:r w:rsidR="00D478E5">
        <w:rPr>
          <w:rFonts w:cs="Times New Roman"/>
        </w:rPr>
        <w:instrText xml:space="preserve"> ADDIN ZOTERO_ITEM CSL_CITATION {"citationID":"cNPqrRKB","properties":{"unsorted":false,"formattedCitation":"(2022)","plainCitation":"(2022)","noteIndex":0},"citationItems":[{"id":4873,"uris":["http://zotero.org/users/12832277/items/ETPNRBFE"],"itemData":{"id":4873,"type":"article-journal","abstract":"Congestion pricing can be an efficient instrument to internalize the congestion externality and reduce traffic-related problems. However, commuters' acceptability, especially commuters' acceptability, is often a barrier that prevents its implementation. The acceptability of congestion pricing by Asian commuters has not been studied much, except for the cases of Singapore and Hong Kong. In the present study, a comprehensive approach to identify the key attributes affecting the acceptability of congestion pricing by Indian commuters was used. A survey was carried out at major shopping areas and workplaces in Hyderabad, India's fastest-growing city. Using binary logit and ordered probit models, the survey data were analyzed to identify the key attributes influencing commuters' acceptability of congestion pricing. Results indicate that higher income and education were associated with a higher likelihood of accepting congestion pricing. Age was also found to have a positive association with congestion pricing acceptability. Reduction in travel time and increased public transport satisfaction were found to be the two major perceived benefits (motivators) associated with congestion pricing. Based on the findings, the policy recommendation is that the generated revenue from congestion pricing is used to improve the public transport infrastructure and safety standards of the urban road network.","container-title":"Research in Transportation Economics","DOI":"10.1016/j.retrec.2022.101180","ISSN":"0739-8859","journalAbbreviation":"Research in Transportation Economics","page":"101180","source":"ScienceDirect","title":"Congestion Pricing Acceptability Among Commuters: An Indian Perspective","title-short":"Congestion Pricing Acceptability Among Commuters","volume":"95","author":[{"family":"Marazi","given":"Naveed Farooz"},{"family":"Majumdar","given":"Bandhan Bandhu"},{"family":"Sahu","given":"Prasanta K."},{"family":"Potoglou","given":"Dimitris"}],"issued":{"date-parts":[["2022",11,1]]}},"suppress-author":true}],"schema":"https://github.com/citation-style-language/schema/raw/master/csl-citation.json"} </w:instrText>
      </w:r>
      <w:r w:rsidR="00D478E5">
        <w:rPr>
          <w:rFonts w:cs="Times New Roman"/>
        </w:rPr>
        <w:fldChar w:fldCharType="separate"/>
      </w:r>
      <w:r w:rsidR="00D478E5" w:rsidRPr="00D478E5">
        <w:rPr>
          <w:rFonts w:cs="Times New Roman"/>
        </w:rPr>
        <w:t>(2022)</w:t>
      </w:r>
      <w:r w:rsidR="00D478E5">
        <w:rPr>
          <w:rFonts w:cs="Times New Roman"/>
        </w:rPr>
        <w:fldChar w:fldCharType="end"/>
      </w:r>
      <w:r w:rsidR="00D478E5" w:rsidRPr="00D478E5">
        <w:rPr>
          <w:rFonts w:cs="Times New Roman"/>
        </w:rPr>
        <w:t xml:space="preserve">, who found that around 60% of respondents in Hyderabad (another fast growing city in India) were unwilling to accept congestion pricing. While substantially higher than the 16.79% who will not pay even 50 rupees for a reduction in travel time savings, it must be pointed out that the Marazi et al. study did not provide a specific price point for travel time savings. Without such pricing information, respondents may have assumed that they would have to incur a higher price for congestion relief than their own VTTS, leading to the high share saying they find congestion pricing unacceptable. Besides, the question posed in the Marazi et al. study was related to whether respondents would accept congestion pricing, not whether they would be willing to pay some amount for congestion pricing. Also, it is worth noting that Mumbai ranks among the most severely congested cities in India and globally </w:t>
      </w:r>
      <w:r w:rsidR="00D478E5">
        <w:rPr>
          <w:rFonts w:cs="Times New Roman"/>
        </w:rPr>
        <w:fldChar w:fldCharType="begin"/>
      </w:r>
      <w:r w:rsidR="00D478E5">
        <w:rPr>
          <w:rFonts w:cs="Times New Roman"/>
        </w:rPr>
        <w:instrText xml:space="preserve"> ADDIN ZOTERO_ITEM CSL_CITATION {"citationID":"h7rUiiCk","properties":{"unsorted":false,"formattedCitation":"(TomTom, 2025)","plainCitation":"(TomTom, 2025)","noteIndex":0},"citationItems":[{"id":6558,"uris":["http://zotero.org/users/12832277/items/4A323LB3"],"itemData":{"id":6558,"type":"webpage","abstract":"Discover the TomTom Traffic Index, your ultimate resource for global traffic congestion insights. Explore city rankings, analyze traffic trends, and access detailed reports to navigate urban mobility challenges effectively.","container-title":"TomTom Traffic Index","language":"en","title":"Most Congested Cities | Mumbai, India","URL":"https://www.tomtom.com/traffic-index","author":[{"family":"TomTom","given":""}],"accessed":{"date-parts":[["2026",3,3]]},"issued":{"date-parts":[["2025"]]}}}],"schema":"https://github.com/citation-style-language/schema/raw/master/csl-citation.json"} </w:instrText>
      </w:r>
      <w:r w:rsidR="00D478E5">
        <w:rPr>
          <w:rFonts w:cs="Times New Roman"/>
        </w:rPr>
        <w:fldChar w:fldCharType="separate"/>
      </w:r>
      <w:r w:rsidR="00D478E5" w:rsidRPr="00D478E5">
        <w:rPr>
          <w:rFonts w:cs="Times New Roman"/>
        </w:rPr>
        <w:t>(TomTom, 2025)</w:t>
      </w:r>
      <w:r w:rsidR="00D478E5">
        <w:rPr>
          <w:rFonts w:cs="Times New Roman"/>
        </w:rPr>
        <w:fldChar w:fldCharType="end"/>
      </w:r>
      <w:r w:rsidR="00D478E5" w:rsidRPr="00D478E5">
        <w:rPr>
          <w:rFonts w:cs="Times New Roman"/>
        </w:rPr>
        <w:t>, suggesting that Mumbai commuters face acute time costs from congestion and may therefore be more willing to pay for travel time savings.</w:t>
      </w:r>
      <w:r w:rsidR="0036783A">
        <w:rPr>
          <w:rFonts w:cs="Times New Roman"/>
        </w:rPr>
        <w:t xml:space="preserve"> </w:t>
      </w:r>
      <w:r w:rsidR="00F13C37" w:rsidRPr="004811C9">
        <w:rPr>
          <w:rFonts w:cs="Times New Roman"/>
        </w:rPr>
        <w:t xml:space="preserve">Figure 1 shows the distribution of </w:t>
      </w:r>
      <w:r w:rsidR="00B30604" w:rsidRPr="004811C9">
        <w:rPr>
          <w:rFonts w:cs="Times New Roman"/>
        </w:rPr>
        <w:t>values of travel time</w:t>
      </w:r>
      <w:r w:rsidR="00522D29" w:rsidRPr="004811C9">
        <w:rPr>
          <w:rFonts w:cs="Times New Roman"/>
        </w:rPr>
        <w:t xml:space="preserve"> savings</w:t>
      </w:r>
      <w:r w:rsidR="007047F4" w:rsidRPr="004811C9">
        <w:rPr>
          <w:rFonts w:cs="Times New Roman"/>
        </w:rPr>
        <w:t xml:space="preserve"> disaggregated by trip mode</w:t>
      </w:r>
      <w:r w:rsidR="00421618">
        <w:rPr>
          <w:rFonts w:cs="Times New Roman"/>
        </w:rPr>
        <w:t xml:space="preserve">. The first mass on the left of each subfigure shows the number of respondents who were unwilling to pay for travel time savings, while the distribution </w:t>
      </w:r>
      <w:r w:rsidR="00311361">
        <w:rPr>
          <w:rFonts w:cs="Times New Roman"/>
        </w:rPr>
        <w:t xml:space="preserve">of values on the right shows the </w:t>
      </w:r>
      <w:r w:rsidR="00311361">
        <w:rPr>
          <w:rFonts w:cs="Times New Roman"/>
          <w:i/>
          <w:iCs/>
        </w:rPr>
        <w:t>cVTTS</w:t>
      </w:r>
      <w:r w:rsidR="00E57CC2" w:rsidRPr="004811C9">
        <w:rPr>
          <w:rFonts w:cs="Times New Roman"/>
        </w:rPr>
        <w:t xml:space="preserve"> among those willing to pay for travel time savings</w:t>
      </w:r>
      <w:r w:rsidR="00970D39" w:rsidRPr="004811C9">
        <w:rPr>
          <w:rFonts w:cs="Times New Roman"/>
        </w:rPr>
        <w:t xml:space="preserve">. As </w:t>
      </w:r>
      <w:r w:rsidR="00F11DC4" w:rsidRPr="004811C9">
        <w:rPr>
          <w:rFonts w:cs="Times New Roman"/>
        </w:rPr>
        <w:t>may be observed</w:t>
      </w:r>
      <w:r w:rsidR="00970D39" w:rsidRPr="004811C9">
        <w:rPr>
          <w:rFonts w:cs="Times New Roman"/>
        </w:rPr>
        <w:t xml:space="preserve"> in the figure, the </w:t>
      </w:r>
      <w:r w:rsidR="00F4773F" w:rsidRPr="004811C9">
        <w:rPr>
          <w:rFonts w:cs="Times New Roman"/>
          <w:i/>
        </w:rPr>
        <w:t>cVTTS</w:t>
      </w:r>
      <w:r w:rsidR="00903E49" w:rsidRPr="004811C9">
        <w:rPr>
          <w:rFonts w:cs="Times New Roman"/>
        </w:rPr>
        <w:t xml:space="preserve"> </w:t>
      </w:r>
      <w:r w:rsidR="00970D39" w:rsidRPr="004811C9">
        <w:rPr>
          <w:rFonts w:cs="Times New Roman"/>
        </w:rPr>
        <w:t>distribution is right-skewed, while the distribution of the logarithm o</w:t>
      </w:r>
      <w:r w:rsidR="00522D29" w:rsidRPr="004811C9">
        <w:rPr>
          <w:rFonts w:cs="Times New Roman"/>
        </w:rPr>
        <w:t xml:space="preserve">f </w:t>
      </w:r>
      <w:r w:rsidR="00522D29" w:rsidRPr="004811C9">
        <w:rPr>
          <w:rFonts w:cs="Times New Roman"/>
          <w:i/>
          <w:iCs/>
        </w:rPr>
        <w:t>cVT</w:t>
      </w:r>
      <w:r w:rsidR="004C2DD7" w:rsidRPr="004811C9">
        <w:rPr>
          <w:rFonts w:cs="Times New Roman"/>
          <w:i/>
          <w:iCs/>
        </w:rPr>
        <w:t>T</w:t>
      </w:r>
      <w:r w:rsidR="00522D29" w:rsidRPr="004811C9">
        <w:rPr>
          <w:rFonts w:cs="Times New Roman"/>
          <w:i/>
          <w:iCs/>
        </w:rPr>
        <w:t>S</w:t>
      </w:r>
      <w:r w:rsidR="00970D39" w:rsidRPr="004811C9">
        <w:rPr>
          <w:rFonts w:cs="Times New Roman"/>
        </w:rPr>
        <w:t xml:space="preserve"> is relatively symmetric</w:t>
      </w:r>
      <w:r w:rsidR="0023373D" w:rsidRPr="004811C9">
        <w:rPr>
          <w:rFonts w:cs="Times New Roman"/>
        </w:rPr>
        <w:t xml:space="preserve">. Besides, the </w:t>
      </w:r>
      <w:r w:rsidR="00F4773F" w:rsidRPr="004811C9">
        <w:rPr>
          <w:rFonts w:cs="Times New Roman"/>
          <w:i/>
        </w:rPr>
        <w:t>cVTTS</w:t>
      </w:r>
      <w:r w:rsidR="0023373D" w:rsidRPr="004811C9">
        <w:rPr>
          <w:rFonts w:cs="Times New Roman"/>
        </w:rPr>
        <w:t xml:space="preserve"> value must be positive, so the logarithm of </w:t>
      </w:r>
      <w:r w:rsidR="00F4773F" w:rsidRPr="004811C9">
        <w:rPr>
          <w:rFonts w:cs="Times New Roman"/>
          <w:i/>
        </w:rPr>
        <w:t>cVTTS</w:t>
      </w:r>
      <w:r w:rsidR="0023373D" w:rsidRPr="004811C9">
        <w:rPr>
          <w:rFonts w:cs="Times New Roman"/>
        </w:rPr>
        <w:t xml:space="preserve"> is included as the continuous outcome in the model. </w:t>
      </w:r>
    </w:p>
    <w:p w14:paraId="382AEC3F" w14:textId="1B3EA1C8" w:rsidR="00F60D92" w:rsidRPr="004811C9" w:rsidRDefault="00903E49" w:rsidP="0007449C">
      <w:pPr>
        <w:spacing w:after="0" w:line="240" w:lineRule="auto"/>
        <w:ind w:firstLine="720"/>
        <w:jc w:val="both"/>
        <w:rPr>
          <w:rFonts w:cs="Times New Roman"/>
        </w:rPr>
      </w:pPr>
      <w:r w:rsidRPr="004811C9">
        <w:rPr>
          <w:rFonts w:cs="Times New Roman"/>
        </w:rPr>
        <w:t xml:space="preserve">From the first bar </w:t>
      </w:r>
      <w:r w:rsidR="0007449C" w:rsidRPr="004811C9">
        <w:rPr>
          <w:rFonts w:cs="Times New Roman"/>
        </w:rPr>
        <w:t>chart</w:t>
      </w:r>
      <w:r w:rsidRPr="004811C9">
        <w:rPr>
          <w:rFonts w:cs="Times New Roman"/>
        </w:rPr>
        <w:t xml:space="preserve"> in Figure 1 on the left, </w:t>
      </w:r>
      <w:r w:rsidR="008C0033" w:rsidRPr="004811C9">
        <w:rPr>
          <w:rFonts w:cs="Times New Roman"/>
        </w:rPr>
        <w:t>the</w:t>
      </w:r>
      <w:r w:rsidR="007047F4" w:rsidRPr="004811C9">
        <w:rPr>
          <w:rFonts w:cs="Times New Roman"/>
        </w:rPr>
        <w:t xml:space="preserve"> </w:t>
      </w:r>
      <w:r w:rsidR="00F4773F" w:rsidRPr="004811C9">
        <w:rPr>
          <w:rFonts w:cs="Times New Roman"/>
          <w:i/>
        </w:rPr>
        <w:t>cVTTS</w:t>
      </w:r>
      <w:r w:rsidR="00F36722" w:rsidRPr="004811C9">
        <w:rPr>
          <w:rFonts w:cs="Times New Roman"/>
        </w:rPr>
        <w:t xml:space="preserve"> </w:t>
      </w:r>
      <w:r w:rsidR="005763CF" w:rsidRPr="004811C9">
        <w:rPr>
          <w:rFonts w:cs="Times New Roman"/>
        </w:rPr>
        <w:t xml:space="preserve">appears to be higher </w:t>
      </w:r>
      <w:r w:rsidR="00F36722" w:rsidRPr="004811C9">
        <w:rPr>
          <w:rFonts w:cs="Times New Roman"/>
        </w:rPr>
        <w:t>for the non-car modes (taxi, ridehailing, and autorickshaw)</w:t>
      </w:r>
      <w:r w:rsidR="008C0033" w:rsidRPr="004811C9">
        <w:rPr>
          <w:rFonts w:cs="Times New Roman"/>
        </w:rPr>
        <w:t xml:space="preserve"> compared to those traveling by car</w:t>
      </w:r>
      <w:r w:rsidR="00C3360B" w:rsidRPr="004811C9">
        <w:rPr>
          <w:rFonts w:cs="Times New Roman"/>
        </w:rPr>
        <w:t>, particularly among taxi users</w:t>
      </w:r>
      <w:r w:rsidRPr="004811C9">
        <w:rPr>
          <w:rFonts w:cs="Times New Roman"/>
        </w:rPr>
        <w:t xml:space="preserve"> (the proportion of respondents with non-car modes rises in the bar charts with an increase in </w:t>
      </w:r>
      <w:r w:rsidR="00F4773F" w:rsidRPr="004811C9">
        <w:rPr>
          <w:rFonts w:cs="Times New Roman"/>
          <w:i/>
        </w:rPr>
        <w:t>cVTTS</w:t>
      </w:r>
      <w:r w:rsidRPr="004811C9">
        <w:rPr>
          <w:rFonts w:cs="Times New Roman"/>
        </w:rPr>
        <w:t xml:space="preserve"> value)</w:t>
      </w:r>
      <w:r w:rsidR="00C3360B" w:rsidRPr="004811C9">
        <w:rPr>
          <w:rFonts w:cs="Times New Roman"/>
        </w:rPr>
        <w:t xml:space="preserve">. </w:t>
      </w:r>
      <w:r w:rsidR="00182D94" w:rsidRPr="004811C9">
        <w:rPr>
          <w:rFonts w:cs="Times New Roman"/>
        </w:rPr>
        <w:t xml:space="preserve">The average </w:t>
      </w:r>
      <w:r w:rsidR="009B0122" w:rsidRPr="004811C9">
        <w:rPr>
          <w:rFonts w:cs="Times New Roman"/>
          <w:i/>
          <w:iCs/>
        </w:rPr>
        <w:t>cVT</w:t>
      </w:r>
      <w:r w:rsidRPr="004811C9">
        <w:rPr>
          <w:rFonts w:cs="Times New Roman"/>
          <w:i/>
          <w:iCs/>
        </w:rPr>
        <w:t>T</w:t>
      </w:r>
      <w:r w:rsidR="009B0122" w:rsidRPr="004811C9">
        <w:rPr>
          <w:rFonts w:cs="Times New Roman"/>
          <w:i/>
          <w:iCs/>
        </w:rPr>
        <w:t>S</w:t>
      </w:r>
      <w:r w:rsidR="00B671BC" w:rsidRPr="004811C9">
        <w:rPr>
          <w:rFonts w:cs="Times New Roman"/>
        </w:rPr>
        <w:t xml:space="preserve"> </w:t>
      </w:r>
      <w:r w:rsidR="00C3360B" w:rsidRPr="004811C9">
        <w:rPr>
          <w:rFonts w:cs="Times New Roman"/>
        </w:rPr>
        <w:t>across all modes</w:t>
      </w:r>
      <w:r w:rsidR="00182D94" w:rsidRPr="004811C9">
        <w:rPr>
          <w:rFonts w:cs="Times New Roman"/>
        </w:rPr>
        <w:t xml:space="preserve"> is approximately </w:t>
      </w:r>
      <w:r w:rsidR="00BD7520" w:rsidRPr="004811C9">
        <w:rPr>
          <w:rFonts w:cs="Times New Roman"/>
        </w:rPr>
        <w:t>1,0</w:t>
      </w:r>
      <w:r w:rsidR="00B671BC" w:rsidRPr="004811C9">
        <w:rPr>
          <w:rFonts w:cs="Times New Roman"/>
        </w:rPr>
        <w:t>6</w:t>
      </w:r>
      <w:r w:rsidR="00BD7520" w:rsidRPr="004811C9">
        <w:rPr>
          <w:rFonts w:cs="Times New Roman"/>
        </w:rPr>
        <w:t xml:space="preserve">0 rupees per hour, while the median is </w:t>
      </w:r>
      <w:r w:rsidR="001D7295">
        <w:rPr>
          <w:rFonts w:cs="Times New Roman"/>
        </w:rPr>
        <w:t>around</w:t>
      </w:r>
      <w:r w:rsidR="00BD7520" w:rsidRPr="004811C9">
        <w:rPr>
          <w:rFonts w:cs="Times New Roman"/>
        </w:rPr>
        <w:t xml:space="preserve"> 600 rupees per hour. </w:t>
      </w:r>
      <w:r w:rsidR="00706C24" w:rsidRPr="004811C9">
        <w:rPr>
          <w:rFonts w:cs="Times New Roman"/>
        </w:rPr>
        <w:t xml:space="preserve">Although this average value is </w:t>
      </w:r>
      <w:r w:rsidR="00433BDC" w:rsidRPr="004811C9">
        <w:rPr>
          <w:rFonts w:cs="Times New Roman"/>
        </w:rPr>
        <w:t xml:space="preserve">larger than </w:t>
      </w:r>
      <w:r w:rsidR="00E93A32" w:rsidRPr="004811C9">
        <w:rPr>
          <w:rFonts w:cs="Times New Roman"/>
        </w:rPr>
        <w:t>those of other recent findings in the same geographic context</w:t>
      </w:r>
      <w:r w:rsidR="0007761A" w:rsidRPr="004811C9">
        <w:rPr>
          <w:rFonts w:cs="Times New Roman"/>
        </w:rPr>
        <w:t xml:space="preserve"> </w:t>
      </w:r>
      <w:r w:rsidR="0007761A" w:rsidRPr="004811C9">
        <w:rPr>
          <w:rFonts w:cs="Times New Roman"/>
        </w:rPr>
        <w:fldChar w:fldCharType="begin"/>
      </w:r>
      <w:r w:rsidR="005A6CE8" w:rsidRPr="004811C9">
        <w:rPr>
          <w:rFonts w:cs="Times New Roman"/>
        </w:rPr>
        <w:instrText xml:space="preserve"> ADDIN ZOTERO_ITEM CSL_CITATION {"citationID":"SZuoThDE","properties":{"unsorted":true,"formattedCitation":"(Varghese and Jana, 2018; Karmarkar et al., 2023)","plainCitation":"(Varghese and Jana, 2018; Karmarkar et al., 2023)","dontUpdate":true,"noteIndex":0},"citationItems":[{"id":4828,"uris":["http://zotero.org/users/12832277/items/AJ7J53KT"],"itemData":{"id":4828,"type":"article-journal","abstract":"This study looks into the multitasking patterns for the developing world, while providing empirical evidences of the effect of multitasking on the value of travel time savings (VTTS). The multitasking behaviour during travel was studied, ascertaining the effect of various socio-economic variables, access to information and communication technologies (ICT), and travel related factors. Travel diary data was collected across the city of Mumbai, India for 1123 individuals capturing their revealed preferences on travel and multitasking during travel. It was observed that having a smartphone with an internet usage of more than one GB data had positive significant impacts on ICT dependent multitasking activities. In addition, the proportion of no-activity also significantly reduced with higher access to ICT. It was observed that the VTTS reduced by 26% for individuals who performed multitasking. Furthermore, for reading on a mobile device, usage of social media, messaging or talking to someone on phone, and for gaming, the VTTS reduced by 25%, 37%, and 16% respectively. Findings were used to make cross country comparisons and discuss policy implications.","container-title":"Travel Behaviour and Society","DOI":"10.1016/j.tbs.2018.03.003","ISSN":"2214-367X","page":"11-22","source":"ScienceDirect","title":"Impact of ICT on Multitasking During Travel and the Value of Travel Time Savings: Empirical Evidences from Mumbai, India","volume":"12","author":[{"family":"Varghese","given":"Varun"},{"family":"Jana","given":"Arnab"}],"issued":{"date-parts":[["2018",7,1]]}}},{"id":4797,"uris":["http://zotero.org/users/12832277/items/CINQA7QV"],"itemData":{"id":4797,"type":"article-journal","abstract":"India is constructing its first High Speed Railway (HSR) corridor between Mumbai and Ahmedabad, which is expected to reduce inter-city travel times significantly. However, the affordability of these reductions in travel time is still questionable for a developing country like India. This study analyses the existing conventional train travellers’ Willingness to Pay (WTP) for reduced travel time due to HSR. A questionnaire-based combined RP-SP survey was conducted in Mumbai to capture respondents’ travel details, socioeconomic status and Stated Preference choices. The modified open-ended contingent valuation method and binary logistic regression modelling methods were used for data collection and modelling, respectively. Differential Utility Weighted Mean WTP was calculated for multiple socioeconomic cohorts. It was found that travellers are willing to pay an average INR 300 (as on March 2020) over and above their current travel cost for every hour of travel time saving. The ideal fare range that travellers are willing to pay is between INR 3.25/km to INR 5.25/km. Low-income travellers, occasional travellers, those travelling in a group, and those on social trips had the lowest WTP values in their cohorts. On the contrary, regular business travellers with high incomes had the highest WTP. Analysis showed that the WTP of individuals decreases with the increasing no. of co-passengers and with the increasing comfort of competing modes. The future HSR in India needs a group ticket discount of 10% and an average 25% subsidy on monthly passes to make HSR more attractive for commuters and those travelling with families. This research would help draft the HSR operational policies for subsidies, stronger inter-modal competition, loss minimisation for conventional trains and ridership forecasts.","container-title":"Case Studies on Transport Policy","DOI":"10.1016/j.cstp.2023.100974","ISSN":"2213-624X","page":"100974","source":"ScienceDirect","title":"Willingness to Pay for Reduced Travel Time: Case Study of Mumbai - Ahmedabad High Speed Railway","volume":"12","author":[{"family":"Karmarkar","given":"Omkar Deepak"},{"family":"Jana","given":"Arnab"},{"family":"Velaga","given":"Nagendra R."}],"issued":{"date-parts":[["2023",6,1]]}}}],"schema":"https://github.com/citation-style-language/schema/raw/master/csl-citation.json"} </w:instrText>
      </w:r>
      <w:r w:rsidR="0007761A" w:rsidRPr="004811C9">
        <w:rPr>
          <w:rFonts w:cs="Times New Roman"/>
        </w:rPr>
        <w:fldChar w:fldCharType="separate"/>
      </w:r>
      <w:r w:rsidR="002373A7" w:rsidRPr="004811C9">
        <w:rPr>
          <w:rFonts w:cs="Times New Roman"/>
        </w:rPr>
        <w:t>(see Varghese and Jana, 2018</w:t>
      </w:r>
      <w:r w:rsidRPr="004811C9">
        <w:rPr>
          <w:rFonts w:cs="Times New Roman"/>
        </w:rPr>
        <w:t xml:space="preserve"> and</w:t>
      </w:r>
      <w:r w:rsidR="002373A7" w:rsidRPr="004811C9">
        <w:rPr>
          <w:rFonts w:cs="Times New Roman"/>
        </w:rPr>
        <w:t xml:space="preserve"> Karmarkar et al., 2023)</w:t>
      </w:r>
      <w:r w:rsidR="0007761A" w:rsidRPr="004811C9">
        <w:rPr>
          <w:rFonts w:cs="Times New Roman"/>
        </w:rPr>
        <w:fldChar w:fldCharType="end"/>
      </w:r>
      <w:r w:rsidR="00E93A32" w:rsidRPr="004811C9">
        <w:rPr>
          <w:rFonts w:cs="Times New Roman"/>
        </w:rPr>
        <w:t xml:space="preserve">, </w:t>
      </w:r>
      <w:r w:rsidR="00E94FB2" w:rsidRPr="004811C9">
        <w:rPr>
          <w:rFonts w:cs="Times New Roman"/>
        </w:rPr>
        <w:t>it is</w:t>
      </w:r>
      <w:r w:rsidR="002373A7" w:rsidRPr="004811C9">
        <w:rPr>
          <w:rFonts w:cs="Times New Roman"/>
        </w:rPr>
        <w:t xml:space="preserve"> compatible with </w:t>
      </w:r>
      <w:r w:rsidR="005716D7" w:rsidRPr="004811C9">
        <w:rPr>
          <w:rFonts w:cs="Times New Roman"/>
        </w:rPr>
        <w:t xml:space="preserve">estimates </w:t>
      </w:r>
      <w:r w:rsidR="00E94FB2" w:rsidRPr="004811C9">
        <w:rPr>
          <w:rFonts w:cs="Times New Roman"/>
        </w:rPr>
        <w:t>of Wardman</w:t>
      </w:r>
      <w:r w:rsidR="00BF6F88" w:rsidRPr="004811C9">
        <w:rPr>
          <w:rFonts w:cs="Times New Roman"/>
        </w:rPr>
        <w:t xml:space="preserve"> et al.</w:t>
      </w:r>
      <w:r w:rsidR="00E94FB2" w:rsidRPr="004811C9">
        <w:rPr>
          <w:rFonts w:cs="Times New Roman"/>
        </w:rPr>
        <w:t xml:space="preserve"> </w:t>
      </w:r>
      <w:r w:rsidR="00E94FB2" w:rsidRPr="004811C9">
        <w:rPr>
          <w:rFonts w:cs="Times New Roman"/>
        </w:rPr>
        <w:fldChar w:fldCharType="begin"/>
      </w:r>
      <w:r w:rsidR="00E94FB2" w:rsidRPr="004811C9">
        <w:rPr>
          <w:rFonts w:cs="Times New Roman"/>
        </w:rPr>
        <w:instrText xml:space="preserve"> ADDIN ZOTERO_ITEM CSL_CITATION {"citationID":"YdcQAw4v","properties":{"formattedCitation":"(2023)","plainCitation":"(2023)","noteIndex":0},"citationItems":[{"id":4885,"uris":["http://zotero.org/users/12832277/items/89MHENGL"],"itemData":{"id":4885,"type":"article-journal","container-title":"World Bank, Washington, DC","source":"Google Scholar","title":"Meta-analysis of the Value of Travel Time Savings in Low-and Middle-Income Countries","URL":"https://documents1.worldbank.org/curated/en/099032124211022462/pdf/P1775471cf971e0ee1becd1a1faab55d1d7.pdf","author":[{"family":"Wardman","given":"Mark"},{"family":"Neki","given":"Kazuyuki"},{"family":"Humphreys","given":"Richard Martin"}],"accessed":{"date-parts":[["2025",7,17]]},"issued":{"date-parts":[["2023"]]}},"label":"page","suppress-author":true}],"schema":"https://github.com/citation-style-language/schema/raw/master/csl-citation.json"} </w:instrText>
      </w:r>
      <w:r w:rsidR="00E94FB2" w:rsidRPr="004811C9">
        <w:rPr>
          <w:rFonts w:cs="Times New Roman"/>
        </w:rPr>
        <w:fldChar w:fldCharType="separate"/>
      </w:r>
      <w:r w:rsidR="00E94FB2" w:rsidRPr="004811C9">
        <w:rPr>
          <w:rFonts w:cs="Times New Roman"/>
        </w:rPr>
        <w:t>(2023)</w:t>
      </w:r>
      <w:r w:rsidR="00E94FB2" w:rsidRPr="004811C9">
        <w:rPr>
          <w:rFonts w:cs="Times New Roman"/>
        </w:rPr>
        <w:fldChar w:fldCharType="end"/>
      </w:r>
      <w:r w:rsidR="00BF6F88" w:rsidRPr="004811C9">
        <w:rPr>
          <w:rFonts w:cs="Times New Roman"/>
        </w:rPr>
        <w:t xml:space="preserve"> </w:t>
      </w:r>
      <w:r w:rsidR="005716D7" w:rsidRPr="004811C9">
        <w:rPr>
          <w:rFonts w:cs="Times New Roman"/>
        </w:rPr>
        <w:t xml:space="preserve">for </w:t>
      </w:r>
      <w:r w:rsidR="00194106" w:rsidRPr="004811C9">
        <w:rPr>
          <w:rFonts w:cs="Times New Roman"/>
        </w:rPr>
        <w:t xml:space="preserve">urban </w:t>
      </w:r>
      <w:r w:rsidR="005716D7" w:rsidRPr="004811C9">
        <w:rPr>
          <w:rFonts w:cs="Times New Roman"/>
        </w:rPr>
        <w:t xml:space="preserve">private vehicle travel (after accounting </w:t>
      </w:r>
      <w:r w:rsidR="00194106" w:rsidRPr="004811C9">
        <w:rPr>
          <w:rFonts w:cs="Times New Roman"/>
        </w:rPr>
        <w:t xml:space="preserve">for India’s </w:t>
      </w:r>
      <w:r w:rsidR="007F2FED" w:rsidRPr="004811C9">
        <w:rPr>
          <w:rFonts w:cs="Times New Roman"/>
        </w:rPr>
        <w:t>GDP per capita)</w:t>
      </w:r>
      <w:r w:rsidR="00BF6F88" w:rsidRPr="004811C9">
        <w:rPr>
          <w:rFonts w:cs="Times New Roman"/>
        </w:rPr>
        <w:t xml:space="preserve"> based on a large meta-analysis of </w:t>
      </w:r>
      <w:r w:rsidR="00E667A5" w:rsidRPr="004811C9">
        <w:rPr>
          <w:rFonts w:cs="Times New Roman"/>
        </w:rPr>
        <w:t xml:space="preserve">35 low- and middle-income countries. The slightly higher value in our sample compared to some recent estimates in the Mumbai area is also </w:t>
      </w:r>
      <w:r w:rsidR="00E93A32" w:rsidRPr="004811C9">
        <w:rPr>
          <w:rFonts w:cs="Times New Roman"/>
        </w:rPr>
        <w:t xml:space="preserve">not surprising </w:t>
      </w:r>
      <w:r w:rsidR="009A633F" w:rsidRPr="004811C9">
        <w:rPr>
          <w:rFonts w:cs="Times New Roman"/>
        </w:rPr>
        <w:t xml:space="preserve">because (a) this average </w:t>
      </w:r>
      <w:r w:rsidR="00F60D92" w:rsidRPr="004811C9">
        <w:rPr>
          <w:rFonts w:cs="Times New Roman"/>
          <w:i/>
          <w:iCs/>
        </w:rPr>
        <w:t>cVT</w:t>
      </w:r>
      <w:r w:rsidR="004C2DD7" w:rsidRPr="004811C9">
        <w:rPr>
          <w:rFonts w:cs="Times New Roman"/>
          <w:i/>
          <w:iCs/>
        </w:rPr>
        <w:t>T</w:t>
      </w:r>
      <w:r w:rsidR="00F60D92" w:rsidRPr="004811C9">
        <w:rPr>
          <w:rFonts w:cs="Times New Roman"/>
          <w:i/>
          <w:iCs/>
        </w:rPr>
        <w:t>S</w:t>
      </w:r>
      <w:r w:rsidR="00F60D92" w:rsidRPr="004811C9">
        <w:rPr>
          <w:rFonts w:cs="Times New Roman"/>
        </w:rPr>
        <w:t xml:space="preserve"> </w:t>
      </w:r>
      <w:r w:rsidR="009A633F" w:rsidRPr="004811C9">
        <w:rPr>
          <w:rFonts w:cs="Times New Roman"/>
        </w:rPr>
        <w:t>is calculated only for those w</w:t>
      </w:r>
      <w:r w:rsidR="00F60D92" w:rsidRPr="004811C9">
        <w:rPr>
          <w:rFonts w:cs="Times New Roman"/>
        </w:rPr>
        <w:t xml:space="preserve">ho are willing to pay for travel time savings, leading to a higher </w:t>
      </w:r>
      <w:r w:rsidR="00F60D92" w:rsidRPr="004811C9">
        <w:rPr>
          <w:rFonts w:cs="Times New Roman"/>
          <w:i/>
          <w:iCs/>
        </w:rPr>
        <w:t>cVT</w:t>
      </w:r>
      <w:r w:rsidR="004C2DD7" w:rsidRPr="004811C9">
        <w:rPr>
          <w:rFonts w:cs="Times New Roman"/>
          <w:i/>
          <w:iCs/>
        </w:rPr>
        <w:t>T</w:t>
      </w:r>
      <w:r w:rsidR="00F60D92" w:rsidRPr="004811C9">
        <w:rPr>
          <w:rFonts w:cs="Times New Roman"/>
          <w:i/>
          <w:iCs/>
        </w:rPr>
        <w:t>S</w:t>
      </w:r>
      <w:r w:rsidR="00F60D92" w:rsidRPr="004811C9">
        <w:rPr>
          <w:rFonts w:cs="Times New Roman"/>
        </w:rPr>
        <w:t xml:space="preserve"> compared with the </w:t>
      </w:r>
      <w:r w:rsidRPr="004811C9">
        <w:rPr>
          <w:rFonts w:cs="Times New Roman"/>
        </w:rPr>
        <w:t xml:space="preserve">overall </w:t>
      </w:r>
      <w:r w:rsidR="00F60D92" w:rsidRPr="004811C9">
        <w:rPr>
          <w:rFonts w:cs="Times New Roman"/>
        </w:rPr>
        <w:t>VT</w:t>
      </w:r>
      <w:r w:rsidR="004C2DD7" w:rsidRPr="004811C9">
        <w:rPr>
          <w:rFonts w:cs="Times New Roman"/>
        </w:rPr>
        <w:t>T</w:t>
      </w:r>
      <w:r w:rsidR="00F60D92" w:rsidRPr="004811C9">
        <w:rPr>
          <w:rFonts w:cs="Times New Roman"/>
        </w:rPr>
        <w:t xml:space="preserve">S reported in these </w:t>
      </w:r>
      <w:r w:rsidRPr="004811C9">
        <w:rPr>
          <w:rFonts w:cs="Times New Roman"/>
        </w:rPr>
        <w:t xml:space="preserve">earlier </w:t>
      </w:r>
      <w:r w:rsidR="00F60D92" w:rsidRPr="004811C9">
        <w:rPr>
          <w:rFonts w:cs="Times New Roman"/>
        </w:rPr>
        <w:t>studies</w:t>
      </w:r>
      <w:r w:rsidR="0007761A" w:rsidRPr="004811C9">
        <w:rPr>
          <w:rFonts w:cs="Times New Roman"/>
        </w:rPr>
        <w:t>,</w:t>
      </w:r>
      <w:r w:rsidR="00F60D92" w:rsidRPr="004811C9">
        <w:rPr>
          <w:rFonts w:cs="Times New Roman"/>
        </w:rPr>
        <w:t xml:space="preserve"> (b) </w:t>
      </w:r>
      <w:r w:rsidR="00AD552C">
        <w:rPr>
          <w:rFonts w:cs="Times New Roman"/>
        </w:rPr>
        <w:t xml:space="preserve">our focus is on individual-level motorized modes </w:t>
      </w:r>
      <w:r w:rsidR="00366DB0">
        <w:rPr>
          <w:rFonts w:cs="Times New Roman"/>
        </w:rPr>
        <w:t xml:space="preserve">only, while these other studies are focused more on public transit options, and (c) </w:t>
      </w:r>
      <w:r w:rsidR="00E93A32" w:rsidRPr="004811C9">
        <w:rPr>
          <w:rFonts w:cs="Times New Roman"/>
        </w:rPr>
        <w:t xml:space="preserve">the sampling mechanisms </w:t>
      </w:r>
      <w:r w:rsidR="00C92153">
        <w:rPr>
          <w:rFonts w:cs="Times New Roman"/>
        </w:rPr>
        <w:t>targeted</w:t>
      </w:r>
      <w:r w:rsidR="00E93A32" w:rsidRPr="004811C9">
        <w:rPr>
          <w:rFonts w:cs="Times New Roman"/>
        </w:rPr>
        <w:t xml:space="preserve"> a large share of </w:t>
      </w:r>
      <w:r w:rsidR="00C7724D" w:rsidRPr="004811C9">
        <w:rPr>
          <w:rFonts w:cs="Times New Roman"/>
        </w:rPr>
        <w:t>car owners, which skew</w:t>
      </w:r>
      <w:r w:rsidR="00DF56EF">
        <w:rPr>
          <w:rFonts w:cs="Times New Roman"/>
        </w:rPr>
        <w:t>ed</w:t>
      </w:r>
      <w:r w:rsidR="00C7724D" w:rsidRPr="004811C9">
        <w:rPr>
          <w:rFonts w:cs="Times New Roman"/>
        </w:rPr>
        <w:t xml:space="preserve"> the sample towards higher-income individuals </w:t>
      </w:r>
      <w:r w:rsidR="00BB69FC" w:rsidRPr="004811C9">
        <w:rPr>
          <w:rFonts w:cs="Times New Roman"/>
        </w:rPr>
        <w:t xml:space="preserve">who are likely to have higher </w:t>
      </w:r>
      <w:r w:rsidR="00F60D92" w:rsidRPr="004811C9">
        <w:rPr>
          <w:rFonts w:cs="Times New Roman"/>
        </w:rPr>
        <w:t>values of travel time savings</w:t>
      </w:r>
      <w:r w:rsidR="00BB69FC" w:rsidRPr="004811C9">
        <w:rPr>
          <w:rFonts w:cs="Times New Roman"/>
        </w:rPr>
        <w:t xml:space="preserve">. </w:t>
      </w:r>
      <w:r w:rsidRPr="004811C9">
        <w:rPr>
          <w:rFonts w:cs="Times New Roman"/>
        </w:rPr>
        <w:t xml:space="preserve">However, as noted earlier, this skew is a non-issue for estimating individual-level causal relationships to identify the factors affecting VTTS. </w:t>
      </w:r>
    </w:p>
    <w:p w14:paraId="5828449E" w14:textId="77777777" w:rsidR="00967614" w:rsidRPr="004811C9" w:rsidRDefault="00967614" w:rsidP="00027FE5">
      <w:pPr>
        <w:spacing w:after="0" w:line="240" w:lineRule="auto"/>
        <w:jc w:val="both"/>
        <w:rPr>
          <w:rFonts w:cs="Times New Roman"/>
        </w:rPr>
      </w:pPr>
    </w:p>
    <w:p w14:paraId="4BC577A4" w14:textId="3497F2E0" w:rsidR="006F2970" w:rsidRPr="00F8453A" w:rsidRDefault="006F2970" w:rsidP="00027FE5">
      <w:pPr>
        <w:spacing w:after="0" w:line="240" w:lineRule="auto"/>
        <w:jc w:val="both"/>
        <w:rPr>
          <w:rFonts w:cs="Times New Roman"/>
          <w:i/>
          <w:iCs/>
        </w:rPr>
      </w:pPr>
      <w:r w:rsidRPr="00F8453A">
        <w:rPr>
          <w:rFonts w:cs="Times New Roman"/>
          <w:i/>
          <w:iCs/>
        </w:rPr>
        <w:t>3.1.2 Exogenous Variables</w:t>
      </w:r>
    </w:p>
    <w:p w14:paraId="625826F8" w14:textId="2A16C09D" w:rsidR="00E83091" w:rsidRPr="004811C9" w:rsidRDefault="004537C0" w:rsidP="00027FE5">
      <w:pPr>
        <w:spacing w:after="0" w:line="240" w:lineRule="auto"/>
        <w:jc w:val="both"/>
        <w:rPr>
          <w:rFonts w:cs="Times New Roman"/>
        </w:rPr>
      </w:pPr>
      <w:r w:rsidRPr="004811C9">
        <w:rPr>
          <w:rFonts w:cs="Times New Roman"/>
        </w:rPr>
        <w:t xml:space="preserve">The exogenous variables considered include </w:t>
      </w:r>
      <w:r w:rsidR="00A55F47" w:rsidRPr="004811C9">
        <w:rPr>
          <w:rFonts w:cs="Times New Roman"/>
        </w:rPr>
        <w:t>individual and household characteristics</w:t>
      </w:r>
      <w:r w:rsidR="009A13DE" w:rsidRPr="004811C9">
        <w:rPr>
          <w:rFonts w:cs="Times New Roman"/>
        </w:rPr>
        <w:t xml:space="preserve"> and the details of the trip under consideration. Descriptive statistics for these variables are </w:t>
      </w:r>
      <w:r w:rsidR="00156B03" w:rsidRPr="004811C9">
        <w:rPr>
          <w:rFonts w:cs="Times New Roman"/>
        </w:rPr>
        <w:t>presented</w:t>
      </w:r>
      <w:r w:rsidR="009A13DE" w:rsidRPr="004811C9">
        <w:rPr>
          <w:rFonts w:cs="Times New Roman"/>
        </w:rPr>
        <w:t xml:space="preserve"> in Table 1. </w:t>
      </w:r>
      <w:r w:rsidR="00312FB2" w:rsidRPr="004811C9">
        <w:rPr>
          <w:rFonts w:cs="Times New Roman"/>
        </w:rPr>
        <w:t>As may be observed, there is a good distribution across the individual and household characteristics</w:t>
      </w:r>
      <w:r w:rsidR="00331598" w:rsidRPr="004811C9">
        <w:rPr>
          <w:rFonts w:cs="Times New Roman"/>
        </w:rPr>
        <w:t xml:space="preserve">, </w:t>
      </w:r>
      <w:r w:rsidR="00F4773F" w:rsidRPr="004811C9">
        <w:rPr>
          <w:rFonts w:cs="Times New Roman"/>
        </w:rPr>
        <w:t xml:space="preserve">which is </w:t>
      </w:r>
      <w:r w:rsidR="00331598" w:rsidRPr="004811C9">
        <w:rPr>
          <w:rFonts w:cs="Times New Roman"/>
        </w:rPr>
        <w:t>the key to estimati</w:t>
      </w:r>
      <w:r w:rsidR="00F4773F" w:rsidRPr="004811C9">
        <w:rPr>
          <w:rFonts w:cs="Times New Roman"/>
        </w:rPr>
        <w:t>ng</w:t>
      </w:r>
      <w:r w:rsidR="00331598" w:rsidRPr="004811C9">
        <w:rPr>
          <w:rFonts w:cs="Times New Roman"/>
        </w:rPr>
        <w:t xml:space="preserve"> cause-effect relationships between exogenous variables and endogenous outcomes.</w:t>
      </w:r>
      <w:r w:rsidR="00842531" w:rsidRPr="00F16FEB">
        <w:rPr>
          <w:rStyle w:val="FootnoteReference"/>
        </w:rPr>
        <w:footnoteReference w:id="4"/>
      </w:r>
      <w:r w:rsidR="00312FB2" w:rsidRPr="004811C9">
        <w:rPr>
          <w:rFonts w:cs="Times New Roman"/>
        </w:rPr>
        <w:t xml:space="preserve"> </w:t>
      </w:r>
      <w:r w:rsidR="00E83091" w:rsidRPr="004811C9">
        <w:rPr>
          <w:rFonts w:cs="Times New Roman"/>
        </w:rPr>
        <w:t xml:space="preserve">As far as trip characteristics, respondents were asked to provide the mode, trip purpose, cost (for those using rickshaws, ridehailing, or taxis), trip distance, frequency </w:t>
      </w:r>
      <w:r w:rsidR="00CD5734" w:rsidRPr="004811C9">
        <w:rPr>
          <w:rFonts w:cs="Times New Roman"/>
        </w:rPr>
        <w:t>with which</w:t>
      </w:r>
      <w:r w:rsidR="00E83091" w:rsidRPr="004811C9">
        <w:rPr>
          <w:rFonts w:cs="Times New Roman"/>
        </w:rPr>
        <w:t xml:space="preserve"> they make the trip (all trips under consideration occur at least weekly), time of day they usually make the trip, and whether they share a ride with anyone else</w:t>
      </w:r>
      <w:r w:rsidR="004845A6" w:rsidRPr="004811C9">
        <w:rPr>
          <w:rFonts w:cs="Times New Roman"/>
        </w:rPr>
        <w:t xml:space="preserve"> (for car travel, sharing a ride was defined as traveling with one or more additional individuals; for the other modes, sharing a ride was defined as traveling with one or more additional passengers)</w:t>
      </w:r>
      <w:r w:rsidR="00E83091" w:rsidRPr="004811C9">
        <w:rPr>
          <w:rFonts w:cs="Times New Roman"/>
        </w:rPr>
        <w:t>.</w:t>
      </w:r>
      <w:r w:rsidR="000269FA" w:rsidRPr="00F16FEB">
        <w:rPr>
          <w:rStyle w:val="FootnoteReference"/>
        </w:rPr>
        <w:footnoteReference w:id="5"/>
      </w:r>
      <w:r w:rsidR="00E83091" w:rsidRPr="004811C9">
        <w:rPr>
          <w:rFonts w:cs="Times New Roman"/>
        </w:rPr>
        <w:t xml:space="preserve"> </w:t>
      </w:r>
      <w:r w:rsidR="0063465E" w:rsidRPr="004811C9">
        <w:rPr>
          <w:rFonts w:cs="Times New Roman"/>
        </w:rPr>
        <w:t xml:space="preserve">As mentioned </w:t>
      </w:r>
      <w:r w:rsidR="004845A6" w:rsidRPr="004811C9">
        <w:rPr>
          <w:rFonts w:cs="Times New Roman"/>
        </w:rPr>
        <w:t>earlier</w:t>
      </w:r>
      <w:r w:rsidR="0063465E" w:rsidRPr="004811C9">
        <w:rPr>
          <w:rFonts w:cs="Times New Roman"/>
        </w:rPr>
        <w:t xml:space="preserve">, they are also asked to provide an expected travel time, free flow travel time, and congested travel time. </w:t>
      </w:r>
      <w:r w:rsidR="00772778" w:rsidRPr="004811C9">
        <w:rPr>
          <w:rFonts w:cs="Times New Roman"/>
        </w:rPr>
        <w:t xml:space="preserve">From these, in addition to </w:t>
      </w:r>
      <w:r w:rsidR="00331598" w:rsidRPr="004811C9">
        <w:rPr>
          <w:rFonts w:cs="Times New Roman"/>
        </w:rPr>
        <w:t xml:space="preserve">constructing their </w:t>
      </w:r>
      <w:r w:rsidR="00F4773F" w:rsidRPr="004811C9">
        <w:rPr>
          <w:rFonts w:cs="Times New Roman"/>
          <w:i/>
        </w:rPr>
        <w:t>cVTTS</w:t>
      </w:r>
      <w:r w:rsidR="00331598" w:rsidRPr="004811C9">
        <w:rPr>
          <w:rFonts w:cs="Times New Roman"/>
        </w:rPr>
        <w:t xml:space="preserve"> value based on the amount they are willing to pay (the continuous endogenous outcome), </w:t>
      </w:r>
      <w:r w:rsidR="00772778" w:rsidRPr="004811C9">
        <w:rPr>
          <w:rFonts w:cs="Times New Roman"/>
        </w:rPr>
        <w:t xml:space="preserve">we calculate the </w:t>
      </w:r>
      <w:r w:rsidR="00331598" w:rsidRPr="004811C9">
        <w:rPr>
          <w:rFonts w:cs="Times New Roman"/>
        </w:rPr>
        <w:t>pro</w:t>
      </w:r>
      <w:r w:rsidR="00186D28" w:rsidRPr="004811C9">
        <w:rPr>
          <w:rFonts w:cs="Times New Roman"/>
        </w:rPr>
        <w:t>portion of their expected travel time that they would save by choosing the delay reduction</w:t>
      </w:r>
      <w:r w:rsidR="00331598" w:rsidRPr="004811C9">
        <w:rPr>
          <w:rFonts w:cs="Times New Roman"/>
        </w:rPr>
        <w:t>,</w:t>
      </w:r>
      <w:r w:rsidR="00F12803" w:rsidRPr="004811C9">
        <w:rPr>
          <w:rFonts w:cs="Times New Roman"/>
        </w:rPr>
        <w:t xml:space="preserve"> and the </w:t>
      </w:r>
      <w:r w:rsidR="00331598" w:rsidRPr="004811C9">
        <w:rPr>
          <w:rFonts w:cs="Times New Roman"/>
        </w:rPr>
        <w:t>pro</w:t>
      </w:r>
      <w:r w:rsidR="00F12803" w:rsidRPr="004811C9">
        <w:rPr>
          <w:rFonts w:cs="Times New Roman"/>
        </w:rPr>
        <w:t>portion of the maximum delay (the difference between the congested travel time and free flow travel time) that they would expect to save. This latter quantity gives an estimate of the</w:t>
      </w:r>
      <w:r w:rsidR="0036484E" w:rsidRPr="004811C9">
        <w:rPr>
          <w:rFonts w:cs="Times New Roman"/>
        </w:rPr>
        <w:t xml:space="preserve">ir </w:t>
      </w:r>
      <w:r w:rsidR="003A56A7" w:rsidRPr="004811C9">
        <w:rPr>
          <w:rFonts w:cs="Times New Roman"/>
        </w:rPr>
        <w:t xml:space="preserve">trip </w:t>
      </w:r>
      <w:r w:rsidR="0036484E" w:rsidRPr="004811C9">
        <w:rPr>
          <w:rFonts w:cs="Times New Roman"/>
        </w:rPr>
        <w:t xml:space="preserve">travel </w:t>
      </w:r>
      <w:r w:rsidR="003A56A7" w:rsidRPr="004811C9">
        <w:rPr>
          <w:rFonts w:cs="Times New Roman"/>
        </w:rPr>
        <w:t xml:space="preserve">time </w:t>
      </w:r>
      <w:r w:rsidR="0036484E" w:rsidRPr="004811C9">
        <w:rPr>
          <w:rFonts w:cs="Times New Roman"/>
        </w:rPr>
        <w:t>reliability</w:t>
      </w:r>
      <w:r w:rsidR="003A56A7" w:rsidRPr="004811C9">
        <w:rPr>
          <w:rFonts w:cs="Times New Roman"/>
        </w:rPr>
        <w:t>,</w:t>
      </w:r>
      <w:r w:rsidR="0036484E" w:rsidRPr="004811C9">
        <w:rPr>
          <w:rFonts w:cs="Times New Roman"/>
        </w:rPr>
        <w:t xml:space="preserve"> </w:t>
      </w:r>
      <w:r w:rsidR="00691B4D" w:rsidRPr="004811C9">
        <w:rPr>
          <w:rFonts w:cs="Times New Roman"/>
        </w:rPr>
        <w:t xml:space="preserve">with </w:t>
      </w:r>
      <w:r w:rsidR="00FA2B05" w:rsidRPr="004811C9">
        <w:rPr>
          <w:rFonts w:cs="Times New Roman"/>
        </w:rPr>
        <w:t>higher</w:t>
      </w:r>
      <w:r w:rsidR="00691B4D" w:rsidRPr="004811C9">
        <w:rPr>
          <w:rFonts w:cs="Times New Roman"/>
        </w:rPr>
        <w:t xml:space="preserve"> values indicating that the</w:t>
      </w:r>
      <w:r w:rsidR="00FA2B05" w:rsidRPr="004811C9">
        <w:rPr>
          <w:rFonts w:cs="Times New Roman"/>
        </w:rPr>
        <w:t xml:space="preserve"> travel time is fairly reliable and lower values indicating a higher degree of </w:t>
      </w:r>
      <w:r w:rsidR="00EC5740" w:rsidRPr="004811C9">
        <w:rPr>
          <w:rFonts w:cs="Times New Roman"/>
        </w:rPr>
        <w:t>uncertainty in travel time (</w:t>
      </w:r>
      <w:r w:rsidR="003A56A7" w:rsidRPr="004811C9">
        <w:rPr>
          <w:rFonts w:cs="Times New Roman"/>
        </w:rPr>
        <w:t xml:space="preserve">thus, for example, a delay reduction of 10 minutes for a relatively reliable trip – say a low difference between maximum delay and free flow time of 20 minutes </w:t>
      </w:r>
      <w:r w:rsidR="00AF40D6" w:rsidRPr="004811C9">
        <w:rPr>
          <w:rFonts w:cs="Times New Roman"/>
        </w:rPr>
        <w:t xml:space="preserve">– </w:t>
      </w:r>
      <w:r w:rsidR="003A56A7" w:rsidRPr="004811C9">
        <w:rPr>
          <w:rFonts w:cs="Times New Roman"/>
        </w:rPr>
        <w:t xml:space="preserve">would yield a proportion estimate of maximum delay saved of 0.5, while the same delay reduction of 10 minutes for a more unreliable trip – say a high difference between maximum delay and free flow time of 40 minutes </w:t>
      </w:r>
      <w:r w:rsidR="00AF40D6" w:rsidRPr="004811C9">
        <w:rPr>
          <w:rFonts w:cs="Times New Roman"/>
        </w:rPr>
        <w:t xml:space="preserve">– </w:t>
      </w:r>
      <w:r w:rsidR="003A56A7" w:rsidRPr="004811C9">
        <w:rPr>
          <w:rFonts w:cs="Times New Roman"/>
        </w:rPr>
        <w:t xml:space="preserve">would yield a proportion estimate of maximum delay saved of 0.25).  </w:t>
      </w:r>
    </w:p>
    <w:p w14:paraId="510E3B49" w14:textId="77777777" w:rsidR="00DC66DF" w:rsidRPr="004811C9" w:rsidRDefault="00DC66DF" w:rsidP="00027FE5">
      <w:pPr>
        <w:spacing w:after="0" w:line="240" w:lineRule="auto"/>
        <w:jc w:val="both"/>
        <w:rPr>
          <w:rFonts w:cs="Times New Roman"/>
        </w:rPr>
      </w:pPr>
    </w:p>
    <w:p w14:paraId="33726E0D" w14:textId="2DCA5EDB" w:rsidR="00F77ECE" w:rsidRPr="004811C9" w:rsidRDefault="00974C6E" w:rsidP="00027FE5">
      <w:pPr>
        <w:spacing w:after="0" w:line="240" w:lineRule="auto"/>
        <w:jc w:val="both"/>
        <w:rPr>
          <w:rFonts w:cs="Times New Roman"/>
        </w:rPr>
      </w:pPr>
      <w:r w:rsidRPr="004811C9">
        <w:rPr>
          <w:rFonts w:cs="Times New Roman"/>
          <w:b/>
          <w:bCs/>
        </w:rPr>
        <w:t>3.2 Model Formulation</w:t>
      </w:r>
      <w:r w:rsidR="009611EA" w:rsidRPr="004811C9">
        <w:rPr>
          <w:rFonts w:cs="Times New Roman"/>
          <w:b/>
          <w:bCs/>
        </w:rPr>
        <w:t xml:space="preserve"> and Estimation</w:t>
      </w:r>
    </w:p>
    <w:p w14:paraId="2EAA4AFD" w14:textId="4B9AC5F8" w:rsidR="00974C6E" w:rsidRPr="004811C9" w:rsidRDefault="000269FA" w:rsidP="00027FE5">
      <w:pPr>
        <w:spacing w:after="0" w:line="240" w:lineRule="auto"/>
        <w:jc w:val="both"/>
        <w:rPr>
          <w:rFonts w:cs="Times New Roman"/>
        </w:rPr>
      </w:pPr>
      <w:r>
        <w:rPr>
          <w:rFonts w:cs="Times New Roman"/>
        </w:rPr>
        <w:t>T</w:t>
      </w:r>
      <w:r w:rsidR="00974C6E" w:rsidRPr="004811C9">
        <w:rPr>
          <w:rFonts w:cs="Times New Roman"/>
        </w:rPr>
        <w:t xml:space="preserve">he model </w:t>
      </w:r>
      <w:r w:rsidR="003D73A8">
        <w:rPr>
          <w:rFonts w:cs="Times New Roman"/>
        </w:rPr>
        <w:t>comprises</w:t>
      </w:r>
      <w:r w:rsidR="00974C6E" w:rsidRPr="004811C9">
        <w:rPr>
          <w:rFonts w:cs="Times New Roman"/>
        </w:rPr>
        <w:t xml:space="preserve"> a </w:t>
      </w:r>
      <w:r w:rsidR="00EC0C4A" w:rsidRPr="004811C9">
        <w:rPr>
          <w:rFonts w:cs="Times New Roman"/>
        </w:rPr>
        <w:t xml:space="preserve">single </w:t>
      </w:r>
      <w:r w:rsidR="00974C6E" w:rsidRPr="004811C9">
        <w:rPr>
          <w:rFonts w:cs="Times New Roman"/>
        </w:rPr>
        <w:t xml:space="preserve">binary outcome (for the </w:t>
      </w:r>
      <w:r w:rsidR="00A21A5D" w:rsidRPr="004811C9">
        <w:rPr>
          <w:rFonts w:cs="Times New Roman"/>
        </w:rPr>
        <w:t>WTP</w:t>
      </w:r>
      <w:r w:rsidR="00EB0F00" w:rsidRPr="004811C9">
        <w:rPr>
          <w:rFonts w:cs="Times New Roman"/>
        </w:rPr>
        <w:t xml:space="preserve">) and a </w:t>
      </w:r>
      <w:r w:rsidR="00EC0C4A" w:rsidRPr="004811C9">
        <w:rPr>
          <w:rFonts w:cs="Times New Roman"/>
        </w:rPr>
        <w:t xml:space="preserve">single </w:t>
      </w:r>
      <w:r w:rsidR="00EB0F00" w:rsidRPr="004811C9">
        <w:rPr>
          <w:rFonts w:cs="Times New Roman"/>
        </w:rPr>
        <w:t xml:space="preserve">continuous outcome (for the </w:t>
      </w:r>
      <w:r w:rsidR="00D2000D" w:rsidRPr="004811C9">
        <w:rPr>
          <w:rFonts w:cs="Times New Roman"/>
        </w:rPr>
        <w:t xml:space="preserve">logarithm of the </w:t>
      </w:r>
      <w:r w:rsidR="00F4773F" w:rsidRPr="004811C9">
        <w:rPr>
          <w:rFonts w:cs="Times New Roman"/>
          <w:i/>
        </w:rPr>
        <w:t>cVTTS</w:t>
      </w:r>
      <w:r w:rsidR="00EB0F00" w:rsidRPr="004811C9">
        <w:rPr>
          <w:rFonts w:cs="Times New Roman"/>
        </w:rPr>
        <w:t>)</w:t>
      </w:r>
      <w:r w:rsidR="00BA6289" w:rsidRPr="004811C9">
        <w:rPr>
          <w:rFonts w:cs="Times New Roman"/>
        </w:rPr>
        <w:t xml:space="preserve">, </w:t>
      </w:r>
      <w:r w:rsidR="003D73A8">
        <w:rPr>
          <w:rFonts w:cs="Times New Roman"/>
        </w:rPr>
        <w:t>is the latter being relevant</w:t>
      </w:r>
      <w:r w:rsidR="00BA6289" w:rsidRPr="004811C9">
        <w:rPr>
          <w:rFonts w:cs="Times New Roman"/>
        </w:rPr>
        <w:t xml:space="preserve"> only among those who are willing to pay</w:t>
      </w:r>
      <w:r w:rsidR="00EB0F00" w:rsidRPr="004811C9">
        <w:rPr>
          <w:rFonts w:cs="Times New Roman"/>
        </w:rPr>
        <w:t xml:space="preserve">. </w:t>
      </w:r>
      <w:r w:rsidR="000E7DC6">
        <w:rPr>
          <w:rFonts w:cs="Times New Roman"/>
        </w:rPr>
        <w:t xml:space="preserve">The model is estimated as a single joint system </w:t>
      </w:r>
      <w:r w:rsidR="00293C0B">
        <w:rPr>
          <w:rFonts w:cs="Times New Roman"/>
        </w:rPr>
        <w:t xml:space="preserve">with a bivariate normal error structure to accommodate unobserved correlations across the WTP and </w:t>
      </w:r>
      <w:r w:rsidR="00293C0B">
        <w:rPr>
          <w:rFonts w:cs="Times New Roman"/>
          <w:i/>
          <w:iCs/>
        </w:rPr>
        <w:t>cVTTS</w:t>
      </w:r>
      <w:r w:rsidR="00293C0B">
        <w:rPr>
          <w:rFonts w:cs="Times New Roman"/>
        </w:rPr>
        <w:t xml:space="preserve"> components. </w:t>
      </w:r>
      <w:r w:rsidR="00BC7874" w:rsidRPr="004811C9">
        <w:rPr>
          <w:rFonts w:cs="Times New Roman"/>
        </w:rPr>
        <w:t xml:space="preserve">For the </w:t>
      </w:r>
      <w:r w:rsidR="00412B53" w:rsidRPr="004811C9">
        <w:rPr>
          <w:rFonts w:cs="Times New Roman"/>
        </w:rPr>
        <w:t>WTP  outcome</w:t>
      </w:r>
      <w:r w:rsidR="00BC7874" w:rsidRPr="004811C9">
        <w:rPr>
          <w:rFonts w:cs="Times New Roman"/>
        </w:rPr>
        <w:t xml:space="preserve">, </w:t>
      </w:r>
      <w:r w:rsidR="00C83B14" w:rsidRPr="004811C9">
        <w:rPr>
          <w:rFonts w:cs="Times New Roman"/>
        </w:rPr>
        <w:t xml:space="preserve">consider the </w:t>
      </w:r>
      <w:r w:rsidR="00025980" w:rsidRPr="004811C9">
        <w:rPr>
          <w:rFonts w:cs="Times New Roman"/>
        </w:rPr>
        <w:t xml:space="preserve">latent propensity </w:t>
      </w:r>
      <w:r w:rsidR="00412B53" w:rsidRPr="004811C9">
        <w:rPr>
          <w:rFonts w:cs="Times New Roman"/>
          <w:position w:val="-14"/>
        </w:rPr>
        <w:object w:dxaOrig="260" w:dyaOrig="400" w14:anchorId="2B0E3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22.55pt" o:ole="">
            <v:imagedata r:id="rId8" o:title=""/>
          </v:shape>
          <o:OLEObject Type="Embed" ProgID="Equation.DSMT4" ShapeID="_x0000_i1025" DrawAspect="Content" ObjectID="_1834581448" r:id="rId9"/>
        </w:object>
      </w:r>
      <w:r w:rsidR="00C32DB8" w:rsidRPr="004811C9">
        <w:rPr>
          <w:rFonts w:cs="Times New Roman"/>
        </w:rPr>
        <w:t xml:space="preserve"> </w:t>
      </w:r>
      <w:r w:rsidR="0020582F" w:rsidRPr="004811C9">
        <w:rPr>
          <w:rFonts w:cs="Times New Roman"/>
        </w:rPr>
        <w:t xml:space="preserve">that is mapped to </w:t>
      </w:r>
      <w:r w:rsidR="00025980" w:rsidRPr="004811C9">
        <w:rPr>
          <w:rFonts w:cs="Times New Roman"/>
        </w:rPr>
        <w:t xml:space="preserve">the </w:t>
      </w:r>
      <w:r w:rsidR="00C83B14" w:rsidRPr="004811C9">
        <w:rPr>
          <w:rFonts w:cs="Times New Roman"/>
        </w:rPr>
        <w:t>binary outcome</w:t>
      </w:r>
      <w:r w:rsidR="00025980" w:rsidRPr="004811C9">
        <w:rPr>
          <w:rFonts w:cs="Times New Roman"/>
        </w:rPr>
        <w:t xml:space="preserve"> </w:t>
      </w:r>
      <w:r w:rsidR="00412B53" w:rsidRPr="004811C9">
        <w:rPr>
          <w:rFonts w:cs="Times New Roman"/>
          <w:position w:val="-14"/>
        </w:rPr>
        <w:object w:dxaOrig="260" w:dyaOrig="400" w14:anchorId="1CFC29E9">
          <v:shape id="_x0000_i1026" type="#_x0000_t75" style="width:14.5pt;height:22.55pt" o:ole="">
            <v:imagedata r:id="rId10" o:title=""/>
          </v:shape>
          <o:OLEObject Type="Embed" ProgID="Equation.DSMT4" ShapeID="_x0000_i1026" DrawAspect="Content" ObjectID="_1834581449" r:id="rId11"/>
        </w:object>
      </w:r>
      <w:r w:rsidR="00412B53" w:rsidRPr="004811C9">
        <w:rPr>
          <w:rFonts w:cs="Times New Roman"/>
        </w:rPr>
        <w:t xml:space="preserve"> for </w:t>
      </w:r>
      <w:r w:rsidR="0020582F" w:rsidRPr="004811C9">
        <w:rPr>
          <w:rFonts w:cs="Times New Roman"/>
        </w:rPr>
        <w:t xml:space="preserve">whether an individual </w:t>
      </w:r>
      <w:r w:rsidR="0020582F" w:rsidRPr="004811C9">
        <w:rPr>
          <w:rFonts w:cs="Times New Roman"/>
          <w:i/>
          <w:iCs/>
        </w:rPr>
        <w:t>q</w:t>
      </w:r>
      <w:r w:rsidR="0020582F" w:rsidRPr="004811C9">
        <w:rPr>
          <w:rFonts w:cs="Times New Roman"/>
        </w:rPr>
        <w:t xml:space="preserve"> is willing to pay at all (</w:t>
      </w:r>
      <w:r w:rsidR="00412B53" w:rsidRPr="004811C9">
        <w:rPr>
          <w:rFonts w:cs="Times New Roman"/>
          <w:position w:val="-14"/>
        </w:rPr>
        <w:object w:dxaOrig="680" w:dyaOrig="400" w14:anchorId="4D31F80B">
          <v:shape id="_x0000_i1027" type="#_x0000_t75" style="width:34.4pt;height:22.55pt" o:ole="">
            <v:imagedata r:id="rId12" o:title=""/>
          </v:shape>
          <o:OLEObject Type="Embed" ProgID="Equation.DSMT4" ShapeID="_x0000_i1027" DrawAspect="Content" ObjectID="_1834581450" r:id="rId13"/>
        </w:object>
      </w:r>
      <w:r w:rsidR="00F8453A">
        <w:rPr>
          <w:rFonts w:cs="Times New Roman"/>
        </w:rPr>
        <w:t xml:space="preserve"> </w:t>
      </w:r>
      <w:r w:rsidR="0020582F" w:rsidRPr="004811C9">
        <w:rPr>
          <w:rFonts w:cs="Times New Roman"/>
        </w:rPr>
        <w:t>or not</w:t>
      </w:r>
      <w:r w:rsidR="00412B53" w:rsidRPr="004811C9">
        <w:rPr>
          <w:rFonts w:cs="Times New Roman"/>
        </w:rPr>
        <w:t xml:space="preserve"> willing to pay at all (</w:t>
      </w:r>
      <w:r w:rsidR="00412B53" w:rsidRPr="004811C9">
        <w:rPr>
          <w:rFonts w:cs="Times New Roman"/>
          <w:position w:val="-14"/>
        </w:rPr>
        <w:object w:dxaOrig="720" w:dyaOrig="400" w14:anchorId="563C1B21">
          <v:shape id="_x0000_i1028" type="#_x0000_t75" style="width:36.55pt;height:22.55pt" o:ole="">
            <v:imagedata r:id="rId14" o:title=""/>
          </v:shape>
          <o:OLEObject Type="Embed" ProgID="Equation.DSMT4" ShapeID="_x0000_i1028" DrawAspect="Content" ObjectID="_1834581451" r:id="rId15"/>
        </w:object>
      </w:r>
      <w:r w:rsidR="00412B53" w:rsidRPr="004811C9">
        <w:rPr>
          <w:rFonts w:cs="Times New Roman"/>
        </w:rPr>
        <w:t xml:space="preserve"> as follows:</w:t>
      </w:r>
    </w:p>
    <w:p w14:paraId="7263F82A" w14:textId="4AD8956D" w:rsidR="00810145" w:rsidRPr="004811C9" w:rsidRDefault="00F8453A" w:rsidP="00027FE5">
      <w:pPr>
        <w:pStyle w:val="MTDisplayEquation"/>
        <w:spacing w:before="120" w:after="120"/>
        <w:rPr>
          <w:rFonts w:cs="Times New Roman"/>
        </w:rPr>
      </w:pPr>
      <w:r w:rsidRPr="004811C9">
        <w:rPr>
          <w:rFonts w:cs="Times New Roman"/>
          <w:position w:val="-14"/>
        </w:rPr>
        <w:object w:dxaOrig="4780" w:dyaOrig="400" w14:anchorId="089FDE5D">
          <v:shape id="_x0000_i1029" type="#_x0000_t75" style="width:239.1pt;height:20.4pt" o:ole="" o:preferrelative="f">
            <v:imagedata r:id="rId16" o:title=""/>
            <o:lock v:ext="edit" aspectratio="f"/>
          </v:shape>
          <o:OLEObject Type="Embed" ProgID="Equation.DSMT4" ShapeID="_x0000_i1029" DrawAspect="Content" ObjectID="_1834581452" r:id="rId17"/>
        </w:object>
      </w:r>
      <w:r w:rsidR="00810145" w:rsidRPr="004811C9">
        <w:rPr>
          <w:rFonts w:cs="Times New Roman"/>
        </w:rPr>
        <w:tab/>
      </w:r>
      <w:r w:rsidR="00810145" w:rsidRPr="004811C9">
        <w:rPr>
          <w:rFonts w:cs="Times New Roman"/>
        </w:rPr>
        <w:fldChar w:fldCharType="begin"/>
      </w:r>
      <w:r w:rsidR="00810145" w:rsidRPr="004811C9">
        <w:rPr>
          <w:rFonts w:cs="Times New Roman"/>
        </w:rPr>
        <w:instrText xml:space="preserve"> MACROBUTTON MTPlaceRef \* MERGEFORMAT </w:instrText>
      </w:r>
      <w:r w:rsidR="00810145" w:rsidRPr="004811C9">
        <w:rPr>
          <w:rFonts w:cs="Times New Roman"/>
        </w:rPr>
        <w:fldChar w:fldCharType="begin"/>
      </w:r>
      <w:r w:rsidR="00810145" w:rsidRPr="004811C9">
        <w:rPr>
          <w:rFonts w:cs="Times New Roman"/>
        </w:rPr>
        <w:instrText xml:space="preserve"> SEQ MTEqn \h \* MERGEFORMAT </w:instrText>
      </w:r>
      <w:r w:rsidR="00810145" w:rsidRPr="004811C9">
        <w:rPr>
          <w:rFonts w:cs="Times New Roman"/>
        </w:rPr>
        <w:fldChar w:fldCharType="end"/>
      </w:r>
      <w:r w:rsidR="00810145" w:rsidRPr="004811C9">
        <w:rPr>
          <w:rFonts w:cs="Times New Roman"/>
        </w:rPr>
        <w:instrText>(</w:instrText>
      </w:r>
      <w:r w:rsidR="00810145" w:rsidRPr="004811C9">
        <w:rPr>
          <w:rFonts w:cs="Times New Roman"/>
        </w:rPr>
        <w:fldChar w:fldCharType="begin"/>
      </w:r>
      <w:r w:rsidR="00810145" w:rsidRPr="004811C9">
        <w:rPr>
          <w:rFonts w:cs="Times New Roman"/>
        </w:rPr>
        <w:instrText xml:space="preserve"> SEQ MTEqn \c \* Arabic \* MERGEFORMAT </w:instrText>
      </w:r>
      <w:r w:rsidR="00810145" w:rsidRPr="004811C9">
        <w:rPr>
          <w:rFonts w:cs="Times New Roman"/>
        </w:rPr>
        <w:fldChar w:fldCharType="separate"/>
      </w:r>
      <w:r w:rsidR="006C4B31">
        <w:rPr>
          <w:rFonts w:cs="Times New Roman"/>
          <w:noProof/>
        </w:rPr>
        <w:instrText>1</w:instrText>
      </w:r>
      <w:r w:rsidR="00810145" w:rsidRPr="004811C9">
        <w:rPr>
          <w:rFonts w:cs="Times New Roman"/>
        </w:rPr>
        <w:fldChar w:fldCharType="end"/>
      </w:r>
      <w:r w:rsidR="00810145" w:rsidRPr="004811C9">
        <w:rPr>
          <w:rFonts w:cs="Times New Roman"/>
        </w:rPr>
        <w:instrText>)</w:instrText>
      </w:r>
      <w:r w:rsidR="00810145" w:rsidRPr="004811C9">
        <w:rPr>
          <w:rFonts w:cs="Times New Roman"/>
        </w:rPr>
        <w:fldChar w:fldCharType="end"/>
      </w:r>
    </w:p>
    <w:p w14:paraId="2376C853" w14:textId="35BDC108" w:rsidR="0072611D" w:rsidRPr="004811C9" w:rsidRDefault="00930112" w:rsidP="00027FE5">
      <w:pPr>
        <w:spacing w:after="0" w:line="240" w:lineRule="auto"/>
        <w:jc w:val="both"/>
        <w:rPr>
          <w:rFonts w:cs="Times New Roman"/>
        </w:rPr>
      </w:pPr>
      <w:r w:rsidRPr="004811C9">
        <w:rPr>
          <w:rFonts w:cs="Times New Roman"/>
        </w:rPr>
        <w:t>w</w:t>
      </w:r>
      <w:r w:rsidR="00810145" w:rsidRPr="004811C9">
        <w:rPr>
          <w:rFonts w:cs="Times New Roman"/>
        </w:rPr>
        <w:t>here</w:t>
      </w:r>
      <w:r w:rsidRPr="004811C9">
        <w:rPr>
          <w:rFonts w:cs="Times New Roman"/>
        </w:rPr>
        <w:t xml:space="preserve"> </w:t>
      </w:r>
      <w:r w:rsidRPr="004811C9">
        <w:rPr>
          <w:rFonts w:cs="Times New Roman"/>
          <w:position w:val="-14"/>
        </w:rPr>
        <w:object w:dxaOrig="340" w:dyaOrig="380" w14:anchorId="0BD034A4">
          <v:shape id="_x0000_i1030" type="#_x0000_t75" style="width:15.6pt;height:19.35pt" o:ole="">
            <v:imagedata r:id="rId18" o:title=""/>
          </v:shape>
          <o:OLEObject Type="Embed" ProgID="Equation.DSMT4" ShapeID="_x0000_i1030" DrawAspect="Content" ObjectID="_1834581453" r:id="rId19"/>
        </w:object>
      </w:r>
      <w:r w:rsidRPr="004811C9">
        <w:rPr>
          <w:rFonts w:cs="Times New Roman"/>
        </w:rPr>
        <w:t xml:space="preserve"> </w:t>
      </w:r>
      <w:r w:rsidR="00810145" w:rsidRPr="004811C9">
        <w:rPr>
          <w:rFonts w:cs="Times New Roman"/>
        </w:rPr>
        <w:t>is a</w:t>
      </w:r>
      <w:r w:rsidRPr="004811C9">
        <w:rPr>
          <w:rFonts w:cs="Times New Roman"/>
        </w:rPr>
        <w:t xml:space="preserve"> </w:t>
      </w:r>
      <w:r w:rsidR="00810145" w:rsidRPr="004811C9">
        <w:rPr>
          <w:rFonts w:cs="Times New Roman"/>
        </w:rPr>
        <w:t>vector of exogenous variables (including a constant)</w:t>
      </w:r>
      <w:r w:rsidR="00721422" w:rsidRPr="004811C9">
        <w:rPr>
          <w:rFonts w:cs="Times New Roman"/>
        </w:rPr>
        <w:t xml:space="preserve"> and</w:t>
      </w:r>
      <w:r w:rsidR="00810145" w:rsidRPr="004811C9">
        <w:rPr>
          <w:rFonts w:cs="Times New Roman"/>
        </w:rPr>
        <w:t xml:space="preserve"> </w:t>
      </w:r>
      <w:r w:rsidR="004845A6" w:rsidRPr="004811C9">
        <w:rPr>
          <w:rFonts w:cs="Times New Roman"/>
          <w:position w:val="-10"/>
        </w:rPr>
        <w:object w:dxaOrig="200" w:dyaOrig="260" w14:anchorId="33508855">
          <v:shape id="_x0000_i1031" type="#_x0000_t75" style="width:9.65pt;height:14.5pt" o:ole="">
            <v:imagedata r:id="rId20" o:title=""/>
          </v:shape>
          <o:OLEObject Type="Embed" ProgID="Equation.DSMT4" ShapeID="_x0000_i1031" DrawAspect="Content" ObjectID="_1834581454" r:id="rId21"/>
        </w:object>
      </w:r>
      <w:r w:rsidR="00810145" w:rsidRPr="004811C9">
        <w:rPr>
          <w:rFonts w:cs="Times New Roman"/>
        </w:rPr>
        <w:t xml:space="preserve"> </w:t>
      </w:r>
      <w:r w:rsidR="00721422" w:rsidRPr="004811C9">
        <w:rPr>
          <w:rFonts w:cs="Times New Roman"/>
        </w:rPr>
        <w:t>is</w:t>
      </w:r>
      <w:r w:rsidR="00810145" w:rsidRPr="004811C9">
        <w:rPr>
          <w:rFonts w:cs="Times New Roman"/>
        </w:rPr>
        <w:t xml:space="preserve"> a corresponding vector of parameters</w:t>
      </w:r>
      <w:r w:rsidRPr="004811C9">
        <w:rPr>
          <w:rFonts w:cs="Times New Roman"/>
        </w:rPr>
        <w:t xml:space="preserve"> to be </w:t>
      </w:r>
      <w:proofErr w:type="gramStart"/>
      <w:r w:rsidRPr="004811C9">
        <w:rPr>
          <w:rFonts w:cs="Times New Roman"/>
        </w:rPr>
        <w:t>estimated</w:t>
      </w:r>
      <w:r w:rsidR="00721422" w:rsidRPr="004811C9">
        <w:rPr>
          <w:rFonts w:cs="Times New Roman"/>
        </w:rPr>
        <w:t>.</w:t>
      </w:r>
      <w:proofErr w:type="gramEnd"/>
      <w:r w:rsidR="00721422" w:rsidRPr="004811C9">
        <w:rPr>
          <w:rFonts w:cs="Times New Roman"/>
        </w:rPr>
        <w:t xml:space="preserve"> </w:t>
      </w:r>
      <w:r w:rsidR="00412B53" w:rsidRPr="004811C9">
        <w:rPr>
          <w:rFonts w:cs="Times New Roman"/>
          <w:position w:val="-14"/>
        </w:rPr>
        <w:object w:dxaOrig="260" w:dyaOrig="380" w14:anchorId="07A8157C">
          <v:shape id="_x0000_i1032" type="#_x0000_t75" style="width:14.5pt;height:19.35pt" o:ole="">
            <v:imagedata r:id="rId22" o:title=""/>
          </v:shape>
          <o:OLEObject Type="Embed" ProgID="Equation.DSMT4" ShapeID="_x0000_i1032" DrawAspect="Content" ObjectID="_1834581455" r:id="rId23"/>
        </w:object>
      </w:r>
      <w:r w:rsidR="00412B53" w:rsidRPr="004811C9">
        <w:rPr>
          <w:rFonts w:cs="Times New Roman"/>
        </w:rPr>
        <w:t xml:space="preserve"> </w:t>
      </w:r>
      <w:r w:rsidR="00810145" w:rsidRPr="004811C9">
        <w:rPr>
          <w:rFonts w:cs="Times New Roman"/>
        </w:rPr>
        <w:t>represents a standard normal error term</w:t>
      </w:r>
      <w:r w:rsidR="005702FF" w:rsidRPr="004811C9">
        <w:rPr>
          <w:rFonts w:cs="Times New Roman"/>
        </w:rPr>
        <w:t xml:space="preserve"> </w:t>
      </w:r>
      <w:r w:rsidR="00721422" w:rsidRPr="004811C9">
        <w:rPr>
          <w:rFonts w:cs="Times New Roman"/>
        </w:rPr>
        <w:t xml:space="preserve">that </w:t>
      </w:r>
      <w:r w:rsidR="00450252" w:rsidRPr="004811C9">
        <w:rPr>
          <w:rFonts w:cs="Times New Roman"/>
        </w:rPr>
        <w:t xml:space="preserve">is </w:t>
      </w:r>
      <w:r w:rsidR="004845A6" w:rsidRPr="004811C9">
        <w:rPr>
          <w:rFonts w:cs="Times New Roman"/>
        </w:rPr>
        <w:t>assumed</w:t>
      </w:r>
      <w:r w:rsidR="0060471C" w:rsidRPr="004811C9">
        <w:rPr>
          <w:rFonts w:cs="Times New Roman"/>
        </w:rPr>
        <w:t xml:space="preserve"> (for identification reasons)</w:t>
      </w:r>
      <w:r w:rsidR="004845A6" w:rsidRPr="004811C9">
        <w:rPr>
          <w:rFonts w:cs="Times New Roman"/>
        </w:rPr>
        <w:t xml:space="preserve"> </w:t>
      </w:r>
      <w:r w:rsidR="0060471C" w:rsidRPr="004811C9">
        <w:rPr>
          <w:rFonts w:cs="Times New Roman"/>
        </w:rPr>
        <w:t xml:space="preserve">to be </w:t>
      </w:r>
      <w:r w:rsidR="00450252" w:rsidRPr="004811C9">
        <w:rPr>
          <w:rFonts w:cs="Times New Roman"/>
        </w:rPr>
        <w:t>independent and identically distributed across individuals in the sample</w:t>
      </w:r>
      <w:r w:rsidR="00810145" w:rsidRPr="004811C9">
        <w:rPr>
          <w:rFonts w:cs="Times New Roman"/>
        </w:rPr>
        <w:t xml:space="preserve">. </w:t>
      </w:r>
    </w:p>
    <w:p w14:paraId="0D26127C" w14:textId="652BD113" w:rsidR="00810145" w:rsidRPr="004811C9" w:rsidRDefault="00E465BC" w:rsidP="00027FE5">
      <w:pPr>
        <w:spacing w:after="0" w:line="240" w:lineRule="auto"/>
        <w:jc w:val="both"/>
        <w:rPr>
          <w:rFonts w:cs="Times New Roman"/>
        </w:rPr>
      </w:pPr>
      <w:r w:rsidRPr="004811C9">
        <w:rPr>
          <w:rFonts w:cs="Times New Roman"/>
        </w:rPr>
        <w:tab/>
        <w:t xml:space="preserve">Moving to the continuous outcome, </w:t>
      </w:r>
      <w:r w:rsidR="0048405A" w:rsidRPr="004811C9">
        <w:rPr>
          <w:rFonts w:cs="Times New Roman"/>
        </w:rPr>
        <w:t>we can write</w:t>
      </w:r>
      <w:r w:rsidR="006B77B9" w:rsidRPr="004811C9">
        <w:rPr>
          <w:rFonts w:cs="Times New Roman"/>
        </w:rPr>
        <w:t xml:space="preserve"> </w:t>
      </w:r>
      <w:r w:rsidR="0030028D" w:rsidRPr="004811C9">
        <w:rPr>
          <w:rFonts w:cs="Times New Roman"/>
        </w:rPr>
        <w:t xml:space="preserve">the </w:t>
      </w:r>
      <w:r w:rsidR="002B6841" w:rsidRPr="004811C9">
        <w:rPr>
          <w:rFonts w:cs="Times New Roman"/>
        </w:rPr>
        <w:t xml:space="preserve">continuous outcome </w:t>
      </w:r>
      <w:r w:rsidR="00813E09" w:rsidRPr="004811C9">
        <w:rPr>
          <w:rFonts w:cs="Times New Roman"/>
          <w:position w:val="-14"/>
        </w:rPr>
        <w:object w:dxaOrig="360" w:dyaOrig="380" w14:anchorId="628E2E58">
          <v:shape id="_x0000_i1033" type="#_x0000_t75" style="width:18.25pt;height:19.35pt" o:ole="">
            <v:imagedata r:id="rId24" o:title=""/>
          </v:shape>
          <o:OLEObject Type="Embed" ProgID="Equation.DSMT4" ShapeID="_x0000_i1033" DrawAspect="Content" ObjectID="_1834581456" r:id="rId25"/>
        </w:object>
      </w:r>
      <w:r w:rsidR="002B6841" w:rsidRPr="004811C9">
        <w:rPr>
          <w:rFonts w:cs="Times New Roman"/>
        </w:rPr>
        <w:t xml:space="preserve">representing the </w:t>
      </w:r>
      <w:r w:rsidR="00D2000D" w:rsidRPr="004811C9">
        <w:rPr>
          <w:rFonts w:cs="Times New Roman"/>
        </w:rPr>
        <w:t xml:space="preserve">logarithm of the </w:t>
      </w:r>
      <w:r w:rsidR="00F4773F" w:rsidRPr="004811C9">
        <w:rPr>
          <w:rFonts w:cs="Times New Roman"/>
          <w:i/>
        </w:rPr>
        <w:t>cVTTS</w:t>
      </w:r>
      <w:r w:rsidR="0030028D" w:rsidRPr="004811C9">
        <w:rPr>
          <w:rFonts w:cs="Times New Roman"/>
        </w:rPr>
        <w:t xml:space="preserve"> as a function of covariate</w:t>
      </w:r>
      <w:r w:rsidR="0036164D" w:rsidRPr="004811C9">
        <w:rPr>
          <w:rFonts w:cs="Times New Roman"/>
        </w:rPr>
        <w:t>s</w:t>
      </w:r>
      <w:r w:rsidR="00412B53" w:rsidRPr="004811C9">
        <w:rPr>
          <w:rFonts w:cs="Times New Roman"/>
        </w:rPr>
        <w:t xml:space="preserve"> as</w:t>
      </w:r>
      <w:r w:rsidR="0030028D" w:rsidRPr="004811C9">
        <w:rPr>
          <w:rFonts w:cs="Times New Roman"/>
        </w:rPr>
        <w:t>:</w:t>
      </w:r>
    </w:p>
    <w:p w14:paraId="39BA0601" w14:textId="015786B7" w:rsidR="0030028D" w:rsidRPr="004811C9" w:rsidRDefault="00F8453A" w:rsidP="00027FE5">
      <w:pPr>
        <w:pStyle w:val="MTDisplayEquation"/>
        <w:spacing w:before="120" w:after="120"/>
        <w:rPr>
          <w:rFonts w:cs="Times New Roman"/>
        </w:rPr>
      </w:pPr>
      <w:r w:rsidRPr="004811C9">
        <w:rPr>
          <w:rFonts w:cs="Times New Roman"/>
          <w:position w:val="-14"/>
        </w:rPr>
        <w:object w:dxaOrig="4020" w:dyaOrig="380" w14:anchorId="46F82BED">
          <v:shape id="_x0000_i1034" type="#_x0000_t75" style="width:200.95pt;height:18.8pt" o:ole="" o:preferrelative="f">
            <v:imagedata r:id="rId26" o:title=""/>
            <o:lock v:ext="edit" aspectratio="f"/>
          </v:shape>
          <o:OLEObject Type="Embed" ProgID="Equation.DSMT4" ShapeID="_x0000_i1034" DrawAspect="Content" ObjectID="_1834581457" r:id="rId27"/>
        </w:object>
      </w:r>
      <w:r w:rsidR="00930112" w:rsidRPr="004811C9">
        <w:rPr>
          <w:rFonts w:cs="Times New Roman"/>
        </w:rPr>
        <w:t>,</w:t>
      </w:r>
      <w:r w:rsidR="0030028D" w:rsidRPr="004811C9">
        <w:rPr>
          <w:rFonts w:cs="Times New Roman"/>
        </w:rPr>
        <w:tab/>
      </w:r>
      <w:r w:rsidR="0030028D" w:rsidRPr="004811C9">
        <w:rPr>
          <w:rFonts w:cs="Times New Roman"/>
        </w:rPr>
        <w:tab/>
      </w:r>
      <w:r w:rsidR="0036164D" w:rsidRPr="004811C9">
        <w:rPr>
          <w:rFonts w:cs="Times New Roman"/>
        </w:rPr>
        <w:t xml:space="preserve"> </w:t>
      </w:r>
      <w:r w:rsidR="0036164D" w:rsidRPr="004811C9">
        <w:rPr>
          <w:rFonts w:cs="Times New Roman"/>
        </w:rPr>
        <w:fldChar w:fldCharType="begin"/>
      </w:r>
      <w:r w:rsidR="0036164D" w:rsidRPr="004811C9">
        <w:rPr>
          <w:rFonts w:cs="Times New Roman"/>
        </w:rPr>
        <w:instrText xml:space="preserve"> MACROBUTTON MTPlaceRef \* MERGEFORMAT </w:instrText>
      </w:r>
      <w:r w:rsidR="0036164D" w:rsidRPr="004811C9">
        <w:rPr>
          <w:rFonts w:cs="Times New Roman"/>
        </w:rPr>
        <w:fldChar w:fldCharType="begin"/>
      </w:r>
      <w:r w:rsidR="0036164D" w:rsidRPr="004811C9">
        <w:rPr>
          <w:rFonts w:cs="Times New Roman"/>
        </w:rPr>
        <w:instrText xml:space="preserve"> SEQ MTEqn \h \* MERGEFORMAT </w:instrText>
      </w:r>
      <w:r w:rsidR="0036164D" w:rsidRPr="004811C9">
        <w:rPr>
          <w:rFonts w:cs="Times New Roman"/>
        </w:rPr>
        <w:fldChar w:fldCharType="end"/>
      </w:r>
      <w:r w:rsidR="0036164D" w:rsidRPr="004811C9">
        <w:rPr>
          <w:rFonts w:cs="Times New Roman"/>
        </w:rPr>
        <w:instrText>(</w:instrText>
      </w:r>
      <w:r w:rsidR="0036164D" w:rsidRPr="004811C9">
        <w:rPr>
          <w:rFonts w:cs="Times New Roman"/>
        </w:rPr>
        <w:fldChar w:fldCharType="begin"/>
      </w:r>
      <w:r w:rsidR="0036164D" w:rsidRPr="004811C9">
        <w:rPr>
          <w:rFonts w:cs="Times New Roman"/>
        </w:rPr>
        <w:instrText xml:space="preserve"> SEQ MTEqn \c \* Arabic \* MERGEFORMAT </w:instrText>
      </w:r>
      <w:r w:rsidR="0036164D" w:rsidRPr="004811C9">
        <w:rPr>
          <w:rFonts w:cs="Times New Roman"/>
        </w:rPr>
        <w:fldChar w:fldCharType="separate"/>
      </w:r>
      <w:r w:rsidR="006C4B31">
        <w:rPr>
          <w:rFonts w:cs="Times New Roman"/>
          <w:noProof/>
        </w:rPr>
        <w:instrText>2</w:instrText>
      </w:r>
      <w:r w:rsidR="0036164D" w:rsidRPr="004811C9">
        <w:rPr>
          <w:rFonts w:cs="Times New Roman"/>
        </w:rPr>
        <w:fldChar w:fldCharType="end"/>
      </w:r>
      <w:r w:rsidR="0036164D" w:rsidRPr="004811C9">
        <w:rPr>
          <w:rFonts w:cs="Times New Roman"/>
        </w:rPr>
        <w:instrText>)</w:instrText>
      </w:r>
      <w:r w:rsidR="0036164D" w:rsidRPr="004811C9">
        <w:rPr>
          <w:rFonts w:cs="Times New Roman"/>
        </w:rPr>
        <w:fldChar w:fldCharType="end"/>
      </w:r>
    </w:p>
    <w:p w14:paraId="1A8CDAC2" w14:textId="3D4BEBBC" w:rsidR="001A7861" w:rsidRPr="004811C9" w:rsidRDefault="00DC4F69" w:rsidP="00027FE5">
      <w:pPr>
        <w:spacing w:after="0" w:line="240" w:lineRule="auto"/>
        <w:jc w:val="both"/>
        <w:rPr>
          <w:rFonts w:eastAsia="Calibri" w:cs="Times New Roman"/>
          <w:kern w:val="0"/>
          <w14:ligatures w14:val="none"/>
        </w:rPr>
      </w:pPr>
      <w:r w:rsidRPr="004811C9">
        <w:rPr>
          <w:rFonts w:cs="Times New Roman"/>
        </w:rPr>
        <w:t xml:space="preserve">where </w:t>
      </w:r>
      <w:r w:rsidR="00412B53" w:rsidRPr="004811C9">
        <w:rPr>
          <w:rFonts w:cs="Times New Roman"/>
          <w:position w:val="-14"/>
        </w:rPr>
        <w:object w:dxaOrig="279" w:dyaOrig="380" w14:anchorId="6125CABE">
          <v:shape id="_x0000_i1035" type="#_x0000_t75" style="width:14.5pt;height:19.35pt" o:ole="">
            <v:imagedata r:id="rId28" o:title=""/>
          </v:shape>
          <o:OLEObject Type="Embed" ProgID="Equation.DSMT4" ShapeID="_x0000_i1035" DrawAspect="Content" ObjectID="_1834581458" r:id="rId29"/>
        </w:object>
      </w:r>
      <w:r w:rsidR="00412B53" w:rsidRPr="004811C9">
        <w:rPr>
          <w:rFonts w:cs="Times New Roman"/>
        </w:rPr>
        <w:t xml:space="preserve"> </w:t>
      </w:r>
      <w:r w:rsidR="00813E09" w:rsidRPr="004811C9">
        <w:rPr>
          <w:rFonts w:cs="Times New Roman"/>
        </w:rPr>
        <w:t xml:space="preserve">is also </w:t>
      </w:r>
      <w:r w:rsidR="004845A6" w:rsidRPr="004811C9">
        <w:rPr>
          <w:rFonts w:cs="Times New Roman"/>
        </w:rPr>
        <w:t xml:space="preserve">a </w:t>
      </w:r>
      <w:r w:rsidRPr="004811C9">
        <w:rPr>
          <w:rFonts w:cs="Times New Roman"/>
        </w:rPr>
        <w:t xml:space="preserve">vector of exogenous variables (including a constant) and </w:t>
      </w:r>
      <w:r w:rsidR="00412B53" w:rsidRPr="004811C9">
        <w:rPr>
          <w:rFonts w:cs="Times New Roman"/>
          <w:position w:val="-10"/>
        </w:rPr>
        <w:object w:dxaOrig="200" w:dyaOrig="320" w14:anchorId="37AAFF9C">
          <v:shape id="_x0000_i1036" type="#_x0000_t75" style="width:9.65pt;height:15.6pt" o:ole="">
            <v:imagedata r:id="rId30" o:title=""/>
          </v:shape>
          <o:OLEObject Type="Embed" ProgID="Equation.DSMT4" ShapeID="_x0000_i1036" DrawAspect="Content" ObjectID="_1834581459" r:id="rId31"/>
        </w:object>
      </w:r>
      <w:r w:rsidRPr="004811C9">
        <w:rPr>
          <w:rFonts w:cs="Times New Roman"/>
        </w:rPr>
        <w:t xml:space="preserve"> is a</w:t>
      </w:r>
      <w:r w:rsidR="00813E09" w:rsidRPr="004811C9">
        <w:rPr>
          <w:rFonts w:cs="Times New Roman"/>
        </w:rPr>
        <w:t xml:space="preserve"> corresponding </w:t>
      </w:r>
      <w:r w:rsidRPr="004811C9">
        <w:rPr>
          <w:rFonts w:cs="Times New Roman"/>
        </w:rPr>
        <w:t xml:space="preserve">vector of </w:t>
      </w:r>
      <w:r w:rsidR="00CF4D86" w:rsidRPr="004811C9">
        <w:rPr>
          <w:rFonts w:cs="Times New Roman"/>
        </w:rPr>
        <w:t>coefficients</w:t>
      </w:r>
      <w:r w:rsidR="00813E09" w:rsidRPr="004811C9">
        <w:rPr>
          <w:rFonts w:cs="Times New Roman"/>
        </w:rPr>
        <w:t xml:space="preserve"> to be estimated</w:t>
      </w:r>
      <w:r w:rsidRPr="004811C9">
        <w:rPr>
          <w:rFonts w:cs="Times New Roman"/>
        </w:rPr>
        <w:t xml:space="preserve">. </w:t>
      </w:r>
      <w:r w:rsidR="000A1A8A">
        <w:rPr>
          <w:rFonts w:cs="Times New Roman"/>
        </w:rPr>
        <w:t>As noted previously, t</w:t>
      </w:r>
      <w:r w:rsidR="000A1A8A" w:rsidRPr="000A1A8A">
        <w:rPr>
          <w:rFonts w:cs="Times New Roman"/>
        </w:rPr>
        <w:t>he log</w:t>
      </w:r>
      <w:r w:rsidR="00620B21">
        <w:rPr>
          <w:rFonts w:cs="Times New Roman"/>
        </w:rPr>
        <w:t>arithmic</w:t>
      </w:r>
      <w:r w:rsidR="000A1A8A" w:rsidRPr="000A1A8A">
        <w:rPr>
          <w:rFonts w:cs="Times New Roman"/>
        </w:rPr>
        <w:t xml:space="preserve"> transform</w:t>
      </w:r>
      <w:r w:rsidR="00620B21">
        <w:rPr>
          <w:rFonts w:cs="Times New Roman"/>
        </w:rPr>
        <w:t>ation</w:t>
      </w:r>
      <w:r w:rsidR="000A1A8A" w:rsidRPr="000A1A8A">
        <w:rPr>
          <w:rFonts w:cs="Times New Roman"/>
        </w:rPr>
        <w:t xml:space="preserve"> is appropriate in this case because (1) the </w:t>
      </w:r>
      <w:r w:rsidR="000A1A8A" w:rsidRPr="006C4B31">
        <w:rPr>
          <w:rFonts w:cs="Times New Roman"/>
          <w:i/>
          <w:iCs/>
        </w:rPr>
        <w:t>cVTTS</w:t>
      </w:r>
      <w:r w:rsidR="000A1A8A" w:rsidRPr="000A1A8A">
        <w:rPr>
          <w:rFonts w:cs="Times New Roman"/>
        </w:rPr>
        <w:t xml:space="preserve"> must be strictly positive (after those who are unwilling to pay at all for travel time savings are accommodated through the binary WTP component), (2) the distribution of </w:t>
      </w:r>
      <w:r w:rsidR="000A1A8A" w:rsidRPr="006C4B31">
        <w:rPr>
          <w:rFonts w:cs="Times New Roman"/>
          <w:i/>
          <w:iCs/>
        </w:rPr>
        <w:t>cVTTS</w:t>
      </w:r>
      <w:r w:rsidR="000A1A8A" w:rsidRPr="000A1A8A">
        <w:rPr>
          <w:rFonts w:cs="Times New Roman"/>
        </w:rPr>
        <w:t xml:space="preserve"> is highly right-skewed while the distribution of the logarithm of </w:t>
      </w:r>
      <w:r w:rsidR="000A1A8A" w:rsidRPr="006C4B31">
        <w:rPr>
          <w:rFonts w:cs="Times New Roman"/>
          <w:i/>
          <w:iCs/>
        </w:rPr>
        <w:t>cVTTS</w:t>
      </w:r>
      <w:r w:rsidR="000A1A8A" w:rsidRPr="000A1A8A">
        <w:rPr>
          <w:rFonts w:cs="Times New Roman"/>
        </w:rPr>
        <w:t xml:space="preserve"> is much closer to symmetric (as shown in Figure 1). </w:t>
      </w:r>
      <w:r w:rsidR="00813E09" w:rsidRPr="004811C9">
        <w:rPr>
          <w:rFonts w:cs="Times New Roman"/>
        </w:rPr>
        <w:t xml:space="preserve">For identification considerations, we also maintain the usual exclusion restriction that there is at least one variable (“instrument”) that is contained in the vector </w:t>
      </w:r>
      <w:r w:rsidR="00813E09" w:rsidRPr="004811C9">
        <w:rPr>
          <w:rFonts w:cs="Times New Roman"/>
          <w:position w:val="-14"/>
        </w:rPr>
        <w:object w:dxaOrig="340" w:dyaOrig="380" w14:anchorId="6403A00C">
          <v:shape id="_x0000_i1037" type="#_x0000_t75" style="width:15.6pt;height:19.35pt" o:ole="">
            <v:imagedata r:id="rId32" o:title=""/>
          </v:shape>
          <o:OLEObject Type="Embed" ProgID="Equation.DSMT4" ShapeID="_x0000_i1037" DrawAspect="Content" ObjectID="_1834581460" r:id="rId33"/>
        </w:object>
      </w:r>
      <w:r w:rsidR="00813E09" w:rsidRPr="004811C9">
        <w:rPr>
          <w:rFonts w:cs="Times New Roman"/>
        </w:rPr>
        <w:t xml:space="preserve">, but does not appear in the vector </w:t>
      </w:r>
      <w:r w:rsidR="00813E09" w:rsidRPr="004811C9">
        <w:rPr>
          <w:rFonts w:cs="Times New Roman"/>
          <w:position w:val="-14"/>
        </w:rPr>
        <w:object w:dxaOrig="279" w:dyaOrig="380" w14:anchorId="6FDF5151">
          <v:shape id="_x0000_i1038" type="#_x0000_t75" style="width:14.5pt;height:19.35pt" o:ole="">
            <v:imagedata r:id="rId34" o:title=""/>
          </v:shape>
          <o:OLEObject Type="Embed" ProgID="Equation.DSMT4" ShapeID="_x0000_i1038" DrawAspect="Content" ObjectID="_1834581461" r:id="rId35"/>
        </w:object>
      </w:r>
      <w:r w:rsidR="00813E09" w:rsidRPr="004811C9">
        <w:rPr>
          <w:rFonts w:cs="Times New Roman"/>
        </w:rPr>
        <w:t>.</w:t>
      </w:r>
      <w:r w:rsidR="00930112" w:rsidRPr="004811C9">
        <w:rPr>
          <w:rFonts w:cs="Times New Roman"/>
          <w:position w:val="-14"/>
        </w:rPr>
        <w:object w:dxaOrig="260" w:dyaOrig="380" w14:anchorId="64DB2E26">
          <v:shape id="_x0000_i1039" type="#_x0000_t75" style="width:14.5pt;height:19.35pt" o:ole="">
            <v:imagedata r:id="rId36" o:title=""/>
          </v:shape>
          <o:OLEObject Type="Embed" ProgID="Equation.DSMT4" ShapeID="_x0000_i1039" DrawAspect="Content" ObjectID="_1834581462" r:id="rId37"/>
        </w:object>
      </w:r>
      <w:r w:rsidR="00930112" w:rsidRPr="004811C9">
        <w:rPr>
          <w:rFonts w:cs="Times New Roman"/>
        </w:rPr>
        <w:t xml:space="preserve"> </w:t>
      </w:r>
      <w:r w:rsidR="00CF4D86" w:rsidRPr="004811C9">
        <w:rPr>
          <w:rFonts w:cs="Times New Roman"/>
        </w:rPr>
        <w:t>is</w:t>
      </w:r>
      <w:r w:rsidRPr="004811C9">
        <w:rPr>
          <w:rFonts w:cs="Times New Roman"/>
        </w:rPr>
        <w:t xml:space="preserve"> a</w:t>
      </w:r>
      <w:r w:rsidR="00C521C8" w:rsidRPr="004811C9">
        <w:rPr>
          <w:rFonts w:cs="Times New Roman"/>
        </w:rPr>
        <w:t xml:space="preserve">n </w:t>
      </w:r>
      <w:r w:rsidRPr="004811C9">
        <w:rPr>
          <w:rFonts w:cs="Times New Roman"/>
        </w:rPr>
        <w:t>error term</w:t>
      </w:r>
      <w:r w:rsidR="00C521C8" w:rsidRPr="004811C9">
        <w:rPr>
          <w:rFonts w:cs="Times New Roman"/>
        </w:rPr>
        <w:t xml:space="preserve"> that is a realization from a normal distribution</w:t>
      </w:r>
      <w:r w:rsidRPr="004811C9">
        <w:rPr>
          <w:rFonts w:cs="Times New Roman"/>
        </w:rPr>
        <w:t xml:space="preserve"> </w:t>
      </w:r>
      <w:r w:rsidR="00813E09" w:rsidRPr="004811C9">
        <w:rPr>
          <w:rFonts w:cs="Times New Roman"/>
        </w:rPr>
        <w:t xml:space="preserve">with mean zero and variance </w:t>
      </w:r>
      <w:r w:rsidR="00C521C8" w:rsidRPr="004811C9">
        <w:rPr>
          <w:rFonts w:cs="Times New Roman"/>
          <w:position w:val="-12"/>
        </w:rPr>
        <w:object w:dxaOrig="380" w:dyaOrig="380" w14:anchorId="637DF141">
          <v:shape id="_x0000_i1040" type="#_x0000_t75" style="width:19.35pt;height:19.35pt" o:ole="">
            <v:imagedata r:id="rId38" o:title=""/>
          </v:shape>
          <o:OLEObject Type="Embed" ProgID="Equation.DSMT4" ShapeID="_x0000_i1040" DrawAspect="Content" ObjectID="_1834581463" r:id="rId39"/>
        </w:object>
      </w:r>
      <w:r w:rsidR="00813E09" w:rsidRPr="004811C9">
        <w:rPr>
          <w:rFonts w:cs="Times New Roman"/>
        </w:rPr>
        <w:t xml:space="preserve"> Let the correlation between </w:t>
      </w:r>
      <w:r w:rsidR="00813E09" w:rsidRPr="004811C9">
        <w:rPr>
          <w:rFonts w:cs="Times New Roman"/>
          <w:position w:val="-14"/>
        </w:rPr>
        <w:object w:dxaOrig="260" w:dyaOrig="380" w14:anchorId="0E17A950">
          <v:shape id="_x0000_i1041" type="#_x0000_t75" style="width:14.5pt;height:19.35pt" o:ole="">
            <v:imagedata r:id="rId22" o:title=""/>
          </v:shape>
          <o:OLEObject Type="Embed" ProgID="Equation.DSMT4" ShapeID="_x0000_i1041" DrawAspect="Content" ObjectID="_1834581464" r:id="rId40"/>
        </w:object>
      </w:r>
      <w:r w:rsidR="00813E09" w:rsidRPr="004811C9">
        <w:rPr>
          <w:rFonts w:cs="Times New Roman"/>
        </w:rPr>
        <w:t xml:space="preserve"> and </w:t>
      </w:r>
      <w:r w:rsidR="00813E09" w:rsidRPr="004811C9">
        <w:rPr>
          <w:rFonts w:cs="Times New Roman"/>
          <w:position w:val="-14"/>
        </w:rPr>
        <w:object w:dxaOrig="260" w:dyaOrig="380" w14:anchorId="7AA9FF31">
          <v:shape id="_x0000_i1042" type="#_x0000_t75" style="width:14.5pt;height:19.35pt" o:ole="">
            <v:imagedata r:id="rId36" o:title=""/>
          </v:shape>
          <o:OLEObject Type="Embed" ProgID="Equation.DSMT4" ShapeID="_x0000_i1042" DrawAspect="Content" ObjectID="_1834581465" r:id="rId41"/>
        </w:object>
      </w:r>
      <w:r w:rsidR="00813E09" w:rsidRPr="004811C9">
        <w:rPr>
          <w:rFonts w:cs="Times New Roman"/>
        </w:rPr>
        <w:t xml:space="preserve"> be </w:t>
      </w:r>
      <w:r w:rsidR="00F8453A" w:rsidRPr="004811C9">
        <w:rPr>
          <w:rFonts w:cs="Times New Roman"/>
          <w:position w:val="-10"/>
        </w:rPr>
        <w:object w:dxaOrig="279" w:dyaOrig="260" w14:anchorId="674DB3DD">
          <v:shape id="_x0000_i1043" type="#_x0000_t75" style="width:13.45pt;height:12.9pt" o:ole="" o:preferrelative="f">
            <v:imagedata r:id="rId42" o:title=""/>
            <o:lock v:ext="edit" aspectratio="f"/>
          </v:shape>
          <o:OLEObject Type="Embed" ProgID="Equation.DSMT4" ShapeID="_x0000_i1043" DrawAspect="Content" ObjectID="_1834581466" r:id="rId43"/>
        </w:object>
      </w:r>
      <w:r w:rsidR="00813E09" w:rsidRPr="004811C9">
        <w:rPr>
          <w:rFonts w:cs="Times New Roman"/>
        </w:rPr>
        <w:t xml:space="preserve"> </w:t>
      </w:r>
      <w:r w:rsidR="00E867D6" w:rsidRPr="004811C9">
        <w:rPr>
          <w:rFonts w:eastAsia="Calibri" w:cs="Times New Roman"/>
          <w:kern w:val="0"/>
          <w14:ligatures w14:val="none"/>
        </w:rPr>
        <w:t xml:space="preserve">Let </w:t>
      </w:r>
      <w:r w:rsidR="00C47B28" w:rsidRPr="004811C9">
        <w:rPr>
          <w:rFonts w:eastAsia="Calibri" w:cs="Times New Roman"/>
          <w:kern w:val="0"/>
          <w:position w:val="-6"/>
          <w14:ligatures w14:val="none"/>
        </w:rPr>
        <w:object w:dxaOrig="200" w:dyaOrig="220" w14:anchorId="2C3DA98B">
          <v:shape id="_x0000_i1044" type="#_x0000_t75" style="width:10.2pt;height:10.2pt" o:ole="">
            <v:imagedata r:id="rId44" o:title=""/>
          </v:shape>
          <o:OLEObject Type="Embed" ProgID="Equation.DSMT4" ShapeID="_x0000_i1044" DrawAspect="Content" ObjectID="_1834581467" r:id="rId45"/>
        </w:object>
      </w:r>
      <w:r w:rsidR="00E867D6" w:rsidRPr="004811C9">
        <w:rPr>
          <w:rFonts w:eastAsia="Calibri" w:cs="Times New Roman"/>
          <w:kern w:val="0"/>
          <w:position w:val="-6"/>
          <w14:ligatures w14:val="none"/>
        </w:rPr>
        <w:t xml:space="preserve"> </w:t>
      </w:r>
      <w:r w:rsidR="00E867D6" w:rsidRPr="004811C9">
        <w:rPr>
          <w:rFonts w:eastAsia="Calibri" w:cs="Times New Roman"/>
          <w:kern w:val="0"/>
          <w14:ligatures w14:val="none"/>
        </w:rPr>
        <w:t xml:space="preserve">be the </w:t>
      </w:r>
      <w:r w:rsidR="00813E09" w:rsidRPr="004811C9">
        <w:rPr>
          <w:rFonts w:eastAsia="Calibri" w:cs="Times New Roman"/>
          <w:kern w:val="0"/>
          <w14:ligatures w14:val="none"/>
        </w:rPr>
        <w:t xml:space="preserve">column vector of </w:t>
      </w:r>
      <w:r w:rsidR="00E867D6" w:rsidRPr="004811C9">
        <w:rPr>
          <w:rFonts w:eastAsia="Calibri" w:cs="Times New Roman"/>
          <w:kern w:val="0"/>
          <w14:ligatures w14:val="none"/>
        </w:rPr>
        <w:t xml:space="preserve">parameters to be estimated: </w:t>
      </w:r>
      <w:r w:rsidR="00F8453A" w:rsidRPr="004811C9">
        <w:rPr>
          <w:rFonts w:eastAsia="Calibri" w:cs="Times New Roman"/>
          <w:kern w:val="0"/>
          <w:position w:val="-10"/>
          <w14:ligatures w14:val="none"/>
        </w:rPr>
        <w:object w:dxaOrig="1640" w:dyaOrig="320" w14:anchorId="549E0074">
          <v:shape id="_x0000_i1045" type="#_x0000_t75" style="width:82.2pt;height:15.6pt" o:ole="" o:preferrelative="f">
            <v:imagedata r:id="rId46" o:title=""/>
            <o:lock v:ext="edit" aspectratio="f"/>
          </v:shape>
          <o:OLEObject Type="Embed" ProgID="Equation.DSMT4" ShapeID="_x0000_i1045" DrawAspect="Content" ObjectID="_1834581468" r:id="rId47"/>
        </w:object>
      </w:r>
      <w:r w:rsidR="001A7861" w:rsidRPr="004811C9">
        <w:rPr>
          <w:rFonts w:eastAsia="Calibri" w:cs="Times New Roman"/>
          <w:kern w:val="0"/>
          <w14:ligatures w14:val="none"/>
        </w:rPr>
        <w:t xml:space="preserve"> </w:t>
      </w:r>
      <w:r w:rsidR="00FF5264" w:rsidRPr="004811C9">
        <w:rPr>
          <w:rFonts w:cs="Times New Roman"/>
        </w:rPr>
        <w:t>Using th</w:t>
      </w:r>
      <w:r w:rsidR="00813E09" w:rsidRPr="004811C9">
        <w:rPr>
          <w:rFonts w:cs="Times New Roman"/>
        </w:rPr>
        <w:t>e properties of the bivariate normal distribution</w:t>
      </w:r>
      <w:r w:rsidR="00FF5264" w:rsidRPr="004811C9">
        <w:rPr>
          <w:rFonts w:cs="Times New Roman"/>
        </w:rPr>
        <w:t xml:space="preserve">, the conditional distribution of </w:t>
      </w:r>
      <w:r w:rsidR="00C521C8" w:rsidRPr="004811C9">
        <w:rPr>
          <w:rFonts w:cs="Times New Roman"/>
          <w:position w:val="-14"/>
        </w:rPr>
        <w:object w:dxaOrig="340" w:dyaOrig="400" w14:anchorId="4F61CDCF">
          <v:shape id="_x0000_i1046" type="#_x0000_t75" style="width:15.6pt;height:19.35pt" o:ole="">
            <v:imagedata r:id="rId48" o:title=""/>
          </v:shape>
          <o:OLEObject Type="Embed" ProgID="Equation.DSMT4" ShapeID="_x0000_i1046" DrawAspect="Content" ObjectID="_1834581469" r:id="rId49"/>
        </w:object>
      </w:r>
      <w:r w:rsidR="001A7861" w:rsidRPr="004811C9">
        <w:rPr>
          <w:rFonts w:cs="Times New Roman"/>
        </w:rPr>
        <w:t xml:space="preserve"> </w:t>
      </w:r>
      <w:r w:rsidR="00C9031D" w:rsidRPr="004811C9">
        <w:rPr>
          <w:rFonts w:eastAsia="Calibri" w:cs="Times New Roman"/>
          <w:kern w:val="0"/>
          <w14:ligatures w14:val="none"/>
        </w:rPr>
        <w:t xml:space="preserve">given </w:t>
      </w:r>
      <w:r w:rsidR="0000369E" w:rsidRPr="004811C9">
        <w:rPr>
          <w:rFonts w:eastAsia="Calibri" w:cs="Times New Roman"/>
          <w:kern w:val="0"/>
          <w14:ligatures w14:val="none"/>
        </w:rPr>
        <w:t xml:space="preserve">the </w:t>
      </w:r>
      <w:r w:rsidR="002E0A52" w:rsidRPr="004811C9">
        <w:rPr>
          <w:rFonts w:eastAsia="Calibri" w:cs="Times New Roman"/>
          <w:kern w:val="0"/>
          <w14:ligatures w14:val="none"/>
        </w:rPr>
        <w:t>observed value</w:t>
      </w:r>
      <w:r w:rsidR="00177031" w:rsidRPr="004811C9">
        <w:rPr>
          <w:rFonts w:eastAsia="Calibri" w:cs="Times New Roman"/>
          <w:kern w:val="0"/>
          <w14:ligatures w14:val="none"/>
        </w:rPr>
        <w:t xml:space="preserve"> </w:t>
      </w:r>
      <w:r w:rsidR="00177031" w:rsidRPr="004811C9">
        <w:rPr>
          <w:rFonts w:eastAsia="Calibri" w:cs="Times New Roman"/>
          <w:kern w:val="0"/>
          <w:position w:val="-10"/>
          <w14:ligatures w14:val="none"/>
        </w:rPr>
        <w:object w:dxaOrig="220" w:dyaOrig="260" w14:anchorId="7B672CB5">
          <v:shape id="_x0000_i1047" type="#_x0000_t75" style="width:10.2pt;height:12.9pt" o:ole="">
            <v:imagedata r:id="rId50" o:title=""/>
          </v:shape>
          <o:OLEObject Type="Embed" ProgID="Equation.DSMT4" ShapeID="_x0000_i1047" DrawAspect="Content" ObjectID="_1834581470" r:id="rId51"/>
        </w:object>
      </w:r>
      <w:r w:rsidR="009611EA" w:rsidRPr="004811C9">
        <w:rPr>
          <w:rFonts w:eastAsia="Calibri" w:cs="Times New Roman"/>
          <w:kern w:val="0"/>
          <w14:ligatures w14:val="none"/>
        </w:rPr>
        <w:t xml:space="preserve"> </w:t>
      </w:r>
      <w:r w:rsidR="002E0A52" w:rsidRPr="004811C9">
        <w:rPr>
          <w:rFonts w:eastAsia="Calibri" w:cs="Times New Roman"/>
          <w:kern w:val="0"/>
          <w14:ligatures w14:val="none"/>
        </w:rPr>
        <w:t>of the continuous outcome for the individual</w:t>
      </w:r>
      <w:r w:rsidR="00C521C8" w:rsidRPr="004811C9">
        <w:rPr>
          <w:rFonts w:eastAsia="Calibri" w:cs="Times New Roman"/>
          <w:kern w:val="0"/>
          <w14:ligatures w14:val="none"/>
        </w:rPr>
        <w:t>,</w:t>
      </w:r>
      <w:r w:rsidR="00C9031D" w:rsidRPr="004811C9">
        <w:rPr>
          <w:rFonts w:eastAsia="Calibri" w:cs="Times New Roman"/>
          <w:kern w:val="0"/>
          <w14:ligatures w14:val="none"/>
        </w:rPr>
        <w:t xml:space="preserve"> is normally distributed with mean </w:t>
      </w:r>
      <w:r w:rsidR="00F8453A" w:rsidRPr="004811C9">
        <w:rPr>
          <w:rFonts w:eastAsia="Calibri" w:cs="Times New Roman"/>
          <w:kern w:val="0"/>
          <w:position w:val="-14"/>
          <w14:ligatures w14:val="none"/>
        </w:rPr>
        <w:object w:dxaOrig="2659" w:dyaOrig="400" w14:anchorId="1806ECB5">
          <v:shape id="_x0000_i1048" type="#_x0000_t75" style="width:133.25pt;height:20.4pt" o:ole="" o:preferrelative="f">
            <v:imagedata r:id="rId52" o:title=""/>
            <o:lock v:ext="edit" aspectratio="f"/>
          </v:shape>
          <o:OLEObject Type="Embed" ProgID="Equation.DSMT4" ShapeID="_x0000_i1048" DrawAspect="Content" ObjectID="_1834581471" r:id="rId53"/>
        </w:object>
      </w:r>
      <w:r w:rsidR="00C9031D" w:rsidRPr="004811C9">
        <w:rPr>
          <w:rFonts w:eastAsia="Calibri" w:cs="Times New Roman"/>
          <w:kern w:val="0"/>
          <w14:ligatures w14:val="none"/>
        </w:rPr>
        <w:t xml:space="preserve"> and variance </w:t>
      </w:r>
      <w:r w:rsidR="00F8453A" w:rsidRPr="004811C9">
        <w:rPr>
          <w:rFonts w:cs="Times New Roman"/>
          <w:position w:val="-16"/>
        </w:rPr>
        <w:object w:dxaOrig="1300" w:dyaOrig="440" w14:anchorId="5CB39AAC">
          <v:shape id="_x0000_i1049" type="#_x0000_t75" style="width:65pt;height:22.55pt" o:ole="" o:preferrelative="f">
            <v:imagedata r:id="rId54" o:title=""/>
            <o:lock v:ext="edit" aspectratio="f"/>
          </v:shape>
          <o:OLEObject Type="Embed" ProgID="Equation.DSMT4" ShapeID="_x0000_i1049" DrawAspect="Content" ObjectID="_1834581472" r:id="rId55"/>
        </w:object>
      </w:r>
      <w:r w:rsidR="00C9031D" w:rsidRPr="004811C9">
        <w:rPr>
          <w:rFonts w:eastAsia="Calibri" w:cs="Times New Roman"/>
          <w:kern w:val="0"/>
          <w14:ligatures w14:val="none"/>
        </w:rPr>
        <w:t xml:space="preserve">. </w:t>
      </w:r>
    </w:p>
    <w:p w14:paraId="73135C7F" w14:textId="6A151962" w:rsidR="00E867D6" w:rsidRPr="004811C9" w:rsidRDefault="001A7861" w:rsidP="00AF40D6">
      <w:pPr>
        <w:spacing w:after="0" w:line="240" w:lineRule="auto"/>
        <w:ind w:firstLine="720"/>
        <w:jc w:val="both"/>
        <w:rPr>
          <w:rFonts w:eastAsia="Calibri" w:cs="Times New Roman"/>
          <w:kern w:val="0"/>
          <w14:ligatures w14:val="none"/>
        </w:rPr>
      </w:pPr>
      <w:r w:rsidRPr="004811C9">
        <w:rPr>
          <w:rFonts w:eastAsia="Calibri" w:cs="Times New Roman"/>
          <w:kern w:val="0"/>
          <w14:ligatures w14:val="none"/>
        </w:rPr>
        <w:t xml:space="preserve">For estimation, define </w:t>
      </w:r>
      <w:r w:rsidRPr="004811C9">
        <w:rPr>
          <w:rFonts w:eastAsia="Calibri" w:cs="Times New Roman"/>
          <w:i/>
          <w:iCs/>
          <w:kern w:val="0"/>
          <w14:ligatures w14:val="none"/>
        </w:rPr>
        <w:t>C</w:t>
      </w:r>
      <w:r w:rsidRPr="004811C9">
        <w:rPr>
          <w:rFonts w:eastAsia="Calibri" w:cs="Times New Roman"/>
          <w:kern w:val="0"/>
          <w14:ligatures w14:val="none"/>
        </w:rPr>
        <w:t xml:space="preserve"> as the set containing the individuals for whom </w:t>
      </w:r>
      <w:r w:rsidR="00F8453A" w:rsidRPr="004811C9">
        <w:rPr>
          <w:rFonts w:cs="Times New Roman"/>
          <w:position w:val="-14"/>
        </w:rPr>
        <w:object w:dxaOrig="780" w:dyaOrig="400" w14:anchorId="74C2ACD9">
          <v:shape id="_x0000_i1050" type="#_x0000_t75" style="width:38.7pt;height:20.4pt" o:ole="" o:preferrelative="f">
            <v:imagedata r:id="rId56" o:title=""/>
            <o:lock v:ext="edit" aspectratio="f"/>
          </v:shape>
          <o:OLEObject Type="Embed" ProgID="Equation.DSMT4" ShapeID="_x0000_i1050" DrawAspect="Content" ObjectID="_1834581473" r:id="rId57"/>
        </w:object>
      </w:r>
      <w:r w:rsidRPr="004811C9">
        <w:rPr>
          <w:rFonts w:cs="Times New Roman"/>
        </w:rPr>
        <w:t xml:space="preserve">and </w:t>
      </w:r>
      <w:r w:rsidRPr="004811C9">
        <w:rPr>
          <w:rFonts w:cs="Times New Roman"/>
          <w:i/>
          <w:iCs/>
        </w:rPr>
        <w:t>D</w:t>
      </w:r>
      <w:r w:rsidRPr="004811C9">
        <w:rPr>
          <w:rFonts w:cs="Times New Roman"/>
        </w:rPr>
        <w:t xml:space="preserve"> as the set containing the individuals for whom </w:t>
      </w:r>
      <w:r w:rsidR="00F8453A" w:rsidRPr="004811C9">
        <w:rPr>
          <w:rFonts w:cs="Times New Roman"/>
          <w:position w:val="-14"/>
        </w:rPr>
        <w:object w:dxaOrig="760" w:dyaOrig="400" w14:anchorId="4C61E001">
          <v:shape id="_x0000_i1051" type="#_x0000_t75" style="width:38.15pt;height:20.4pt" o:ole="" o:preferrelative="f">
            <v:imagedata r:id="rId58" o:title=""/>
            <o:lock v:ext="edit" aspectratio="f"/>
          </v:shape>
          <o:OLEObject Type="Embed" ProgID="Equation.DSMT4" ShapeID="_x0000_i1051" DrawAspect="Content" ObjectID="_1834581474" r:id="rId59"/>
        </w:object>
      </w:r>
      <w:r w:rsidR="00301321" w:rsidRPr="004811C9">
        <w:rPr>
          <w:rFonts w:eastAsia="Calibri" w:cs="Times New Roman"/>
          <w:kern w:val="0"/>
          <w14:ligatures w14:val="none"/>
        </w:rPr>
        <w:t>Then, the joint likelihood function may be written as</w:t>
      </w:r>
      <w:r w:rsidR="000A6F58" w:rsidRPr="004811C9">
        <w:rPr>
          <w:rFonts w:eastAsia="Calibri" w:cs="Times New Roman"/>
          <w:kern w:val="0"/>
          <w14:ligatures w14:val="none"/>
        </w:rPr>
        <w:t xml:space="preserve">: </w:t>
      </w:r>
    </w:p>
    <w:p w14:paraId="31635C85" w14:textId="6CE6BE34" w:rsidR="00301321" w:rsidRPr="004811C9" w:rsidRDefault="00F8453A" w:rsidP="00027FE5">
      <w:pPr>
        <w:pStyle w:val="MTDisplayEquation"/>
        <w:spacing w:before="120" w:after="120"/>
        <w:rPr>
          <w:rFonts w:cs="Times New Roman"/>
        </w:rPr>
      </w:pPr>
      <w:r w:rsidRPr="004811C9">
        <w:rPr>
          <w:rFonts w:cs="Times New Roman"/>
          <w:position w:val="-34"/>
        </w:rPr>
        <w:object w:dxaOrig="5539" w:dyaOrig="800" w14:anchorId="4D939260">
          <v:shape id="_x0000_i1052" type="#_x0000_t75" style="width:277.25pt;height:40.3pt" o:ole="" o:preferrelative="f">
            <v:imagedata r:id="rId60" o:title=""/>
            <o:lock v:ext="edit" aspectratio="f"/>
          </v:shape>
          <o:OLEObject Type="Embed" ProgID="Equation.DSMT4" ShapeID="_x0000_i1052" DrawAspect="Content" ObjectID="_1834581475" r:id="rId61"/>
        </w:object>
      </w:r>
      <w:r w:rsidR="00301321" w:rsidRPr="004811C9">
        <w:rPr>
          <w:rFonts w:cs="Times New Roman"/>
        </w:rPr>
        <w:tab/>
      </w:r>
      <w:r w:rsidR="002972F3" w:rsidRPr="004811C9">
        <w:rPr>
          <w:rFonts w:cs="Times New Roman"/>
        </w:rPr>
        <w:fldChar w:fldCharType="begin"/>
      </w:r>
      <w:r w:rsidR="002972F3" w:rsidRPr="004811C9">
        <w:rPr>
          <w:rFonts w:cs="Times New Roman"/>
        </w:rPr>
        <w:instrText xml:space="preserve"> MACROBUTTON MTPlaceRef \* MERGEFORMAT </w:instrText>
      </w:r>
      <w:r w:rsidR="002972F3" w:rsidRPr="004811C9">
        <w:rPr>
          <w:rFonts w:cs="Times New Roman"/>
        </w:rPr>
        <w:fldChar w:fldCharType="begin"/>
      </w:r>
      <w:r w:rsidR="002972F3" w:rsidRPr="004811C9">
        <w:rPr>
          <w:rFonts w:cs="Times New Roman"/>
        </w:rPr>
        <w:instrText xml:space="preserve"> SEQ MTEqn \h \* MERGEFORMAT </w:instrText>
      </w:r>
      <w:r w:rsidR="002972F3" w:rsidRPr="004811C9">
        <w:rPr>
          <w:rFonts w:cs="Times New Roman"/>
        </w:rPr>
        <w:fldChar w:fldCharType="end"/>
      </w:r>
      <w:r w:rsidR="002972F3" w:rsidRPr="004811C9">
        <w:rPr>
          <w:rFonts w:cs="Times New Roman"/>
        </w:rPr>
        <w:instrText>(</w:instrText>
      </w:r>
      <w:r w:rsidR="002972F3" w:rsidRPr="004811C9">
        <w:rPr>
          <w:rFonts w:cs="Times New Roman"/>
        </w:rPr>
        <w:fldChar w:fldCharType="begin"/>
      </w:r>
      <w:r w:rsidR="002972F3" w:rsidRPr="004811C9">
        <w:rPr>
          <w:rFonts w:cs="Times New Roman"/>
        </w:rPr>
        <w:instrText xml:space="preserve"> SEQ MTEqn \c \* Arabic \* MERGEFORMAT </w:instrText>
      </w:r>
      <w:r w:rsidR="002972F3" w:rsidRPr="004811C9">
        <w:rPr>
          <w:rFonts w:cs="Times New Roman"/>
        </w:rPr>
        <w:fldChar w:fldCharType="separate"/>
      </w:r>
      <w:r w:rsidR="006C4B31">
        <w:rPr>
          <w:rFonts w:cs="Times New Roman"/>
          <w:noProof/>
        </w:rPr>
        <w:instrText>3</w:instrText>
      </w:r>
      <w:r w:rsidR="002972F3" w:rsidRPr="004811C9">
        <w:rPr>
          <w:rFonts w:cs="Times New Roman"/>
        </w:rPr>
        <w:fldChar w:fldCharType="end"/>
      </w:r>
      <w:r w:rsidR="002972F3" w:rsidRPr="004811C9">
        <w:rPr>
          <w:rFonts w:cs="Times New Roman"/>
        </w:rPr>
        <w:instrText>)</w:instrText>
      </w:r>
      <w:r w:rsidR="002972F3" w:rsidRPr="004811C9">
        <w:rPr>
          <w:rFonts w:cs="Times New Roman"/>
        </w:rPr>
        <w:fldChar w:fldCharType="end"/>
      </w:r>
    </w:p>
    <w:p w14:paraId="352E5585" w14:textId="579B691C" w:rsidR="00301321" w:rsidRPr="004811C9" w:rsidRDefault="00C3536F" w:rsidP="00027FE5">
      <w:pPr>
        <w:spacing w:after="0" w:line="240" w:lineRule="auto"/>
        <w:jc w:val="both"/>
        <w:rPr>
          <w:rFonts w:cs="Times New Roman"/>
        </w:rPr>
      </w:pPr>
      <w:r w:rsidRPr="004811C9">
        <w:rPr>
          <w:rFonts w:cs="Times New Roman"/>
        </w:rPr>
        <w:t>where</w:t>
      </w:r>
      <w:r w:rsidR="009611EA" w:rsidRPr="004811C9">
        <w:rPr>
          <w:rFonts w:cs="Times New Roman"/>
        </w:rPr>
        <w:t xml:space="preserve"> </w:t>
      </w:r>
      <w:r w:rsidR="00F8453A" w:rsidRPr="004811C9">
        <w:rPr>
          <w:rFonts w:cs="Times New Roman"/>
          <w:position w:val="-10"/>
        </w:rPr>
        <w:object w:dxaOrig="420" w:dyaOrig="320" w14:anchorId="23AE81A5">
          <v:shape id="_x0000_i1053" type="#_x0000_t75" style="width:20.95pt;height:15.6pt" o:ole="" o:preferrelative="f">
            <v:imagedata r:id="rId62" o:title=""/>
            <o:lock v:ext="edit" aspectratio="f"/>
          </v:shape>
          <o:OLEObject Type="Embed" ProgID="Equation.DSMT4" ShapeID="_x0000_i1053" DrawAspect="Content" ObjectID="_1834581476" r:id="rId63"/>
        </w:object>
      </w:r>
      <w:r w:rsidR="00F8453A" w:rsidRPr="004811C9">
        <w:rPr>
          <w:rFonts w:cs="Times New Roman"/>
        </w:rPr>
        <w:t xml:space="preserve"> </w:t>
      </w:r>
      <w:r w:rsidR="00F8453A">
        <w:rPr>
          <w:rFonts w:cs="Times New Roman"/>
        </w:rPr>
        <w:t xml:space="preserve">and </w:t>
      </w:r>
      <w:r w:rsidR="00F8453A" w:rsidRPr="004811C9">
        <w:rPr>
          <w:rFonts w:cs="Times New Roman"/>
          <w:position w:val="-10"/>
        </w:rPr>
        <w:object w:dxaOrig="480" w:dyaOrig="320" w14:anchorId="78B0617E">
          <v:shape id="_x0000_i1054" type="#_x0000_t75" style="width:23.65pt;height:15.6pt" o:ole="" o:preferrelative="f">
            <v:imagedata r:id="rId64" o:title=""/>
            <o:lock v:ext="edit" aspectratio="f"/>
          </v:shape>
          <o:OLEObject Type="Embed" ProgID="Equation.DSMT4" ShapeID="_x0000_i1054" DrawAspect="Content" ObjectID="_1834581477" r:id="rId65"/>
        </w:object>
      </w:r>
      <w:r w:rsidR="00F8453A">
        <w:rPr>
          <w:rFonts w:cs="Times New Roman"/>
        </w:rPr>
        <w:t xml:space="preserve"> </w:t>
      </w:r>
      <w:r w:rsidR="009611EA" w:rsidRPr="004811C9">
        <w:rPr>
          <w:rFonts w:cs="Times New Roman"/>
        </w:rPr>
        <w:t xml:space="preserve">represent the probability density function and cumulative distribution function, respectively, of the univariate standard normal distribution. </w:t>
      </w:r>
    </w:p>
    <w:p w14:paraId="7F3748EB" w14:textId="77777777" w:rsidR="00E867D6" w:rsidRPr="004811C9" w:rsidRDefault="00E867D6" w:rsidP="00027FE5">
      <w:pPr>
        <w:spacing w:after="0" w:line="240" w:lineRule="auto"/>
        <w:jc w:val="both"/>
        <w:rPr>
          <w:rFonts w:cs="Times New Roman"/>
        </w:rPr>
      </w:pPr>
    </w:p>
    <w:p w14:paraId="011F5BD8" w14:textId="08FFE136" w:rsidR="005A012C" w:rsidRPr="004811C9" w:rsidRDefault="005A012C" w:rsidP="00027FE5">
      <w:pPr>
        <w:spacing w:after="0" w:line="240" w:lineRule="auto"/>
        <w:jc w:val="both"/>
        <w:rPr>
          <w:rFonts w:cs="Times New Roman"/>
          <w:b/>
          <w:bCs/>
        </w:rPr>
      </w:pPr>
      <w:r w:rsidRPr="004811C9">
        <w:rPr>
          <w:rFonts w:cs="Times New Roman"/>
          <w:b/>
          <w:bCs/>
        </w:rPr>
        <w:t>4. RESULTS</w:t>
      </w:r>
    </w:p>
    <w:p w14:paraId="3FFC9A06" w14:textId="4F1DB80A" w:rsidR="00AD7FC6" w:rsidRDefault="007A7AFA" w:rsidP="00027FE5">
      <w:pPr>
        <w:spacing w:after="0" w:line="240" w:lineRule="auto"/>
        <w:jc w:val="both"/>
        <w:rPr>
          <w:rFonts w:cs="Times New Roman"/>
        </w:rPr>
      </w:pPr>
      <w:r w:rsidRPr="004811C9">
        <w:rPr>
          <w:rFonts w:cs="Times New Roman"/>
        </w:rPr>
        <w:t xml:space="preserve">The final model specification, shown in Table 2, was developed based on an iterative process of including exogenous variables in various </w:t>
      </w:r>
      <w:r w:rsidR="00A85E13">
        <w:rPr>
          <w:rFonts w:cs="Times New Roman"/>
        </w:rPr>
        <w:t xml:space="preserve">functional </w:t>
      </w:r>
      <w:r w:rsidRPr="004811C9">
        <w:rPr>
          <w:rFonts w:cs="Times New Roman"/>
        </w:rPr>
        <w:t xml:space="preserve">forms </w:t>
      </w:r>
      <w:r w:rsidR="00840F93">
        <w:rPr>
          <w:rFonts w:cs="Times New Roman"/>
        </w:rPr>
        <w:t xml:space="preserve">(see Table 1 for a complete list of variables tested in the specification) </w:t>
      </w:r>
      <w:r w:rsidR="0033216D">
        <w:rPr>
          <w:rFonts w:cs="Times New Roman"/>
        </w:rPr>
        <w:t>and evaluating improvements in</w:t>
      </w:r>
      <w:r w:rsidR="005C6E56" w:rsidRPr="004811C9">
        <w:rPr>
          <w:rFonts w:cs="Times New Roman"/>
        </w:rPr>
        <w:t xml:space="preserve"> statistical fit</w:t>
      </w:r>
      <w:r w:rsidR="003F0413">
        <w:rPr>
          <w:rFonts w:cs="Times New Roman"/>
        </w:rPr>
        <w:t xml:space="preserve"> using both coefficient-level significance</w:t>
      </w:r>
      <w:r w:rsidR="00612831">
        <w:rPr>
          <w:rFonts w:cs="Times New Roman"/>
        </w:rPr>
        <w:t xml:space="preserve"> </w:t>
      </w:r>
      <w:r w:rsidR="001D68AE">
        <w:rPr>
          <w:rFonts w:cs="Times New Roman"/>
        </w:rPr>
        <w:t>(t-statistics</w:t>
      </w:r>
      <w:r w:rsidR="003F0413">
        <w:rPr>
          <w:rFonts w:cs="Times New Roman"/>
        </w:rPr>
        <w:t>) and model fit metrics (including</w:t>
      </w:r>
      <w:r w:rsidR="001D68AE">
        <w:rPr>
          <w:rFonts w:cs="Times New Roman"/>
        </w:rPr>
        <w:t xml:space="preserve"> </w:t>
      </w:r>
      <w:r w:rsidR="00046F4F">
        <w:rPr>
          <w:rFonts w:cs="Times New Roman"/>
        </w:rPr>
        <w:t>likelihood ratio tests</w:t>
      </w:r>
      <w:r w:rsidR="00840F93">
        <w:rPr>
          <w:rFonts w:cs="Times New Roman"/>
        </w:rPr>
        <w:t>)</w:t>
      </w:r>
      <w:r w:rsidR="005C6E56" w:rsidRPr="004811C9">
        <w:rPr>
          <w:rFonts w:cs="Times New Roman"/>
        </w:rPr>
        <w:t xml:space="preserve">. A </w:t>
      </w:r>
      <w:r w:rsidR="004845A6" w:rsidRPr="004811C9">
        <w:rPr>
          <w:rFonts w:cs="Times New Roman"/>
        </w:rPr>
        <w:t>variety of interaction effects between sociodemographic</w:t>
      </w:r>
      <w:r w:rsidR="00AF40D6" w:rsidRPr="004811C9">
        <w:rPr>
          <w:rFonts w:cs="Times New Roman"/>
        </w:rPr>
        <w:t xml:space="preserve"> characteristics</w:t>
      </w:r>
      <w:r w:rsidR="004845A6" w:rsidRPr="004811C9">
        <w:rPr>
          <w:rFonts w:cs="Times New Roman"/>
        </w:rPr>
        <w:t xml:space="preserve"> and travel contexts were also explored</w:t>
      </w:r>
      <w:r w:rsidR="002B7E19">
        <w:rPr>
          <w:rFonts w:cs="Times New Roman"/>
        </w:rPr>
        <w:t xml:space="preserve"> using a similar iterative approach</w:t>
      </w:r>
      <w:r w:rsidR="004845A6" w:rsidRPr="004811C9">
        <w:rPr>
          <w:rFonts w:cs="Times New Roman"/>
        </w:rPr>
        <w:t>.</w:t>
      </w:r>
      <w:r w:rsidR="002B7E19">
        <w:rPr>
          <w:rFonts w:cs="Times New Roman"/>
        </w:rPr>
        <w:t xml:space="preserve"> Interaction terms were first tested </w:t>
      </w:r>
      <w:r w:rsidR="00B00046">
        <w:rPr>
          <w:rFonts w:cs="Times New Roman"/>
        </w:rPr>
        <w:t xml:space="preserve">as two-way combinations </w:t>
      </w:r>
      <w:r w:rsidR="00505784">
        <w:rPr>
          <w:rFonts w:cs="Times New Roman"/>
        </w:rPr>
        <w:t xml:space="preserve">between each pair of exogenous variables, followed by testing higher-degree </w:t>
      </w:r>
      <w:r w:rsidR="00505784">
        <w:rPr>
          <w:rFonts w:cs="Times New Roman"/>
        </w:rPr>
        <w:lastRenderedPageBreak/>
        <w:t xml:space="preserve">interaction effects between </w:t>
      </w:r>
      <w:r w:rsidR="00E304E8">
        <w:rPr>
          <w:rFonts w:cs="Times New Roman"/>
        </w:rPr>
        <w:t>trip-characteristic variables</w:t>
      </w:r>
      <w:r w:rsidR="00623DAA">
        <w:rPr>
          <w:rFonts w:cs="Times New Roman"/>
        </w:rPr>
        <w:t xml:space="preserve"> that had strong two-way effects.</w:t>
      </w:r>
      <w:r w:rsidR="004845A6" w:rsidRPr="004811C9">
        <w:rPr>
          <w:rFonts w:cs="Times New Roman"/>
        </w:rPr>
        <w:t xml:space="preserve"> A </w:t>
      </w:r>
      <w:r w:rsidR="005C6E56" w:rsidRPr="004811C9">
        <w:rPr>
          <w:rFonts w:cs="Times New Roman"/>
        </w:rPr>
        <w:t xml:space="preserve">t-statistic threshold of 1.65 corresponding to a 0.1 level of significance or 90% confidence level was used to retain variables during this </w:t>
      </w:r>
      <w:r w:rsidR="00842531" w:rsidRPr="004811C9">
        <w:rPr>
          <w:rFonts w:cs="Times New Roman"/>
        </w:rPr>
        <w:t>specification</w:t>
      </w:r>
      <w:r w:rsidR="005C6E56" w:rsidRPr="004811C9">
        <w:rPr>
          <w:rFonts w:cs="Times New Roman"/>
        </w:rPr>
        <w:t xml:space="preserve"> process. </w:t>
      </w:r>
      <w:r w:rsidR="00AD7FC6" w:rsidRPr="00AD7FC6">
        <w:rPr>
          <w:rFonts w:cs="Times New Roman"/>
        </w:rPr>
        <w:t>Identification in our model system comes from an exclusion restriction (a variable appearing in the WTP equation, but not the L</w:t>
      </w:r>
      <w:r w:rsidR="00AD7FC6">
        <w:rPr>
          <w:rFonts w:cs="Times New Roman"/>
        </w:rPr>
        <w:t>N</w:t>
      </w:r>
      <w:r w:rsidR="00AD7FC6" w:rsidRPr="00AD7FC6">
        <w:rPr>
          <w:rFonts w:cs="Times New Roman"/>
        </w:rPr>
        <w:t>(</w:t>
      </w:r>
      <w:r w:rsidR="00AD7FC6">
        <w:rPr>
          <w:rFonts w:cs="Times New Roman"/>
          <w:i/>
          <w:iCs/>
        </w:rPr>
        <w:t>c</w:t>
      </w:r>
      <w:r w:rsidR="00AD7FC6" w:rsidRPr="00F16FEB">
        <w:rPr>
          <w:rFonts w:cs="Times New Roman"/>
          <w:i/>
          <w:iCs/>
        </w:rPr>
        <w:t>VTT</w:t>
      </w:r>
      <w:r w:rsidR="00AD7FC6">
        <w:rPr>
          <w:rFonts w:cs="Times New Roman"/>
          <w:i/>
          <w:iCs/>
        </w:rPr>
        <w:t>S</w:t>
      </w:r>
      <w:r w:rsidR="00AD7FC6" w:rsidRPr="00AD7FC6">
        <w:rPr>
          <w:rFonts w:cs="Times New Roman"/>
        </w:rPr>
        <w:t>) equation), and cross-equation parameter restrictions and distributional assumptions.</w:t>
      </w:r>
    </w:p>
    <w:p w14:paraId="78560E2A" w14:textId="50F4D0E2" w:rsidR="001E1DAE" w:rsidRPr="004811C9" w:rsidRDefault="00AF1221" w:rsidP="00F16FEB">
      <w:pPr>
        <w:spacing w:after="0" w:line="240" w:lineRule="auto"/>
        <w:ind w:firstLine="720"/>
        <w:jc w:val="both"/>
        <w:rPr>
          <w:rFonts w:cs="Times New Roman"/>
        </w:rPr>
      </w:pPr>
      <w:r w:rsidRPr="004811C9">
        <w:rPr>
          <w:rFonts w:cs="Times New Roman"/>
        </w:rPr>
        <w:t>The main estimation results are discussed next in Section 4.1, followed by a discussion of model fit in Section 4.2</w:t>
      </w:r>
      <w:r w:rsidR="008950B1" w:rsidRPr="004811C9">
        <w:rPr>
          <w:rFonts w:cs="Times New Roman"/>
        </w:rPr>
        <w:t>.</w:t>
      </w:r>
      <w:r w:rsidR="00611165">
        <w:rPr>
          <w:rFonts w:cs="Times New Roman"/>
        </w:rPr>
        <w:t xml:space="preserve"> </w:t>
      </w:r>
      <w:r w:rsidR="00897E15">
        <w:rPr>
          <w:rFonts w:cs="Times New Roman"/>
        </w:rPr>
        <w:t xml:space="preserve">The discussion </w:t>
      </w:r>
      <w:r w:rsidR="007B63EC">
        <w:rPr>
          <w:rFonts w:cs="Times New Roman"/>
        </w:rPr>
        <w:t xml:space="preserve">in this section focuses on the impacts of the exogenous variables on the </w:t>
      </w:r>
      <w:r w:rsidR="00B304FC">
        <w:rPr>
          <w:rFonts w:cs="Times New Roman"/>
        </w:rPr>
        <w:t xml:space="preserve">underlying utility for the WTP outcome and </w:t>
      </w:r>
      <w:r w:rsidR="00204D69">
        <w:rPr>
          <w:rFonts w:cs="Times New Roman"/>
        </w:rPr>
        <w:t xml:space="preserve">on the logarithm of </w:t>
      </w:r>
      <w:r w:rsidR="00204D69">
        <w:rPr>
          <w:rFonts w:cs="Times New Roman"/>
          <w:i/>
          <w:iCs/>
        </w:rPr>
        <w:t>cVTTS</w:t>
      </w:r>
      <w:r w:rsidR="00EC71A1">
        <w:rPr>
          <w:rFonts w:cs="Times New Roman"/>
          <w:i/>
          <w:iCs/>
        </w:rPr>
        <w:t xml:space="preserve"> </w:t>
      </w:r>
      <w:r w:rsidR="00EC71A1">
        <w:rPr>
          <w:rFonts w:cs="Times New Roman"/>
        </w:rPr>
        <w:t>(LN(</w:t>
      </w:r>
      <w:r w:rsidR="00EC71A1">
        <w:rPr>
          <w:rFonts w:cs="Times New Roman"/>
          <w:i/>
          <w:iCs/>
        </w:rPr>
        <w:t>cVTTS</w:t>
      </w:r>
      <w:r w:rsidR="00EC71A1">
        <w:rPr>
          <w:rFonts w:cs="Times New Roman"/>
        </w:rPr>
        <w:t>))</w:t>
      </w:r>
      <w:r w:rsidR="00204D69">
        <w:rPr>
          <w:rFonts w:cs="Times New Roman"/>
        </w:rPr>
        <w:t xml:space="preserve">. </w:t>
      </w:r>
      <w:r w:rsidR="00920B15">
        <w:t xml:space="preserve">These coefficients are important to estimate the WTP and </w:t>
      </w:r>
      <w:r w:rsidR="00920B15" w:rsidRPr="00F16FEB">
        <w:rPr>
          <w:i/>
          <w:iCs/>
        </w:rPr>
        <w:t>cVTTS</w:t>
      </w:r>
      <w:r w:rsidR="00920B15">
        <w:t xml:space="preserve"> for any combination of demographics and trip contexts. A discussion of the magnitude of effects of variables, as aggregated across individuals in the sample, is presented in Section 5.</w:t>
      </w:r>
      <w:r w:rsidR="00D3053F" w:rsidRPr="004811C9">
        <w:rPr>
          <w:rFonts w:cs="Times New Roman"/>
        </w:rPr>
        <w:t xml:space="preserve"> In the case of discrete exogenous variables, the base category i</w:t>
      </w:r>
      <w:r w:rsidR="00AF40D6" w:rsidRPr="004811C9">
        <w:rPr>
          <w:rFonts w:cs="Times New Roman"/>
        </w:rPr>
        <w:t>s</w:t>
      </w:r>
      <w:r w:rsidR="00D3053F" w:rsidRPr="004811C9">
        <w:rPr>
          <w:rFonts w:cs="Times New Roman"/>
        </w:rPr>
        <w:t xml:space="preserve"> provided in parenthesis. A</w:t>
      </w:r>
      <w:r w:rsidR="0060471C" w:rsidRPr="004811C9">
        <w:rPr>
          <w:rFonts w:cs="Times New Roman"/>
        </w:rPr>
        <w:t xml:space="preserve"> ‘—’ entry</w:t>
      </w:r>
      <w:r w:rsidR="00D3053F" w:rsidRPr="004811C9">
        <w:rPr>
          <w:rFonts w:cs="Times New Roman"/>
        </w:rPr>
        <w:t xml:space="preserve"> for a coefficient in a specific column indicates that the corresponding row variable does not significantly impact the column endogenous outcome.</w:t>
      </w:r>
      <w:bookmarkStart w:id="1" w:name="_Hlk222860442"/>
      <w:r w:rsidR="00AD7FC6">
        <w:rPr>
          <w:rFonts w:cs="Times New Roman"/>
        </w:rPr>
        <w:t xml:space="preserve"> </w:t>
      </w:r>
      <w:r w:rsidR="00AD7FC6" w:rsidRPr="00FB4C73">
        <w:t xml:space="preserve">If </w:t>
      </w:r>
      <w:r w:rsidR="00AD7FC6">
        <w:t xml:space="preserve">the </w:t>
      </w:r>
      <w:r w:rsidR="00AD7FC6" w:rsidRPr="00FB4C73">
        <w:t>coefficient</w:t>
      </w:r>
      <w:r w:rsidR="00AF4C4D">
        <w:t>s</w:t>
      </w:r>
      <w:r w:rsidR="00AD7FC6" w:rsidRPr="00FB4C73">
        <w:t xml:space="preserve"> </w:t>
      </w:r>
      <w:r w:rsidR="00AD7FC6">
        <w:t>(</w:t>
      </w:r>
      <w:r w:rsidR="00AD7FC6" w:rsidRPr="00FB4C73">
        <w:t xml:space="preserve">and </w:t>
      </w:r>
      <w:r w:rsidR="00AD7FC6">
        <w:t xml:space="preserve">corresponding </w:t>
      </w:r>
      <w:r w:rsidR="00AD7FC6" w:rsidRPr="00FB4C73">
        <w:t>t-statistics</w:t>
      </w:r>
      <w:r w:rsidR="00AD7FC6">
        <w:t>) on two variables are exactly the same</w:t>
      </w:r>
      <w:r w:rsidR="00AD7FC6" w:rsidRPr="00FB4C73">
        <w:t xml:space="preserve"> </w:t>
      </w:r>
      <w:bookmarkEnd w:id="1"/>
      <w:r w:rsidR="00AD7FC6" w:rsidRPr="00FB4C73">
        <w:t xml:space="preserve">(such as the interaction effects of age 35-44 and age 45 and over with work or </w:t>
      </w:r>
      <w:r w:rsidR="00AF4C4D">
        <w:t>e</w:t>
      </w:r>
      <w:r w:rsidR="00AD7FC6" w:rsidRPr="00FB4C73">
        <w:t xml:space="preserve">ducation </w:t>
      </w:r>
      <w:r w:rsidR="00AF4C4D">
        <w:t>t</w:t>
      </w:r>
      <w:r w:rsidR="00AD7FC6" w:rsidRPr="00FB4C73">
        <w:t>rips on LN(</w:t>
      </w:r>
      <w:r w:rsidR="00AD7FC6" w:rsidRPr="00FB4C73">
        <w:rPr>
          <w:i/>
        </w:rPr>
        <w:t>cVTTS</w:t>
      </w:r>
      <w:r w:rsidR="00AD7FC6" w:rsidRPr="00FB4C73">
        <w:t xml:space="preserve">)), it implies equal effects of the </w:t>
      </w:r>
      <w:r w:rsidR="00AD7FC6">
        <w:t xml:space="preserve">two </w:t>
      </w:r>
      <w:r w:rsidR="00AD7FC6" w:rsidRPr="00FB4C73">
        <w:t>variables.</w:t>
      </w:r>
      <w:r w:rsidR="00D3053F" w:rsidRPr="004811C9">
        <w:rPr>
          <w:rFonts w:cs="Times New Roman"/>
        </w:rPr>
        <w:t xml:space="preserve"> </w:t>
      </w:r>
    </w:p>
    <w:p w14:paraId="429A2F84" w14:textId="77777777" w:rsidR="001E1DAE" w:rsidRPr="004811C9" w:rsidRDefault="001E1DAE" w:rsidP="00027FE5">
      <w:pPr>
        <w:spacing w:after="0" w:line="240" w:lineRule="auto"/>
        <w:jc w:val="both"/>
        <w:rPr>
          <w:rFonts w:cs="Times New Roman"/>
          <w:b/>
          <w:bCs/>
        </w:rPr>
      </w:pPr>
    </w:p>
    <w:p w14:paraId="778B30FB" w14:textId="0342566E" w:rsidR="00D54AAE" w:rsidRPr="004811C9" w:rsidRDefault="0095144A" w:rsidP="00EC71A1">
      <w:pPr>
        <w:pStyle w:val="ListParagraph"/>
        <w:keepNext/>
        <w:numPr>
          <w:ilvl w:val="1"/>
          <w:numId w:val="9"/>
        </w:numPr>
        <w:spacing w:after="0" w:line="240" w:lineRule="auto"/>
        <w:jc w:val="both"/>
        <w:rPr>
          <w:rFonts w:cs="Times New Roman"/>
          <w:b/>
          <w:bCs/>
        </w:rPr>
      </w:pPr>
      <w:r w:rsidRPr="004811C9">
        <w:rPr>
          <w:rFonts w:cs="Times New Roman"/>
          <w:b/>
          <w:bCs/>
        </w:rPr>
        <w:t>Main Estimation Results</w:t>
      </w:r>
    </w:p>
    <w:p w14:paraId="59F3B418" w14:textId="2EDF5474" w:rsidR="00D54AAE" w:rsidRPr="00F8453A" w:rsidRDefault="00AF40D6" w:rsidP="00EC71A1">
      <w:pPr>
        <w:keepNext/>
        <w:spacing w:after="0" w:line="240" w:lineRule="auto"/>
        <w:jc w:val="both"/>
        <w:rPr>
          <w:rFonts w:cs="Times New Roman"/>
          <w:i/>
          <w:iCs/>
        </w:rPr>
      </w:pPr>
      <w:r w:rsidRPr="00F8453A">
        <w:rPr>
          <w:rFonts w:cs="Times New Roman"/>
          <w:i/>
          <w:iCs/>
        </w:rPr>
        <w:t xml:space="preserve">4.1.1 </w:t>
      </w:r>
      <w:r w:rsidR="00D54AAE" w:rsidRPr="00F8453A">
        <w:rPr>
          <w:rFonts w:cs="Times New Roman"/>
          <w:i/>
          <w:iCs/>
        </w:rPr>
        <w:t>Effects of Individual and Household Characteristics</w:t>
      </w:r>
    </w:p>
    <w:p w14:paraId="45C4B202" w14:textId="55A0A05C" w:rsidR="0092171A" w:rsidRPr="004811C9" w:rsidRDefault="007C1B2D" w:rsidP="00AF40D6">
      <w:pPr>
        <w:pStyle w:val="NormalWeb"/>
        <w:spacing w:before="0" w:beforeAutospacing="0" w:after="0" w:afterAutospacing="0"/>
        <w:jc w:val="both"/>
      </w:pPr>
      <w:r w:rsidRPr="004811C9">
        <w:t xml:space="preserve">The results in Table 2 show that </w:t>
      </w:r>
      <w:r w:rsidR="00C3277D" w:rsidRPr="004811C9">
        <w:t>women</w:t>
      </w:r>
      <w:r w:rsidR="0066242C" w:rsidRPr="004811C9">
        <w:t>, relative to men,</w:t>
      </w:r>
      <w:r w:rsidR="00C3277D" w:rsidRPr="004811C9">
        <w:t xml:space="preserve"> have a </w:t>
      </w:r>
      <w:r w:rsidR="00842531" w:rsidRPr="004811C9">
        <w:t>higher</w:t>
      </w:r>
      <w:r w:rsidR="00F00F40" w:rsidRPr="004811C9">
        <w:t xml:space="preserve"> </w:t>
      </w:r>
      <w:r w:rsidR="005A5790" w:rsidRPr="004811C9">
        <w:t>WTP</w:t>
      </w:r>
      <w:r w:rsidR="00C3277D" w:rsidRPr="004811C9">
        <w:t xml:space="preserve"> overall</w:t>
      </w:r>
      <w:r w:rsidR="008E2D3E" w:rsidRPr="004811C9">
        <w:t xml:space="preserve"> and a higher </w:t>
      </w:r>
      <w:r w:rsidR="00F4773F" w:rsidRPr="004811C9">
        <w:rPr>
          <w:i/>
        </w:rPr>
        <w:t>cVTTS</w:t>
      </w:r>
      <w:r w:rsidR="008E2D3E" w:rsidRPr="004811C9">
        <w:t xml:space="preserve"> for work or education trips</w:t>
      </w:r>
      <w:r w:rsidR="00127306" w:rsidRPr="004811C9">
        <w:t xml:space="preserve">, while </w:t>
      </w:r>
      <w:r w:rsidRPr="004811C9">
        <w:t xml:space="preserve">also </w:t>
      </w:r>
      <w:r w:rsidR="00127306" w:rsidRPr="004811C9">
        <w:t xml:space="preserve">exhibiting a lower </w:t>
      </w:r>
      <w:r w:rsidR="00F4773F" w:rsidRPr="004811C9">
        <w:rPr>
          <w:i/>
        </w:rPr>
        <w:t>cVTTS</w:t>
      </w:r>
      <w:r w:rsidR="00127306" w:rsidRPr="004811C9">
        <w:t xml:space="preserve"> for maintenance and leisure trip</w:t>
      </w:r>
      <w:r w:rsidR="0066242C" w:rsidRPr="004811C9">
        <w:t>s</w:t>
      </w:r>
      <w:r w:rsidR="00127306" w:rsidRPr="004811C9">
        <w:t xml:space="preserve">. </w:t>
      </w:r>
      <w:r w:rsidR="00F00F40" w:rsidRPr="004811C9">
        <w:t>A greater willingness to pay for travel time savings overall</w:t>
      </w:r>
      <w:r w:rsidR="0066242C" w:rsidRPr="004811C9">
        <w:t xml:space="preserve"> among women, and a higher </w:t>
      </w:r>
      <w:r w:rsidR="00F4773F" w:rsidRPr="004811C9">
        <w:rPr>
          <w:i/>
        </w:rPr>
        <w:t>cVTTS</w:t>
      </w:r>
      <w:r w:rsidR="00F00F40" w:rsidRPr="004811C9">
        <w:t xml:space="preserve"> </w:t>
      </w:r>
      <w:r w:rsidR="0066242C" w:rsidRPr="004811C9">
        <w:t xml:space="preserve">for work/education trips for </w:t>
      </w:r>
      <w:r w:rsidR="00F00F40" w:rsidRPr="004811C9">
        <w:t>women</w:t>
      </w:r>
      <w:r w:rsidR="0066242C" w:rsidRPr="004811C9">
        <w:t>,</w:t>
      </w:r>
      <w:r w:rsidR="00F00F40" w:rsidRPr="004811C9">
        <w:t xml:space="preserve"> may reflect the </w:t>
      </w:r>
      <w:r w:rsidR="005F0BFE" w:rsidRPr="004811C9">
        <w:t xml:space="preserve">time poverty effects among women who have to </w:t>
      </w:r>
      <w:r w:rsidR="00F00F40" w:rsidRPr="004811C9">
        <w:t>balanc</w:t>
      </w:r>
      <w:r w:rsidR="005F0BFE" w:rsidRPr="004811C9">
        <w:t>e</w:t>
      </w:r>
      <w:r w:rsidR="00F00F40" w:rsidRPr="004811C9">
        <w:t xml:space="preserve"> ho</w:t>
      </w:r>
      <w:r w:rsidR="005F0BFE" w:rsidRPr="004811C9">
        <w:t xml:space="preserve">usehold </w:t>
      </w:r>
      <w:r w:rsidR="00F00F40" w:rsidRPr="004811C9">
        <w:t>responsibilities with work</w:t>
      </w:r>
      <w:r w:rsidR="005F0BFE" w:rsidRPr="004811C9">
        <w:t xml:space="preserve">/education pursuits </w:t>
      </w:r>
      <w:r w:rsidR="004C2DD7" w:rsidRPr="004811C9">
        <w:fldChar w:fldCharType="begin"/>
      </w:r>
      <w:r w:rsidR="004C2DD7" w:rsidRPr="004811C9">
        <w:instrText xml:space="preserve"> ADDIN ZOTERO_ITEM CSL_CITATION {"citationID":"ZURiI81F","properties":{"formattedCitation":"(George and Shaji, 2024)","plainCitation":"(George and Shaji, 2024)","noteIndex":0},"citationItems":[{"id":5053,"uris":["http://zotero.org/users/12832277/items/J3B4CPWX"],"itemData":{"id":5053,"type":"article-journal","abstract":"This study makes an effort to calculate the economic worth of the unpaid domestic work that Indian housewives perform but which is not included in national income statistics. Taking measure the number of hours spent on household tasks like cooking, cleaning, childcare, eldercare, shopping, etc. using time-use surveys. Based on the female labor force participation rate of around 25%, we estimate that over 90 million Indian women are full-time homemakers. We use the opportunity cost and replacement wage methods to impute a hypothetical salary to this unpaid work. The opportunity cost technique determines the value of housekeeping by calculating the potential money lost by not working. The replacement wage approach calculates the cost of hiring someone to conduct domestic work and then assigns a marketequivalent remuneration rate to those chores. We calculate the total annual value of unpaid household labor by taking into account the number of housewives, the average number of hours worked, and imputed wage rates that have been adjusted for India's economic circumstances. According to our calculations, unpaid labor accounts for more than 30% of India's GDP, which is a significant underreporting of the sector's contribution to economic welfare and production. Failing to account for it results in the systemic economic exclusion of women, depriving them of bargaining power and perpetuating gender inequality. Thus, we present policy recommendations like subsidized child/elder care infrastructure, tax incentives for hiring domestic help, and financial literacy programs for women focused on saving, investing and entrepreneurship. The low proportion of female workforce involvement due to family responsibilities, rigid gender norms, patriarchal traditions, the idea that housekeeping is intrinsically feminine, and the lack of female political influence all contribute to India's undervaluation of unpaid labor. These deeply embedded value structures must shift if Indian housewives are to become economically and socially autonomous. This research underscores the need to make unpaid household labor visible through methodologies like time-use surveys and satellite accounts. Integrating its value into national accounts can positively impact budgets, planning decisions, poverty measurements, and policies promoting inclusive growth. Our monetary valuation aims to highlight how leveraging women’s productive potential by alleviating the disproportionate burden of unpaid work could unlock trillions in economic value.","container-title":"Partners Universal Innovative Research Publication","DOI":"10.5281/zenodo.11650647","issue":"3","language":"en","license":"Copyright (c) 2024","note":"number: 3","page":"38-56","source":"puirp.com","title":"Unpaid Labor's Unaccounted Value: Estimating the Economic Worth of Indian Housework","volume":"2","author":[{"family":"George","given":"A. Shaji"},{"family":"Shaji","given":"Tina"}],"issued":{"date-parts":[["2024",6,25]]}}}],"schema":"https://github.com/citation-style-language/schema/raw/master/csl-citation.json"} </w:instrText>
      </w:r>
      <w:r w:rsidR="004C2DD7" w:rsidRPr="004811C9">
        <w:fldChar w:fldCharType="separate"/>
      </w:r>
      <w:r w:rsidR="004C2DD7" w:rsidRPr="004811C9">
        <w:t>(George and Shaji, 2024)</w:t>
      </w:r>
      <w:r w:rsidR="004C2DD7" w:rsidRPr="004811C9">
        <w:fldChar w:fldCharType="end"/>
      </w:r>
      <w:r w:rsidR="005F0BFE" w:rsidRPr="004811C9">
        <w:t xml:space="preserve">. </w:t>
      </w:r>
      <w:r w:rsidR="004845A6" w:rsidRPr="004811C9">
        <w:t xml:space="preserve">The lower </w:t>
      </w:r>
      <w:r w:rsidR="004845A6" w:rsidRPr="004811C9">
        <w:rPr>
          <w:i/>
        </w:rPr>
        <w:t xml:space="preserve">cVTTS </w:t>
      </w:r>
      <w:r w:rsidR="004845A6" w:rsidRPr="004811C9">
        <w:rPr>
          <w:iCs/>
        </w:rPr>
        <w:t>among w</w:t>
      </w:r>
      <w:r w:rsidR="004845A6" w:rsidRPr="004811C9">
        <w:t xml:space="preserve">omen for maintenance pursuits may be a convergence of multiple reasons, including (a) </w:t>
      </w:r>
      <w:r w:rsidR="00F00F40" w:rsidRPr="004811C9">
        <w:t xml:space="preserve">the </w:t>
      </w:r>
      <w:r w:rsidR="0066242C" w:rsidRPr="004811C9">
        <w:t xml:space="preserve">gendered </w:t>
      </w:r>
      <w:r w:rsidR="005F0BFE" w:rsidRPr="004811C9">
        <w:t xml:space="preserve">societal norms and expectations of women as being responsible for maintenance activities, </w:t>
      </w:r>
      <w:r w:rsidR="004845A6" w:rsidRPr="004811C9">
        <w:t xml:space="preserve">(b) </w:t>
      </w:r>
      <w:r w:rsidR="005F0BFE" w:rsidRPr="004811C9">
        <w:t xml:space="preserve">the non-income generating nature of </w:t>
      </w:r>
      <w:r w:rsidR="00823510" w:rsidRPr="004811C9">
        <w:t>maintenance</w:t>
      </w:r>
      <w:r w:rsidR="005F0BFE" w:rsidRPr="004811C9">
        <w:t xml:space="preserve"> pursuits, and </w:t>
      </w:r>
      <w:r w:rsidR="004845A6" w:rsidRPr="004811C9">
        <w:t xml:space="preserve">(c) </w:t>
      </w:r>
      <w:r w:rsidR="005F0BFE" w:rsidRPr="004811C9">
        <w:t xml:space="preserve">the typically lower economic bargaining power of women in households </w:t>
      </w:r>
      <w:r w:rsidR="004845A6" w:rsidRPr="004811C9">
        <w:t xml:space="preserve">that may </w:t>
      </w:r>
      <w:r w:rsidR="005F0BFE" w:rsidRPr="004811C9">
        <w:t>make it difficult</w:t>
      </w:r>
      <w:r w:rsidR="004845A6" w:rsidRPr="004811C9">
        <w:t xml:space="preserve"> </w:t>
      </w:r>
      <w:r w:rsidR="005F0BFE" w:rsidRPr="004811C9">
        <w:t xml:space="preserve">to justify expenditures to lower travel time </w:t>
      </w:r>
      <w:r w:rsidRPr="004811C9">
        <w:t xml:space="preserve">for </w:t>
      </w:r>
      <w:r w:rsidR="005F0BFE" w:rsidRPr="004811C9">
        <w:t>maintenance activities</w:t>
      </w:r>
      <w:r w:rsidR="004845A6" w:rsidRPr="004811C9">
        <w:t xml:space="preserve"> </w:t>
      </w:r>
      <w:r w:rsidR="004C2DD7" w:rsidRPr="004811C9">
        <w:fldChar w:fldCharType="begin"/>
      </w:r>
      <w:r w:rsidR="008345D7">
        <w:instrText xml:space="preserve"> ADDIN ZOTERO_ITEM CSL_CITATION {"citationID":"ZnBGLzj2","properties":{"formattedCitation":"(Borah Hazarika and Das, 2021; Deshpande and Kabeer, 2024)","plainCitation":"(Borah Hazarika and Das, 2021; Deshpande and Kabeer, 2024)","noteIndex":0},"citationItems":[{"id":5088,"uris":["http://zotero.org/users/12832277/items/TUQ7HA3V"],"itemData":{"id":5088,"type":"article-journal","abstract":"The Covid-19 pandemic and the strategies implemented to deal with it have had economic and societal repercussions all over the world. In India, a nationwide lockdown was initiated on 25 March 2020 which continued in a diluted form as we were conducting the interviews for the paper in July 2020. The lockdown brought activities outside the home to a standstill and people were expected to stay indoors in order to ensure social distancing and break the chain of infection. The lockdown sparked its own problems and triggered discussions on issues including economic hardship and domestic violence. The question of how domestic responsibilities are shared among adults in families has also come to the forefront of debate. As hired part-time help was discontinued under lockdown, parents who had hitherto outsourced childcare and housework were suddenly left to fend for themselves. This article attempts to explore the manner in which such unpaid domestic responsibilities, especially childcare, were shared between parents in middle-class homes. The gendered nature of this division of housework and care work, and its varied implications on the paid work and careers of mothers and fathers, is the focus of inquiry.","container-title":"Journal of Gender Studies","DOI":"10.1080/09589236.2020.1863202","ISSN":"0958-9236","issue":"4","note":"_eprint: https://doi.org/10.1080/09589236.2020.1863202","page":"429-439","publisher":"Routledge","source":"Taylor and Francis+NEJM","title":"Paid and Unpaid Work During the COVID-19 Pandemic: A Study of the Gendered Division of Domestic Responsibilities During Lockdown","volume":"30","author":[{"family":"Borah Hazarika","given":"Obja"},{"family":"Das","given":"Sarmistha"}],"issued":{"date-parts":[["2021",5,19]]}}},{"id":5085,"uris":["http://zotero.org/users/12832277/items/PM3M7PX9"],"itemData":{"id":5085,"type":"article-journal","abstract":"Based on primary data from a large household survey in seven districts in West Bengal in India, this paper analyses the reasons underlying low labor force participation of women. In developing countries, women who are engaged in unpaid economic work in family enterprises are often not counted as workers, whereas the men are. We show that for women, not being in paid work is not synonymous with not being in the labour force. Women are often involved in expenditure saving activities i.e. productive work within the family, over and above domestic chores and care work. We document the fuzziness of the boundary between domestic work and unpaid (and therefore invisible) productive work that leads to mismeasurement of women’s work and suggest methods to improve measurement. Counting women’s expenditure-saving activities yields a substantially higher estimate of women’s participation in economic work. On social norms, we show that religion and visible markers such as veiling are not significant determinants of the probability of being in paid work. We find that being primarily responsible for domestic chores lowers the probability of “working”, after accounting for all the conventional factors. Our data shows substantial unmet demand for paid work. Given that women are primarily responsible for domestic chores, we find that women express a demand for work that would be compatible with household chores. We demonstrate the existence of ‘virtuous cycles’ within families: a history of working women in the family (mother or mother-in-law ever worked) increases the probability of being in paid work between 18 and 21 percentage points. This suggests that the positive effects of increasing women’s labour force participation today are likely to have positive multiplier effects on the prospects for work in future generations of women.","container-title":"World Development","DOI":"10.1016/j.worlddev.2023.106435","ISSN":"0305-750X","page":"106435","source":"ScienceDirect","title":"Norms That Matter: Exploring the Distribution of Women’s Work Between Income Generation, Expenditure-Saving and Unpaid Domestic Responsibilities in India","volume":"174","author":[{"family":"Deshpande","given":"Ashwini"},{"family":"Kabeer","given":"Naila"}],"issued":{"date-parts":[["2024",2,1]]}},"label":"page"}],"schema":"https://github.com/citation-style-language/schema/raw/master/csl-citation.json"} </w:instrText>
      </w:r>
      <w:r w:rsidR="004C2DD7" w:rsidRPr="004811C9">
        <w:fldChar w:fldCharType="separate"/>
      </w:r>
      <w:r w:rsidR="004C2DD7" w:rsidRPr="004811C9">
        <w:t>(Borah Hazarika and Das, 2021; Deshpande and Kabeer, 2024)</w:t>
      </w:r>
      <w:r w:rsidR="004C2DD7" w:rsidRPr="004811C9">
        <w:fldChar w:fldCharType="end"/>
      </w:r>
      <w:r w:rsidR="005F0BFE" w:rsidRPr="004811C9">
        <w:t xml:space="preserve">. </w:t>
      </w:r>
      <w:r w:rsidR="004845A6" w:rsidRPr="004811C9">
        <w:t>Similarly</w:t>
      </w:r>
      <w:r w:rsidR="00823510" w:rsidRPr="004811C9">
        <w:t xml:space="preserve">, in a </w:t>
      </w:r>
      <w:r w:rsidR="00155ACA">
        <w:t>rather</w:t>
      </w:r>
      <w:r w:rsidR="00823510" w:rsidRPr="004811C9">
        <w:t xml:space="preserve"> male-dominated socio-cultural environment, women’s engagement in leisure activities</w:t>
      </w:r>
      <w:r w:rsidR="00273229" w:rsidRPr="004811C9">
        <w:t xml:space="preserve">, </w:t>
      </w:r>
      <w:r w:rsidR="00823510" w:rsidRPr="004811C9">
        <w:t>especially those that require travel</w:t>
      </w:r>
      <w:r w:rsidR="00273229" w:rsidRPr="004811C9">
        <w:t xml:space="preserve">, </w:t>
      </w:r>
      <w:r w:rsidR="00823510" w:rsidRPr="004811C9">
        <w:t xml:space="preserve">may be viewed as frivolous or self-indulgent, rather than as legitimate uses of time </w:t>
      </w:r>
      <w:r w:rsidR="004C2DD7" w:rsidRPr="004811C9">
        <w:fldChar w:fldCharType="begin"/>
      </w:r>
      <w:r w:rsidR="008345D7">
        <w:instrText xml:space="preserve"> ADDIN ZOTERO_ITEM CSL_CITATION {"citationID":"rLYy6bGI","properties":{"formattedCitation":"(Naganathan et al., 2021)","plainCitation":"(Naganathan et al., 2021)","noteIndex":0},"citationItems":[{"id":5090,"uris":["http://zotero.org/users/12832277/items/ZP6RRPSN"],"itemData":{"id":5090,"type":"article-journal","abstract":"Little is known about leisure consumption among professional women in emerging economies like India in contrast to extensive research on this topic in the West. This group of professional women, however, is of growing economic and social clout within their countries with increasingly important ramifications for the choices they take, including leisure. This study aims to understand meanings and expressions of leisure among urban Indian middle-class working women. Using a phenomenological approach, 28 urban Indian middle-class women working in Bangalore from varied sectors, belonging to different age groups and at diverse life-stages, were interviewed in-depth between the period of July 2017 and September 2018. The analysis showed that leisure activities among urban Indian middle-class working women strike a delicate balance between individual and social fulfilment. The activities were varied and performed for passion, health and well-being, commitment and fun. Two new meanings of leisure emerged from the study: being with myself and being stress-free. It was seen that this group of working women are actively negotiating a new balance – the work–leisure balance – between demands of their work-life and their own need for personal leisure. These new meanings, reflective of newly empowered gender roles in the changing socio-economic environment of emerging economies, saliently extend our understanding of gendered meaning of leisure.","container-title":"Leisure Studies","DOI":"10.1080/02614367.2021.1942519","ISSN":"0261-4367","issue":"6","note":"_eprint: https://doi.org/10.1080/02614367.2021.1942519","page":"837-853","publisher":"Routledge","source":"Taylor and Francis+NEJM","title":"Connotation of Leisure and Leisure Activities Among Urban Indian Middle-Class Working Women","volume":"40","author":[{"family":"Naganathan","given":"Rema"},{"family":"Gupta","given":"Deepak"},{"family":"Prasad","given":"Rajiv"}],"issued":{"date-parts":[["2021",11,2]]}}}],"schema":"https://github.com/citation-style-language/schema/raw/master/csl-citation.json"} </w:instrText>
      </w:r>
      <w:r w:rsidR="004C2DD7" w:rsidRPr="004811C9">
        <w:fldChar w:fldCharType="separate"/>
      </w:r>
      <w:r w:rsidR="004C2DD7" w:rsidRPr="004811C9">
        <w:t>(Naganathan et al., 2021)</w:t>
      </w:r>
      <w:r w:rsidR="004C2DD7" w:rsidRPr="004811C9">
        <w:fldChar w:fldCharType="end"/>
      </w:r>
      <w:r w:rsidR="00823510" w:rsidRPr="004811C9">
        <w:t xml:space="preserve">. This normative pressure can </w:t>
      </w:r>
      <w:r w:rsidR="004845A6" w:rsidRPr="004811C9">
        <w:t xml:space="preserve">lead to the lower </w:t>
      </w:r>
      <w:r w:rsidR="004845A6" w:rsidRPr="004811C9">
        <w:rPr>
          <w:i/>
        </w:rPr>
        <w:t xml:space="preserve">cVTTS </w:t>
      </w:r>
      <w:r w:rsidR="004845A6" w:rsidRPr="004811C9">
        <w:rPr>
          <w:iCs/>
        </w:rPr>
        <w:t>among w</w:t>
      </w:r>
      <w:r w:rsidR="004845A6" w:rsidRPr="004811C9">
        <w:t>omen for leisure</w:t>
      </w:r>
      <w:r w:rsidR="00823510" w:rsidRPr="004811C9">
        <w:t xml:space="preserve">. </w:t>
      </w:r>
    </w:p>
    <w:p w14:paraId="66A2BF00" w14:textId="32BF03E8" w:rsidR="00E36F08" w:rsidRPr="004811C9" w:rsidRDefault="0092171A" w:rsidP="00AF40D6">
      <w:pPr>
        <w:pStyle w:val="NormalWeb"/>
        <w:spacing w:before="0" w:beforeAutospacing="0" w:after="0" w:afterAutospacing="0"/>
        <w:jc w:val="both"/>
      </w:pPr>
      <w:r w:rsidRPr="004811C9">
        <w:tab/>
      </w:r>
      <w:r w:rsidR="00254351" w:rsidRPr="004811C9">
        <w:t>Older individuals</w:t>
      </w:r>
      <w:r w:rsidR="00823510" w:rsidRPr="004811C9">
        <w:t>, relative to their younger peers,</w:t>
      </w:r>
      <w:r w:rsidR="00254351" w:rsidRPr="004811C9">
        <w:t xml:space="preserve"> exhibit a lower </w:t>
      </w:r>
      <w:r w:rsidR="00727BA8" w:rsidRPr="004811C9">
        <w:t>WTP</w:t>
      </w:r>
      <w:r w:rsidR="00254351" w:rsidRPr="004811C9">
        <w:t xml:space="preserve"> and lower </w:t>
      </w:r>
      <w:r w:rsidR="00F4773F" w:rsidRPr="004811C9">
        <w:rPr>
          <w:i/>
          <w:iCs/>
        </w:rPr>
        <w:t>cVTTS</w:t>
      </w:r>
      <w:r w:rsidR="00254351" w:rsidRPr="004811C9">
        <w:t xml:space="preserve"> for work and education trips. This result is unsurprising given that older </w:t>
      </w:r>
      <w:r w:rsidR="00E26B26" w:rsidRPr="004811C9">
        <w:t xml:space="preserve">individuals typically occupy more secure job positions and adhere to well-established routines, both of which can help buffer the effects of transportation delays caused by congestion. </w:t>
      </w:r>
      <w:r w:rsidR="00F00F40" w:rsidRPr="004811C9">
        <w:t xml:space="preserve">Similarly, those with higher levels of </w:t>
      </w:r>
      <w:r w:rsidR="00E26B26" w:rsidRPr="004811C9">
        <w:t xml:space="preserve">formal </w:t>
      </w:r>
      <w:r w:rsidR="00F00F40" w:rsidRPr="004811C9">
        <w:t>educational attainment</w:t>
      </w:r>
      <w:r w:rsidR="00C7647F" w:rsidRPr="004811C9">
        <w:t xml:space="preserve"> </w:t>
      </w:r>
      <w:r w:rsidR="00E26B26" w:rsidRPr="004811C9">
        <w:t xml:space="preserve">also </w:t>
      </w:r>
      <w:r w:rsidR="00C7647F" w:rsidRPr="004811C9">
        <w:t xml:space="preserve">appear to be less willing to pay for travel time savings and have a lower </w:t>
      </w:r>
      <w:r w:rsidR="00F4773F" w:rsidRPr="004811C9">
        <w:rPr>
          <w:i/>
        </w:rPr>
        <w:t>cVTTS</w:t>
      </w:r>
      <w:r w:rsidR="00E26B26" w:rsidRPr="004811C9">
        <w:t xml:space="preserve">, potentially the result of the more </w:t>
      </w:r>
      <w:r w:rsidR="00D67633" w:rsidRPr="004811C9">
        <w:t>productive use of travel time amon</w:t>
      </w:r>
      <w:r w:rsidR="00E26B26" w:rsidRPr="004811C9">
        <w:t xml:space="preserve">g </w:t>
      </w:r>
      <w:r w:rsidR="00D67633" w:rsidRPr="004811C9">
        <w:t xml:space="preserve">highly educated individuals </w:t>
      </w:r>
      <w:r w:rsidR="00FE5581" w:rsidRPr="004811C9">
        <w:fldChar w:fldCharType="begin"/>
      </w:r>
      <w:r w:rsidR="006E3B84" w:rsidRPr="004811C9">
        <w:instrText xml:space="preserve"> ADDIN ZOTERO_ITEM CSL_CITATION {"citationID":"VGzBWL3i","properties":{"unsorted":true,"formattedCitation":"(Varghese and Jana, 2018; Lavieri and Bhat, 2019)","plainCitation":"(Varghese and Jana, 2018; Lavieri and Bhat, 2019)","noteIndex":0},"citationItems":[{"id":4828,"uris":["http://zotero.org/users/12832277/items/AJ7J53KT"],"itemData":{"id":4828,"type":"article-journal","abstract":"This study looks into the multitasking patterns for the developing world, while providing empirical evidences of the effect of multitasking on the value of travel time savings (VTTS). The multitasking behaviour during travel was studied, ascertaining the effect of various socio-economic variables, access to information and communication technologies (ICT), and travel related factors. Travel diary data was collected across the city of Mumbai, India for 1123 individuals capturing their revealed preferences on travel and multitasking during travel. It was observed that having a smartphone with an internet usage of more than one GB data had positive significant impacts on ICT dependent multitasking activities. In addition, the proportion of no-activity also significantly reduced with higher access to ICT. It was observed that the VTTS reduced by 26% for individuals who performed multitasking. Furthermore, for reading on a mobile device, usage of social media, messaging or talking to someone on phone, and for gaming, the VTTS reduced by 25%, 37%, and 16% respectively. Findings were used to make cross country comparisons and discuss policy implications.","container-title":"Travel Behaviour and Society","DOI":"10.1016/j.tbs.2018.03.003","ISSN":"2214-367X","page":"11-22","source":"ScienceDirect","title":"Impact of ICT on Multitasking During Travel and the Value of Travel Time Savings: Empirical Evidences from Mumbai, India","volume":"12","author":[{"family":"Varghese","given":"Varun"},{"family":"Jana","given":"Arnab"}],"issued":{"date-parts":[["2018",7,1]]}}},{"id":4785,"uris":["http://zotero.org/users/12832277/items/2UKPR68T"],"itemData":{"id":4785,"type":"article-journal","abstract":"With the era of fully automated vehicles (AVs) quickly approaching, ridesharing services could have an important role in increasing vehicle occupancy, reducing vehicle miles traveled, and improving traffic conditions. However, the extent to which these potentials can be achieved depends on consumers’ disposition to sharing rides. From a travel behavior perspective, two essential elements to the adoption of shared rides are individuals’ acceptance of increased travel times associated with pick-up/drop-off of other passengers and their approval of strangers sharing the same vehicle. The current study develops the notion of willingness to share (WTS), which represents the money value attributed by an individual to traveling alone compared to riding with strangers, to investigate the adoption of shared rides. Using a multivariate integrated choice and latent variable approach, we examine current choices and future intentions regarding the use of shared rides and estimate individuals’ WTS as well as their values of travel time for two distinct trip purposes. Results show that users are less sensitive to the presence of strangers when in a commute trip compared to a leisure-activity trip. We also observe that the travel time added to the trip to serve other passengers may be a greater barrier to the use of shared services compared to the presence of a stranger. However, the potential to use travel time productively may help overcome this barrier especially for high-income individuals.","container-title":"Transportation Research Part A: Policy and Practice","DOI":"10.1016/j.tra.2019.03.009","ISSN":"0965-8564","page":"242-261","source":"ScienceDirect","title":"Modeling Individuals’ Willingness to Share Trips with Strangers in an Autonomous Vehicle Future","volume":"124","author":[{"family":"Lavieri","given":"Patrícia S."},{"family":"Bhat","given":"Chandra R."}],"issued":{"date-parts":[["2019",6,1]]}}}],"schema":"https://github.com/citation-style-language/schema/raw/master/csl-citation.json"} </w:instrText>
      </w:r>
      <w:r w:rsidR="00FE5581" w:rsidRPr="004811C9">
        <w:fldChar w:fldCharType="separate"/>
      </w:r>
      <w:r w:rsidR="006E3B84" w:rsidRPr="004811C9">
        <w:t>(Varghese and Jana, 2018; Lavieri and Bhat, 2019)</w:t>
      </w:r>
      <w:r w:rsidR="00FE5581" w:rsidRPr="004811C9">
        <w:fldChar w:fldCharType="end"/>
      </w:r>
      <w:r w:rsidR="00D67633" w:rsidRPr="004811C9">
        <w:t xml:space="preserve">. In contrast, higher income individuals </w:t>
      </w:r>
      <w:r w:rsidR="00A51357" w:rsidRPr="004811C9">
        <w:t>(</w:t>
      </w:r>
      <w:r w:rsidR="001D413F" w:rsidRPr="004811C9">
        <w:t xml:space="preserve">those </w:t>
      </w:r>
      <w:r w:rsidR="00A51357" w:rsidRPr="004811C9">
        <w:t xml:space="preserve">with </w:t>
      </w:r>
      <w:r w:rsidR="001D413F" w:rsidRPr="004811C9">
        <w:t xml:space="preserve">an </w:t>
      </w:r>
      <w:r w:rsidR="00A51357" w:rsidRPr="004811C9">
        <w:t xml:space="preserve">annual income of </w:t>
      </w:r>
      <w:r w:rsidR="00A713B0" w:rsidRPr="004811C9">
        <w:t>2.</w:t>
      </w:r>
      <w:r w:rsidR="001D413F" w:rsidRPr="004811C9">
        <w:t>5 million rupees or more)</w:t>
      </w:r>
      <w:r w:rsidR="00124E0A" w:rsidRPr="004811C9">
        <w:t xml:space="preserve"> compared with lower income individuals (those with an annual income of less than 2.5 million rupees)</w:t>
      </w:r>
      <w:r w:rsidR="001D413F" w:rsidRPr="004811C9">
        <w:t xml:space="preserve"> </w:t>
      </w:r>
      <w:r w:rsidR="00D67633" w:rsidRPr="004811C9">
        <w:t xml:space="preserve">are generally more willing to pay to reduce travel time and have a higher value of </w:t>
      </w:r>
      <w:r w:rsidR="00B2184A" w:rsidRPr="004811C9">
        <w:t>tr</w:t>
      </w:r>
      <w:r w:rsidR="003C3F87" w:rsidRPr="004811C9">
        <w:t xml:space="preserve">avel </w:t>
      </w:r>
      <w:r w:rsidR="00D67633" w:rsidRPr="004811C9">
        <w:t xml:space="preserve">time </w:t>
      </w:r>
      <w:r w:rsidR="003C3F87" w:rsidRPr="004811C9">
        <w:t xml:space="preserve">savings </w:t>
      </w:r>
      <w:r w:rsidR="00D67633" w:rsidRPr="004811C9">
        <w:t>for maintenance and leisure trips, consistent with many existing findings</w:t>
      </w:r>
      <w:r w:rsidR="00EA293E" w:rsidRPr="004811C9">
        <w:t xml:space="preserve"> </w:t>
      </w:r>
      <w:r w:rsidR="00EA293E" w:rsidRPr="004811C9">
        <w:fldChar w:fldCharType="begin"/>
      </w:r>
      <w:r w:rsidR="007E0065" w:rsidRPr="004811C9">
        <w:instrText xml:space="preserve"> ADDIN ZOTERO_ITEM CSL_CITATION {"citationID":"72Q8ZhUk","properties":{"formattedCitation":"(Axhausen et al., 2008; Binsuwadan et al., 2023)","plainCitation":"(Axhausen et al., 2008; Binsuwadan et al., 2023)","dontUpdate":true,"noteIndex":0},"citationItems":[{"id":4791,"uris":["http://zotero.org/users/12832277/items/EHNBDVS4"],"itemData":{"id":4791,"type":"article-journal","abstract":"This paper presents the findings of a study looking into the valuation of travel time savings (VTTS) in Switzerland, across modes as well as across purpose groups. The study makes several departures from the usual practice in VTTS studies, with the main one being a direct representation of the income and distance elasticity of the VTTS measures. Here, important gains in model performance and significantly different results are obtained through this approach. Additionally, the analysis shows that the estimation of robust coefficients for congested car travel time is hampered by the low share of congested time in the overall travel time, and the use of an additional rate-of-congestion coefficient, in addition to a generic car travel time coefficient, is preferable. Finally, the analysis demonstrates that the population mean of the indicators calculated is quite different from the sample means and presents methods to calculate those, along with the associated variances. These variances are of great interest as they allow the generation of confidence intervals, which can be extremely useful in cost-benefit analyses.","container-title":"Transport Policy","DOI":"10.1016/j.tranpol.2008.02.001","ISSN":"0967-070X","issue":"3","page":"173-185","source":"ScienceDirect","title":"Income and Distance Elasticities of Values of Travel Time Savings: New Swiss Results","volume":"15","author":[{"family":"Axhausen","given":"Kay W."},{"family":"Hess","given":"Stephane"},{"family":"König","given":"Arnd"},{"family":"Abay","given":"Georg"},{"family":"Bates","given":"John J."},{"family":"Bierlaire","given":"Michel"}],"issued":{"date-parts":[["2008",5,1]]}}},{"id":4794,"uris":["http://zotero.org/users/12832277/items/2U8QUE82"],"itemData":{"id":4794,"type":"article-journal","abstract":"The value of travel time savings (VTTS) is an important concept used in cost-benefit analyses for project appraisals and demand modelling in the transport sector. The relationship between the VTTS and income is particularly important since it underpins how official VTTS recommendations are uplifted over time as incomes grow. The income elasticity of VTTS has been investigated in many empirical studies, exhibiting considerable variation across them. Notably, repeat studies tend to find the lowest implied income effects and meta-analyses the largest income elasticities, with those obtained from cross-sectional inter-personal comparisons somewhere between. This paper aims to explain the VTTS variation in terms of an individual's or household's income level by using the meta-analysis technique. The analysis covers 268 income elasticities of the VTTS extracted from 49 studies conducted from 1968 to 2019 in countries across the globe. The meta-analysis method determines the factors that influence these income elasticity variations. The results of the meta-model highlight that the variation of the income elasticity is explained by several factors, including income levels, the transport mode, personal or household income, inter-temporal or cross-sectional elasticity, journey purpose and year of the survey, shedding light on how the VTTS income elasticity varies across different sources.","container-title":"Transport Policy","DOI":"10.1016/j.tranpol.2023.03.013","ISSN":"0967-070X","page":"126-136","source":"ScienceDirect","title":"The Income Elasticity of the Value of Travel Time Savings: A Meta-Analysis","volume":"136","author":[{"family":"Binsuwadan","given":"Jawaher"},{"family":"Wardman","given":"Mark"},{"family":"Jong","given":"Gerard","non-dropping-particle":"de"},{"family":"Batley","given":"Richard"},{"family":"Wheat","given":"Phill"}],"issued":{"date-parts":[["2023",6,1]]}}}],"schema":"https://github.com/citation-style-language/schema/raw/master/csl-citation.json"} </w:instrText>
      </w:r>
      <w:r w:rsidR="00EA293E" w:rsidRPr="004811C9">
        <w:fldChar w:fldCharType="separate"/>
      </w:r>
      <w:r w:rsidR="00EA293E" w:rsidRPr="004811C9">
        <w:t>(see, for example, Axhausen et al., 2008; Binsuwadan et al., 2023)</w:t>
      </w:r>
      <w:r w:rsidR="00EA293E" w:rsidRPr="004811C9">
        <w:fldChar w:fldCharType="end"/>
      </w:r>
      <w:r w:rsidR="00D67633" w:rsidRPr="004811C9">
        <w:t xml:space="preserve">. </w:t>
      </w:r>
      <w:r w:rsidR="00127306" w:rsidRPr="004811C9">
        <w:t xml:space="preserve">However, lower-income individuals exhibit a </w:t>
      </w:r>
      <w:r w:rsidR="00127306" w:rsidRPr="004811C9">
        <w:lastRenderedPageBreak/>
        <w:t xml:space="preserve">higher </w:t>
      </w:r>
      <w:r w:rsidR="00F4773F" w:rsidRPr="004811C9">
        <w:rPr>
          <w:i/>
        </w:rPr>
        <w:t>cVTTS</w:t>
      </w:r>
      <w:r w:rsidR="00127306" w:rsidRPr="004811C9">
        <w:t xml:space="preserve"> for work and education trips</w:t>
      </w:r>
      <w:r w:rsidR="00296276" w:rsidRPr="004811C9">
        <w:t xml:space="preserve">, presumably because of the typically </w:t>
      </w:r>
      <w:r w:rsidR="00E26B26" w:rsidRPr="004811C9">
        <w:t xml:space="preserve">stricter on-time </w:t>
      </w:r>
      <w:r w:rsidR="00296276" w:rsidRPr="004811C9">
        <w:t>work attendance requirements of the type of jobs held by such individuals</w:t>
      </w:r>
      <w:r w:rsidR="00947E77" w:rsidRPr="004811C9">
        <w:t xml:space="preserve"> </w:t>
      </w:r>
      <w:r w:rsidR="00F84EEA" w:rsidRPr="004811C9">
        <w:fldChar w:fldCharType="begin"/>
      </w:r>
      <w:r w:rsidR="008345D7">
        <w:instrText xml:space="preserve"> ADDIN ZOTERO_ITEM CSL_CITATION {"citationID":"vlt29eay","properties":{"formattedCitation":"(Vogtman and Tucker, 2017)","plainCitation":"(Vogtman and Tucker, 2017)","noteIndex":0},"citationItems":[{"id":5073,"uris":["http://zotero.org/users/12832277/items/JIV2R93J"],"itemData":{"id":5073,"type":"report","collection-title":"Workplace Justice","page":"1-7","publisher":"National Women's Law Center","publisher-place":"Washington, D.C.","title":"Collateral Damage: Scheduling Challenges for Workers in Low-Wage Jobs and Their Consequences","URL":"https://nwlc.org/wp-content/uploads/2017/04/Collateral-Damage.pdf","author":[{"family":"Vogtman","given":"Julie"},{"family":"Tucker","given":"Jasmine"}],"issued":{"date-parts":[["2017",4]]}}}],"schema":"https://github.com/citation-style-language/schema/raw/master/csl-citation.json"} </w:instrText>
      </w:r>
      <w:r w:rsidR="00F84EEA" w:rsidRPr="004811C9">
        <w:fldChar w:fldCharType="separate"/>
      </w:r>
      <w:r w:rsidR="00F84EEA" w:rsidRPr="004811C9">
        <w:t>(Vogtman and Tucker, 2017)</w:t>
      </w:r>
      <w:r w:rsidR="00F84EEA" w:rsidRPr="004811C9">
        <w:fldChar w:fldCharType="end"/>
      </w:r>
      <w:r w:rsidR="006C1CA1" w:rsidRPr="004811C9">
        <w:t>.</w:t>
      </w:r>
    </w:p>
    <w:p w14:paraId="5E78CAD6" w14:textId="01C02617" w:rsidR="00896A63" w:rsidRPr="004811C9" w:rsidRDefault="00D67633" w:rsidP="00BF3011">
      <w:pPr>
        <w:spacing w:after="0" w:line="240" w:lineRule="auto"/>
        <w:jc w:val="both"/>
        <w:rPr>
          <w:rFonts w:cs="Times New Roman"/>
        </w:rPr>
      </w:pPr>
      <w:r w:rsidRPr="004811C9">
        <w:rPr>
          <w:rFonts w:cs="Times New Roman"/>
        </w:rPr>
        <w:tab/>
      </w:r>
      <w:r w:rsidR="00FB0086" w:rsidRPr="004811C9">
        <w:rPr>
          <w:rFonts w:cs="Times New Roman"/>
        </w:rPr>
        <w:t xml:space="preserve">Adults with </w:t>
      </w:r>
      <w:r w:rsidR="00D02DB3" w:rsidRPr="004811C9">
        <w:rPr>
          <w:rFonts w:cs="Times New Roman"/>
        </w:rPr>
        <w:t>children</w:t>
      </w:r>
      <w:r w:rsidR="00FB0086" w:rsidRPr="004811C9">
        <w:rPr>
          <w:rFonts w:cs="Times New Roman"/>
        </w:rPr>
        <w:t xml:space="preserve"> in the household</w:t>
      </w:r>
      <w:r w:rsidR="00882957" w:rsidRPr="004811C9">
        <w:rPr>
          <w:rFonts w:cs="Times New Roman"/>
        </w:rPr>
        <w:t xml:space="preserve"> (a child is defined as </w:t>
      </w:r>
      <w:r w:rsidR="00442BC9" w:rsidRPr="004811C9">
        <w:rPr>
          <w:rFonts w:cs="Times New Roman"/>
        </w:rPr>
        <w:t>17</w:t>
      </w:r>
      <w:r w:rsidR="00882957" w:rsidRPr="004811C9">
        <w:rPr>
          <w:rFonts w:cs="Times New Roman"/>
        </w:rPr>
        <w:t xml:space="preserve"> years of age or less)</w:t>
      </w:r>
      <w:r w:rsidR="00FB0086" w:rsidRPr="004811C9">
        <w:rPr>
          <w:rFonts w:cs="Times New Roman"/>
        </w:rPr>
        <w:t>, relative to other households,</w:t>
      </w:r>
      <w:r w:rsidR="00D02DB3" w:rsidRPr="004811C9">
        <w:rPr>
          <w:rFonts w:cs="Times New Roman"/>
        </w:rPr>
        <w:t xml:space="preserve"> are less willing to pay to reduce travel time for </w:t>
      </w:r>
      <w:r w:rsidR="004845A6" w:rsidRPr="004811C9">
        <w:rPr>
          <w:rFonts w:cs="Times New Roman"/>
        </w:rPr>
        <w:t>work/education</w:t>
      </w:r>
      <w:r w:rsidR="00FB0086" w:rsidRPr="004811C9">
        <w:rPr>
          <w:rFonts w:cs="Times New Roman"/>
        </w:rPr>
        <w:t xml:space="preserve">, </w:t>
      </w:r>
      <w:r w:rsidR="00353BF8" w:rsidRPr="004811C9">
        <w:rPr>
          <w:rFonts w:cs="Times New Roman"/>
        </w:rPr>
        <w:t xml:space="preserve">presumably a result </w:t>
      </w:r>
      <w:r w:rsidR="00F056BC" w:rsidRPr="004811C9">
        <w:rPr>
          <w:rFonts w:cs="Times New Roman"/>
        </w:rPr>
        <w:t xml:space="preserve">of </w:t>
      </w:r>
      <w:r w:rsidR="00353BF8" w:rsidRPr="004811C9">
        <w:rPr>
          <w:rFonts w:cs="Times New Roman"/>
        </w:rPr>
        <w:t xml:space="preserve">work/education </w:t>
      </w:r>
      <w:r w:rsidR="003B40C8" w:rsidRPr="004811C9">
        <w:rPr>
          <w:rFonts w:cs="Times New Roman"/>
        </w:rPr>
        <w:t xml:space="preserve">travel </w:t>
      </w:r>
      <w:r w:rsidR="00F056BC" w:rsidRPr="004811C9">
        <w:rPr>
          <w:rFonts w:cs="Times New Roman"/>
        </w:rPr>
        <w:t>being undertaken</w:t>
      </w:r>
      <w:r w:rsidR="003B40C8" w:rsidRPr="004811C9">
        <w:rPr>
          <w:rFonts w:cs="Times New Roman"/>
        </w:rPr>
        <w:t xml:space="preserve"> around children’s </w:t>
      </w:r>
      <w:r w:rsidR="00F056BC" w:rsidRPr="004811C9">
        <w:rPr>
          <w:rFonts w:cs="Times New Roman"/>
        </w:rPr>
        <w:t xml:space="preserve">transportation needs and scheduled </w:t>
      </w:r>
      <w:r w:rsidR="003B40C8" w:rsidRPr="004811C9">
        <w:rPr>
          <w:rFonts w:cs="Times New Roman"/>
        </w:rPr>
        <w:t>activities</w:t>
      </w:r>
      <w:r w:rsidR="00F056BC" w:rsidRPr="004811C9">
        <w:rPr>
          <w:rFonts w:cs="Times New Roman"/>
        </w:rPr>
        <w:t xml:space="preserve">, such that </w:t>
      </w:r>
      <w:r w:rsidR="00872998" w:rsidRPr="004811C9">
        <w:rPr>
          <w:rFonts w:cs="Times New Roman"/>
        </w:rPr>
        <w:t xml:space="preserve">travel savings for some trips </w:t>
      </w:r>
      <w:r w:rsidR="00F056BC" w:rsidRPr="004811C9">
        <w:rPr>
          <w:rFonts w:cs="Times New Roman"/>
        </w:rPr>
        <w:t xml:space="preserve">may merely </w:t>
      </w:r>
      <w:r w:rsidR="00CA4693" w:rsidRPr="004811C9">
        <w:rPr>
          <w:rFonts w:cs="Times New Roman"/>
        </w:rPr>
        <w:t>translate</w:t>
      </w:r>
      <w:r w:rsidR="00872998" w:rsidRPr="004811C9">
        <w:rPr>
          <w:rFonts w:cs="Times New Roman"/>
        </w:rPr>
        <w:t xml:space="preserve"> into additional waiting time rather than free time</w:t>
      </w:r>
      <w:r w:rsidR="0009361B" w:rsidRPr="004811C9">
        <w:rPr>
          <w:rFonts w:cs="Times New Roman"/>
        </w:rPr>
        <w:t xml:space="preserve"> </w:t>
      </w:r>
      <w:r w:rsidR="00390F35" w:rsidRPr="004811C9">
        <w:rPr>
          <w:rFonts w:cs="Times New Roman"/>
        </w:rPr>
        <w:fldChar w:fldCharType="begin"/>
      </w:r>
      <w:r w:rsidR="00390F35" w:rsidRPr="004811C9">
        <w:rPr>
          <w:rFonts w:cs="Times New Roman"/>
        </w:rPr>
        <w:instrText xml:space="preserve"> ADDIN ZOTERO_ITEM CSL_CITATION {"citationID":"kH2wJGCn","properties":{"formattedCitation":"(Schwanen and Ettema, 2009)","plainCitation":"(Schwanen and Ettema, 2009)","noteIndex":0},"citationItems":[{"id":5092,"uris":["http://zotero.org/users/12832277/items/9S64633W"],"itemData":{"id":5092,"type":"article-journal","abstract":"This paper explores the usefulness of cumulative prospect theory (CPT), an inductive–descriptive model for how people make choices with a priori unknown consequences, in the context of travelers’ coping with unreliable transport networks through the estimation of coefficients characterizing CPT’s value and weighting functions. Attention is directed toward employed parents’ trips to collect their child(ren) from the nursery at the end of workday because of parents’ strong sensitivity to the possibility of late arrivals there. Analysis of a stated response experiment about parents’ coping with unreliable transport networks en route to the nursery provides further evidence for a series of violations of the axioms underlying expected utility theory (EUT) – a deductive–normative model of decision-making under uncertainty that is widely used in transportation studies. The results also show that linkages exist between respondents’ everyday life and their responses in the stated response experiment and, by implication, the shape of CPT’s value function. It is therefore concluded that analytical frameworks for describing activity-travel behavior in situations of unreliability, variability and uncertainty should be both psychologically and socially realistic.","container-title":"Transportation Research Part A: Policy and Practice","DOI":"10.1016/j.tra.2009.01.002","ISSN":"0965-8564","issue":"5","page":"511-525","source":"ScienceDirect","title":"Coping with Unreliable Transportation When Collecting Children: Examining Parents’ Behavior with Cumulative Prospect Theory","volume":"43","author":[{"family":"Schwanen","given":"Tim"},{"family":"Ettema","given":"Dick"}],"issued":{"date-parts":[["2009",6,1]]}}}],"schema":"https://github.com/citation-style-language/schema/raw/master/csl-citation.json"} </w:instrText>
      </w:r>
      <w:r w:rsidR="00390F35" w:rsidRPr="004811C9">
        <w:rPr>
          <w:rFonts w:cs="Times New Roman"/>
        </w:rPr>
        <w:fldChar w:fldCharType="separate"/>
      </w:r>
      <w:r w:rsidR="00390F35" w:rsidRPr="004811C9">
        <w:rPr>
          <w:rFonts w:cs="Times New Roman"/>
        </w:rPr>
        <w:t>(Schwanen and Ettema, 2009)</w:t>
      </w:r>
      <w:r w:rsidR="00390F35" w:rsidRPr="004811C9">
        <w:rPr>
          <w:rFonts w:cs="Times New Roman"/>
        </w:rPr>
        <w:fldChar w:fldCharType="end"/>
      </w:r>
      <w:r w:rsidR="00872998" w:rsidRPr="004811C9">
        <w:rPr>
          <w:rFonts w:cs="Times New Roman"/>
        </w:rPr>
        <w:t xml:space="preserve">. </w:t>
      </w:r>
      <w:r w:rsidR="00353BF8" w:rsidRPr="004811C9">
        <w:rPr>
          <w:rFonts w:cs="Times New Roman"/>
        </w:rPr>
        <w:t xml:space="preserve">However, </w:t>
      </w:r>
      <w:r w:rsidR="00F056BC" w:rsidRPr="004811C9">
        <w:rPr>
          <w:rFonts w:cs="Times New Roman"/>
        </w:rPr>
        <w:t xml:space="preserve">adults with children in the household have a </w:t>
      </w:r>
      <w:r w:rsidR="00353BF8" w:rsidRPr="004811C9">
        <w:rPr>
          <w:rFonts w:cs="Times New Roman"/>
        </w:rPr>
        <w:t xml:space="preserve">higher WTP for maintenance/leisure trips, and a </w:t>
      </w:r>
      <w:r w:rsidR="00F056BC" w:rsidRPr="004811C9">
        <w:rPr>
          <w:rFonts w:cs="Times New Roman"/>
        </w:rPr>
        <w:t xml:space="preserve">higher </w:t>
      </w:r>
      <w:r w:rsidR="00F4773F" w:rsidRPr="004811C9">
        <w:rPr>
          <w:rFonts w:cs="Times New Roman"/>
          <w:i/>
        </w:rPr>
        <w:t>cVTTS</w:t>
      </w:r>
      <w:r w:rsidR="00F056BC" w:rsidRPr="004811C9">
        <w:rPr>
          <w:rFonts w:cs="Times New Roman"/>
        </w:rPr>
        <w:t xml:space="preserve"> </w:t>
      </w:r>
      <w:r w:rsidR="00353BF8" w:rsidRPr="004811C9">
        <w:rPr>
          <w:rFonts w:cs="Times New Roman"/>
        </w:rPr>
        <w:t>for all trips</w:t>
      </w:r>
      <w:r w:rsidR="00F056BC" w:rsidRPr="004811C9">
        <w:rPr>
          <w:rFonts w:cs="Times New Roman"/>
        </w:rPr>
        <w:t xml:space="preserve">, perhaps due to </w:t>
      </w:r>
      <w:r w:rsidR="00BF3011" w:rsidRPr="004811C9">
        <w:rPr>
          <w:rFonts w:cs="Times New Roman"/>
        </w:rPr>
        <w:t>a</w:t>
      </w:r>
      <w:r w:rsidR="00353BF8" w:rsidRPr="004811C9">
        <w:rPr>
          <w:rFonts w:cs="Times New Roman"/>
        </w:rPr>
        <w:t xml:space="preserve">n elevated </w:t>
      </w:r>
      <w:r w:rsidR="00FE5581" w:rsidRPr="004811C9">
        <w:rPr>
          <w:rFonts w:cs="Times New Roman"/>
        </w:rPr>
        <w:t>perceived value of travel time savings for children themselves</w:t>
      </w:r>
      <w:r w:rsidR="00BF3011" w:rsidRPr="004811C9">
        <w:rPr>
          <w:rFonts w:cs="Times New Roman"/>
        </w:rPr>
        <w:t xml:space="preserve"> compared with the value of </w:t>
      </w:r>
      <w:r w:rsidR="00716666" w:rsidRPr="004811C9">
        <w:rPr>
          <w:rFonts w:cs="Times New Roman"/>
        </w:rPr>
        <w:t xml:space="preserve">travel </w:t>
      </w:r>
      <w:r w:rsidR="00BF3011" w:rsidRPr="004811C9">
        <w:rPr>
          <w:rFonts w:cs="Times New Roman"/>
        </w:rPr>
        <w:t xml:space="preserve">time </w:t>
      </w:r>
      <w:r w:rsidR="00716666" w:rsidRPr="004811C9">
        <w:rPr>
          <w:rFonts w:cs="Times New Roman"/>
        </w:rPr>
        <w:t xml:space="preserve">savings </w:t>
      </w:r>
      <w:r w:rsidR="00BF3011" w:rsidRPr="004811C9">
        <w:rPr>
          <w:rFonts w:cs="Times New Roman"/>
        </w:rPr>
        <w:t>for adults</w:t>
      </w:r>
      <w:r w:rsidR="00FE5581" w:rsidRPr="004811C9">
        <w:rPr>
          <w:rFonts w:cs="Times New Roman"/>
        </w:rPr>
        <w:t xml:space="preserve"> </w:t>
      </w:r>
      <w:r w:rsidR="00FE5581" w:rsidRPr="004811C9">
        <w:rPr>
          <w:rFonts w:cs="Times New Roman"/>
        </w:rPr>
        <w:fldChar w:fldCharType="begin"/>
      </w:r>
      <w:r w:rsidR="008345D7">
        <w:rPr>
          <w:rFonts w:cs="Times New Roman"/>
        </w:rPr>
        <w:instrText xml:space="preserve"> ADDIN ZOTERO_ITEM CSL_CITATION {"citationID":"5QOntcLn","properties":{"formattedCitation":"(Utsunomiya, 2025)","plainCitation":"(Utsunomiya, 2025)","dontUpdate":true,"noteIndex":0},"citationItems":[{"id":4530,"uris":["http://zotero.org/users/12832277/items/J7FUK4VJ"],"itemData":{"id":4530,"type":"paper-conference","abstract":"The value of travel time savings (VTTS) is one of the key issues in transportation studies, but there is little previous research on VTTS for children. In this paper, we report on a survey conducted with residents along the Hitachinaka Seaside Railway, which opened a station for children commuting to a newly built school, focussing on a comparison of VTTS between children and adults. As a result, many respondents answered that VTTS for children is more than that for adults. Half of the respondents answered as the reason for their valuation that children's commuting time is as valuable as their parents' in terms of the opportunity cost. However, more than two thirds responded that saving children's commuting time is more valuable because concerns about children's safety represent additional costs for parents. Also, there are quite a few respondents who evaluated children's potential and their future income. If VTTS for children is higher than for adults, social benefits calculated on the assumption that there is no difference between children and adults are underestimated, distorting public investment decisions in transportation planning.","container-title":"Transportation Research Procedia","DOI":"10.1016/j.trpro.2024.12.179","event-title":"2023 World Conference on Transport Research","page":"2162-2171","publisher-place":"Montreal","source":"ScienceDirect","title":"An Analysis of the Value of Travel Time Savings for Children","URL":"https://www.sciencedirect.com/science/article/pii/S2352146524004782","volume":"82","author":[{"family":"Utsunomiya","given":"Kiyohito"}],"accessed":{"date-parts":[["2025",5,15]]},"issued":{"date-parts":[["2025",1,1]]}}}],"schema":"https://github.com/citation-style-language/schema/raw/master/csl-citation.json"} </w:instrText>
      </w:r>
      <w:r w:rsidR="00FE5581" w:rsidRPr="004811C9">
        <w:rPr>
          <w:rFonts w:cs="Times New Roman"/>
        </w:rPr>
        <w:fldChar w:fldCharType="separate"/>
      </w:r>
      <w:r w:rsidR="00CD3BBE" w:rsidRPr="004811C9">
        <w:rPr>
          <w:rFonts w:cs="Times New Roman"/>
        </w:rPr>
        <w:t>(see Utsunomiya, 2025)</w:t>
      </w:r>
      <w:r w:rsidR="00FE5581" w:rsidRPr="004811C9">
        <w:rPr>
          <w:rFonts w:cs="Times New Roman"/>
        </w:rPr>
        <w:fldChar w:fldCharType="end"/>
      </w:r>
      <w:r w:rsidRPr="004811C9">
        <w:rPr>
          <w:rFonts w:cs="Times New Roman"/>
        </w:rPr>
        <w:t xml:space="preserve">. </w:t>
      </w:r>
      <w:r w:rsidR="0009361B" w:rsidRPr="004811C9">
        <w:rPr>
          <w:rFonts w:cs="Times New Roman"/>
        </w:rPr>
        <w:t>Additionally, in the category of household composition variables</w:t>
      </w:r>
      <w:r w:rsidRPr="004811C9">
        <w:rPr>
          <w:rFonts w:cs="Times New Roman"/>
        </w:rPr>
        <w:t>, in</w:t>
      </w:r>
      <w:r w:rsidR="00755065" w:rsidRPr="004811C9">
        <w:rPr>
          <w:rFonts w:cs="Times New Roman"/>
        </w:rPr>
        <w:t>dividuals living alone</w:t>
      </w:r>
      <w:r w:rsidR="0009361B" w:rsidRPr="004811C9">
        <w:rPr>
          <w:rFonts w:cs="Times New Roman"/>
        </w:rPr>
        <w:t xml:space="preserve"> </w:t>
      </w:r>
      <w:r w:rsidR="00731BC6" w:rsidRPr="004811C9">
        <w:rPr>
          <w:rFonts w:cs="Times New Roman"/>
        </w:rPr>
        <w:t xml:space="preserve">have a lower </w:t>
      </w:r>
      <w:r w:rsidR="00716666" w:rsidRPr="004811C9">
        <w:rPr>
          <w:rFonts w:cs="Times New Roman"/>
        </w:rPr>
        <w:t>WTP</w:t>
      </w:r>
      <w:r w:rsidR="00127306" w:rsidRPr="004811C9">
        <w:rPr>
          <w:rFonts w:cs="Times New Roman"/>
        </w:rPr>
        <w:t xml:space="preserve"> </w:t>
      </w:r>
      <w:r w:rsidR="0009361B" w:rsidRPr="004811C9">
        <w:rPr>
          <w:rFonts w:cs="Times New Roman"/>
        </w:rPr>
        <w:t xml:space="preserve">relative to households with </w:t>
      </w:r>
      <w:r w:rsidR="00353BF8" w:rsidRPr="004811C9">
        <w:rPr>
          <w:rFonts w:cs="Times New Roman"/>
        </w:rPr>
        <w:t xml:space="preserve">multiple adults and </w:t>
      </w:r>
      <w:r w:rsidR="0009361B" w:rsidRPr="004811C9">
        <w:rPr>
          <w:rFonts w:cs="Times New Roman"/>
        </w:rPr>
        <w:t xml:space="preserve">no children, as well as a </w:t>
      </w:r>
      <w:r w:rsidR="00127306" w:rsidRPr="004811C9">
        <w:rPr>
          <w:rFonts w:cs="Times New Roman"/>
        </w:rPr>
        <w:t xml:space="preserve">lower </w:t>
      </w:r>
      <w:r w:rsidR="00F4773F" w:rsidRPr="004811C9">
        <w:rPr>
          <w:rFonts w:cs="Times New Roman"/>
          <w:i/>
        </w:rPr>
        <w:t>cVTTS</w:t>
      </w:r>
      <w:r w:rsidR="00731BC6" w:rsidRPr="004811C9">
        <w:rPr>
          <w:rFonts w:cs="Times New Roman"/>
        </w:rPr>
        <w:t xml:space="preserve"> </w:t>
      </w:r>
      <w:r w:rsidR="0009361B" w:rsidRPr="004811C9">
        <w:rPr>
          <w:rFonts w:cs="Times New Roman"/>
        </w:rPr>
        <w:t>relative to all other types of households</w:t>
      </w:r>
      <w:r w:rsidR="00353BF8" w:rsidRPr="004811C9">
        <w:rPr>
          <w:rFonts w:cs="Times New Roman"/>
        </w:rPr>
        <w:t xml:space="preserve"> (including households with children)</w:t>
      </w:r>
      <w:r w:rsidR="00731BC6" w:rsidRPr="004811C9">
        <w:rPr>
          <w:rFonts w:cs="Times New Roman"/>
        </w:rPr>
        <w:t xml:space="preserve">, reflecting the greater flexibility in scheduling and </w:t>
      </w:r>
      <w:r w:rsidR="0009361B" w:rsidRPr="004811C9">
        <w:rPr>
          <w:rFonts w:cs="Times New Roman"/>
        </w:rPr>
        <w:t xml:space="preserve">the </w:t>
      </w:r>
      <w:r w:rsidRPr="004811C9">
        <w:rPr>
          <w:rFonts w:cs="Times New Roman"/>
        </w:rPr>
        <w:t xml:space="preserve">reduced need for schedule </w:t>
      </w:r>
      <w:r w:rsidR="00731BC6" w:rsidRPr="004811C9">
        <w:rPr>
          <w:rFonts w:cs="Times New Roman"/>
        </w:rPr>
        <w:t>coordination.</w:t>
      </w:r>
    </w:p>
    <w:p w14:paraId="217A3C23" w14:textId="51E753DC" w:rsidR="009007AB" w:rsidRPr="004811C9" w:rsidRDefault="00D67633" w:rsidP="00027FE5">
      <w:pPr>
        <w:spacing w:after="0" w:line="240" w:lineRule="auto"/>
        <w:jc w:val="both"/>
        <w:rPr>
          <w:rFonts w:cs="Times New Roman"/>
          <w:b/>
          <w:bCs/>
        </w:rPr>
      </w:pPr>
      <w:r w:rsidRPr="004811C9">
        <w:rPr>
          <w:rFonts w:cs="Times New Roman"/>
        </w:rPr>
        <w:tab/>
        <w:t xml:space="preserve">Employed individuals </w:t>
      </w:r>
      <w:r w:rsidR="009007AB" w:rsidRPr="004811C9">
        <w:rPr>
          <w:rFonts w:cs="Times New Roman"/>
        </w:rPr>
        <w:t xml:space="preserve">have </w:t>
      </w:r>
      <w:r w:rsidRPr="004811C9">
        <w:rPr>
          <w:rFonts w:cs="Times New Roman"/>
        </w:rPr>
        <w:t xml:space="preserve">both </w:t>
      </w:r>
      <w:r w:rsidR="009007AB" w:rsidRPr="004811C9">
        <w:rPr>
          <w:rFonts w:cs="Times New Roman"/>
        </w:rPr>
        <w:t xml:space="preserve">a greater </w:t>
      </w:r>
      <w:r w:rsidR="009C3891" w:rsidRPr="004811C9">
        <w:rPr>
          <w:rFonts w:cs="Times New Roman"/>
        </w:rPr>
        <w:t>WTP</w:t>
      </w:r>
      <w:r w:rsidR="009007AB" w:rsidRPr="004811C9">
        <w:rPr>
          <w:rFonts w:cs="Times New Roman"/>
        </w:rPr>
        <w:t xml:space="preserve"> and higher </w:t>
      </w:r>
      <w:r w:rsidR="00F4773F" w:rsidRPr="004811C9">
        <w:rPr>
          <w:rFonts w:cs="Times New Roman"/>
          <w:i/>
        </w:rPr>
        <w:t>cVTTS</w:t>
      </w:r>
      <w:r w:rsidR="009007AB" w:rsidRPr="004811C9">
        <w:rPr>
          <w:rFonts w:cs="Times New Roman"/>
        </w:rPr>
        <w:t xml:space="preserve"> for </w:t>
      </w:r>
      <w:r w:rsidR="00127306" w:rsidRPr="004811C9">
        <w:rPr>
          <w:rFonts w:cs="Times New Roman"/>
        </w:rPr>
        <w:t>work and education trips</w:t>
      </w:r>
      <w:r w:rsidR="009007AB" w:rsidRPr="004811C9">
        <w:rPr>
          <w:rFonts w:cs="Times New Roman"/>
        </w:rPr>
        <w:t xml:space="preserve"> compared with those who are unemployed, </w:t>
      </w:r>
      <w:r w:rsidR="007C1B2D" w:rsidRPr="004811C9">
        <w:rPr>
          <w:rFonts w:cs="Times New Roman"/>
        </w:rPr>
        <w:t>underscoring</w:t>
      </w:r>
      <w:r w:rsidR="009007AB" w:rsidRPr="004811C9">
        <w:rPr>
          <w:rFonts w:cs="Times New Roman"/>
        </w:rPr>
        <w:t xml:space="preserve"> the</w:t>
      </w:r>
      <w:r w:rsidR="007C1B2D" w:rsidRPr="004811C9">
        <w:rPr>
          <w:rFonts w:cs="Times New Roman"/>
        </w:rPr>
        <w:t xml:space="preserve"> consequences</w:t>
      </w:r>
      <w:r w:rsidR="009007AB" w:rsidRPr="004811C9">
        <w:rPr>
          <w:rFonts w:cs="Times New Roman"/>
        </w:rPr>
        <w:t xml:space="preserve"> of congestion delays for workers</w:t>
      </w:r>
      <w:r w:rsidR="00127306" w:rsidRPr="004811C9">
        <w:rPr>
          <w:rFonts w:cs="Times New Roman"/>
        </w:rPr>
        <w:t xml:space="preserve"> </w:t>
      </w:r>
      <w:r w:rsidRPr="004811C9">
        <w:rPr>
          <w:rFonts w:cs="Times New Roman"/>
        </w:rPr>
        <w:t xml:space="preserve">and </w:t>
      </w:r>
      <w:r w:rsidR="007C1B2D" w:rsidRPr="004811C9">
        <w:rPr>
          <w:rFonts w:cs="Times New Roman"/>
        </w:rPr>
        <w:t xml:space="preserve">the </w:t>
      </w:r>
      <w:r w:rsidRPr="004811C9">
        <w:rPr>
          <w:rFonts w:cs="Times New Roman"/>
        </w:rPr>
        <w:t xml:space="preserve">relatively higher economic ability to pay for travel </w:t>
      </w:r>
      <w:r w:rsidR="009C3891" w:rsidRPr="004811C9">
        <w:rPr>
          <w:rFonts w:cs="Times New Roman"/>
        </w:rPr>
        <w:t xml:space="preserve">time </w:t>
      </w:r>
      <w:r w:rsidRPr="004811C9">
        <w:rPr>
          <w:rFonts w:cs="Times New Roman"/>
        </w:rPr>
        <w:t>savings among employed individuals</w:t>
      </w:r>
      <w:r w:rsidR="009007AB" w:rsidRPr="004811C9">
        <w:rPr>
          <w:rFonts w:cs="Times New Roman"/>
        </w:rPr>
        <w:t xml:space="preserve">. </w:t>
      </w:r>
      <w:r w:rsidRPr="004811C9">
        <w:rPr>
          <w:rFonts w:cs="Times New Roman"/>
        </w:rPr>
        <w:t>F</w:t>
      </w:r>
      <w:r w:rsidR="009007AB" w:rsidRPr="004811C9">
        <w:rPr>
          <w:rFonts w:cs="Times New Roman"/>
        </w:rPr>
        <w:t xml:space="preserve">inally, </w:t>
      </w:r>
      <w:r w:rsidR="007C1B2D" w:rsidRPr="004811C9">
        <w:rPr>
          <w:rFonts w:cs="Times New Roman"/>
        </w:rPr>
        <w:t xml:space="preserve">within individual and household characteristics, </w:t>
      </w:r>
      <w:r w:rsidR="009007AB" w:rsidRPr="004811C9">
        <w:rPr>
          <w:rFonts w:cs="Times New Roman"/>
        </w:rPr>
        <w:t xml:space="preserve">those living in high population density areas have a lower </w:t>
      </w:r>
      <w:r w:rsidR="009C3891" w:rsidRPr="004811C9">
        <w:rPr>
          <w:rFonts w:cs="Times New Roman"/>
        </w:rPr>
        <w:t>WTP</w:t>
      </w:r>
      <w:r w:rsidR="0009361B" w:rsidRPr="004811C9">
        <w:rPr>
          <w:rFonts w:cs="Times New Roman"/>
        </w:rPr>
        <w:t xml:space="preserve">, but also </w:t>
      </w:r>
      <w:r w:rsidR="0018382D" w:rsidRPr="004811C9">
        <w:rPr>
          <w:rFonts w:cs="Times New Roman"/>
        </w:rPr>
        <w:t xml:space="preserve">a slightly higher </w:t>
      </w:r>
      <w:r w:rsidR="00F4773F" w:rsidRPr="004811C9">
        <w:rPr>
          <w:rFonts w:cs="Times New Roman"/>
          <w:i/>
        </w:rPr>
        <w:t>cVTTS</w:t>
      </w:r>
      <w:r w:rsidR="0009361B" w:rsidRPr="004811C9">
        <w:rPr>
          <w:rFonts w:cs="Times New Roman"/>
        </w:rPr>
        <w:t>, relative to those in low or medium population density areas</w:t>
      </w:r>
      <w:r w:rsidR="0018382D" w:rsidRPr="004811C9">
        <w:rPr>
          <w:rFonts w:cs="Times New Roman"/>
        </w:rPr>
        <w:t xml:space="preserve">. The lower willingness to pay </w:t>
      </w:r>
      <w:r w:rsidR="007C1B2D" w:rsidRPr="004811C9">
        <w:rPr>
          <w:rFonts w:cs="Times New Roman"/>
        </w:rPr>
        <w:t xml:space="preserve">among those living in high density areas </w:t>
      </w:r>
      <w:r w:rsidR="0018382D" w:rsidRPr="004811C9">
        <w:rPr>
          <w:rFonts w:cs="Times New Roman"/>
        </w:rPr>
        <w:t>may reflect a habitualization or normalization of travel time delays</w:t>
      </w:r>
      <w:r w:rsidR="00A32442" w:rsidRPr="004811C9">
        <w:rPr>
          <w:rFonts w:cs="Times New Roman"/>
        </w:rPr>
        <w:t xml:space="preserve">, </w:t>
      </w:r>
      <w:r w:rsidR="007C1B2D" w:rsidRPr="004811C9">
        <w:rPr>
          <w:rFonts w:cs="Times New Roman"/>
        </w:rPr>
        <w:t>while the</w:t>
      </w:r>
      <w:r w:rsidR="00D7289B" w:rsidRPr="004811C9">
        <w:rPr>
          <w:rFonts w:cs="Times New Roman"/>
        </w:rPr>
        <w:t xml:space="preserve"> higher </w:t>
      </w:r>
      <w:r w:rsidR="00F4773F" w:rsidRPr="004811C9">
        <w:rPr>
          <w:rFonts w:cs="Times New Roman"/>
          <w:i/>
        </w:rPr>
        <w:t>cVTTS</w:t>
      </w:r>
      <w:r w:rsidR="00D7289B" w:rsidRPr="004811C9">
        <w:rPr>
          <w:rFonts w:cs="Times New Roman"/>
        </w:rPr>
        <w:t xml:space="preserve"> may reflect </w:t>
      </w:r>
      <w:r w:rsidR="007C1B2D" w:rsidRPr="004811C9">
        <w:rPr>
          <w:rFonts w:cs="Times New Roman"/>
        </w:rPr>
        <w:t xml:space="preserve">the </w:t>
      </w:r>
      <w:r w:rsidR="00EC7F5C" w:rsidRPr="004811C9">
        <w:rPr>
          <w:rFonts w:cs="Times New Roman"/>
        </w:rPr>
        <w:t xml:space="preserve">higher level of perceived time scarcity </w:t>
      </w:r>
      <w:r w:rsidR="007C1B2D" w:rsidRPr="004811C9">
        <w:rPr>
          <w:rFonts w:cs="Times New Roman"/>
        </w:rPr>
        <w:t xml:space="preserve">among </w:t>
      </w:r>
      <w:r w:rsidR="00EC7F5C" w:rsidRPr="004811C9">
        <w:rPr>
          <w:rFonts w:cs="Times New Roman"/>
        </w:rPr>
        <w:t>urban dwellers, as has been</w:t>
      </w:r>
      <w:r w:rsidR="007C1B2D" w:rsidRPr="004811C9">
        <w:rPr>
          <w:rFonts w:cs="Times New Roman"/>
        </w:rPr>
        <w:t xml:space="preserve"> observed </w:t>
      </w:r>
      <w:r w:rsidR="00EC7F5C" w:rsidRPr="004811C9">
        <w:rPr>
          <w:rFonts w:cs="Times New Roman"/>
        </w:rPr>
        <w:t xml:space="preserve">in other </w:t>
      </w:r>
      <w:r w:rsidR="007C1B2D" w:rsidRPr="004811C9">
        <w:rPr>
          <w:rFonts w:cs="Times New Roman"/>
        </w:rPr>
        <w:t>studies</w:t>
      </w:r>
      <w:r w:rsidR="00346B78" w:rsidRPr="004811C9">
        <w:rPr>
          <w:rFonts w:cs="Times New Roman"/>
        </w:rPr>
        <w:t xml:space="preserve"> </w:t>
      </w:r>
      <w:r w:rsidR="00157061" w:rsidRPr="004811C9">
        <w:rPr>
          <w:rFonts w:cs="Times New Roman"/>
        </w:rPr>
        <w:fldChar w:fldCharType="begin"/>
      </w:r>
      <w:r w:rsidR="008345D7">
        <w:rPr>
          <w:rFonts w:cs="Times New Roman"/>
        </w:rPr>
        <w:instrText xml:space="preserve"> ADDIN ZOTERO_ITEM CSL_CITATION {"citationID":"Q0UQFs0o","properties":{"formattedCitation":"(Cho and Parkhomenko, 2024)","plainCitation":"(Cho and Parkhomenko, 2024)","dontUpdate":true,"noteIndex":0},"citationItems":[{"id":5075,"uris":["http://zotero.org/users/12832277/items/QB94DP9M"],"itemData":{"id":5075,"type":"article","abstract":"We study how time use varies with city size. Residents of big cities spend more time traveling and less time on leisure and socializing, and there is substantial heterogeneity by gender, marital status, presence of children, income, and education. These differences are driven by city size rather than sorting on observables. We find that time allocation in big cities is associated with lower well-being and that accounting for time use differences lowers the city-size wage premium by one-quarter. We also find that time use variation by city size has fallen since 2020, partly due to remote work.","genre":"SSRN Scholarly Paper","language":"en","number":"4911130","publisher":"Social Science Research Network","publisher-place":"Rochester, NY","source":"papers.ssrn.com","title":"Time Use and City Size","URL":"https://papers.ssrn.com/abstract=4911130","author":[{"family":"Cho","given":"Seongmoon"},{"family":"Parkhomenko","given":"Andrii"}],"accessed":{"date-parts":[["2025",7,23]]},"issued":{"date-parts":[["2024",7,25]]}}}],"schema":"https://github.com/citation-style-language/schema/raw/master/csl-citation.json"} </w:instrText>
      </w:r>
      <w:r w:rsidR="00157061" w:rsidRPr="004811C9">
        <w:rPr>
          <w:rFonts w:cs="Times New Roman"/>
        </w:rPr>
        <w:fldChar w:fldCharType="separate"/>
      </w:r>
      <w:r w:rsidR="00157061" w:rsidRPr="004811C9">
        <w:rPr>
          <w:rFonts w:cs="Times New Roman"/>
        </w:rPr>
        <w:t>(</w:t>
      </w:r>
      <w:r w:rsidR="007C1B2D" w:rsidRPr="004811C9">
        <w:rPr>
          <w:rFonts w:cs="Times New Roman"/>
        </w:rPr>
        <w:t xml:space="preserve">see, for example, </w:t>
      </w:r>
      <w:r w:rsidR="00157061" w:rsidRPr="004811C9">
        <w:rPr>
          <w:rFonts w:cs="Times New Roman"/>
        </w:rPr>
        <w:t>Cho and Parkhomenko, 2024)</w:t>
      </w:r>
      <w:r w:rsidR="00157061" w:rsidRPr="004811C9">
        <w:rPr>
          <w:rFonts w:cs="Times New Roman"/>
        </w:rPr>
        <w:fldChar w:fldCharType="end"/>
      </w:r>
      <w:r w:rsidR="0052129B" w:rsidRPr="004811C9">
        <w:rPr>
          <w:rFonts w:cs="Times New Roman"/>
        </w:rPr>
        <w:t>.</w:t>
      </w:r>
    </w:p>
    <w:p w14:paraId="31418699" w14:textId="7D99DE1F" w:rsidR="00267EF9" w:rsidRPr="004811C9" w:rsidRDefault="00267EF9" w:rsidP="00027FE5">
      <w:pPr>
        <w:spacing w:after="0" w:line="240" w:lineRule="auto"/>
        <w:jc w:val="both"/>
        <w:rPr>
          <w:rFonts w:cs="Times New Roman"/>
          <w:b/>
          <w:bCs/>
        </w:rPr>
      </w:pPr>
    </w:p>
    <w:p w14:paraId="6481EB04" w14:textId="3EADAA8A" w:rsidR="0092171A" w:rsidRPr="00F8453A" w:rsidRDefault="0092171A" w:rsidP="0092171A">
      <w:pPr>
        <w:spacing w:after="0" w:line="240" w:lineRule="auto"/>
        <w:jc w:val="both"/>
        <w:rPr>
          <w:rFonts w:cs="Times New Roman"/>
          <w:i/>
          <w:iCs/>
        </w:rPr>
      </w:pPr>
      <w:r w:rsidRPr="00F8453A">
        <w:rPr>
          <w:rFonts w:cs="Times New Roman"/>
          <w:i/>
          <w:iCs/>
        </w:rPr>
        <w:t xml:space="preserve">4.1.2 Effects of Trip Characteristics </w:t>
      </w:r>
    </w:p>
    <w:p w14:paraId="6721F1AF" w14:textId="764971F9" w:rsidR="0092171A" w:rsidRPr="004811C9" w:rsidRDefault="0092171A" w:rsidP="0092171A">
      <w:pPr>
        <w:spacing w:after="0" w:line="240" w:lineRule="auto"/>
        <w:jc w:val="both"/>
        <w:rPr>
          <w:rFonts w:cs="Times New Roman"/>
        </w:rPr>
      </w:pPr>
      <w:r w:rsidRPr="004811C9">
        <w:rPr>
          <w:rFonts w:cs="Times New Roman"/>
        </w:rPr>
        <w:t xml:space="preserve">Table 2 shows that, in general, there is a heightened willingness to pay for trips during the morning peak period (before 9:30 am) compared with trips taken later in the day, across all modes and trip purposes. WTP is also higher for those traveling for work and education purposes compared with maintenance or leisure purposes in the “before 9:30 am” period, and even more so for those traveling by car for work- or education-related purposes </w:t>
      </w:r>
      <w:r w:rsidR="00353BF8" w:rsidRPr="004811C9">
        <w:rPr>
          <w:rFonts w:cs="Times New Roman"/>
        </w:rPr>
        <w:t>in this</w:t>
      </w:r>
      <w:r w:rsidRPr="004811C9">
        <w:rPr>
          <w:rFonts w:cs="Times New Roman"/>
        </w:rPr>
        <w:t xml:space="preserve"> morning period</w:t>
      </w:r>
      <w:r w:rsidR="00353BF8" w:rsidRPr="004811C9">
        <w:rPr>
          <w:rFonts w:cs="Times New Roman"/>
        </w:rPr>
        <w:t xml:space="preserve"> relative to</w:t>
      </w:r>
      <w:r w:rsidRPr="004811C9">
        <w:rPr>
          <w:rFonts w:cs="Times New Roman"/>
        </w:rPr>
        <w:t xml:space="preserve"> those traveling by non-car modes (taxi, ridehailing, or autorickshaw). Interest in reducing travel time during the early-morning period is unsurprising given that congestion-related delays are much more common during this time, and delays during this period can have a larger impact on time allocation throughout the remainder of the day and on-time arrival at many </w:t>
      </w:r>
      <w:r w:rsidR="00353BF8" w:rsidRPr="004811C9">
        <w:rPr>
          <w:rFonts w:cs="Times New Roman"/>
        </w:rPr>
        <w:t xml:space="preserve">other scheduled </w:t>
      </w:r>
      <w:r w:rsidRPr="004811C9">
        <w:rPr>
          <w:rFonts w:cs="Times New Roman"/>
        </w:rPr>
        <w:t xml:space="preserve">activities throughout the rest of the day </w:t>
      </w:r>
      <w:r w:rsidRPr="004811C9">
        <w:rPr>
          <w:rFonts w:cs="Times New Roman"/>
        </w:rPr>
        <w:fldChar w:fldCharType="begin"/>
      </w:r>
      <w:r w:rsidR="008345D7">
        <w:rPr>
          <w:rFonts w:cs="Times New Roman"/>
        </w:rPr>
        <w:instrText xml:space="preserve"> ADDIN ZOTERO_ITEM CSL_CITATION {"citationID":"3Y1VAYOr","properties":{"unsorted":true,"formattedCitation":"(Wardman and Nicol\\uc0\\u225{}s Ib\\uc0\\u225{}\\uc0\\u241{}ez, 2012; Kim et al., 2023)","plainCitation":"(Wardman and Nicolás Ibáñez, 2012; Kim et al., 2023)","noteIndex":0},"citationItems":[{"id":4774,"uris":["http://zotero.org/users/12832277/items/QCLS4CRD"],"itemData":{"id":4774,"type":"article-journal","abstract":"The value of travel time savings in part depends upon the disutility of the travel time that is saved and partly on the use to which the time saved is put. It has long been recognised that the disutility of the time spent travelling also depends upon a wide range of factors such as the journey length or the effort, comfort and safety associated with travelling. Hence we might expect the value of motorists’ travel time to vary with the traffic conditions as represented by the degree of congestion, in part to reflect the more difficult driving environment when there are more vehicles, but also a higher sense of frustration, similar to that associated with waiting time and contributing to its premium valuation. In this context, and despite the predominance of car travel in developed countries, the empirical evidence specifically relating to car values of travel time tends to fail to distinguish between different types of time according to the degree of congestion. Thus we are often left unclear as to precisely what type of time has been valued. Moreover, when a distinction is made, it tends to be into a simple dichotomy of congested and uncongested traffic. This paper provides new evidence on the variation in the valuation of motorists’ travel time savings across a finer gradation of types of time than has been hitherto attempted. This is obtained from the same Stated Choice exercise conducted in the United Kingdom and the United States. The paper also provides an extensive account of previous research into how congestion impacts on motorists’ values of time.","container-title":"Transportation Research Part A: Policy and Practice","DOI":"10.1016/j.tra.2011.06.011","ISSN":"0965-8564","issue":"1","page":"213-225","source":"ScienceDirect","title":"The Congestion Multiplier: Variations in Motorists’ Valuations of Travel Time with Traffic Conditions","volume":"46","author":[{"family":"Wardman","given":"Mark"},{"family":"Nicolás Ibáñez","given":"J."}],"issued":{"date-parts":[["2012",1,1]]}}},{"id":4766,"uris":["http://zotero.org/users/12832277/items/HUP7XQQ9"],"itemData":{"id":4766,"type":"article-journal","abstract":"Technological solutions to achieve energy efficiency and carbon reduction in tourism are unlikely to be sufficient alone. This is partly because of the rebound effect (RE) where consumer behavior can absorb some of or all the energy efficiency gains. Time savings from time-efficient technologies can intensify energy consumption, leading to the time use rebound effect (TRE). Research suggests that the TRE in tourism can be high, especially in relation to tourist travel, but its understanding is limited. This study aims to provide empirical evidence of the TRE by categorizing tourist groups that are most prone to its occurrence. An exploratory sequential mixed methods approach is employed. Key factors that influence the potential TRE occurrence include socio-demographic characteristics, holiday preferences, time/money availability, time perception/attitudes, and time use patterns on holiday. The “Busy explorer” cluster of tourists is most likely to show TREs. Implications and suggestions for future research are outlined.","container-title":"Journal of Travel Research","DOI":"10.1177/00472875211064636","ISSN":"0047-2875","issue":"2","language":"EN","page":"362-381","publisher":"SAGE Publications Inc","source":"SAGE Journals","title":"Tourist Perception of the Value of Time on Holidays: Implications for the Time Use Rebound Effect and Sustainable Travel Practice","volume":"62","author":[{"family":"Kim","given":"Soheon"},{"family":"Filimonau","given":"Viachaslau"},{"family":"Dickinson","given":"Janet E."}],"issued":{"date-parts":[["2023",2,1]]}}}],"schema":"https://github.com/citation-style-language/schema/raw/master/csl-citation.json"} </w:instrText>
      </w:r>
      <w:r w:rsidRPr="004811C9">
        <w:rPr>
          <w:rFonts w:cs="Times New Roman"/>
        </w:rPr>
        <w:fldChar w:fldCharType="separate"/>
      </w:r>
      <w:r w:rsidRPr="004811C9">
        <w:rPr>
          <w:rFonts w:cs="Times New Roman"/>
          <w:kern w:val="0"/>
        </w:rPr>
        <w:t>(Wardman and Nicolás Ibáñez, 2012; Kim et al., 2023)</w:t>
      </w:r>
      <w:r w:rsidRPr="004811C9">
        <w:rPr>
          <w:rFonts w:cs="Times New Roman"/>
        </w:rPr>
        <w:fldChar w:fldCharType="end"/>
      </w:r>
      <w:r w:rsidRPr="004811C9">
        <w:rPr>
          <w:rFonts w:cs="Times New Roman"/>
        </w:rPr>
        <w:t xml:space="preserve">. The </w:t>
      </w:r>
      <w:r w:rsidRPr="004811C9">
        <w:rPr>
          <w:rFonts w:cs="Times New Roman"/>
          <w:i/>
          <w:iCs/>
        </w:rPr>
        <w:t>cVT</w:t>
      </w:r>
      <w:r w:rsidR="004C2DD7" w:rsidRPr="004811C9">
        <w:rPr>
          <w:rFonts w:cs="Times New Roman"/>
          <w:i/>
          <w:iCs/>
        </w:rPr>
        <w:t>T</w:t>
      </w:r>
      <w:r w:rsidRPr="004811C9">
        <w:rPr>
          <w:rFonts w:cs="Times New Roman"/>
          <w:i/>
          <w:iCs/>
        </w:rPr>
        <w:t>S</w:t>
      </w:r>
      <w:r w:rsidRPr="004811C9">
        <w:rPr>
          <w:rFonts w:cs="Times New Roman"/>
        </w:rPr>
        <w:t xml:space="preserve">, however, follows a slightly different pattern. For maintenance and leisure trips, the </w:t>
      </w:r>
      <w:r w:rsidR="00F4773F" w:rsidRPr="004811C9">
        <w:rPr>
          <w:rFonts w:cs="Times New Roman"/>
          <w:i/>
        </w:rPr>
        <w:t>cVTTS</w:t>
      </w:r>
      <w:r w:rsidRPr="004811C9">
        <w:rPr>
          <w:rFonts w:cs="Times New Roman"/>
        </w:rPr>
        <w:t xml:space="preserve"> is higher for non-car modes (</w:t>
      </w:r>
      <w:r w:rsidR="00353BF8" w:rsidRPr="004811C9">
        <w:rPr>
          <w:rFonts w:cs="Times New Roman"/>
        </w:rPr>
        <w:t xml:space="preserve">relative to </w:t>
      </w:r>
      <w:r w:rsidRPr="004811C9">
        <w:rPr>
          <w:rFonts w:cs="Times New Roman"/>
        </w:rPr>
        <w:t xml:space="preserve">car users) and </w:t>
      </w:r>
      <w:r w:rsidR="00353BF8" w:rsidRPr="004811C9">
        <w:rPr>
          <w:rFonts w:cs="Times New Roman"/>
        </w:rPr>
        <w:t xml:space="preserve">is </w:t>
      </w:r>
      <w:r w:rsidRPr="004811C9">
        <w:rPr>
          <w:rFonts w:cs="Times New Roman"/>
        </w:rPr>
        <w:t xml:space="preserve">relatively stable across the day. In contrast, </w:t>
      </w:r>
      <w:r w:rsidR="00273229" w:rsidRPr="004811C9">
        <w:rPr>
          <w:rFonts w:cs="Times New Roman"/>
        </w:rPr>
        <w:t>travel time savings</w:t>
      </w:r>
      <w:r w:rsidRPr="004811C9">
        <w:rPr>
          <w:rFonts w:cs="Times New Roman"/>
        </w:rPr>
        <w:t xml:space="preserve"> for work and education trips are valued more among those using cars, and particularly so for those using cars and traveling before 9:30 am, mirroring the results from the willingness to pay. The higher </w:t>
      </w:r>
      <w:r w:rsidR="00F4773F" w:rsidRPr="004811C9">
        <w:rPr>
          <w:rFonts w:cs="Times New Roman"/>
          <w:i/>
        </w:rPr>
        <w:t>cVTTS</w:t>
      </w:r>
      <w:r w:rsidRPr="004811C9">
        <w:rPr>
          <w:rFonts w:cs="Times New Roman"/>
        </w:rPr>
        <w:t xml:space="preserve"> among car users relative to non-car users for work and education trips may be reflecting the inability to use travel time productively, given car users have to drive the vehicle </w:t>
      </w:r>
      <w:r w:rsidRPr="004811C9">
        <w:rPr>
          <w:rFonts w:cs="Times New Roman"/>
        </w:rPr>
        <w:fldChar w:fldCharType="begin"/>
      </w:r>
      <w:r w:rsidR="008345D7">
        <w:rPr>
          <w:rFonts w:cs="Times New Roman"/>
        </w:rPr>
        <w:instrText xml:space="preserve"> ADDIN ZOTERO_ITEM CSL_CITATION {"citationID":"nhKaDYfn","properties":{"formattedCitation":"(Steck et al., 2018; Varghese and Jana, 2018)","plainCitation":"(Steck et al., 2018; Varghese and Jana, 2018)","noteIndex":0},"citationItems":[{"id":4768,"uris":["http://zotero.org/users/12832277/items/CN3EFFZK"],"itemData":{"id":4768,"type":"article-journal","abstract":"Autonomous driving is being discussed as a promising solution for transportation-related issues and might bring some improvement for users of the system. For instance, especially high mileage commuters might compensate for some of their time spent traveling as they will be able to undertake other activities while going to work. At the same time, there are still many uncertainties and little empirical data on the impact of autonomous driving on mode choices. This study addresses the impact of autonomous driving on value of travel time savings (VTTS) and mode choices for commuting trips using stated-choice experiments. Two use cases were addressed – a privately owned, and a shared autonomous vehicle – compared with other modes of transportation. The collected data were analyzed by performing a mixed logit model. The results show that mode-related factors such as time elements, especially in-vehicle time and cost, play a crucial role for mode choices that include autonomous vehicles. The study provides empirical evidence that autonomous driving may lead to a reduction in VTTS for commuting trips. It was found that driving autonomously in a privately owned vehicle might reduce the VTTS by 31% compared with driving manually, and is perceived similarly to in-vehicle time in public transportation. Furthermore, riding in a shared autonomous vehicle is perceived 10% less negatively than driving manually. The study provides important insights into VTTS by autonomous driving for commuting trips and could be a base for future research to build upon.","container-title":"Transportation Research Record","DOI":"10.1177/0361198118757980","ISSN":"0361-1981","issue":"46","language":"EN","page":"11-20","publisher":"SAGE Publications Inc","source":"SAGE Journals","title":"How Autonomous Driving May Affect the Value of Travel Time Savings for Commuting","volume":"2672","author":[{"family":"Steck","given":"Felix"},{"family":"Kolarova","given":"Viktoriya"},{"family":"Bahamonde-Birke","given":"Francisco"},{"family":"Trommer","given":"Stefan"},{"family":"Lenz","given":"Barbara"}],"issued":{"date-parts":[["2018",12,1]]}}},{"id":4828,"uris":["http://zotero.org/users/12832277/items/AJ7J53KT"],"itemData":{"id":4828,"type":"article-journal","abstract":"This study looks into the multitasking patterns for the developing world, while providing empirical evidences of the effect of multitasking on the value of travel time savings (VTTS). The multitasking behaviour during travel was studied, ascertaining the effect of various socio-economic variables, access to information and communication technologies (ICT), and travel related factors. Travel diary data was collected across the city of Mumbai, India for 1123 individuals capturing their revealed preferences on travel and multitasking during travel. It was observed that having a smartphone with an internet usage of more than one GB data had positive significant impacts on ICT dependent multitasking activities. In addition, the proportion of no-activity also significantly reduced with higher access to ICT. It was observed that the VTTS reduced by 26% for individuals who performed multitasking. Furthermore, for reading on a mobile device, usage of social media, messaging or talking to someone on phone, and for gaming, the VTTS reduced by 25%, 37%, and 16% respectively. Findings were used to make cross country comparisons and discuss policy implications.","container-title":"Travel Behaviour and Society","DOI":"10.1016/j.tbs.2018.03.003","ISSN":"2214-367X","page":"11-22","source":"ScienceDirect","title":"Impact of ICT on Multitasking During Travel and the Value of Travel Time Savings: Empirical Evidences from Mumbai, India","volume":"12","author":[{"family":"Varghese","given":"Varun"},{"family":"Jana","given":"Arnab"}],"issued":{"date-parts":[["2018",7,1]]}}}],"schema":"https://github.com/citation-style-language/schema/raw/master/csl-citation.json"} </w:instrText>
      </w:r>
      <w:r w:rsidRPr="004811C9">
        <w:rPr>
          <w:rFonts w:cs="Times New Roman"/>
        </w:rPr>
        <w:fldChar w:fldCharType="separate"/>
      </w:r>
      <w:r w:rsidRPr="004811C9">
        <w:rPr>
          <w:rFonts w:cs="Times New Roman"/>
        </w:rPr>
        <w:t>(Steck et al., 2018; Varghese and Jana, 2018)</w:t>
      </w:r>
      <w:r w:rsidRPr="004811C9">
        <w:rPr>
          <w:rFonts w:cs="Times New Roman"/>
        </w:rPr>
        <w:fldChar w:fldCharType="end"/>
      </w:r>
      <w:r w:rsidRPr="004811C9">
        <w:rPr>
          <w:rFonts w:cs="Times New Roman"/>
        </w:rPr>
        <w:t xml:space="preserve">. </w:t>
      </w:r>
    </w:p>
    <w:p w14:paraId="1C41C2BC" w14:textId="1D86B94A" w:rsidR="0092171A" w:rsidRPr="004811C9" w:rsidRDefault="0092171A" w:rsidP="0092171A">
      <w:pPr>
        <w:spacing w:after="0" w:line="240" w:lineRule="auto"/>
        <w:ind w:firstLine="360"/>
        <w:jc w:val="both"/>
        <w:rPr>
          <w:rFonts w:cs="Times New Roman"/>
        </w:rPr>
      </w:pPr>
      <w:r w:rsidRPr="004811C9">
        <w:rPr>
          <w:rFonts w:cs="Times New Roman"/>
        </w:rPr>
        <w:tab/>
        <w:t xml:space="preserve">Those taking shared trips are more likely than those taking solo trips to be willing to pay some positive amount to reduce travel time, though also less willing to </w:t>
      </w:r>
      <w:r w:rsidR="00273229" w:rsidRPr="004811C9">
        <w:rPr>
          <w:rFonts w:cs="Times New Roman"/>
        </w:rPr>
        <w:t>pay</w:t>
      </w:r>
      <w:r w:rsidRPr="004811C9">
        <w:rPr>
          <w:rFonts w:cs="Times New Roman"/>
        </w:rPr>
        <w:t xml:space="preserve"> high costs to save time. These differential results </w:t>
      </w:r>
      <w:r w:rsidR="00273229" w:rsidRPr="004811C9">
        <w:rPr>
          <w:rFonts w:cs="Times New Roman"/>
        </w:rPr>
        <w:t>for</w:t>
      </w:r>
      <w:r w:rsidRPr="004811C9">
        <w:rPr>
          <w:rFonts w:cs="Times New Roman"/>
        </w:rPr>
        <w:t xml:space="preserve"> WTP and </w:t>
      </w:r>
      <w:r w:rsidR="00F4773F" w:rsidRPr="004811C9">
        <w:rPr>
          <w:rFonts w:cs="Times New Roman"/>
          <w:i/>
        </w:rPr>
        <w:t>cVTTS</w:t>
      </w:r>
      <w:r w:rsidRPr="004811C9">
        <w:rPr>
          <w:rFonts w:cs="Times New Roman"/>
        </w:rPr>
        <w:t xml:space="preserve"> may be a combination of users experiencing </w:t>
      </w:r>
      <w:r w:rsidRPr="004811C9">
        <w:rPr>
          <w:rFonts w:cs="Times New Roman"/>
        </w:rPr>
        <w:lastRenderedPageBreak/>
        <w:t xml:space="preserve">discomfort when sharing trips with strangers because of which they are willing to pay some positive amount to reduce time </w:t>
      </w:r>
      <w:r w:rsidRPr="004811C9">
        <w:rPr>
          <w:rFonts w:cs="Times New Roman"/>
        </w:rPr>
        <w:fldChar w:fldCharType="begin"/>
      </w:r>
      <w:r w:rsidRPr="004811C9">
        <w:rPr>
          <w:rFonts w:cs="Times New Roman"/>
        </w:rPr>
        <w:instrText xml:space="preserve"> ADDIN ZOTERO_ITEM CSL_CITATION {"citationID":"ek7Pljy1","properties":{"formattedCitation":"(Meshram et al., 2020; Shah et al., 2020)","plainCitation":"(Meshram et al., 2020; Shah et al., 2020)","dontUpdate":true,"noteIndex":0},"citationItems":[{"id":5044,"uris":["http://zotero.org/users/12832277/items/TQZRFZ3T"],"itemData":{"id":5044,"type":"article-journal","abstract":"Ridesharing is one of the effective tools to solve some of the environmental and congestion problems; however, it is not very well used by women in developing countries due to safety and comfort issues. Lack of prior planning of addressing the issues which influence the ridesharing choices of women is one of the main hurdles to the growth of ridesharing practices in developing countries like India. This study is designed to examine the safety and comfort perceptions during ridesharing among women residing in India. A comprehensive questionnaire with six different thematic sections (such as demographic attributes, safety perceptions with different co-riders, the importance given to cost, privacy, etc. and various other situational factors concerning ridesharing for women) is prepared. The data from 293 female respondents are collected through a survey. Factor analysis is performed on the perception variables to find out any underlying correlation; and the results showed a four-factor solution. The factors accounting for safety and comfort perceptions during ridesharing are modelled with an ordered logistic regression approach. The model results suggest that young women due to fear of being victimized and unemployed women due to their less exposure to ridesharing have lesser trust in such facilities. Women feel less safe and comfortable when sharing a ride with unknown males or during night. A focus group discussion is also conducted to validate the results and to obtain in-depth knowledge of safety and comfort issues during ridesharing.","collection-title":"Recent Advances and Emerging Issues in Transport Research – An Editorial Note for the Selected Proceedings of WCTR 2019 Mumbai","container-title":"Transportation Research Procedia","DOI":"10.1016/j.trpro.2020.08.233","ISSN":"2352-1465","page":"2852-2869","source":"ScienceDirect","title":"Assessing and Modelling Perceived Safety and Comfort of Women during Ridesharing","volume":"48","author":[{"family":"Meshram","given":"Aditi"},{"family":"Choudhary","given":"Pushpa"},{"family":"Velaga","given":"Nagendra R"}],"issued":{"date-parts":[["2020",1,1]]}}},{"id":5047,"uris":["http://zotero.org/users/12832277/items/4ZLRPZ9V"],"itemData":{"id":5047,"type":"article-journal","abstract":"The land passenger transport sector lies on the cusp of a major transformation, guided by last mile connectivity, digital technology, and collaborative consumption. The recent emergence of transportation network companies, in tier-I cities of developing countries, which provide economically and environmentally convenient sharing services over the last decade motivates this research. The objective of this research is to find the extent to which different considerations persuade people to choose non-sharing rides over sharing rides so that policy recommendations for a modal shift from a non-sharing service to a sharing service can be suggested. A revealed preference survey was conducted in the city of Mumbai capturing information on an individual’s travel patterns, socio-economic characteristics, and attitudes. A novel methodological framework was conceptualized to test the impact of these socio-economic, attitudinal, and other underlying factors on sharing of cab rides. The framework was then tested using structural equation modelling (SEM). The results showcased that latent variables for ‘socio-economic status’ and ‘spending propensity’ negatively impacted sharing. Meanwhile, travel characteristics such as the number of companions and how they value comfort in a ride also had significant negative impacts on sharing choice. The findings of the study were then used to discuss policy recommendations for the modal shift from non-sharing to sharing services.","collection-title":"Recent Advances and Emerging Issues in Transport Research – An Editorial Note for the Selected Proceedings of WCTR 2019 Mumbai","container-title":"Transportation Research Procedia","DOI":"10.1016/j.trpro.2020.08.018","ISSN":"2352-1465","page":"233-246","source":"ScienceDirect","title":"Analysing the Ride Sharing Behaviour in ICT Based Cab Services: A Case of Mumbai, India","volume":"48","author":[{"family":"Shah","given":"Pranav"},{"family":"Varghese","given":"Varun"},{"family":"Jana","given":"Arnab"},{"family":"Mathew","given":"Tom"}],"issued":{"date-parts":[["2020",1,1]]}}}],"schema":"https://github.com/citation-style-language/schema/raw/master/csl-citation.json"} </w:instrText>
      </w:r>
      <w:r w:rsidRPr="004811C9">
        <w:rPr>
          <w:rFonts w:cs="Times New Roman"/>
        </w:rPr>
        <w:fldChar w:fldCharType="separate"/>
      </w:r>
      <w:r w:rsidRPr="004811C9">
        <w:rPr>
          <w:rFonts w:cs="Times New Roman"/>
        </w:rPr>
        <w:t>(see Meshram et al., 2020; Shah et al., 2020)</w:t>
      </w:r>
      <w:r w:rsidRPr="004811C9">
        <w:rPr>
          <w:rFonts w:cs="Times New Roman"/>
        </w:rPr>
        <w:fldChar w:fldCharType="end"/>
      </w:r>
      <w:r w:rsidRPr="004811C9">
        <w:rPr>
          <w:rFonts w:cs="Times New Roman"/>
        </w:rPr>
        <w:t xml:space="preserve">, but also </w:t>
      </w:r>
      <w:r w:rsidR="00273229" w:rsidRPr="004811C9">
        <w:rPr>
          <w:rFonts w:cs="Times New Roman"/>
        </w:rPr>
        <w:t xml:space="preserve">greater </w:t>
      </w:r>
      <w:r w:rsidRPr="004811C9">
        <w:rPr>
          <w:rFonts w:cs="Times New Roman"/>
        </w:rPr>
        <w:t>willing</w:t>
      </w:r>
      <w:r w:rsidR="00273229" w:rsidRPr="004811C9">
        <w:rPr>
          <w:rFonts w:cs="Times New Roman"/>
        </w:rPr>
        <w:t>ness</w:t>
      </w:r>
      <w:r w:rsidRPr="004811C9">
        <w:rPr>
          <w:rFonts w:cs="Times New Roman"/>
        </w:rPr>
        <w:t xml:space="preserve"> to accept travel delays given they have chosen to share a ride in the first place. Regarding trip frequency effects, individuals have both a lower WTP and lower </w:t>
      </w:r>
      <w:r w:rsidR="00F4773F" w:rsidRPr="004811C9">
        <w:rPr>
          <w:rFonts w:cs="Times New Roman"/>
          <w:i/>
        </w:rPr>
        <w:t>cVTTS</w:t>
      </w:r>
      <w:r w:rsidRPr="004811C9">
        <w:rPr>
          <w:rFonts w:cs="Times New Roman"/>
        </w:rPr>
        <w:t xml:space="preserve"> for trips made frequently (2 or more days per week rather than once a week), likely a normalization effect that makes individuals who experience routine delays less sensitive to such delays than those who experience delays less frequently </w:t>
      </w:r>
      <w:r w:rsidRPr="004811C9">
        <w:rPr>
          <w:rFonts w:cs="Times New Roman"/>
        </w:rPr>
        <w:fldChar w:fldCharType="begin"/>
      </w:r>
      <w:r w:rsidRPr="004811C9">
        <w:rPr>
          <w:rFonts w:cs="Times New Roman"/>
        </w:rPr>
        <w:instrText xml:space="preserve"> ADDIN ZOTERO_ITEM CSL_CITATION {"citationID":"pea63WAM","properties":{"formattedCitation":"(Karmarkar et al., 2023)","plainCitation":"(Karmarkar et al., 2023)","noteIndex":0},"citationItems":[{"id":4797,"uris":["http://zotero.org/users/12832277/items/CINQA7QV"],"itemData":{"id":4797,"type":"article-journal","abstract":"India is constructing its first High Speed Railway (HSR) corridor between Mumbai and Ahmedabad, which is expected to reduce inter-city travel times significantly. However, the affordability of these reductions in travel time is still questionable for a developing country like India. This study analyses the existing conventional train travellers’ Willingness to Pay (WTP) for reduced travel time due to HSR. A questionnaire-based combined RP-SP survey was conducted in Mumbai to capture respondents’ travel details, socioeconomic status and Stated Preference choices. The modified open-ended contingent valuation method and binary logistic regression modelling methods were used for data collection and modelling, respectively. Differential Utility Weighted Mean WTP was calculated for multiple socioeconomic cohorts. It was found that travellers are willing to pay an average INR 300 (as on March 2020) over and above their current travel cost for every hour of travel time saving. The ideal fare range that travellers are willing to pay is between INR 3.25/km to INR 5.25/km. Low-income travellers, occasional travellers, those travelling in a group, and those on social trips had the lowest WTP values in their cohorts. On the contrary, regular business travellers with high incomes had the highest WTP. Analysis showed that the WTP of individuals decreases with the increasing no. of co-passengers and with the increasing comfort of competing modes. The future HSR in India needs a group ticket discount of 10% and an average 25% subsidy on monthly passes to make HSR more attractive for commuters and those travelling with families. This research would help draft the HSR operational policies for subsidies, stronger inter-modal competition, loss minimisation for conventional trains and ridership forecasts.","container-title":"Case Studies on Transport Policy","DOI":"10.1016/j.cstp.2023.100974","ISSN":"2213-624X","page":"100974","source":"ScienceDirect","title":"Willingness to Pay for Reduced Travel Time: Case Study of Mumbai - Ahmedabad High Speed Railway","volume":"12","author":[{"family":"Karmarkar","given":"Omkar Deepak"},{"family":"Jana","given":"Arnab"},{"family":"Velaga","given":"Nagendra R."}],"issued":{"date-parts":[["2023",6,1]]}}}],"schema":"https://github.com/citation-style-language/schema/raw/master/csl-citation.json"} </w:instrText>
      </w:r>
      <w:r w:rsidRPr="004811C9">
        <w:rPr>
          <w:rFonts w:cs="Times New Roman"/>
        </w:rPr>
        <w:fldChar w:fldCharType="separate"/>
      </w:r>
      <w:r w:rsidRPr="004811C9">
        <w:rPr>
          <w:rFonts w:cs="Times New Roman"/>
        </w:rPr>
        <w:t>(Karmarkar et al., 2023)</w:t>
      </w:r>
      <w:r w:rsidRPr="004811C9">
        <w:rPr>
          <w:rFonts w:cs="Times New Roman"/>
        </w:rPr>
        <w:fldChar w:fldCharType="end"/>
      </w:r>
      <w:r w:rsidRPr="004811C9">
        <w:rPr>
          <w:rFonts w:cs="Times New Roman"/>
        </w:rPr>
        <w:t xml:space="preserve">. </w:t>
      </w:r>
    </w:p>
    <w:p w14:paraId="21D858F3" w14:textId="6F39A47C" w:rsidR="0092171A" w:rsidRPr="004811C9" w:rsidRDefault="0092171A" w:rsidP="0092171A">
      <w:pPr>
        <w:spacing w:after="0" w:line="240" w:lineRule="auto"/>
        <w:ind w:firstLine="720"/>
        <w:jc w:val="both"/>
        <w:rPr>
          <w:rFonts w:cs="Times New Roman"/>
          <w:b/>
          <w:bCs/>
        </w:rPr>
      </w:pPr>
      <w:r w:rsidRPr="004811C9">
        <w:rPr>
          <w:rFonts w:cs="Times New Roman"/>
        </w:rPr>
        <w:t xml:space="preserve">Those who already experience a monetary cost for a trip (taxi, ridehailing, and autorickshaw users encounter such costs) are less willing to pay for travel time savings and have a lower </w:t>
      </w:r>
      <w:r w:rsidR="00F4773F" w:rsidRPr="004811C9">
        <w:rPr>
          <w:rFonts w:cs="Times New Roman"/>
          <w:i/>
        </w:rPr>
        <w:t>cVTTS</w:t>
      </w:r>
      <w:r w:rsidRPr="004811C9">
        <w:rPr>
          <w:rFonts w:cs="Times New Roman"/>
        </w:rPr>
        <w:t xml:space="preserve">, reflecting a preference to avoid additional expenses once a cost investment has already been made. The results also show that those with longer expected travel times and higher proportions of travel time saved, in general, are more willing to pay for travel time savings, but also have a lower </w:t>
      </w:r>
      <w:r w:rsidR="00F4773F" w:rsidRPr="004811C9">
        <w:rPr>
          <w:rFonts w:cs="Times New Roman"/>
          <w:i/>
        </w:rPr>
        <w:t>cVTTS</w:t>
      </w:r>
      <w:r w:rsidRPr="004811C9">
        <w:rPr>
          <w:rFonts w:cs="Times New Roman"/>
        </w:rPr>
        <w:t xml:space="preserve"> should they actually pay for travel time reduction.</w:t>
      </w:r>
      <w:r w:rsidR="001D44C1" w:rsidRPr="003613DA">
        <w:rPr>
          <w:rStyle w:val="FootnoteReference"/>
        </w:rPr>
        <w:footnoteReference w:id="6"/>
      </w:r>
      <w:r w:rsidRPr="004811C9">
        <w:rPr>
          <w:rFonts w:cs="Times New Roman"/>
        </w:rPr>
        <w:t xml:space="preserve"> The latter result is consistent with the notion that the marginal value of travel time savings decreases with distance </w:t>
      </w:r>
      <w:r w:rsidRPr="004811C9">
        <w:rPr>
          <w:rFonts w:cs="Times New Roman"/>
        </w:rPr>
        <w:fldChar w:fldCharType="begin"/>
      </w:r>
      <w:r w:rsidR="008345D7">
        <w:rPr>
          <w:rFonts w:cs="Times New Roman"/>
        </w:rPr>
        <w:instrText xml:space="preserve"> ADDIN ZOTERO_ITEM CSL_CITATION {"citationID":"Po0tyUDH","properties":{"unsorted":true,"formattedCitation":"(Hensher, 1997; Festjens and Janiszewski, 2015; Wardman et al., 2016)","plainCitation":"(Hensher, 1997; Festjens and Janiszewski, 2015; Wardman et al., 2016)","dontUpdate":true,"noteIndex":0},"citationItems":[{"id":4780,"uris":["http://zotero.org/users/12832277/items/8EVDMAUU"],"itemData":{"id":4780,"type":"paper-conference","abstract":"This paper reviews the broad literature on the behavioral value of travel time savings. Specific consideration is given to the economic theoretic foundations and their translation into suitable empirical models; and the sources of variability in empirical values. We detail the merits of the stated preference approach when the interest is on the empirical specification of a valuation function in contrast to a single mean estimate of the value of travel time savings. A case study related to the choice between a tolled and a free urban route is presented as a framework within which to illustrate how economic theory and experimental design can be combined to improve the evidence on behavioral values of travel time savings in a number of travel market segments.","container-title":"The Full Costs and Benefits of Transportation","DOI":"10.1007/978-3-642-59064-1_9","ISBN":"978-3-642-59064-1","language":"en","page":"245-278","publisher":"Springer","publisher-place":"Berlin, Heidelberg","source":"Springer Link","title":"Behavioral Value of Travel Time Savings in Personal and Commercial Automobile Travel","author":[{"family":"Hensher","given":"David A."}],"editor":[{"family":"Greene","given":"David L."},{"family":"Jones","given":"Donald W."},{"family":"Delucchi","given":"Mark A."}],"issued":{"date-parts":[["1997"]]}}},{"id":5050,"uris":["http://zotero.org/users/12832277/items/APN2IC5I"],"itemData":{"id":5050,"type":"article-journal","abstract":"Ten studies are used to document that time is valued in accordance with a double-kinked value function. There is a zone of indifference for small time gains (losses), increasing marginal utility (disutility) for moderate time gains (losses), and diminishing marginal utility (disutility) for large time gains (losses). Moderate amounts of time exhibit increasing marginal utility (disutility) because larger blocks of time provide a more diverse set of usage opportunities. It is only when it is difficult to imagine how more (less) time would be beneficial (detrimental) that there is diminishing marginal utility (disutility) for time. Thus time valuation shows increasing marginal utility when there is a time deficit, but diminishing marginal utility when there is a time surplus. These findings have implications for how other resources might be valued.","container-title":"Journal of Consumer Research","DOI":"10.1093/jcr/ucv021","ISSN":"0093-5301","issue":"2","page":"178-195","source":"Silverchair","title":"The Value of Time","volume":"42","author":[{"family":"Festjens","given":"Anouk"},{"family":"Janiszewski","given":"Chris"}],"issued":{"date-parts":[["2015",8,1]]}}},{"id":4777,"uris":["http://zotero.org/users/12832277/items/4R3G8MXE"],"itemData":{"id":4777,"type":"article-journal","abstract":"This paper reports the most extensive meta-analysis of values of time yet conducted, covering 3109 monetary valuations assembled from 389 European studies conducted between 1963 and 2011. It aims to explain how valuations vary across studies, including over time and between countries. In addition to the customary coverage of in-vehicle time in review studies, this paper covers valuations of walk time, wait time, service headway, parking space search time, departure time switching, time in congested traffic, schedule delay early and late, mean lateness and the standard deviation of travel time. Valuations are found to vary with type of time, GDP, distance, journey purpose, mode, the monetary numeraire and a number of factors related to estimation. Model output values of time compare favourably with earnings data, replicate well official recommended values obtained from major national studies, and are transferable across countries. These implied monetary values serve as very useful benchmarks against which new evidence can be assessed and the meta-model provides parameters and values for countries and contexts where there is no other such evidence.","container-title":"Transportation Research Part A: Policy and Practice","DOI":"10.1016/j.tra.2016.08.019","ISSN":"0965-8564","page":"93-111","source":"ScienceDirect","title":"Values of Travel Time in Europe: Review and Meta-Analysis","volume":"94","author":[{"family":"Wardman","given":"Mark"},{"family":"Chintakayala","given":"V. Phani K."},{"family":"Jong","given":"Gerard","non-dropping-particle":"de"}],"issued":{"date-parts":[["2016",12,1]]}}}],"schema":"https://github.com/citation-style-language/schema/raw/master/csl-citation.json"} </w:instrText>
      </w:r>
      <w:r w:rsidRPr="004811C9">
        <w:rPr>
          <w:rFonts w:cs="Times New Roman"/>
        </w:rPr>
        <w:fldChar w:fldCharType="separate"/>
      </w:r>
      <w:r w:rsidR="00CC012B" w:rsidRPr="00CC012B">
        <w:rPr>
          <w:rFonts w:cs="Times New Roman"/>
        </w:rPr>
        <w:t>(</w:t>
      </w:r>
      <w:r w:rsidR="00CC012B">
        <w:rPr>
          <w:rFonts w:cs="Times New Roman"/>
        </w:rPr>
        <w:t xml:space="preserve">see </w:t>
      </w:r>
      <w:r w:rsidR="00CC012B" w:rsidRPr="00CC012B">
        <w:rPr>
          <w:rFonts w:cs="Times New Roman"/>
        </w:rPr>
        <w:t>Hensher, 1997; Festjens and Janiszewski, 2015; Wardman et al., 2016)</w:t>
      </w:r>
      <w:r w:rsidRPr="004811C9">
        <w:rPr>
          <w:rFonts w:cs="Times New Roman"/>
        </w:rPr>
        <w:fldChar w:fldCharType="end"/>
      </w:r>
      <w:r w:rsidRPr="004811C9">
        <w:rPr>
          <w:rFonts w:cs="Times New Roman"/>
        </w:rPr>
        <w:t xml:space="preserve">. Finally, in the group of trip characteristics, those whose delay savings are a larger portion of the maximum delay they ever experience (that is, those who have more travel reliability) are generally less likely to be willing to pay for travel time savings and have a lower value of travel time savings (compared with those whose travel time is less reliable). This result is intuitive, suggesting that travel time savings are most desired among those with high unreliability in travel time, rather than just among those who face significant delays </w:t>
      </w:r>
      <w:r w:rsidRPr="004811C9">
        <w:rPr>
          <w:rFonts w:cs="Times New Roman"/>
        </w:rPr>
        <w:fldChar w:fldCharType="begin"/>
      </w:r>
      <w:r w:rsidRPr="004811C9">
        <w:rPr>
          <w:rFonts w:cs="Times New Roman"/>
        </w:rPr>
        <w:instrText xml:space="preserve"> ADDIN ZOTERO_ITEM CSL_CITATION {"citationID":"MJj8HyAi","properties":{"formattedCitation":"(Carrion and Levinson, 2012; Fayyaz et al., 2021)","plainCitation":"(Carrion and Levinson, 2012; Fayyaz et al., 2021)","dontUpdate":true,"noteIndex":0},"citationItems":[{"id":2199,"uris":["http://zotero.org/users/12832277/items/BJMG7FF2"],"itemData":{"id":2199,"type":"article-journal","abstract":"Travel time reliability is a fundamental factor in travel behavior. It represents the temporal uncertainty experienced by travelers in their movement between any two nodes in a network. The importance of the time reliability depends on the penalties incurred by the travelers. In road networks, travelers consider the existence of a trip travel time uncertainty in different choice situations (departure time, route, mode, and others). In this paper, a systematic review of the current state of research in travel time reliability, and more explicitly in the value of travel time reliability is presented. Moreover, a meta-analysis is performed in order to determine the reasons behind the discrepancy among the reliability estimates.","container-title":"Transportation Research Part A: Policy and Practice","DOI":"10.1016/j.tra.2012.01.003","ISSN":"0965-8564","issue":"4","page":"720-741","source":"ScienceDirect","title":"Value of Travel Time Reliability: A Review of Current Evidence","volume":"46","author":[{"family":"Carrion","given":"Carlos"},{"family":"Levinson","given":"David"}],"issued":{"date-parts":[["2012",5,1]]}}},{"id":4834,"uris":["http://zotero.org/users/12832277/items/P32C8C8J"],"itemData":{"id":4834,"type":"article-journal","abstract":"Surveys with stated choice experiments (SCE) are widely used to derive values of time and reliability for transport project appraisal purposes. However, such methods ask respondents to make hypothetical choices, which in turn could create a bias between choices made in the experiment compared to those in an environment where the choices have consequence. In this paper, borrowing principles of experimental economics, we introduce an incentive compatible driving simulator experiment, where participants are required to experience the travel time of their chosen route and actually pay any toll costs associated with the choice of a tolled road. In a first for the literature, we use a within respondent design to compare both the value of travel time savings (VTT) and value of travel time reliability (VOR) across a typical SCE and an environment with simulated consequence. Given the importance of VTT and VOR to transport decision making and the difficulty in estimating VOR using revealed preference data, our results are noteworthy and emphasise that more research on this topic is imperative. We provide suggestions on how the results herein may be used in future studies, to potentially reduce hypothetical bias that may be exhibited in SCE.","container-title":"Transportation Research Part C: Emerging Technologies","DOI":"10.1016/j.trc.2021.103145","ISSN":"0968-090X","page":"103145","source":"ScienceDirect","title":"Stated Choices and Simulated Experiences: Differences in the Value of Travel Time and Reliability","volume":"128","author":[{"family":"Fayyaz","given":"Muhammad"},{"family":"Bliemer","given":"Michiel C. J."},{"family":"Beck","given":"Matthew J."},{"family":"Hess","given":"Stephane"},{"family":"Lint","given":"J. W. C.","non-dropping-particle":"van"}],"issued":{"date-parts":[["2021",7,1]]}}}],"schema":"https://github.com/citation-style-language/schema/raw/master/csl-citation.json"} </w:instrText>
      </w:r>
      <w:r w:rsidRPr="004811C9">
        <w:rPr>
          <w:rFonts w:cs="Times New Roman"/>
        </w:rPr>
        <w:fldChar w:fldCharType="separate"/>
      </w:r>
      <w:r w:rsidRPr="004811C9">
        <w:rPr>
          <w:rFonts w:cs="Times New Roman"/>
        </w:rPr>
        <w:t>(see Carrion and Levinson, 2012; Fayyaz et al., 2021)</w:t>
      </w:r>
      <w:r w:rsidRPr="004811C9">
        <w:rPr>
          <w:rFonts w:cs="Times New Roman"/>
        </w:rPr>
        <w:fldChar w:fldCharType="end"/>
      </w:r>
      <w:r w:rsidRPr="004811C9">
        <w:rPr>
          <w:rFonts w:cs="Times New Roman"/>
        </w:rPr>
        <w:t xml:space="preserve">. </w:t>
      </w:r>
    </w:p>
    <w:p w14:paraId="12EB35F6" w14:textId="77777777" w:rsidR="0092171A" w:rsidRPr="004811C9" w:rsidRDefault="0092171A" w:rsidP="00027FE5">
      <w:pPr>
        <w:spacing w:after="0" w:line="240" w:lineRule="auto"/>
        <w:jc w:val="both"/>
        <w:rPr>
          <w:rFonts w:cs="Times New Roman"/>
          <w:b/>
          <w:bCs/>
        </w:rPr>
      </w:pPr>
    </w:p>
    <w:p w14:paraId="3372D865" w14:textId="22A88944" w:rsidR="00346F6B" w:rsidRPr="00F8453A" w:rsidRDefault="00534C84" w:rsidP="00027FE5">
      <w:pPr>
        <w:spacing w:after="0" w:line="240" w:lineRule="auto"/>
        <w:jc w:val="both"/>
        <w:rPr>
          <w:rFonts w:cs="Times New Roman"/>
          <w:i/>
          <w:iCs/>
        </w:rPr>
      </w:pPr>
      <w:r w:rsidRPr="00F8453A">
        <w:rPr>
          <w:rFonts w:cs="Times New Roman"/>
          <w:i/>
          <w:iCs/>
        </w:rPr>
        <w:t>4.1.3 Constants</w:t>
      </w:r>
      <w:r w:rsidR="005702FF" w:rsidRPr="00F8453A">
        <w:rPr>
          <w:rFonts w:cs="Times New Roman"/>
          <w:i/>
          <w:iCs/>
        </w:rPr>
        <w:t xml:space="preserve">, Scale, and </w:t>
      </w:r>
      <w:r w:rsidR="007A204A" w:rsidRPr="00F8453A">
        <w:rPr>
          <w:rFonts w:cs="Times New Roman"/>
          <w:i/>
          <w:iCs/>
        </w:rPr>
        <w:t>Correlation</w:t>
      </w:r>
      <w:r w:rsidRPr="00F8453A">
        <w:rPr>
          <w:rFonts w:cs="Times New Roman"/>
          <w:i/>
          <w:iCs/>
        </w:rPr>
        <w:t xml:space="preserve"> Terms</w:t>
      </w:r>
    </w:p>
    <w:p w14:paraId="620CB916" w14:textId="37A406E7" w:rsidR="00534C84" w:rsidRPr="004811C9" w:rsidRDefault="007E7B1E" w:rsidP="00027FE5">
      <w:pPr>
        <w:spacing w:after="0" w:line="240" w:lineRule="auto"/>
        <w:jc w:val="both"/>
        <w:rPr>
          <w:rFonts w:cs="Times New Roman"/>
        </w:rPr>
      </w:pPr>
      <w:r w:rsidRPr="004811C9">
        <w:rPr>
          <w:rFonts w:cs="Times New Roman"/>
        </w:rPr>
        <w:t xml:space="preserve">The constant terms shown in Table 2 do not have any substantive interpretations. They are estimated to provide the best fit to the share of individuals willing to pay for travel time savings and the average value of </w:t>
      </w:r>
      <w:r w:rsidR="000E6405" w:rsidRPr="004811C9">
        <w:rPr>
          <w:rFonts w:cs="Times New Roman"/>
        </w:rPr>
        <w:t xml:space="preserve">the logarithm of </w:t>
      </w:r>
      <w:r w:rsidR="00F4773F" w:rsidRPr="004811C9">
        <w:rPr>
          <w:rFonts w:cs="Times New Roman"/>
          <w:i/>
          <w:iCs/>
        </w:rPr>
        <w:t>cVTTS</w:t>
      </w:r>
      <w:r w:rsidRPr="004811C9">
        <w:rPr>
          <w:rFonts w:cs="Times New Roman"/>
        </w:rPr>
        <w:t xml:space="preserve"> in the sample. As discussed above, the </w:t>
      </w:r>
      <w:r w:rsidR="005702FF" w:rsidRPr="004811C9">
        <w:rPr>
          <w:rFonts w:cs="Times New Roman"/>
        </w:rPr>
        <w:t>scale</w:t>
      </w:r>
      <w:r w:rsidRPr="004811C9">
        <w:rPr>
          <w:rFonts w:cs="Times New Roman"/>
        </w:rPr>
        <w:t xml:space="preserve"> of the binary outcome is fixed to </w:t>
      </w:r>
      <w:r w:rsidR="00D40DEB" w:rsidRPr="004811C9">
        <w:rPr>
          <w:rFonts w:cs="Times New Roman"/>
        </w:rPr>
        <w:t>one</w:t>
      </w:r>
      <w:r w:rsidRPr="004811C9">
        <w:rPr>
          <w:rFonts w:cs="Times New Roman"/>
        </w:rPr>
        <w:t xml:space="preserve">, but the </w:t>
      </w:r>
      <w:r w:rsidR="005702FF" w:rsidRPr="004811C9">
        <w:rPr>
          <w:rFonts w:cs="Times New Roman"/>
        </w:rPr>
        <w:t xml:space="preserve">scale (standard deviation) </w:t>
      </w:r>
      <w:r w:rsidRPr="004811C9">
        <w:rPr>
          <w:rFonts w:cs="Times New Roman"/>
        </w:rPr>
        <w:t xml:space="preserve">of the continuous </w:t>
      </w:r>
      <w:r w:rsidR="000E6405" w:rsidRPr="004811C9">
        <w:rPr>
          <w:rFonts w:cs="Times New Roman"/>
        </w:rPr>
        <w:t xml:space="preserve">logarithm of the </w:t>
      </w:r>
      <w:r w:rsidR="00F4773F" w:rsidRPr="004811C9">
        <w:rPr>
          <w:rFonts w:cs="Times New Roman"/>
          <w:i/>
          <w:iCs/>
        </w:rPr>
        <w:t>cVTTS</w:t>
      </w:r>
      <w:r w:rsidRPr="004811C9">
        <w:rPr>
          <w:rFonts w:cs="Times New Roman"/>
        </w:rPr>
        <w:t xml:space="preserve"> and </w:t>
      </w:r>
      <w:r w:rsidR="005702FF" w:rsidRPr="004811C9">
        <w:rPr>
          <w:rFonts w:cs="Times New Roman"/>
        </w:rPr>
        <w:t xml:space="preserve">the </w:t>
      </w:r>
      <w:r w:rsidR="00D40DEB" w:rsidRPr="004811C9">
        <w:rPr>
          <w:rFonts w:cs="Times New Roman"/>
        </w:rPr>
        <w:t>correlation</w:t>
      </w:r>
      <w:r w:rsidRPr="004811C9">
        <w:rPr>
          <w:rFonts w:cs="Times New Roman"/>
        </w:rPr>
        <w:t xml:space="preserve"> between the two outcomes may be estimated. The significant positive </w:t>
      </w:r>
      <w:r w:rsidR="00D40DEB" w:rsidRPr="004811C9">
        <w:rPr>
          <w:rFonts w:cs="Times New Roman"/>
        </w:rPr>
        <w:t>correlation</w:t>
      </w:r>
      <w:r w:rsidRPr="004811C9">
        <w:rPr>
          <w:rFonts w:cs="Times New Roman"/>
        </w:rPr>
        <w:t xml:space="preserve"> between </w:t>
      </w:r>
      <w:r w:rsidR="000E6405" w:rsidRPr="004811C9">
        <w:rPr>
          <w:rFonts w:cs="Times New Roman"/>
        </w:rPr>
        <w:t>WTP</w:t>
      </w:r>
      <w:r w:rsidRPr="004811C9">
        <w:rPr>
          <w:rFonts w:cs="Times New Roman"/>
        </w:rPr>
        <w:t xml:space="preserve"> and </w:t>
      </w:r>
      <w:r w:rsidR="00F4773F" w:rsidRPr="004811C9">
        <w:rPr>
          <w:rFonts w:cs="Times New Roman"/>
          <w:i/>
        </w:rPr>
        <w:t>cVTTS</w:t>
      </w:r>
      <w:r w:rsidRPr="004811C9">
        <w:rPr>
          <w:rFonts w:cs="Times New Roman"/>
        </w:rPr>
        <w:t xml:space="preserve"> is intuitive and suggests that there are common unobserved variables that impact both outcomes. For instance, individuals with more rigid schedules or more time constraints may be more </w:t>
      </w:r>
      <w:r w:rsidR="000E6405" w:rsidRPr="004811C9">
        <w:rPr>
          <w:rFonts w:cs="Times New Roman"/>
        </w:rPr>
        <w:t>likely to be willing to pay</w:t>
      </w:r>
      <w:r w:rsidRPr="004811C9">
        <w:rPr>
          <w:rFonts w:cs="Times New Roman"/>
        </w:rPr>
        <w:t xml:space="preserve"> at all for travel time savings and place a higher value on any specific amount of </w:t>
      </w:r>
      <w:r w:rsidR="000E6405" w:rsidRPr="004811C9">
        <w:rPr>
          <w:rFonts w:cs="Times New Roman"/>
        </w:rPr>
        <w:t xml:space="preserve">travel </w:t>
      </w:r>
      <w:r w:rsidRPr="004811C9">
        <w:rPr>
          <w:rFonts w:cs="Times New Roman"/>
        </w:rPr>
        <w:t xml:space="preserve">time saved. </w:t>
      </w:r>
    </w:p>
    <w:p w14:paraId="41955B73" w14:textId="77777777" w:rsidR="00534C84" w:rsidRPr="004811C9" w:rsidRDefault="00534C84" w:rsidP="00027FE5">
      <w:pPr>
        <w:spacing w:after="0" w:line="240" w:lineRule="auto"/>
        <w:jc w:val="both"/>
        <w:rPr>
          <w:rFonts w:cs="Times New Roman"/>
          <w:b/>
          <w:bCs/>
        </w:rPr>
      </w:pPr>
    </w:p>
    <w:p w14:paraId="4FA5C9FD" w14:textId="41332484" w:rsidR="00014731" w:rsidRPr="004811C9" w:rsidRDefault="0095144A" w:rsidP="00027FE5">
      <w:pPr>
        <w:spacing w:after="0" w:line="240" w:lineRule="auto"/>
        <w:jc w:val="both"/>
        <w:rPr>
          <w:rFonts w:cs="Times New Roman"/>
          <w:b/>
          <w:bCs/>
        </w:rPr>
      </w:pPr>
      <w:r w:rsidRPr="004811C9">
        <w:rPr>
          <w:rFonts w:cs="Times New Roman"/>
          <w:b/>
          <w:bCs/>
        </w:rPr>
        <w:t>4.2 Model Fit</w:t>
      </w:r>
    </w:p>
    <w:p w14:paraId="6C80AF62" w14:textId="2A8FAA54" w:rsidR="00014731" w:rsidRPr="004811C9" w:rsidRDefault="007E7B1E" w:rsidP="00027FE5">
      <w:pPr>
        <w:spacing w:after="0" w:line="240" w:lineRule="auto"/>
        <w:jc w:val="both"/>
        <w:rPr>
          <w:rFonts w:cs="Times New Roman"/>
        </w:rPr>
      </w:pPr>
      <w:r w:rsidRPr="004811C9">
        <w:rPr>
          <w:rFonts w:cs="Times New Roman"/>
        </w:rPr>
        <w:t xml:space="preserve">Several goodness of fit metrics </w:t>
      </w:r>
      <w:proofErr w:type="gramStart"/>
      <w:r w:rsidRPr="004811C9">
        <w:rPr>
          <w:rFonts w:cs="Times New Roman"/>
        </w:rPr>
        <w:t>are</w:t>
      </w:r>
      <w:proofErr w:type="gramEnd"/>
      <w:r w:rsidRPr="004811C9">
        <w:rPr>
          <w:rFonts w:cs="Times New Roman"/>
        </w:rPr>
        <w:t xml:space="preserve"> shown at the bottom of Table 2, comparing the proposed joint model to an independent model that ignores the jointness between the outcomes (that is, the independent model assumes that the </w:t>
      </w:r>
      <w:r w:rsidR="00ED05B8" w:rsidRPr="004811C9">
        <w:rPr>
          <w:rFonts w:cs="Times New Roman"/>
        </w:rPr>
        <w:t>correlation</w:t>
      </w:r>
      <w:r w:rsidRPr="004811C9">
        <w:rPr>
          <w:rFonts w:cs="Times New Roman"/>
        </w:rPr>
        <w:t xml:space="preserve"> term is fixed to zero). </w:t>
      </w:r>
      <w:r w:rsidR="00127306" w:rsidRPr="004811C9">
        <w:rPr>
          <w:rFonts w:cs="Times New Roman"/>
        </w:rPr>
        <w:t xml:space="preserve">Although the significant correlation term discussed in the previous section already supports the importance of the joint modeling approach, the two models are compared with several additional disaggregate fit metrics. </w:t>
      </w:r>
      <w:r w:rsidR="00027FE5" w:rsidRPr="004811C9">
        <w:rPr>
          <w:rFonts w:cs="Times New Roman"/>
        </w:rPr>
        <w:t xml:space="preserve">The proposed model has a larger adjusted likelihood ratio index as well as a smaller value of the Bayesian information criterion, suggesting a better data fit compared to the independent model. Further, a likelihood ratio test between the two models yields a chi-square statistic of </w:t>
      </w:r>
      <w:r w:rsidR="00F56204" w:rsidRPr="004811C9">
        <w:rPr>
          <w:rFonts w:cs="Times New Roman"/>
        </w:rPr>
        <w:t>31.04</w:t>
      </w:r>
      <w:r w:rsidR="00027FE5" w:rsidRPr="004811C9">
        <w:rPr>
          <w:rFonts w:cs="Times New Roman"/>
        </w:rPr>
        <w:t xml:space="preserve">, which </w:t>
      </w:r>
      <w:r w:rsidR="00027FE5" w:rsidRPr="004811C9">
        <w:rPr>
          <w:rFonts w:cs="Times New Roman"/>
        </w:rPr>
        <w:lastRenderedPageBreak/>
        <w:t xml:space="preserve">is statistically significant for a single degree of freedom at any reasonable confidence level. Thus, the proposed model demonstrates a superior ability to predict the multiple outcomes compared to the independent model. </w:t>
      </w:r>
    </w:p>
    <w:p w14:paraId="4084796D" w14:textId="77777777" w:rsidR="0095144A" w:rsidRPr="004811C9" w:rsidRDefault="0095144A" w:rsidP="00027FE5">
      <w:pPr>
        <w:spacing w:after="0" w:line="240" w:lineRule="auto"/>
        <w:jc w:val="both"/>
        <w:rPr>
          <w:rFonts w:cs="Times New Roman"/>
          <w:b/>
          <w:bCs/>
        </w:rPr>
      </w:pPr>
    </w:p>
    <w:p w14:paraId="797C7C09" w14:textId="7BF8FB33" w:rsidR="005A012C" w:rsidRPr="004811C9" w:rsidRDefault="005A012C" w:rsidP="00027FE5">
      <w:pPr>
        <w:spacing w:after="0" w:line="240" w:lineRule="auto"/>
        <w:jc w:val="both"/>
        <w:rPr>
          <w:rFonts w:cs="Times New Roman"/>
          <w:b/>
          <w:bCs/>
        </w:rPr>
      </w:pPr>
      <w:r w:rsidRPr="004811C9">
        <w:rPr>
          <w:rFonts w:cs="Times New Roman"/>
          <w:b/>
          <w:bCs/>
        </w:rPr>
        <w:t xml:space="preserve">5. </w:t>
      </w:r>
      <w:r w:rsidR="0095144A" w:rsidRPr="004811C9">
        <w:rPr>
          <w:rFonts w:cs="Times New Roman"/>
          <w:b/>
          <w:bCs/>
        </w:rPr>
        <w:t>QUANTIFYING THE VALUE OF TRAVEL TIME</w:t>
      </w:r>
    </w:p>
    <w:p w14:paraId="13608CD5" w14:textId="6E4A08D7" w:rsidR="004319C5" w:rsidRPr="004811C9" w:rsidRDefault="00416C10" w:rsidP="00027FE5">
      <w:pPr>
        <w:spacing w:after="0" w:line="240" w:lineRule="auto"/>
        <w:jc w:val="both"/>
        <w:rPr>
          <w:rFonts w:cs="Times New Roman"/>
          <w:b/>
          <w:bCs/>
        </w:rPr>
      </w:pPr>
      <w:r w:rsidRPr="004811C9">
        <w:rPr>
          <w:rFonts w:cs="Times New Roman"/>
          <w:b/>
          <w:bCs/>
        </w:rPr>
        <w:t xml:space="preserve">5.1 </w:t>
      </w:r>
      <w:r w:rsidR="00B671BC" w:rsidRPr="004811C9">
        <w:rPr>
          <w:rFonts w:cs="Times New Roman"/>
          <w:b/>
          <w:bCs/>
        </w:rPr>
        <w:t>Calculating</w:t>
      </w:r>
      <w:r w:rsidRPr="004811C9">
        <w:rPr>
          <w:rFonts w:cs="Times New Roman"/>
          <w:b/>
          <w:bCs/>
        </w:rPr>
        <w:t xml:space="preserve"> the Value of </w:t>
      </w:r>
      <w:r w:rsidR="00045256" w:rsidRPr="004811C9">
        <w:rPr>
          <w:rFonts w:cs="Times New Roman"/>
          <w:b/>
          <w:bCs/>
        </w:rPr>
        <w:t xml:space="preserve">Travel </w:t>
      </w:r>
      <w:r w:rsidRPr="004811C9">
        <w:rPr>
          <w:rFonts w:cs="Times New Roman"/>
          <w:b/>
          <w:bCs/>
        </w:rPr>
        <w:t>Time</w:t>
      </w:r>
    </w:p>
    <w:p w14:paraId="1043E193" w14:textId="7DF68DE1" w:rsidR="005A012C" w:rsidRPr="004811C9" w:rsidRDefault="001562CC" w:rsidP="00027FE5">
      <w:pPr>
        <w:spacing w:after="0" w:line="240" w:lineRule="auto"/>
        <w:jc w:val="both"/>
        <w:rPr>
          <w:rFonts w:cs="Times New Roman"/>
        </w:rPr>
      </w:pPr>
      <w:r w:rsidRPr="004811C9">
        <w:rPr>
          <w:rFonts w:cs="Times New Roman"/>
        </w:rPr>
        <w:t>The model results presented in the previous section highlight the importance of considering heterogeneity in the value of travel time savings across both individual demographics</w:t>
      </w:r>
      <w:r w:rsidR="00F43C2C" w:rsidRPr="004811C9">
        <w:rPr>
          <w:rFonts w:cs="Times New Roman"/>
        </w:rPr>
        <w:t xml:space="preserve"> and trip characteristics</w:t>
      </w:r>
      <w:r w:rsidRPr="004811C9">
        <w:rPr>
          <w:rFonts w:cs="Times New Roman"/>
        </w:rPr>
        <w:t xml:space="preserve">. </w:t>
      </w:r>
      <w:r w:rsidR="00F43C2C" w:rsidRPr="004811C9">
        <w:rPr>
          <w:rFonts w:cs="Times New Roman"/>
        </w:rPr>
        <w:t>However, the results by themselves do not provide a complete picture of VTTS values and the variations in these value</w:t>
      </w:r>
      <w:r w:rsidR="00353BF8" w:rsidRPr="004811C9">
        <w:rPr>
          <w:rFonts w:cs="Times New Roman"/>
        </w:rPr>
        <w:t>s</w:t>
      </w:r>
      <w:r w:rsidR="00F43C2C" w:rsidRPr="004811C9">
        <w:rPr>
          <w:rFonts w:cs="Times New Roman"/>
        </w:rPr>
        <w:t xml:space="preserve">, because of the discrete-continuous nature of the modeling system. Thus, there is a need to develop an approach that translates the model results of the discrete and continuous components into tangible insights for policy development, expressly recognizing the joint nature of the two components. To do so, </w:t>
      </w:r>
      <w:r w:rsidR="002241B3" w:rsidRPr="004811C9">
        <w:rPr>
          <w:rFonts w:cs="Times New Roman"/>
        </w:rPr>
        <w:t xml:space="preserve">we </w:t>
      </w:r>
      <w:r w:rsidR="00F43C2C" w:rsidRPr="004811C9">
        <w:rPr>
          <w:rFonts w:cs="Times New Roman"/>
        </w:rPr>
        <w:t>compute</w:t>
      </w:r>
      <w:r w:rsidR="002241B3" w:rsidRPr="004811C9">
        <w:rPr>
          <w:rFonts w:cs="Times New Roman"/>
        </w:rPr>
        <w:t xml:space="preserve"> three metrics for each </w:t>
      </w:r>
      <w:r w:rsidR="00F43C2C" w:rsidRPr="004811C9">
        <w:rPr>
          <w:rFonts w:cs="Times New Roman"/>
        </w:rPr>
        <w:t xml:space="preserve">of several travel </w:t>
      </w:r>
      <w:r w:rsidR="002241B3" w:rsidRPr="004811C9">
        <w:rPr>
          <w:rFonts w:cs="Times New Roman"/>
        </w:rPr>
        <w:t>scenario</w:t>
      </w:r>
      <w:r w:rsidR="00F43C2C" w:rsidRPr="004811C9">
        <w:rPr>
          <w:rFonts w:cs="Times New Roman"/>
        </w:rPr>
        <w:t>s</w:t>
      </w:r>
      <w:r w:rsidR="002241B3" w:rsidRPr="004811C9">
        <w:rPr>
          <w:rFonts w:cs="Times New Roman"/>
        </w:rPr>
        <w:t xml:space="preserve">. First, </w:t>
      </w:r>
      <w:r w:rsidR="00353BF8" w:rsidRPr="004811C9">
        <w:rPr>
          <w:rFonts w:cs="Times New Roman"/>
        </w:rPr>
        <w:t xml:space="preserve">we estimate </w:t>
      </w:r>
      <w:r w:rsidR="002241B3" w:rsidRPr="004811C9">
        <w:rPr>
          <w:rFonts w:cs="Times New Roman"/>
        </w:rPr>
        <w:t>the proportion of individuals in the population willing to pay</w:t>
      </w:r>
      <w:r w:rsidR="00E7738F" w:rsidRPr="004811C9">
        <w:rPr>
          <w:rFonts w:cs="Times New Roman"/>
        </w:rPr>
        <w:t xml:space="preserve"> (at all)</w:t>
      </w:r>
      <w:r w:rsidR="002241B3" w:rsidRPr="004811C9">
        <w:rPr>
          <w:rFonts w:cs="Times New Roman"/>
        </w:rPr>
        <w:t xml:space="preserve"> for travel time reductions</w:t>
      </w:r>
      <w:r w:rsidR="00DD144E" w:rsidRPr="004811C9">
        <w:rPr>
          <w:rFonts w:cs="Times New Roman"/>
        </w:rPr>
        <w:t xml:space="preserve">, a metric that provides insights into </w:t>
      </w:r>
      <w:r w:rsidR="00D1583F" w:rsidRPr="004811C9">
        <w:rPr>
          <w:rFonts w:cs="Times New Roman"/>
        </w:rPr>
        <w:t xml:space="preserve">market penetration, indicating what portion of users would even consider using faster priced options such as </w:t>
      </w:r>
      <w:r w:rsidR="00F43C2C" w:rsidRPr="004811C9">
        <w:rPr>
          <w:rFonts w:cs="Times New Roman"/>
        </w:rPr>
        <w:t>toll</w:t>
      </w:r>
      <w:r w:rsidR="00DD144E" w:rsidRPr="004811C9">
        <w:rPr>
          <w:rFonts w:cs="Times New Roman"/>
        </w:rPr>
        <w:t xml:space="preserve"> lanes</w:t>
      </w:r>
      <w:r w:rsidR="004246F2" w:rsidRPr="004811C9">
        <w:rPr>
          <w:rFonts w:cs="Times New Roman"/>
        </w:rPr>
        <w:t xml:space="preserve"> or </w:t>
      </w:r>
      <w:r w:rsidR="00D1583F" w:rsidRPr="004811C9">
        <w:rPr>
          <w:rFonts w:cs="Times New Roman"/>
        </w:rPr>
        <w:t xml:space="preserve">would support </w:t>
      </w:r>
      <w:r w:rsidR="004246F2" w:rsidRPr="004811C9">
        <w:rPr>
          <w:rFonts w:cs="Times New Roman"/>
        </w:rPr>
        <w:t>congestion pricing</w:t>
      </w:r>
      <w:r w:rsidR="00D1583F" w:rsidRPr="004811C9">
        <w:rPr>
          <w:rFonts w:cs="Times New Roman"/>
        </w:rPr>
        <w:t xml:space="preserve"> policies</w:t>
      </w:r>
      <w:r w:rsidR="002241B3" w:rsidRPr="004811C9">
        <w:rPr>
          <w:rFonts w:cs="Times New Roman"/>
        </w:rPr>
        <w:t xml:space="preserve">. </w:t>
      </w:r>
      <w:r w:rsidR="00CC7EA6" w:rsidRPr="004811C9">
        <w:rPr>
          <w:rFonts w:cs="Times New Roman"/>
        </w:rPr>
        <w:t>Note that</w:t>
      </w:r>
      <w:r w:rsidR="00353BF8" w:rsidRPr="004811C9">
        <w:rPr>
          <w:rFonts w:cs="Times New Roman"/>
        </w:rPr>
        <w:t xml:space="preserve"> </w:t>
      </w:r>
      <w:r w:rsidR="00CC7EA6" w:rsidRPr="004811C9">
        <w:rPr>
          <w:rFonts w:cs="Times New Roman"/>
        </w:rPr>
        <w:t xml:space="preserve">this is not a willingness to pay based on a set price for travel time savings, but a willingness to pay </w:t>
      </w:r>
      <w:r w:rsidR="00A43B0C" w:rsidRPr="004811C9">
        <w:rPr>
          <w:rFonts w:cs="Times New Roman"/>
        </w:rPr>
        <w:t>at all for travel time savings</w:t>
      </w:r>
      <w:r w:rsidR="00353BF8" w:rsidRPr="004811C9">
        <w:rPr>
          <w:rFonts w:cs="Times New Roman"/>
        </w:rPr>
        <w:t xml:space="preserve"> (corresponding to the binary WTP in our model system)</w:t>
      </w:r>
      <w:r w:rsidR="00CC7EA6" w:rsidRPr="004811C9">
        <w:rPr>
          <w:rFonts w:cs="Times New Roman"/>
        </w:rPr>
        <w:t xml:space="preserve">. </w:t>
      </w:r>
      <w:r w:rsidR="004246F2" w:rsidRPr="004811C9">
        <w:rPr>
          <w:rFonts w:cs="Times New Roman"/>
        </w:rPr>
        <w:t>Second, we calculate the average value of</w:t>
      </w:r>
      <w:r w:rsidR="00BF0DD0" w:rsidRPr="004811C9">
        <w:rPr>
          <w:rFonts w:cs="Times New Roman"/>
        </w:rPr>
        <w:t xml:space="preserve"> travel</w:t>
      </w:r>
      <w:r w:rsidR="004246F2" w:rsidRPr="004811C9">
        <w:rPr>
          <w:rFonts w:cs="Times New Roman"/>
        </w:rPr>
        <w:t xml:space="preserve"> time</w:t>
      </w:r>
      <w:r w:rsidR="00BF0DD0" w:rsidRPr="004811C9">
        <w:rPr>
          <w:rFonts w:cs="Times New Roman"/>
        </w:rPr>
        <w:t xml:space="preserve"> savings</w:t>
      </w:r>
      <w:r w:rsidR="004246F2" w:rsidRPr="004811C9">
        <w:rPr>
          <w:rFonts w:cs="Times New Roman"/>
        </w:rPr>
        <w:t xml:space="preserve"> </w:t>
      </w:r>
      <w:r w:rsidR="00D1583F" w:rsidRPr="004811C9">
        <w:rPr>
          <w:rFonts w:cs="Times New Roman"/>
        </w:rPr>
        <w:t>conditional</w:t>
      </w:r>
      <w:r w:rsidR="00791F40" w:rsidRPr="004811C9">
        <w:rPr>
          <w:rFonts w:cs="Times New Roman"/>
        </w:rPr>
        <w:t xml:space="preserve"> </w:t>
      </w:r>
      <w:r w:rsidR="00061C85" w:rsidRPr="004811C9">
        <w:rPr>
          <w:rFonts w:cs="Times New Roman"/>
        </w:rPr>
        <w:t>o</w:t>
      </w:r>
      <w:r w:rsidR="00325BDB" w:rsidRPr="004811C9">
        <w:rPr>
          <w:rFonts w:cs="Times New Roman"/>
        </w:rPr>
        <w:t xml:space="preserve">n </w:t>
      </w:r>
      <w:r w:rsidR="00BF0DD0" w:rsidRPr="004811C9">
        <w:rPr>
          <w:rFonts w:cs="Times New Roman"/>
        </w:rPr>
        <w:t>WTP</w:t>
      </w:r>
      <w:r w:rsidR="00791F40" w:rsidRPr="004811C9">
        <w:rPr>
          <w:rFonts w:cs="Times New Roman"/>
        </w:rPr>
        <w:t xml:space="preserve">, </w:t>
      </w:r>
      <w:r w:rsidR="00325BDB" w:rsidRPr="004811C9">
        <w:rPr>
          <w:rFonts w:cs="Times New Roman"/>
        </w:rPr>
        <w:t xml:space="preserve">a metric that is associated </w:t>
      </w:r>
      <w:r w:rsidR="00061C85" w:rsidRPr="004811C9">
        <w:rPr>
          <w:rFonts w:cs="Times New Roman"/>
        </w:rPr>
        <w:t xml:space="preserve">with </w:t>
      </w:r>
      <w:r w:rsidR="00D1583F" w:rsidRPr="004811C9">
        <w:rPr>
          <w:rFonts w:cs="Times New Roman"/>
        </w:rPr>
        <w:t xml:space="preserve">quantifying travel savings benefits among those who are willing to pay for travel time savings. This conditional metric is useful for segmenting demand to inform the preferences of those actively interested in paying for travel time savings. </w:t>
      </w:r>
      <w:r w:rsidR="00791F40" w:rsidRPr="004811C9">
        <w:rPr>
          <w:rFonts w:cs="Times New Roman"/>
        </w:rPr>
        <w:t xml:space="preserve">Third, we calculate the overall </w:t>
      </w:r>
      <w:r w:rsidR="007F406F" w:rsidRPr="004811C9">
        <w:rPr>
          <w:rFonts w:cs="Times New Roman"/>
        </w:rPr>
        <w:t>VTTS</w:t>
      </w:r>
      <w:r w:rsidR="00791F40" w:rsidRPr="004811C9">
        <w:rPr>
          <w:rFonts w:cs="Times New Roman"/>
        </w:rPr>
        <w:t xml:space="preserve"> </w:t>
      </w:r>
      <w:r w:rsidR="00EE6CBE" w:rsidRPr="004811C9">
        <w:rPr>
          <w:rFonts w:cs="Times New Roman"/>
        </w:rPr>
        <w:t xml:space="preserve">across the population, including </w:t>
      </w:r>
      <w:r w:rsidR="007A6F8F" w:rsidRPr="004811C9">
        <w:rPr>
          <w:rFonts w:cs="Times New Roman"/>
        </w:rPr>
        <w:t xml:space="preserve">accounting for </w:t>
      </w:r>
      <w:r w:rsidR="008D6751" w:rsidRPr="004811C9">
        <w:rPr>
          <w:rFonts w:cs="Times New Roman"/>
        </w:rPr>
        <w:t>those individuals who are unwilling to pay</w:t>
      </w:r>
      <w:r w:rsidR="00D1583F" w:rsidRPr="004811C9">
        <w:rPr>
          <w:rFonts w:cs="Times New Roman"/>
        </w:rPr>
        <w:t xml:space="preserve"> at all</w:t>
      </w:r>
      <w:r w:rsidR="008D6751" w:rsidRPr="004811C9">
        <w:rPr>
          <w:rFonts w:cs="Times New Roman"/>
        </w:rPr>
        <w:t xml:space="preserve">. This last metric is most associated with </w:t>
      </w:r>
      <w:r w:rsidR="00D1583F" w:rsidRPr="004811C9">
        <w:rPr>
          <w:rFonts w:cs="Times New Roman"/>
        </w:rPr>
        <w:t xml:space="preserve">system-wide cost benefit analysis, providing the aggregate benefit of travel time savings that reflects the time valuations of all users. </w:t>
      </w:r>
    </w:p>
    <w:p w14:paraId="26A4C52D" w14:textId="0B457A8B" w:rsidR="006D321C" w:rsidRPr="004811C9" w:rsidRDefault="00E14F7A" w:rsidP="00027FE5">
      <w:pPr>
        <w:spacing w:after="0" w:line="240" w:lineRule="auto"/>
        <w:jc w:val="both"/>
        <w:rPr>
          <w:rFonts w:cs="Times New Roman"/>
        </w:rPr>
      </w:pPr>
      <w:r w:rsidRPr="004811C9">
        <w:rPr>
          <w:rFonts w:cs="Times New Roman"/>
          <w:b/>
          <w:bCs/>
        </w:rPr>
        <w:tab/>
      </w:r>
      <w:r w:rsidRPr="004811C9">
        <w:rPr>
          <w:rFonts w:cs="Times New Roman"/>
        </w:rPr>
        <w:t xml:space="preserve">Following the mathematical formulation of the model described in Section 3.2, </w:t>
      </w:r>
      <w:r w:rsidR="006D321C" w:rsidRPr="004811C9">
        <w:rPr>
          <w:rFonts w:cs="Times New Roman"/>
        </w:rPr>
        <w:t>the</w:t>
      </w:r>
      <w:r w:rsidR="002F41DA" w:rsidRPr="004811C9">
        <w:rPr>
          <w:rFonts w:cs="Times New Roman"/>
        </w:rPr>
        <w:t xml:space="preserve"> probability that each individual would be willing to pay at all is calculated using </w:t>
      </w:r>
      <w:r w:rsidR="00F8453A" w:rsidRPr="004811C9">
        <w:rPr>
          <w:rFonts w:cs="Times New Roman"/>
          <w:position w:val="-14"/>
        </w:rPr>
        <w:object w:dxaOrig="2020" w:dyaOrig="380" w14:anchorId="34E2E916">
          <v:shape id="_x0000_i1055" type="#_x0000_t75" style="width:101pt;height:18.8pt" o:ole="" o:preferrelative="f">
            <v:imagedata r:id="rId66" o:title=""/>
            <o:lock v:ext="edit" aspectratio="f"/>
          </v:shape>
          <o:OLEObject Type="Embed" ProgID="Equation.DSMT4" ShapeID="_x0000_i1055" DrawAspect="Content" ObjectID="_1834581478" r:id="rId67"/>
        </w:object>
      </w:r>
      <w:r w:rsidR="002F41DA" w:rsidRPr="004811C9">
        <w:rPr>
          <w:rFonts w:cs="Times New Roman"/>
        </w:rPr>
        <w:t xml:space="preserve"> Next, the </w:t>
      </w:r>
      <w:r w:rsidR="006D321C" w:rsidRPr="004811C9">
        <w:rPr>
          <w:rFonts w:cs="Times New Roman"/>
        </w:rPr>
        <w:t xml:space="preserve">expected value of the logarithm of the </w:t>
      </w:r>
      <w:r w:rsidR="000A4EDB" w:rsidRPr="004811C9">
        <w:rPr>
          <w:rFonts w:cs="Times New Roman"/>
          <w:position w:val="-14"/>
        </w:rPr>
        <w:object w:dxaOrig="800" w:dyaOrig="380" w14:anchorId="6789CC04">
          <v:shape id="_x0000_i1056" type="#_x0000_t75" style="width:39.75pt;height:19.35pt" o:ole="">
            <v:imagedata r:id="rId68" o:title=""/>
          </v:shape>
          <o:OLEObject Type="Embed" ProgID="Equation.DSMT4" ShapeID="_x0000_i1056" DrawAspect="Content" ObjectID="_1834581479" r:id="rId69"/>
        </w:object>
      </w:r>
      <w:r w:rsidR="00F43C2C" w:rsidRPr="004811C9">
        <w:rPr>
          <w:rFonts w:cs="Times New Roman"/>
        </w:rPr>
        <w:t xml:space="preserve"> for a given individual </w:t>
      </w:r>
      <w:r w:rsidR="00F43C2C" w:rsidRPr="004811C9">
        <w:rPr>
          <w:rFonts w:cs="Times New Roman"/>
          <w:i/>
          <w:iCs/>
        </w:rPr>
        <w:t>q</w:t>
      </w:r>
      <w:r w:rsidR="00F43C2C" w:rsidRPr="004811C9">
        <w:rPr>
          <w:rFonts w:cs="Times New Roman"/>
        </w:rPr>
        <w:t xml:space="preserve"> (denoted by </w:t>
      </w:r>
      <w:r w:rsidR="00F8453A" w:rsidRPr="004811C9">
        <w:rPr>
          <w:rFonts w:cs="Times New Roman"/>
          <w:position w:val="-14"/>
        </w:rPr>
        <w:object w:dxaOrig="279" w:dyaOrig="380" w14:anchorId="3A136628">
          <v:shape id="_x0000_i1057" type="#_x0000_t75" style="width:13.45pt;height:18.8pt" o:ole="" o:preferrelative="f">
            <v:imagedata r:id="rId70" o:title=""/>
            <o:lock v:ext="edit" aspectratio="f"/>
          </v:shape>
          <o:OLEObject Type="Embed" ProgID="Equation.DSMT4" ShapeID="_x0000_i1057" DrawAspect="Content" ObjectID="_1834581480" r:id="rId71"/>
        </w:object>
      </w:r>
      <w:r w:rsidR="00F43C2C" w:rsidRPr="004811C9">
        <w:rPr>
          <w:rFonts w:cs="Times New Roman"/>
        </w:rPr>
        <w:t xml:space="preserve">) </w:t>
      </w:r>
      <w:r w:rsidR="006D321C" w:rsidRPr="004811C9">
        <w:rPr>
          <w:rFonts w:cs="Times New Roman"/>
        </w:rPr>
        <w:t>, given that an individual is willing to pay</w:t>
      </w:r>
      <w:r w:rsidR="00F43C2C" w:rsidRPr="004811C9">
        <w:rPr>
          <w:rFonts w:cs="Times New Roman"/>
        </w:rPr>
        <w:t>,</w:t>
      </w:r>
      <w:r w:rsidR="006D321C" w:rsidRPr="004811C9">
        <w:rPr>
          <w:rFonts w:cs="Times New Roman"/>
        </w:rPr>
        <w:t xml:space="preserve"> </w:t>
      </w:r>
      <w:r w:rsidR="001C3CC5" w:rsidRPr="004811C9">
        <w:rPr>
          <w:rFonts w:cs="Times New Roman"/>
        </w:rPr>
        <w:t>is given by</w:t>
      </w:r>
      <w:r w:rsidR="00C47B28" w:rsidRPr="004811C9">
        <w:rPr>
          <w:rFonts w:cs="Times New Roman"/>
        </w:rPr>
        <w:t xml:space="preserve"> </w:t>
      </w:r>
      <w:r w:rsidR="00C22D09" w:rsidRPr="004811C9">
        <w:rPr>
          <w:rFonts w:cs="Times New Roman"/>
        </w:rPr>
        <w:fldChar w:fldCharType="begin"/>
      </w:r>
      <w:r w:rsidR="00BA1900">
        <w:rPr>
          <w:rFonts w:cs="Times New Roman"/>
        </w:rPr>
        <w:instrText xml:space="preserve"> ADDIN ZOTERO_ITEM CSL_CITATION {"citationID":"3ntTJCD6","properties":{"formattedCitation":"(Greene, 2000)","plainCitation":"(Greene, 2000)","dontUpdate":true,"noteIndex":0},"citationItems":[{"id":3733,"uris":["http://zotero.org/users/12832277/items/BPZQIZCH"],"itemData":{"id":3733,"type":"book","edition":"4th","publisher":"Pearson Education","title":"Econometric Analysis","author":[{"family":"Greene","given":"William"}],"accessed":{"date-parts":[["2024",10,15]]},"issued":{"date-parts":[["2000"]]}}}],"schema":"https://github.com/citation-style-language/schema/raw/master/csl-citation.json"} </w:instrText>
      </w:r>
      <w:r w:rsidR="00C22D09" w:rsidRPr="004811C9">
        <w:rPr>
          <w:rFonts w:cs="Times New Roman"/>
        </w:rPr>
        <w:fldChar w:fldCharType="separate"/>
      </w:r>
      <w:r w:rsidR="00C22D09" w:rsidRPr="004811C9">
        <w:rPr>
          <w:rFonts w:cs="Times New Roman"/>
        </w:rPr>
        <w:t>(see Greene, 2000; page 929)</w:t>
      </w:r>
      <w:r w:rsidR="00C22D09" w:rsidRPr="004811C9">
        <w:rPr>
          <w:rFonts w:cs="Times New Roman"/>
        </w:rPr>
        <w:fldChar w:fldCharType="end"/>
      </w:r>
      <w:r w:rsidR="001C3CC5" w:rsidRPr="004811C9">
        <w:rPr>
          <w:rFonts w:cs="Times New Roman"/>
        </w:rPr>
        <w:t xml:space="preserve"> </w:t>
      </w:r>
    </w:p>
    <w:p w14:paraId="1C6E7F38" w14:textId="704E201A" w:rsidR="001C3CC5" w:rsidRPr="004811C9" w:rsidRDefault="00C47B28" w:rsidP="00027FE5">
      <w:pPr>
        <w:pStyle w:val="MTDisplayEquation"/>
        <w:spacing w:before="120" w:after="120"/>
        <w:rPr>
          <w:rFonts w:cs="Times New Roman"/>
        </w:rPr>
      </w:pPr>
      <w:r w:rsidRPr="004811C9">
        <w:rPr>
          <w:rFonts w:cs="Times New Roman"/>
          <w:position w:val="-36"/>
        </w:rPr>
        <w:object w:dxaOrig="8020" w:dyaOrig="840" w14:anchorId="1739B8AD">
          <v:shape id="_x0000_i1058" type="#_x0000_t75" style="width:401.9pt;height:41.9pt" o:ole="">
            <v:imagedata r:id="rId72" o:title=""/>
          </v:shape>
          <o:OLEObject Type="Embed" ProgID="Equation.DSMT4" ShapeID="_x0000_i1058" DrawAspect="Content" ObjectID="_1834581481" r:id="rId73"/>
        </w:object>
      </w:r>
      <w:r w:rsidR="00273229" w:rsidRPr="004811C9">
        <w:rPr>
          <w:rFonts w:cs="Times New Roman"/>
        </w:rPr>
        <w:t>.</w:t>
      </w:r>
      <w:r w:rsidR="00D47C0B" w:rsidRPr="004811C9">
        <w:rPr>
          <w:rFonts w:cs="Times New Roman"/>
        </w:rPr>
        <w:tab/>
      </w:r>
      <w:r w:rsidR="001C3CC5" w:rsidRPr="004811C9">
        <w:rPr>
          <w:rFonts w:cs="Times New Roman"/>
        </w:rPr>
        <w:fldChar w:fldCharType="begin"/>
      </w:r>
      <w:r w:rsidR="001C3CC5" w:rsidRPr="004811C9">
        <w:rPr>
          <w:rFonts w:cs="Times New Roman"/>
        </w:rPr>
        <w:instrText xml:space="preserve"> MACROBUTTON MTPlaceRef \* MERGEFORMAT </w:instrText>
      </w:r>
      <w:r w:rsidR="001C3CC5" w:rsidRPr="004811C9">
        <w:rPr>
          <w:rFonts w:cs="Times New Roman"/>
        </w:rPr>
        <w:fldChar w:fldCharType="begin"/>
      </w:r>
      <w:r w:rsidR="001C3CC5" w:rsidRPr="004811C9">
        <w:rPr>
          <w:rFonts w:cs="Times New Roman"/>
        </w:rPr>
        <w:instrText xml:space="preserve"> SEQ MTEqn \h \* MERGEFORMAT </w:instrText>
      </w:r>
      <w:r w:rsidR="001C3CC5" w:rsidRPr="004811C9">
        <w:rPr>
          <w:rFonts w:cs="Times New Roman"/>
        </w:rPr>
        <w:fldChar w:fldCharType="end"/>
      </w:r>
      <w:r w:rsidR="001C3CC5" w:rsidRPr="004811C9">
        <w:rPr>
          <w:rFonts w:cs="Times New Roman"/>
        </w:rPr>
        <w:instrText>(</w:instrText>
      </w:r>
      <w:r w:rsidR="001C3CC5" w:rsidRPr="004811C9">
        <w:rPr>
          <w:rFonts w:cs="Times New Roman"/>
        </w:rPr>
        <w:fldChar w:fldCharType="begin"/>
      </w:r>
      <w:r w:rsidR="001C3CC5" w:rsidRPr="004811C9">
        <w:rPr>
          <w:rFonts w:cs="Times New Roman"/>
        </w:rPr>
        <w:instrText xml:space="preserve"> SEQ MTEqn \c \* Arabic \* MERGEFORMAT </w:instrText>
      </w:r>
      <w:r w:rsidR="001C3CC5" w:rsidRPr="004811C9">
        <w:rPr>
          <w:rFonts w:cs="Times New Roman"/>
        </w:rPr>
        <w:fldChar w:fldCharType="separate"/>
      </w:r>
      <w:r w:rsidR="006C4B31">
        <w:rPr>
          <w:rFonts w:cs="Times New Roman"/>
          <w:noProof/>
        </w:rPr>
        <w:instrText>4</w:instrText>
      </w:r>
      <w:r w:rsidR="001C3CC5" w:rsidRPr="004811C9">
        <w:rPr>
          <w:rFonts w:cs="Times New Roman"/>
        </w:rPr>
        <w:fldChar w:fldCharType="end"/>
      </w:r>
      <w:r w:rsidR="001C3CC5" w:rsidRPr="004811C9">
        <w:rPr>
          <w:rFonts w:cs="Times New Roman"/>
        </w:rPr>
        <w:instrText>)</w:instrText>
      </w:r>
      <w:r w:rsidR="001C3CC5" w:rsidRPr="004811C9">
        <w:rPr>
          <w:rFonts w:cs="Times New Roman"/>
        </w:rPr>
        <w:fldChar w:fldCharType="end"/>
      </w:r>
    </w:p>
    <w:p w14:paraId="1ED9C628" w14:textId="7BA34AFF" w:rsidR="001C3CC5" w:rsidRPr="004811C9" w:rsidRDefault="00F80407" w:rsidP="00027FE5">
      <w:pPr>
        <w:spacing w:after="0" w:line="240" w:lineRule="auto"/>
        <w:jc w:val="both"/>
        <w:rPr>
          <w:rFonts w:cs="Times New Roman"/>
        </w:rPr>
      </w:pPr>
      <w:r w:rsidRPr="004811C9">
        <w:rPr>
          <w:rFonts w:cs="Times New Roman"/>
        </w:rPr>
        <w:t xml:space="preserve">Similarly, the variance of the logarithm of </w:t>
      </w:r>
      <w:r w:rsidR="00F8453A" w:rsidRPr="004811C9">
        <w:rPr>
          <w:rFonts w:cs="Times New Roman"/>
          <w:position w:val="-14"/>
        </w:rPr>
        <w:object w:dxaOrig="800" w:dyaOrig="380" w14:anchorId="068BCD90">
          <v:shape id="_x0000_i1059" type="#_x0000_t75" style="width:40.3pt;height:18.8pt" o:ole="" o:preferrelative="f">
            <v:imagedata r:id="rId68" o:title=""/>
            <o:lock v:ext="edit" aspectratio="f"/>
          </v:shape>
          <o:OLEObject Type="Embed" ProgID="Equation.DSMT4" ShapeID="_x0000_i1059" DrawAspect="Content" ObjectID="_1834581482" r:id="rId74"/>
        </w:object>
      </w:r>
      <w:r w:rsidR="009160E0" w:rsidRPr="004811C9">
        <w:rPr>
          <w:rFonts w:cs="Times New Roman"/>
        </w:rPr>
        <w:t>,</w:t>
      </w:r>
      <w:r w:rsidR="00360AC0" w:rsidRPr="004811C9">
        <w:rPr>
          <w:rFonts w:cs="Times New Roman"/>
        </w:rPr>
        <w:t xml:space="preserve"> </w:t>
      </w:r>
      <w:r w:rsidRPr="004811C9">
        <w:rPr>
          <w:rFonts w:cs="Times New Roman"/>
        </w:rPr>
        <w:t>given the willingness to pay</w:t>
      </w:r>
      <w:r w:rsidR="009160E0" w:rsidRPr="004811C9">
        <w:rPr>
          <w:rFonts w:cs="Times New Roman"/>
        </w:rPr>
        <w:t>,</w:t>
      </w:r>
      <w:r w:rsidRPr="004811C9">
        <w:rPr>
          <w:rFonts w:cs="Times New Roman"/>
        </w:rPr>
        <w:t xml:space="preserve"> is given by </w:t>
      </w:r>
    </w:p>
    <w:p w14:paraId="69DF2C9D" w14:textId="2EC7C01D" w:rsidR="00F80407" w:rsidRPr="004811C9" w:rsidRDefault="00F8453A" w:rsidP="00027FE5">
      <w:pPr>
        <w:pStyle w:val="MTDisplayEquation"/>
        <w:rPr>
          <w:rFonts w:cs="Times New Roman"/>
        </w:rPr>
      </w:pPr>
      <w:r w:rsidRPr="004811C9">
        <w:rPr>
          <w:rFonts w:cs="Times New Roman"/>
          <w:position w:val="-60"/>
        </w:rPr>
        <w:object w:dxaOrig="8080" w:dyaOrig="1320" w14:anchorId="492527B5">
          <v:shape id="_x0000_i1060" type="#_x0000_t75" style="width:404.05pt;height:66.1pt" o:ole="" o:preferrelative="f">
            <v:imagedata r:id="rId75" o:title=""/>
            <o:lock v:ext="edit" aspectratio="f"/>
          </v:shape>
          <o:OLEObject Type="Embed" ProgID="Equation.DSMT4" ShapeID="_x0000_i1060" DrawAspect="Content" ObjectID="_1834581483" r:id="rId76"/>
        </w:object>
      </w:r>
      <w:r w:rsidR="00A17DA6" w:rsidRPr="004811C9">
        <w:rPr>
          <w:rFonts w:cs="Times New Roman"/>
        </w:rPr>
        <w:t>.</w:t>
      </w:r>
      <w:r w:rsidR="00AE70B4" w:rsidRPr="004811C9">
        <w:rPr>
          <w:rFonts w:cs="Times New Roman"/>
        </w:rPr>
        <w:tab/>
      </w:r>
      <w:r w:rsidR="00AE70B4" w:rsidRPr="004811C9">
        <w:rPr>
          <w:rFonts w:cs="Times New Roman"/>
        </w:rPr>
        <w:fldChar w:fldCharType="begin"/>
      </w:r>
      <w:r w:rsidR="00AE70B4" w:rsidRPr="004811C9">
        <w:rPr>
          <w:rFonts w:cs="Times New Roman"/>
        </w:rPr>
        <w:instrText xml:space="preserve"> MACROBUTTON MTPlaceRef \* MERGEFORMAT </w:instrText>
      </w:r>
      <w:r w:rsidR="00AE70B4" w:rsidRPr="004811C9">
        <w:rPr>
          <w:rFonts w:cs="Times New Roman"/>
        </w:rPr>
        <w:fldChar w:fldCharType="begin"/>
      </w:r>
      <w:r w:rsidR="00AE70B4" w:rsidRPr="004811C9">
        <w:rPr>
          <w:rFonts w:cs="Times New Roman"/>
        </w:rPr>
        <w:instrText xml:space="preserve"> SEQ MTEqn \h \* MERGEFORMAT </w:instrText>
      </w:r>
      <w:r w:rsidR="00AE70B4" w:rsidRPr="004811C9">
        <w:rPr>
          <w:rFonts w:cs="Times New Roman"/>
        </w:rPr>
        <w:fldChar w:fldCharType="end"/>
      </w:r>
      <w:r w:rsidR="00AE70B4" w:rsidRPr="004811C9">
        <w:rPr>
          <w:rFonts w:cs="Times New Roman"/>
        </w:rPr>
        <w:instrText>(</w:instrText>
      </w:r>
      <w:r w:rsidR="00AE70B4" w:rsidRPr="004811C9">
        <w:rPr>
          <w:rFonts w:cs="Times New Roman"/>
        </w:rPr>
        <w:fldChar w:fldCharType="begin"/>
      </w:r>
      <w:r w:rsidR="00AE70B4" w:rsidRPr="004811C9">
        <w:rPr>
          <w:rFonts w:cs="Times New Roman"/>
        </w:rPr>
        <w:instrText xml:space="preserve"> SEQ MTEqn \c \* Arabic \* MERGEFORMAT </w:instrText>
      </w:r>
      <w:r w:rsidR="00AE70B4" w:rsidRPr="004811C9">
        <w:rPr>
          <w:rFonts w:cs="Times New Roman"/>
        </w:rPr>
        <w:fldChar w:fldCharType="separate"/>
      </w:r>
      <w:r w:rsidR="006C4B31">
        <w:rPr>
          <w:rFonts w:cs="Times New Roman"/>
          <w:noProof/>
        </w:rPr>
        <w:instrText>5</w:instrText>
      </w:r>
      <w:r w:rsidR="00AE70B4" w:rsidRPr="004811C9">
        <w:rPr>
          <w:rFonts w:cs="Times New Roman"/>
        </w:rPr>
        <w:fldChar w:fldCharType="end"/>
      </w:r>
      <w:r w:rsidR="00AE70B4" w:rsidRPr="004811C9">
        <w:rPr>
          <w:rFonts w:cs="Times New Roman"/>
        </w:rPr>
        <w:instrText>)</w:instrText>
      </w:r>
      <w:r w:rsidR="00AE70B4" w:rsidRPr="004811C9">
        <w:rPr>
          <w:rFonts w:cs="Times New Roman"/>
        </w:rPr>
        <w:fldChar w:fldCharType="end"/>
      </w:r>
    </w:p>
    <w:p w14:paraId="1A2D29CA" w14:textId="21718945" w:rsidR="006D321C" w:rsidRPr="004811C9" w:rsidRDefault="00A17DA6" w:rsidP="00027FE5">
      <w:pPr>
        <w:spacing w:after="0" w:line="240" w:lineRule="auto"/>
        <w:jc w:val="both"/>
        <w:rPr>
          <w:rFonts w:cs="Times New Roman"/>
        </w:rPr>
      </w:pPr>
      <w:r w:rsidRPr="004811C9">
        <w:rPr>
          <w:rFonts w:cs="Times New Roman"/>
        </w:rPr>
        <w:t xml:space="preserve">Using this expected value and variance, the expected </w:t>
      </w:r>
      <w:r w:rsidR="00F8453A" w:rsidRPr="004811C9">
        <w:rPr>
          <w:rFonts w:cs="Times New Roman"/>
          <w:position w:val="-14"/>
        </w:rPr>
        <w:object w:dxaOrig="800" w:dyaOrig="380" w14:anchorId="60F49128">
          <v:shape id="_x0000_i1061" type="#_x0000_t75" style="width:40.3pt;height:18.8pt" o:ole="" o:preferrelative="f">
            <v:imagedata r:id="rId68" o:title=""/>
            <o:lock v:ext="edit" aspectratio="f"/>
          </v:shape>
          <o:OLEObject Type="Embed" ProgID="Equation.DSMT4" ShapeID="_x0000_i1061" DrawAspect="Content" ObjectID="_1834581484" r:id="rId77"/>
        </w:object>
      </w:r>
      <w:r w:rsidR="00B34F84" w:rsidRPr="004811C9">
        <w:rPr>
          <w:rFonts w:cs="Times New Roman"/>
        </w:rPr>
        <w:t xml:space="preserve"> </w:t>
      </w:r>
      <w:r w:rsidR="002F41DA" w:rsidRPr="004811C9">
        <w:rPr>
          <w:rFonts w:cs="Times New Roman"/>
        </w:rPr>
        <w:t xml:space="preserve">(the second metric) </w:t>
      </w:r>
      <w:r w:rsidRPr="004811C9">
        <w:rPr>
          <w:rFonts w:cs="Times New Roman"/>
        </w:rPr>
        <w:t xml:space="preserve">for an individual who is willing to pay is given by </w:t>
      </w:r>
    </w:p>
    <w:p w14:paraId="66C780EE" w14:textId="78C2214D" w:rsidR="00F66DD9" w:rsidRPr="004811C9" w:rsidRDefault="00F8453A" w:rsidP="00027FE5">
      <w:pPr>
        <w:pStyle w:val="MTDisplayEquation"/>
        <w:rPr>
          <w:rFonts w:cs="Times New Roman"/>
        </w:rPr>
      </w:pPr>
      <w:r w:rsidRPr="004811C9">
        <w:rPr>
          <w:rFonts w:cs="Times New Roman"/>
          <w:position w:val="-28"/>
        </w:rPr>
        <w:object w:dxaOrig="5679" w:dyaOrig="680" w14:anchorId="5F0F665F">
          <v:shape id="_x0000_i1062" type="#_x0000_t75" style="width:282.65pt;height:32.25pt" o:ole="" o:preferrelative="f">
            <v:imagedata r:id="rId78" o:title=""/>
            <o:lock v:ext="edit" aspectratio="f"/>
          </v:shape>
          <o:OLEObject Type="Embed" ProgID="Equation.DSMT4" ShapeID="_x0000_i1062" DrawAspect="Content" ObjectID="_1834581485" r:id="rId79"/>
        </w:object>
      </w:r>
      <w:r w:rsidR="004F5E59" w:rsidRPr="004811C9">
        <w:rPr>
          <w:rFonts w:cs="Times New Roman"/>
        </w:rPr>
        <w:t>.</w:t>
      </w:r>
      <w:r w:rsidR="00F66DD9" w:rsidRPr="004811C9">
        <w:rPr>
          <w:rFonts w:cs="Times New Roman"/>
        </w:rPr>
        <w:tab/>
      </w:r>
      <w:r w:rsidR="00F66DD9" w:rsidRPr="004811C9">
        <w:rPr>
          <w:rFonts w:cs="Times New Roman"/>
        </w:rPr>
        <w:fldChar w:fldCharType="begin"/>
      </w:r>
      <w:r w:rsidR="00F66DD9" w:rsidRPr="004811C9">
        <w:rPr>
          <w:rFonts w:cs="Times New Roman"/>
        </w:rPr>
        <w:instrText xml:space="preserve"> MACROBUTTON MTPlaceRef \* MERGEFORMAT </w:instrText>
      </w:r>
      <w:r w:rsidR="00F66DD9" w:rsidRPr="004811C9">
        <w:rPr>
          <w:rFonts w:cs="Times New Roman"/>
        </w:rPr>
        <w:fldChar w:fldCharType="begin"/>
      </w:r>
      <w:r w:rsidR="00F66DD9" w:rsidRPr="004811C9">
        <w:rPr>
          <w:rFonts w:cs="Times New Roman"/>
        </w:rPr>
        <w:instrText xml:space="preserve"> SEQ MTEqn \h \* MERGEFORMAT </w:instrText>
      </w:r>
      <w:r w:rsidR="00F66DD9" w:rsidRPr="004811C9">
        <w:rPr>
          <w:rFonts w:cs="Times New Roman"/>
        </w:rPr>
        <w:fldChar w:fldCharType="end"/>
      </w:r>
      <w:r w:rsidR="00F66DD9" w:rsidRPr="004811C9">
        <w:rPr>
          <w:rFonts w:cs="Times New Roman"/>
        </w:rPr>
        <w:instrText>(</w:instrText>
      </w:r>
      <w:r w:rsidR="00F66DD9" w:rsidRPr="004811C9">
        <w:rPr>
          <w:rFonts w:cs="Times New Roman"/>
        </w:rPr>
        <w:fldChar w:fldCharType="begin"/>
      </w:r>
      <w:r w:rsidR="00F66DD9" w:rsidRPr="004811C9">
        <w:rPr>
          <w:rFonts w:cs="Times New Roman"/>
        </w:rPr>
        <w:instrText xml:space="preserve"> SEQ MTEqn \c \* Arabic \* MERGEFORMAT </w:instrText>
      </w:r>
      <w:r w:rsidR="00F66DD9" w:rsidRPr="004811C9">
        <w:rPr>
          <w:rFonts w:cs="Times New Roman"/>
        </w:rPr>
        <w:fldChar w:fldCharType="separate"/>
      </w:r>
      <w:r w:rsidR="006C4B31">
        <w:rPr>
          <w:rFonts w:cs="Times New Roman"/>
          <w:noProof/>
        </w:rPr>
        <w:instrText>6</w:instrText>
      </w:r>
      <w:r w:rsidR="00F66DD9" w:rsidRPr="004811C9">
        <w:rPr>
          <w:rFonts w:cs="Times New Roman"/>
        </w:rPr>
        <w:fldChar w:fldCharType="end"/>
      </w:r>
      <w:r w:rsidR="00F66DD9" w:rsidRPr="004811C9">
        <w:rPr>
          <w:rFonts w:cs="Times New Roman"/>
        </w:rPr>
        <w:instrText>)</w:instrText>
      </w:r>
      <w:r w:rsidR="00F66DD9" w:rsidRPr="004811C9">
        <w:rPr>
          <w:rFonts w:cs="Times New Roman"/>
        </w:rPr>
        <w:fldChar w:fldCharType="end"/>
      </w:r>
    </w:p>
    <w:p w14:paraId="7B7734FD" w14:textId="0B28CC3D" w:rsidR="00A17DA6" w:rsidRPr="004811C9" w:rsidRDefault="002F41DA" w:rsidP="000A4EDB">
      <w:pPr>
        <w:spacing w:after="0" w:line="240" w:lineRule="auto"/>
        <w:jc w:val="both"/>
        <w:rPr>
          <w:rFonts w:cs="Times New Roman"/>
        </w:rPr>
      </w:pPr>
      <w:r w:rsidRPr="004811C9">
        <w:rPr>
          <w:rFonts w:cs="Times New Roman"/>
        </w:rPr>
        <w:lastRenderedPageBreak/>
        <w:t>Next</w:t>
      </w:r>
      <w:r w:rsidR="00F24778" w:rsidRPr="004811C9">
        <w:rPr>
          <w:rFonts w:cs="Times New Roman"/>
        </w:rPr>
        <w:t xml:space="preserve">, the overall (unconditional) expected </w:t>
      </w:r>
      <w:r w:rsidR="00F8453A" w:rsidRPr="004811C9">
        <w:rPr>
          <w:rFonts w:cs="Times New Roman"/>
          <w:position w:val="-14"/>
        </w:rPr>
        <w:object w:dxaOrig="680" w:dyaOrig="380" w14:anchorId="60E8E4AA">
          <v:shape id="_x0000_i1063" type="#_x0000_t75" style="width:33.85pt;height:18.8pt" o:ole="" o:preferrelative="f">
            <v:imagedata r:id="rId80" o:title=""/>
            <o:lock v:ext="edit" aspectratio="f"/>
          </v:shape>
          <o:OLEObject Type="Embed" ProgID="Equation.DSMT4" ShapeID="_x0000_i1063" DrawAspect="Content" ObjectID="_1834581486" r:id="rId81"/>
        </w:object>
      </w:r>
      <w:r w:rsidR="00B75BF5" w:rsidRPr="004811C9" w:rsidDel="00B75BF5">
        <w:rPr>
          <w:rFonts w:cs="Times New Roman"/>
        </w:rPr>
        <w:t xml:space="preserve"> </w:t>
      </w:r>
      <w:r w:rsidRPr="004811C9">
        <w:rPr>
          <w:rFonts w:cs="Times New Roman"/>
        </w:rPr>
        <w:t xml:space="preserve">(the third metric) </w:t>
      </w:r>
      <w:r w:rsidR="009160E0" w:rsidRPr="004811C9">
        <w:rPr>
          <w:rFonts w:cs="Times New Roman"/>
        </w:rPr>
        <w:t>may be computed as:</w:t>
      </w:r>
    </w:p>
    <w:p w14:paraId="38016C94" w14:textId="19279C05" w:rsidR="00F24778" w:rsidRPr="004811C9" w:rsidRDefault="00F8453A" w:rsidP="00027FE5">
      <w:pPr>
        <w:pStyle w:val="MTDisplayEquation"/>
        <w:spacing w:before="120" w:after="120"/>
        <w:rPr>
          <w:rFonts w:cs="Times New Roman"/>
        </w:rPr>
      </w:pPr>
      <w:r w:rsidRPr="004811C9">
        <w:rPr>
          <w:rFonts w:cs="Times New Roman"/>
          <w:position w:val="-14"/>
        </w:rPr>
        <w:object w:dxaOrig="5300" w:dyaOrig="380" w14:anchorId="06F31F38">
          <v:shape id="_x0000_i1064" type="#_x0000_t75" style="width:264.9pt;height:18.8pt" o:ole="" o:preferrelative="f">
            <v:imagedata r:id="rId82" o:title=""/>
            <o:lock v:ext="edit" aspectratio="f"/>
          </v:shape>
          <o:OLEObject Type="Embed" ProgID="Equation.DSMT4" ShapeID="_x0000_i1064" DrawAspect="Content" ObjectID="_1834581487" r:id="rId83"/>
        </w:object>
      </w:r>
      <w:r w:rsidR="00F24778" w:rsidRPr="004811C9">
        <w:rPr>
          <w:rFonts w:cs="Times New Roman"/>
        </w:rPr>
        <w:t>.</w:t>
      </w:r>
      <w:r w:rsidR="00F24778" w:rsidRPr="004811C9">
        <w:rPr>
          <w:rFonts w:cs="Times New Roman"/>
        </w:rPr>
        <w:tab/>
      </w:r>
      <w:r w:rsidR="00F24778" w:rsidRPr="004811C9">
        <w:rPr>
          <w:rFonts w:cs="Times New Roman"/>
        </w:rPr>
        <w:fldChar w:fldCharType="begin"/>
      </w:r>
      <w:r w:rsidR="00F24778" w:rsidRPr="004811C9">
        <w:rPr>
          <w:rFonts w:cs="Times New Roman"/>
        </w:rPr>
        <w:instrText xml:space="preserve"> MACROBUTTON MTPlaceRef \* MERGEFORMAT </w:instrText>
      </w:r>
      <w:r w:rsidR="00F24778" w:rsidRPr="004811C9">
        <w:rPr>
          <w:rFonts w:cs="Times New Roman"/>
        </w:rPr>
        <w:fldChar w:fldCharType="begin"/>
      </w:r>
      <w:r w:rsidR="00F24778" w:rsidRPr="004811C9">
        <w:rPr>
          <w:rFonts w:cs="Times New Roman"/>
        </w:rPr>
        <w:instrText xml:space="preserve"> SEQ MTEqn \h \* MERGEFORMAT </w:instrText>
      </w:r>
      <w:r w:rsidR="00F24778" w:rsidRPr="004811C9">
        <w:rPr>
          <w:rFonts w:cs="Times New Roman"/>
        </w:rPr>
        <w:fldChar w:fldCharType="end"/>
      </w:r>
      <w:r w:rsidR="00F24778" w:rsidRPr="004811C9">
        <w:rPr>
          <w:rFonts w:cs="Times New Roman"/>
        </w:rPr>
        <w:instrText>(</w:instrText>
      </w:r>
      <w:r w:rsidR="00F24778" w:rsidRPr="004811C9">
        <w:rPr>
          <w:rFonts w:cs="Times New Roman"/>
        </w:rPr>
        <w:fldChar w:fldCharType="begin"/>
      </w:r>
      <w:r w:rsidR="00F24778" w:rsidRPr="004811C9">
        <w:rPr>
          <w:rFonts w:cs="Times New Roman"/>
        </w:rPr>
        <w:instrText xml:space="preserve"> SEQ MTEqn \c \* Arabic \* MERGEFORMAT </w:instrText>
      </w:r>
      <w:r w:rsidR="00F24778" w:rsidRPr="004811C9">
        <w:rPr>
          <w:rFonts w:cs="Times New Roman"/>
        </w:rPr>
        <w:fldChar w:fldCharType="separate"/>
      </w:r>
      <w:r w:rsidR="006C4B31">
        <w:rPr>
          <w:rFonts w:cs="Times New Roman"/>
          <w:noProof/>
        </w:rPr>
        <w:instrText>7</w:instrText>
      </w:r>
      <w:r w:rsidR="00F24778" w:rsidRPr="004811C9">
        <w:rPr>
          <w:rFonts w:cs="Times New Roman"/>
        </w:rPr>
        <w:fldChar w:fldCharType="end"/>
      </w:r>
      <w:r w:rsidR="00F24778" w:rsidRPr="004811C9">
        <w:rPr>
          <w:rFonts w:cs="Times New Roman"/>
        </w:rPr>
        <w:instrText>)</w:instrText>
      </w:r>
      <w:r w:rsidR="00F24778" w:rsidRPr="004811C9">
        <w:rPr>
          <w:rFonts w:cs="Times New Roman"/>
        </w:rPr>
        <w:fldChar w:fldCharType="end"/>
      </w:r>
    </w:p>
    <w:p w14:paraId="1D8F130D" w14:textId="3DF88C00" w:rsidR="003E7224" w:rsidRPr="004811C9" w:rsidRDefault="002F41DA" w:rsidP="00027FE5">
      <w:pPr>
        <w:spacing w:after="0" w:line="240" w:lineRule="auto"/>
        <w:jc w:val="both"/>
        <w:rPr>
          <w:rFonts w:cs="Times New Roman"/>
        </w:rPr>
      </w:pPr>
      <w:r w:rsidRPr="004811C9">
        <w:rPr>
          <w:rFonts w:cs="Times New Roman"/>
        </w:rPr>
        <w:t>The three metrics above can be computed for any individual and trip context.</w:t>
      </w:r>
      <w:r w:rsidR="00337621" w:rsidRPr="003613DA">
        <w:rPr>
          <w:rStyle w:val="FootnoteReference"/>
        </w:rPr>
        <w:footnoteReference w:id="7"/>
      </w:r>
      <w:r w:rsidRPr="004811C9">
        <w:rPr>
          <w:rFonts w:cs="Times New Roman"/>
        </w:rPr>
        <w:t xml:space="preserve"> However, </w:t>
      </w:r>
      <w:r w:rsidR="004319C5" w:rsidRPr="004811C9">
        <w:rPr>
          <w:rFonts w:cs="Times New Roman"/>
        </w:rPr>
        <w:t xml:space="preserve">because the number of such combinations are substantial even if we consider only the discrete exogenous variables, and there are continuous exogenous variables too, </w:t>
      </w:r>
      <w:r w:rsidR="009C2552" w:rsidRPr="004811C9">
        <w:rPr>
          <w:rFonts w:cs="Times New Roman"/>
        </w:rPr>
        <w:t xml:space="preserve">it is impossible </w:t>
      </w:r>
      <w:r w:rsidR="00710FF7" w:rsidRPr="004811C9">
        <w:rPr>
          <w:rFonts w:cs="Times New Roman"/>
        </w:rPr>
        <w:t xml:space="preserve">to provide such disaggregate values of the three metrics for each individual in a single paper. But, to provide a sense of </w:t>
      </w:r>
      <w:r w:rsidR="004319C5" w:rsidRPr="004811C9">
        <w:rPr>
          <w:rFonts w:cs="Times New Roman"/>
        </w:rPr>
        <w:t xml:space="preserve">the variation across </w:t>
      </w:r>
      <w:r w:rsidRPr="004811C9">
        <w:rPr>
          <w:rFonts w:cs="Times New Roman"/>
        </w:rPr>
        <w:t>individual/household demographics and trip characteristics</w:t>
      </w:r>
      <w:r w:rsidR="00710FF7" w:rsidRPr="004811C9">
        <w:rPr>
          <w:rFonts w:cs="Times New Roman"/>
        </w:rPr>
        <w:t xml:space="preserve">, we compute the three metrics for each </w:t>
      </w:r>
      <w:r w:rsidR="0064363E" w:rsidRPr="004811C9">
        <w:rPr>
          <w:rFonts w:cs="Times New Roman"/>
        </w:rPr>
        <w:t xml:space="preserve">discrete </w:t>
      </w:r>
      <w:r w:rsidR="00710FF7" w:rsidRPr="004811C9">
        <w:rPr>
          <w:rFonts w:cs="Times New Roman"/>
        </w:rPr>
        <w:t>exogenous variable</w:t>
      </w:r>
      <w:r w:rsidR="004319C5" w:rsidRPr="004811C9">
        <w:rPr>
          <w:rFonts w:cs="Times New Roman"/>
        </w:rPr>
        <w:t xml:space="preserve"> </w:t>
      </w:r>
      <w:r w:rsidR="00710FF7" w:rsidRPr="004811C9">
        <w:rPr>
          <w:rFonts w:cs="Times New Roman"/>
        </w:rPr>
        <w:t xml:space="preserve">(one at a time) </w:t>
      </w:r>
      <w:r w:rsidR="004319C5" w:rsidRPr="004811C9">
        <w:rPr>
          <w:rFonts w:cs="Times New Roman"/>
        </w:rPr>
        <w:t xml:space="preserve">as follows. </w:t>
      </w:r>
      <w:r w:rsidR="0064363E" w:rsidRPr="004811C9">
        <w:rPr>
          <w:rFonts w:cs="Times New Roman"/>
        </w:rPr>
        <w:t>W</w:t>
      </w:r>
      <w:r w:rsidRPr="004811C9">
        <w:rPr>
          <w:rFonts w:cs="Times New Roman"/>
        </w:rPr>
        <w:t xml:space="preserve">e </w:t>
      </w:r>
      <w:r w:rsidR="0064363E" w:rsidRPr="004811C9">
        <w:rPr>
          <w:rFonts w:cs="Times New Roman"/>
        </w:rPr>
        <w:t xml:space="preserve">first </w:t>
      </w:r>
      <w:r w:rsidRPr="004811C9">
        <w:rPr>
          <w:rFonts w:cs="Times New Roman"/>
        </w:rPr>
        <w:t xml:space="preserve">set the </w:t>
      </w:r>
      <w:r w:rsidR="004319C5" w:rsidRPr="004811C9">
        <w:rPr>
          <w:rFonts w:cs="Times New Roman"/>
        </w:rPr>
        <w:t>state</w:t>
      </w:r>
      <w:r w:rsidRPr="004811C9">
        <w:rPr>
          <w:rFonts w:cs="Times New Roman"/>
        </w:rPr>
        <w:t xml:space="preserve"> of </w:t>
      </w:r>
      <w:r w:rsidR="004319C5" w:rsidRPr="004811C9">
        <w:rPr>
          <w:rFonts w:cs="Times New Roman"/>
        </w:rPr>
        <w:t xml:space="preserve">the </w:t>
      </w:r>
      <w:r w:rsidRPr="004811C9">
        <w:rPr>
          <w:rFonts w:cs="Times New Roman"/>
        </w:rPr>
        <w:t>exogenous variable to a specific value for every individual in the sample (for instance, setting everyone in the sample as women), while maintaining all other exogenous variables at their original values, and compute the three metrics</w:t>
      </w:r>
      <w:r w:rsidR="004319C5" w:rsidRPr="004811C9">
        <w:rPr>
          <w:rFonts w:cs="Times New Roman"/>
        </w:rPr>
        <w:t xml:space="preserve"> for each individual</w:t>
      </w:r>
      <w:r w:rsidRPr="004811C9">
        <w:rPr>
          <w:rFonts w:cs="Times New Roman"/>
        </w:rPr>
        <w:t xml:space="preserve">. </w:t>
      </w:r>
      <w:r w:rsidR="00D47C0B" w:rsidRPr="004811C9">
        <w:rPr>
          <w:rFonts w:cs="Times New Roman"/>
        </w:rPr>
        <w:t>Th</w:t>
      </w:r>
      <w:r w:rsidRPr="004811C9">
        <w:rPr>
          <w:rFonts w:cs="Times New Roman"/>
        </w:rPr>
        <w:t xml:space="preserve">e individual values for each of </w:t>
      </w:r>
      <w:r w:rsidR="00D47C0B" w:rsidRPr="004811C9">
        <w:rPr>
          <w:rFonts w:cs="Times New Roman"/>
        </w:rPr>
        <w:t xml:space="preserve">three </w:t>
      </w:r>
      <w:r w:rsidRPr="004811C9">
        <w:rPr>
          <w:rFonts w:cs="Times New Roman"/>
        </w:rPr>
        <w:t xml:space="preserve">metrics </w:t>
      </w:r>
      <w:r w:rsidR="00D47C0B" w:rsidRPr="004811C9">
        <w:rPr>
          <w:rFonts w:cs="Times New Roman"/>
        </w:rPr>
        <w:t xml:space="preserve">are </w:t>
      </w:r>
      <w:r w:rsidRPr="004811C9">
        <w:rPr>
          <w:rFonts w:cs="Times New Roman"/>
        </w:rPr>
        <w:t xml:space="preserve">next </w:t>
      </w:r>
      <w:r w:rsidR="00D47C0B" w:rsidRPr="004811C9">
        <w:rPr>
          <w:rFonts w:cs="Times New Roman"/>
        </w:rPr>
        <w:t>averaged across all individuals in the sample and reported in Table 3</w:t>
      </w:r>
      <w:r w:rsidRPr="004811C9">
        <w:rPr>
          <w:rFonts w:cs="Times New Roman"/>
        </w:rPr>
        <w:t xml:space="preserve"> for the corresponding </w:t>
      </w:r>
      <w:r w:rsidR="004319C5" w:rsidRPr="004811C9">
        <w:rPr>
          <w:rFonts w:cs="Times New Roman"/>
        </w:rPr>
        <w:t xml:space="preserve">discrete </w:t>
      </w:r>
      <w:r w:rsidRPr="004811C9">
        <w:rPr>
          <w:rFonts w:cs="Times New Roman"/>
        </w:rPr>
        <w:t>exogenous variable</w:t>
      </w:r>
      <w:r w:rsidR="004319C5" w:rsidRPr="004811C9">
        <w:rPr>
          <w:rFonts w:cs="Times New Roman"/>
        </w:rPr>
        <w:t xml:space="preserve">. </w:t>
      </w:r>
      <w:r w:rsidR="003E7224" w:rsidRPr="004811C9">
        <w:rPr>
          <w:rFonts w:cs="Times New Roman"/>
        </w:rPr>
        <w:t xml:space="preserve">We do not consider continuous exogenous variables in Table 3 (related to cost of trip on non-car modes, current trip travel time, proportion of expected travel time saved, and proportion of maximum delay expected to be saved) because the three metrics can be computed at any continuous value for these variables. However, these continuous exogenous variables still feature in the computation of the metrics for the discrete exogenous variables. </w:t>
      </w:r>
    </w:p>
    <w:p w14:paraId="709F4301" w14:textId="732AB3F8" w:rsidR="00D0108D" w:rsidRDefault="00E767EC" w:rsidP="000A4EDB">
      <w:pPr>
        <w:spacing w:after="0" w:line="240" w:lineRule="auto"/>
        <w:ind w:firstLine="720"/>
        <w:jc w:val="both"/>
        <w:rPr>
          <w:rFonts w:cs="Times New Roman"/>
        </w:rPr>
      </w:pPr>
      <w:r w:rsidRPr="004811C9">
        <w:rPr>
          <w:rFonts w:cs="Times New Roman"/>
        </w:rPr>
        <w:t>T</w:t>
      </w:r>
      <w:r w:rsidR="00B671BC" w:rsidRPr="004811C9">
        <w:rPr>
          <w:rFonts w:cs="Times New Roman"/>
        </w:rPr>
        <w:t xml:space="preserve">he </w:t>
      </w:r>
      <w:r w:rsidR="00B75BF5" w:rsidRPr="004811C9">
        <w:rPr>
          <w:rFonts w:cs="Times New Roman"/>
        </w:rPr>
        <w:t xml:space="preserve">results for the three metrics are presented in Table 3. The </w:t>
      </w:r>
      <w:r w:rsidR="009C2552" w:rsidRPr="004811C9">
        <w:rPr>
          <w:rFonts w:cs="Times New Roman"/>
        </w:rPr>
        <w:t xml:space="preserve">first set of numeric </w:t>
      </w:r>
      <w:r w:rsidR="00B671BC" w:rsidRPr="004811C9">
        <w:rPr>
          <w:rFonts w:cs="Times New Roman"/>
        </w:rPr>
        <w:t>value</w:t>
      </w:r>
      <w:r w:rsidR="009C2552" w:rsidRPr="004811C9">
        <w:rPr>
          <w:rFonts w:cs="Times New Roman"/>
        </w:rPr>
        <w:t>s</w:t>
      </w:r>
      <w:r w:rsidR="00B671BC" w:rsidRPr="004811C9">
        <w:rPr>
          <w:rFonts w:cs="Times New Roman"/>
        </w:rPr>
        <w:t xml:space="preserve"> </w:t>
      </w:r>
      <w:r w:rsidR="009C2552" w:rsidRPr="004811C9">
        <w:rPr>
          <w:rFonts w:cs="Times New Roman"/>
        </w:rPr>
        <w:t xml:space="preserve">for men indicates that the share of men who would be willing to pay any amount at all is estimated to be 0.812; the expected value of </w:t>
      </w:r>
      <w:r w:rsidR="00F4773F" w:rsidRPr="004811C9">
        <w:rPr>
          <w:rFonts w:cs="Times New Roman"/>
          <w:i/>
          <w:iCs/>
        </w:rPr>
        <w:t>cVTTS</w:t>
      </w:r>
      <w:r w:rsidR="009C2552" w:rsidRPr="004811C9">
        <w:rPr>
          <w:rFonts w:cs="Times New Roman"/>
        </w:rPr>
        <w:t xml:space="preserve"> conditional on </w:t>
      </w:r>
      <w:r w:rsidR="00006AE9">
        <w:rPr>
          <w:rFonts w:cs="Times New Roman"/>
        </w:rPr>
        <w:t>being willing to pay</w:t>
      </w:r>
      <w:r w:rsidR="009C2552" w:rsidRPr="004811C9">
        <w:rPr>
          <w:rFonts w:cs="Times New Roman"/>
        </w:rPr>
        <w:t xml:space="preserve"> </w:t>
      </w:r>
      <w:r w:rsidR="00710FF7" w:rsidRPr="004811C9">
        <w:rPr>
          <w:rFonts w:cs="Times New Roman"/>
        </w:rPr>
        <w:t xml:space="preserve">for men </w:t>
      </w:r>
      <w:r w:rsidR="009C2552" w:rsidRPr="004811C9">
        <w:rPr>
          <w:rFonts w:cs="Times New Roman"/>
        </w:rPr>
        <w:t xml:space="preserve">is </w:t>
      </w:r>
      <w:r w:rsidR="00710FF7" w:rsidRPr="004811C9">
        <w:rPr>
          <w:rFonts w:cs="Times New Roman"/>
        </w:rPr>
        <w:t xml:space="preserve">Rs. </w:t>
      </w:r>
      <w:r w:rsidR="009C2552" w:rsidRPr="004811C9">
        <w:rPr>
          <w:rFonts w:cs="Times New Roman"/>
        </w:rPr>
        <w:t xml:space="preserve">972.3 </w:t>
      </w:r>
      <w:r w:rsidR="00710FF7" w:rsidRPr="004811C9">
        <w:rPr>
          <w:rFonts w:cs="Times New Roman"/>
        </w:rPr>
        <w:t xml:space="preserve">per hour, and the overall expected VTTS for men is Rs. 789.5 per hour. </w:t>
      </w:r>
      <w:r w:rsidR="00DC71A4">
        <w:t xml:space="preserve">Finally, in addition to calculating these three metrics using the proposed joint model, the same metrics may be calculated using a model that maintains separation between the discrete and continuous components (this is the same independent model used for comparison in Section 4.2). We present the overall VTTS estimate calculated using the independent model in the final column of Table 3. Thus, for men the overall expected VTTS under the independent specification is </w:t>
      </w:r>
      <w:r w:rsidR="00DC71A4" w:rsidRPr="004811C9">
        <w:t>Rs.</w:t>
      </w:r>
      <w:r w:rsidR="00DC71A4">
        <w:t xml:space="preserve"> 839.4 per hour, an appreciable overestimate relative to the corresponding VTTS from the proposed joint model. </w:t>
      </w:r>
      <w:r w:rsidR="00DC71A4" w:rsidRPr="004811C9">
        <w:t>Other values in Table 3 may be similarly interpreted.</w:t>
      </w:r>
      <w:r w:rsidR="00DC71A4">
        <w:t xml:space="preserve"> Overall, the comparison demonstrates that ignoring the correlations between the discrete and continuous components yields materially different VTTS estimates. The largest differences across individual and household characteristics occur for income and household composition, while even larger discrepancies arise across travel contexts, particularly by trip type.</w:t>
      </w:r>
    </w:p>
    <w:p w14:paraId="3EDF4E00" w14:textId="5C46084E" w:rsidR="00F24778" w:rsidRPr="004811C9" w:rsidRDefault="00730659" w:rsidP="000A4EDB">
      <w:pPr>
        <w:spacing w:after="0" w:line="240" w:lineRule="auto"/>
        <w:ind w:firstLine="720"/>
        <w:jc w:val="both"/>
        <w:rPr>
          <w:rFonts w:cs="Times New Roman"/>
        </w:rPr>
      </w:pPr>
      <w:r w:rsidRPr="004811C9">
        <w:rPr>
          <w:rFonts w:cs="Times New Roman"/>
        </w:rPr>
        <w:t xml:space="preserve">In the next few sections, we point out selected implications based on these values for transportation policies, transportation infrastructure improvements, and traffic congestion reduction strategies. </w:t>
      </w:r>
      <w:r w:rsidR="00155ACA">
        <w:rPr>
          <w:rFonts w:cs="Times New Roman"/>
        </w:rPr>
        <w:t xml:space="preserve">In these sections, we focus on WTP and the overall VTTS (the first and third columns in Table 3), not on </w:t>
      </w:r>
      <w:r w:rsidR="00155ACA" w:rsidRPr="004811C9">
        <w:rPr>
          <w:rFonts w:cs="Times New Roman"/>
          <w:i/>
          <w:iCs/>
        </w:rPr>
        <w:t>cVTTS</w:t>
      </w:r>
      <w:r w:rsidR="00155ACA" w:rsidRPr="004811C9">
        <w:rPr>
          <w:rFonts w:cs="Times New Roman"/>
        </w:rPr>
        <w:t xml:space="preserve"> conditional on </w:t>
      </w:r>
      <w:r w:rsidR="00D0108D">
        <w:rPr>
          <w:rFonts w:cs="Times New Roman"/>
        </w:rPr>
        <w:t>willingness to pay</w:t>
      </w:r>
      <w:r w:rsidR="00155ACA">
        <w:rPr>
          <w:rFonts w:cs="Times New Roman"/>
        </w:rPr>
        <w:t xml:space="preserve"> (the second column in Table 3), though we present this second metric </w:t>
      </w:r>
      <w:proofErr w:type="spellStart"/>
      <w:r w:rsidR="00155ACA">
        <w:rPr>
          <w:rFonts w:cs="Times New Roman"/>
        </w:rPr>
        <w:t>too</w:t>
      </w:r>
      <w:proofErr w:type="spellEnd"/>
      <w:r w:rsidR="00155ACA">
        <w:rPr>
          <w:rFonts w:cs="Times New Roman"/>
        </w:rPr>
        <w:t xml:space="preserve"> in Table 3 so readers can see why WTP can be high, but overall VTTS can be low for certain population subgroups and travel contexts. That is, while being more willing to pay to reduce travel time savings, the </w:t>
      </w:r>
      <w:r w:rsidR="00155ACA" w:rsidRPr="004811C9">
        <w:rPr>
          <w:rFonts w:cs="Times New Roman"/>
          <w:i/>
          <w:iCs/>
        </w:rPr>
        <w:t>cVTTS</w:t>
      </w:r>
      <w:r w:rsidR="00155ACA" w:rsidRPr="004811C9">
        <w:rPr>
          <w:rFonts w:cs="Times New Roman"/>
        </w:rPr>
        <w:t xml:space="preserve"> conditional on </w:t>
      </w:r>
      <w:r w:rsidR="00D0108D">
        <w:rPr>
          <w:rFonts w:cs="Times New Roman"/>
        </w:rPr>
        <w:t>willingness to pay</w:t>
      </w:r>
      <w:r w:rsidR="00155ACA">
        <w:rPr>
          <w:rFonts w:cs="Times New Roman"/>
        </w:rPr>
        <w:t xml:space="preserve"> can be lower for some population groups and some travel contexts. </w:t>
      </w:r>
    </w:p>
    <w:p w14:paraId="1555805B" w14:textId="2626DBA4" w:rsidR="00730659" w:rsidRPr="004811C9" w:rsidRDefault="00730659" w:rsidP="00027FE5">
      <w:pPr>
        <w:spacing w:after="0" w:line="240" w:lineRule="auto"/>
        <w:jc w:val="both"/>
        <w:rPr>
          <w:rFonts w:cs="Times New Roman"/>
        </w:rPr>
      </w:pPr>
    </w:p>
    <w:p w14:paraId="0EC10A4C" w14:textId="706EE1B3" w:rsidR="00882957" w:rsidRPr="004811C9" w:rsidRDefault="00882957" w:rsidP="00882957">
      <w:pPr>
        <w:spacing w:after="0" w:line="240" w:lineRule="auto"/>
        <w:jc w:val="both"/>
        <w:rPr>
          <w:rFonts w:cs="Times New Roman"/>
          <w:b/>
          <w:bCs/>
        </w:rPr>
      </w:pPr>
      <w:r w:rsidRPr="004811C9">
        <w:rPr>
          <w:rFonts w:cs="Times New Roman"/>
          <w:b/>
          <w:bCs/>
        </w:rPr>
        <w:t>5.</w:t>
      </w:r>
      <w:r w:rsidR="002200E4" w:rsidRPr="004811C9">
        <w:rPr>
          <w:rFonts w:cs="Times New Roman"/>
          <w:b/>
          <w:bCs/>
        </w:rPr>
        <w:t>2</w:t>
      </w:r>
      <w:r w:rsidRPr="004811C9">
        <w:rPr>
          <w:rFonts w:cs="Times New Roman"/>
          <w:b/>
          <w:bCs/>
        </w:rPr>
        <w:t xml:space="preserve"> </w:t>
      </w:r>
      <w:r w:rsidR="00B75BF5" w:rsidRPr="004811C9">
        <w:rPr>
          <w:rFonts w:cs="Times New Roman"/>
          <w:b/>
          <w:bCs/>
        </w:rPr>
        <w:t>WTP and VTTS Heterogeneity Across Population Subgroups</w:t>
      </w:r>
    </w:p>
    <w:p w14:paraId="1EB4BD0F" w14:textId="19E32104" w:rsidR="00882957" w:rsidRPr="004811C9" w:rsidRDefault="00882957" w:rsidP="00882957">
      <w:pPr>
        <w:spacing w:after="0" w:line="240" w:lineRule="auto"/>
        <w:jc w:val="both"/>
        <w:rPr>
          <w:rFonts w:cs="Times New Roman"/>
        </w:rPr>
      </w:pPr>
      <w:r w:rsidRPr="004811C9">
        <w:rPr>
          <w:rFonts w:cs="Times New Roman"/>
        </w:rPr>
        <w:t xml:space="preserve">As may be observed in the upper panel of Table 3, the valuation of travel time savings varies significantly across demographic groups, implying that the benefits of transportation investments are not evenly distributed. In particular, women, younger individuals, </w:t>
      </w:r>
      <w:r w:rsidR="00B75BF5" w:rsidRPr="004811C9">
        <w:rPr>
          <w:rFonts w:cs="Times New Roman"/>
        </w:rPr>
        <w:t xml:space="preserve">those with low formal education, </w:t>
      </w:r>
      <w:r w:rsidRPr="004811C9">
        <w:rPr>
          <w:rFonts w:cs="Times New Roman"/>
        </w:rPr>
        <w:t xml:space="preserve">those not living alone </w:t>
      </w:r>
      <w:r w:rsidR="00B75BF5" w:rsidRPr="004811C9">
        <w:rPr>
          <w:rFonts w:cs="Times New Roman"/>
        </w:rPr>
        <w:t xml:space="preserve">and with no children in the household, and employed </w:t>
      </w:r>
      <w:r w:rsidR="00273229" w:rsidRPr="004811C9">
        <w:rPr>
          <w:rFonts w:cs="Times New Roman"/>
        </w:rPr>
        <w:t xml:space="preserve">individuals </w:t>
      </w:r>
      <w:r w:rsidRPr="004811C9">
        <w:rPr>
          <w:rFonts w:cs="Times New Roman"/>
        </w:rPr>
        <w:t xml:space="preserve">exhibit a high WTP and a high VTTS, </w:t>
      </w:r>
      <w:r w:rsidR="00A757B4" w:rsidRPr="004811C9">
        <w:rPr>
          <w:rFonts w:cs="Times New Roman"/>
        </w:rPr>
        <w:t>while</w:t>
      </w:r>
      <w:r w:rsidRPr="004811C9">
        <w:rPr>
          <w:rFonts w:cs="Times New Roman"/>
        </w:rPr>
        <w:t xml:space="preserve"> adults with children </w:t>
      </w:r>
      <w:r w:rsidR="00A757B4" w:rsidRPr="004811C9">
        <w:rPr>
          <w:rFonts w:cs="Times New Roman"/>
        </w:rPr>
        <w:t>in the household also indicate a high VTTS even if a rather low WTP</w:t>
      </w:r>
      <w:r w:rsidRPr="004811C9">
        <w:rPr>
          <w:rFonts w:cs="Times New Roman"/>
        </w:rPr>
        <w:t>. This indicates that</w:t>
      </w:r>
      <w:r w:rsidR="00A757B4" w:rsidRPr="004811C9">
        <w:rPr>
          <w:rFonts w:cs="Times New Roman"/>
        </w:rPr>
        <w:t xml:space="preserve"> </w:t>
      </w:r>
      <w:r w:rsidRPr="004811C9">
        <w:rPr>
          <w:rFonts w:cs="Times New Roman"/>
        </w:rPr>
        <w:t xml:space="preserve">transportation investments </w:t>
      </w:r>
      <w:r w:rsidR="00A757B4" w:rsidRPr="004811C9">
        <w:rPr>
          <w:rFonts w:cs="Times New Roman"/>
        </w:rPr>
        <w:t>in</w:t>
      </w:r>
      <w:r w:rsidRPr="004811C9">
        <w:rPr>
          <w:rFonts w:cs="Times New Roman"/>
        </w:rPr>
        <w:t xml:space="preserve"> areas more</w:t>
      </w:r>
      <w:r w:rsidR="00A757B4" w:rsidRPr="004811C9">
        <w:rPr>
          <w:rFonts w:cs="Times New Roman"/>
        </w:rPr>
        <w:t xml:space="preserve"> </w:t>
      </w:r>
      <w:r w:rsidRPr="004811C9">
        <w:rPr>
          <w:rFonts w:cs="Times New Roman"/>
        </w:rPr>
        <w:t>frequented by these individuals would be beneficial</w:t>
      </w:r>
      <w:r w:rsidR="00A757B4" w:rsidRPr="004811C9">
        <w:rPr>
          <w:rFonts w:cs="Times New Roman"/>
        </w:rPr>
        <w:t xml:space="preserve">, </w:t>
      </w:r>
      <w:r w:rsidRPr="004811C9">
        <w:rPr>
          <w:rFonts w:cs="Times New Roman"/>
        </w:rPr>
        <w:t>includ</w:t>
      </w:r>
      <w:r w:rsidR="008D3A05">
        <w:rPr>
          <w:rFonts w:cs="Times New Roman"/>
        </w:rPr>
        <w:t>ing</w:t>
      </w:r>
      <w:r w:rsidRPr="004811C9">
        <w:rPr>
          <w:rFonts w:cs="Times New Roman"/>
        </w:rPr>
        <w:t xml:space="preserve"> improving travel infrastructure around schools</w:t>
      </w:r>
      <w:r w:rsidR="00B75BF5" w:rsidRPr="004811C9">
        <w:rPr>
          <w:rFonts w:cs="Times New Roman"/>
        </w:rPr>
        <w:t xml:space="preserve"> and employment centers,</w:t>
      </w:r>
      <w:r w:rsidRPr="004811C9">
        <w:rPr>
          <w:rFonts w:cs="Times New Roman"/>
        </w:rPr>
        <w:t xml:space="preserve"> as well as considering the addition of carpool lanes that may be used by families with children. Further, emphasizing </w:t>
      </w:r>
      <w:r w:rsidR="00B75BF5" w:rsidRPr="004811C9">
        <w:rPr>
          <w:rFonts w:cs="Times New Roman"/>
        </w:rPr>
        <w:t xml:space="preserve">land-use </w:t>
      </w:r>
      <w:r w:rsidRPr="004811C9">
        <w:rPr>
          <w:rFonts w:cs="Times New Roman"/>
        </w:rPr>
        <w:t xml:space="preserve">connectivity </w:t>
      </w:r>
      <w:r w:rsidR="00B75BF5" w:rsidRPr="004811C9">
        <w:rPr>
          <w:rFonts w:cs="Times New Roman"/>
        </w:rPr>
        <w:t xml:space="preserve">for efficient participation in multiple activities in close proximity </w:t>
      </w:r>
      <w:r w:rsidRPr="004811C9">
        <w:rPr>
          <w:rFonts w:cs="Times New Roman"/>
        </w:rPr>
        <w:t>rather than purely capacity expansions is likely to have</w:t>
      </w:r>
      <w:r w:rsidR="00B75BF5" w:rsidRPr="004811C9">
        <w:rPr>
          <w:rFonts w:cs="Times New Roman"/>
        </w:rPr>
        <w:t xml:space="preserve"> </w:t>
      </w:r>
      <w:r w:rsidRPr="004811C9">
        <w:rPr>
          <w:rFonts w:cs="Times New Roman"/>
        </w:rPr>
        <w:t xml:space="preserve">significant impacts for families with children who undertake more trip-chaining. </w:t>
      </w:r>
    </w:p>
    <w:p w14:paraId="3BC4FA3F" w14:textId="67E4601B" w:rsidR="00882957" w:rsidRDefault="00882957" w:rsidP="00882957">
      <w:pPr>
        <w:spacing w:after="0" w:line="240" w:lineRule="auto"/>
        <w:jc w:val="both"/>
        <w:rPr>
          <w:rFonts w:cs="Times New Roman"/>
        </w:rPr>
      </w:pPr>
      <w:r w:rsidRPr="004811C9">
        <w:rPr>
          <w:rFonts w:cs="Times New Roman"/>
        </w:rPr>
        <w:tab/>
      </w:r>
      <w:r w:rsidR="00A757B4" w:rsidRPr="004811C9">
        <w:rPr>
          <w:rFonts w:cs="Times New Roman"/>
        </w:rPr>
        <w:t xml:space="preserve">The results also reveal </w:t>
      </w:r>
      <w:r w:rsidRPr="004811C9">
        <w:rPr>
          <w:rFonts w:cs="Times New Roman"/>
        </w:rPr>
        <w:t xml:space="preserve">that individuals whose household income is less than 2.5 million rupees have a </w:t>
      </w:r>
      <w:r w:rsidR="00936C35" w:rsidRPr="004811C9">
        <w:rPr>
          <w:rFonts w:cs="Times New Roman"/>
        </w:rPr>
        <w:t xml:space="preserve">low WTP, but a </w:t>
      </w:r>
      <w:r w:rsidRPr="004811C9">
        <w:rPr>
          <w:rFonts w:cs="Times New Roman"/>
        </w:rPr>
        <w:t>higher</w:t>
      </w:r>
      <w:r w:rsidR="00A757B4" w:rsidRPr="004811C9">
        <w:rPr>
          <w:rFonts w:cs="Times New Roman"/>
        </w:rPr>
        <w:t xml:space="preserve"> </w:t>
      </w:r>
      <w:r w:rsidR="00936C35" w:rsidRPr="004811C9">
        <w:rPr>
          <w:rFonts w:cs="Times New Roman"/>
        </w:rPr>
        <w:t>overall</w:t>
      </w:r>
      <w:r w:rsidRPr="004811C9">
        <w:rPr>
          <w:rFonts w:cs="Times New Roman"/>
        </w:rPr>
        <w:t xml:space="preserve"> VTTS compared to those with higher incomes. This contrasts with many existing findings suggesting that VTTS generally increases with income </w:t>
      </w:r>
      <w:r w:rsidRPr="004811C9">
        <w:rPr>
          <w:rFonts w:cs="Times New Roman"/>
        </w:rPr>
        <w:fldChar w:fldCharType="begin"/>
      </w:r>
      <w:r w:rsidR="008345D7">
        <w:rPr>
          <w:rFonts w:cs="Times New Roman"/>
        </w:rPr>
        <w:instrText xml:space="preserve"> ADDIN ZOTERO_ITEM CSL_CITATION {"citationID":"REcWYAaG","properties":{"unsorted":true,"formattedCitation":"(Jara-Diaz and Guevara, 2003; B\\uc0\\u246{}rjesson et al., 2012; Athira et al., 2016; Binsuwadan et al., 2023)","plainCitation":"(Jara-Diaz and Guevara, 2003; Börjesson et al., 2012; Athira et al., 2016; Binsuwadan et al., 2023)","dontUpdate":true,"noteIndex":0},"citationItems":[{"id":4908,"uris":["http://zotero.org/users/12832277/items/TZ95435N"],"itemData":{"id":4908,"type":"article-journal","abstract":"Many travel choice models estimated throughout the world have been used to calculate the full value of travel time savings. Its components, however, have never been estimated quantitatively. This article takes into consideration the fact that travel (mode) choice and activity demand models come from a common microeconomic framework such that their specifications are linked. The authors show that estimating both types of models from the same population makes it possible to obtain all components of the subjective value of travel time savings empirically because the models share some common parameters. This novel approach is experimentally applied using information on travel choices and homework activities for two income groups collected in Santiago, Chile.","container-title":"Journal of Transport Economics and Policy (JTEP)","issue":"1","page":"29-46","source":"IngentaConnect","title":"Behind the Subjective Value of Travel Time Savings","volume":"37","author":[{"family":"Jara-Diaz","given":"Sergio R."},{"family":"Guevara","given":"Cristián A."}],"issued":{"date-parts":[["2003",1,1]]}}},{"id":4910,"uris":["http://zotero.org/users/12832277/items/7Y2Z6KL9"],"itemData":{"id":4910,"type":"article-journal","abstract":"Transport infrastructure is long-term and in appraisal it is necessary to value travel time savings for future years. This requires knowing how the value of time (VTT) will develop over time as incomes grow. This paper investigates if the cross-sectional income elasticity of the VTT is equal to inter-temporal income elasticity. The study is based on two identical stated choice experiments conducted with a 13year interval. Results indicate that the relationship between income and the VTT in the cross-section has remained unchanged over time. As a consequence, the inter-temporal income elasticity of the VTT can be predicted based on cross-sectional income elasticity. However, the income elasticity of the VTT is not a constant but increases with income. For this reason, the average income elasticity of the VTT in the cross-sections has increased between the two survey years and can be expected to increase further over time.","container-title":"Transportation Research Part A: Policy and Practice","DOI":"10.1016/j.tra.2011.10.007","ISSN":"0965-8564","issue":"2","page":"368-377","source":"ScienceDirect","title":"On the Income Elasticity of the Value of Travel Time","volume":"46","author":[{"family":"Börjesson","given":"Maria"},{"family":"Fosgerau","given":"Mogens"},{"family":"Algers","given":"Staffan"}],"issued":{"date-parts":[["2012",2,1]]}}},{"id":4539,"uris":["http://zotero.org/users/12832277/items/IIMREUBE"],"itemData":{"id":4539,"type":"paper-conference","abstract":"Value of travel time (VOT) is one of the key inputs to travel demand models and is important for management and appraisal of transport investment decisions. The value of travel time can be defined as the price people are willing to pay to acquire an additional unit of time. Value of travel time has most often been determined by estimating mode choice models and evaluating marginal rate of substitution between the cost and travel time of the alternative modes. This study is aimed to find out the value of travel time associated with work trips of travellers within Calicut city. It refers to the concept of willingness to pay for reduction of travel time. Data were collected by means of combined revealed - stated preference survey on representative sample of population in Calicut city by work place interview. Stated preference experiment was designed to capture the responses for estimating VOT values for work trips. Responses in the form of “choice” among the presented choice alternatives were utilized to develop utility models and the estimated coefficients from the developed models were used to estimate VOT measures. The results indicate that the VOT associated with work trips is higher in high income groups. As income increases VOT also increases. Similarly, trip length also has a positive influence on VOT. As trip length increases, VOT increases. Within the same trip length itself, VOT varies among different income groups.","container-title":"Transportation Research Procedia","DOI":"10.1016/j.trpro.2016.11.067","event-title":"International Conference on Transportation Planning and Implementation Methodologies for Developing Countries (12th TPMDC)","page":"116-123","publisher-place":"IIT Bombay, Mumbai, India","source":"ScienceDirect","title":"Estimation of Value of Travel Time for Work Trips","URL":"https://www.sciencedirect.com/science/article/pii/S2352146516306810","volume":"17","author":[{"family":"Athira","given":"I. C."},{"family":"Muneera","given":"C. P."},{"family":"Krishnamurthy","given":"K."},{"family":"Anjaneyulu","given":"M. V. L. R."}],"accessed":{"date-parts":[["2025",5,15]]},"issued":{"date-parts":[["2016",1,1]]}}},{"id":4794,"uris":["http://zotero.org/users/12832277/items/2U8QUE82"],"itemData":{"id":4794,"type":"article-journal","abstract":"The value of travel time savings (VTTS) is an important concept used in cost-benefit analyses for project appraisals and demand modelling in the transport sector. The relationship between the VTTS and income is particularly important since it underpins how official VTTS recommendations are uplifted over time as incomes grow. The income elasticity of VTTS has been investigated in many empirical studies, exhibiting considerable variation across them. Notably, repeat studies tend to find the lowest implied income effects and meta-analyses the largest income elasticities, with those obtained from cross-sectional inter-personal comparisons somewhere between. This paper aims to explain the VTTS variation in terms of an individual's or household's income level by using the meta-analysis technique. The analysis covers 268 income elasticities of the VTTS extracted from 49 studies conducted from 1968 to 2019 in countries across the globe. The meta-analysis method determines the factors that influence these income elasticity variations. The results of the meta-model highlight that the variation of the income elasticity is explained by several factors, including income levels, the transport mode, personal or household income, inter-temporal or cross-sectional elasticity, journey purpose and year of the survey, shedding light on how the VTTS income elasticity varies across different sources.","container-title":"Transport Policy","DOI":"10.1016/j.tranpol.2023.03.013","ISSN":"0967-070X","page":"126-136","source":"ScienceDirect","title":"The Income Elasticity of the Value of Travel Time Savings: A Meta-Analysis","volume":"136","author":[{"family":"Binsuwadan","given":"Jawaher"},{"family":"Wardman","given":"Mark"},{"family":"Jong","given":"Gerard","non-dropping-particle":"de"},{"family":"Batley","given":"Richard"},{"family":"Wheat","given":"Phill"}],"issued":{"date-parts":[["2023",6,1]]}}}],"schema":"https://github.com/citation-style-language/schema/raw/master/csl-citation.json"} </w:instrText>
      </w:r>
      <w:r w:rsidRPr="004811C9">
        <w:rPr>
          <w:rFonts w:cs="Times New Roman"/>
        </w:rPr>
        <w:fldChar w:fldCharType="separate"/>
      </w:r>
      <w:r w:rsidRPr="004811C9">
        <w:rPr>
          <w:rFonts w:cs="Times New Roman"/>
          <w:kern w:val="0"/>
        </w:rPr>
        <w:t>(see, for example, Jara-Diaz and Guevara, 2003; Börjesson et al., 2012; Athira et al., 2016; Binsuwadan et al., 2023)</w:t>
      </w:r>
      <w:r w:rsidRPr="004811C9">
        <w:rPr>
          <w:rFonts w:cs="Times New Roman"/>
        </w:rPr>
        <w:fldChar w:fldCharType="end"/>
      </w:r>
      <w:r w:rsidRPr="004811C9">
        <w:rPr>
          <w:rFonts w:cs="Times New Roman"/>
        </w:rPr>
        <w:t xml:space="preserve">. However, we should note that even an income of 2.5 million rupees is relatively high in the context of </w:t>
      </w:r>
      <w:r w:rsidR="00D23D0E" w:rsidRPr="004811C9">
        <w:rPr>
          <w:rFonts w:cs="Times New Roman"/>
        </w:rPr>
        <w:t>Mumbai,</w:t>
      </w:r>
      <w:r w:rsidRPr="004811C9">
        <w:rPr>
          <w:rFonts w:cs="Times New Roman"/>
        </w:rPr>
        <w:t xml:space="preserve"> and the sample consists of a relatively small number of low-income individuals who travel using the private modes considered. Thus, this result may reflect the notable freedom that the highest-earning households have in terms of scheduling flexibility and relatively fewer travel constraints compared with others. Still, the results suggest that there is strong interest in reducing travel times even among lower-income individuals, highlighting the significant, growing, and unevenly distributed impacts of traffic congestion in Mumbai </w:t>
      </w:r>
      <w:r w:rsidRPr="004811C9">
        <w:rPr>
          <w:rFonts w:cs="Times New Roman"/>
        </w:rPr>
        <w:fldChar w:fldCharType="begin"/>
      </w:r>
      <w:r w:rsidRPr="004811C9">
        <w:rPr>
          <w:rFonts w:cs="Times New Roman"/>
        </w:rPr>
        <w:instrText xml:space="preserve"> ADDIN ZOTERO_ITEM CSL_CITATION {"citationID":"f4e7w5CF","properties":{"formattedCitation":"({\\i{}Comprehensive Mobility Plan (CMP) for Greater Mumbai}, 2016; Salunke and Bang, 2024)","plainCitation":"(Comprehensive Mobility Plan (CMP) for Greater Mumbai, 2016; Salunke and Bang, 2024)","dontUpdate":true,"noteIndex":0},"citationItems":[{"id":5004,"uris":["http://zotero.org/users/12832277/items/MZNFR4HM"],"itemData":{"id":5004,"type":"report","publisher":"Municipal Corporate of Greater Mumbai","title":"Comprehensive Mobility Plan (CMP) for Greater Mumbai","URL":"https://portal.mcgm.gov.in/irj/go/km/docs/documents/MCGM%20Department%20List/Roads%20and%20Traffic/Docs/CMP%20for%20Greater%20Mumbai/Executive%20Summary/Executive%20Summary.pdf","issued":{"date-parts":[["2016"]]}}},{"id":5042,"uris":["http://zotero.org/users/12832277/items/Q5D9S95E"],"itemData":{"id":5042,"type":"paper-conference","abstract":"In the rapidly urbanizing landscape of Mumbai, a megacity confronted with significant traffic management and law enforcement challenges, the deployment of an advanced city surveillance system represents a transformative approach to urban governance. This paper examines the integration of over 11,000 CCTV cameras into the Mumbai Traffic Police's operational framework, covering an area of 438 square kilometers encompassing 41 traffic divisions and 94 police stations. Since its inception in 2016, the system has been pivotal in enhancing safety, order, and mobility within the city, especially amid obstacles such as ongoing infrastructure projects, traffic congestion, accidents, and natural disasters. Central to this study is the analysis of the Mumbai City Surveillance System Project (MCSP), which leverages CCTV technology to generate and classify Incident Reports (IR) based on severity, ranging from minor disruptions to significant emergencies. The period from October 2021 to 2023 saw a marked increase in IR generation, from 742 reports in 2021 to 10,392 in 2022 and 9,639 in 2023, indicating the system's growing efficacy in real-time traffic management and incident response.This paper further explores the cutting-edge integration of Artificial Intelligence (AI) and Internet of Things (IoT) technologies within the MCSP framework, highlighting the role of computational intelligence in enhancing the capabilities of Intelligent Transportation Systems (ITS). By employing AI-driven predictive analytics, the system effectively anticipates traffic conditions based on diverse variables such as traffic flow, vehicle speed, and weather, thereby optimizing traffic management strategies.The findings underscore the significant impact of AI and IoT technologies in redefining urban transportation networks, demonstrating improved efficiency, safety, and resilience in the face of Mumbai's complex transportation challenges. This study contributes to the discourse on smart city initiatives, offering insights into the role of advanced computational technologies in facilitating intelligent transportation solutions and shaping the future of urban living.","container-title":"2024 International Conference on Trends in Quantum Computing and Emerging Business Technologies","DOI":"10.1109/TQCEBT59414.2024.10545276","event-title":"2024 International Conference on Trends in Quantum Computing and Emerging Business Technologies","page":"1-5","source":"IEEE Xplore","title":"Enhancing Traffic Incident Management and Regulatory Compliance Using IoT and Itms: A Mumbai Traffic Police Case Study","URL":"https://ieeexplore.ieee.org/document/10545276","author":[{"family":"Salunke","given":"Swapnil Jaywant"},{"family":"Bang","given":"Sanjay Satyanarayan"}],"accessed":{"date-parts":[["2025",7,22]]},"issued":{"date-parts":[["2024",3]]}}}],"schema":"https://github.com/citation-style-language/schema/raw/master/csl-citation.json"} </w:instrText>
      </w:r>
      <w:r w:rsidRPr="004811C9">
        <w:rPr>
          <w:rFonts w:cs="Times New Roman"/>
        </w:rPr>
        <w:fldChar w:fldCharType="separate"/>
      </w:r>
      <w:r w:rsidRPr="004811C9">
        <w:rPr>
          <w:rFonts w:cs="Times New Roman"/>
          <w:kern w:val="0"/>
        </w:rPr>
        <w:t xml:space="preserve">(see </w:t>
      </w:r>
      <w:r w:rsidRPr="004811C9">
        <w:rPr>
          <w:rFonts w:cs="Times New Roman"/>
          <w:i/>
          <w:iCs/>
          <w:kern w:val="0"/>
        </w:rPr>
        <w:t>Comprehensive Mobility Plan (CMP) for Greater Mumbai</w:t>
      </w:r>
      <w:r w:rsidRPr="004811C9">
        <w:rPr>
          <w:rFonts w:cs="Times New Roman"/>
          <w:kern w:val="0"/>
        </w:rPr>
        <w:t>, 2016; Salunke and Bang, 2024)</w:t>
      </w:r>
      <w:r w:rsidRPr="004811C9">
        <w:rPr>
          <w:rFonts w:cs="Times New Roman"/>
        </w:rPr>
        <w:fldChar w:fldCharType="end"/>
      </w:r>
      <w:r w:rsidRPr="004811C9">
        <w:rPr>
          <w:rFonts w:cs="Times New Roman"/>
        </w:rPr>
        <w:t xml:space="preserve">. </w:t>
      </w:r>
      <w:r w:rsidR="00B75BF5" w:rsidRPr="004811C9">
        <w:rPr>
          <w:rFonts w:cs="Times New Roman"/>
        </w:rPr>
        <w:t>G</w:t>
      </w:r>
      <w:r w:rsidRPr="004811C9">
        <w:rPr>
          <w:rFonts w:cs="Times New Roman"/>
        </w:rPr>
        <w:t xml:space="preserve">iven the high interest in travel time reduction among lower-income populations as well as equity issues surrounding the introduction of priced lanes, the implementation of income-graduated toll caps or means-tested discount programs </w:t>
      </w:r>
      <w:r w:rsidR="00C22D09" w:rsidRPr="004811C9">
        <w:rPr>
          <w:rFonts w:cs="Times New Roman"/>
        </w:rPr>
        <w:t>(which place an upper limit on the toll cost for low-income individual</w:t>
      </w:r>
      <w:r w:rsidR="00AC5410" w:rsidRPr="004811C9">
        <w:rPr>
          <w:rFonts w:cs="Times New Roman"/>
        </w:rPr>
        <w:t>s</w:t>
      </w:r>
      <w:r w:rsidR="00273229" w:rsidRPr="004811C9">
        <w:rPr>
          <w:rFonts w:cs="Times New Roman"/>
        </w:rPr>
        <w:t xml:space="preserve"> or</w:t>
      </w:r>
      <w:r w:rsidR="00C22D09" w:rsidRPr="004811C9">
        <w:rPr>
          <w:rFonts w:cs="Times New Roman"/>
        </w:rPr>
        <w:t xml:space="preserve"> offer tiered discounts based on income level </w:t>
      </w:r>
      <w:r w:rsidR="00AC5410" w:rsidRPr="004811C9">
        <w:rPr>
          <w:rFonts w:cs="Times New Roman"/>
        </w:rPr>
        <w:t>or other measures of hardship)</w:t>
      </w:r>
      <w:r w:rsidR="00A757B4" w:rsidRPr="004811C9">
        <w:rPr>
          <w:rFonts w:cs="Times New Roman"/>
        </w:rPr>
        <w:t xml:space="preserve"> </w:t>
      </w:r>
      <w:r w:rsidRPr="004811C9">
        <w:rPr>
          <w:rFonts w:cs="Times New Roman"/>
        </w:rPr>
        <w:t>present good options for pricing implementations. These types of income</w:t>
      </w:r>
      <w:r w:rsidR="00A757B4" w:rsidRPr="004811C9">
        <w:rPr>
          <w:rFonts w:cs="Times New Roman"/>
        </w:rPr>
        <w:t>-based</w:t>
      </w:r>
      <w:r w:rsidRPr="004811C9">
        <w:rPr>
          <w:rFonts w:cs="Times New Roman"/>
        </w:rPr>
        <w:t xml:space="preserve"> programs offer travel time savings for individuals across all income groups without placing an undue burden on lower-income individuals.</w:t>
      </w:r>
      <w:r w:rsidR="00296D2D" w:rsidRPr="00F16FEB">
        <w:rPr>
          <w:rStyle w:val="FootnoteReference"/>
        </w:rPr>
        <w:footnoteReference w:id="8"/>
      </w:r>
      <w:r w:rsidR="00AC5410" w:rsidRPr="004811C9">
        <w:rPr>
          <w:rFonts w:cs="Times New Roman"/>
        </w:rPr>
        <w:t xml:space="preserve">  </w:t>
      </w:r>
      <w:r w:rsidRPr="004811C9">
        <w:rPr>
          <w:rFonts w:cs="Times New Roman"/>
        </w:rPr>
        <w:t xml:space="preserve">Additionally, directing toll revenues to programs benefiting lower-income travelers, including improvements for active transportation infrastructure and public transportation, may help to provide additional high-quality transportation </w:t>
      </w:r>
      <w:r w:rsidR="00273229" w:rsidRPr="004811C9">
        <w:rPr>
          <w:rFonts w:cs="Times New Roman"/>
        </w:rPr>
        <w:t>alternatives</w:t>
      </w:r>
      <w:r w:rsidRPr="004811C9">
        <w:rPr>
          <w:rFonts w:cs="Times New Roman"/>
        </w:rPr>
        <w:t xml:space="preserve"> for these travelers</w:t>
      </w:r>
      <w:r w:rsidR="00AC5410" w:rsidRPr="004811C9">
        <w:rPr>
          <w:rFonts w:cs="Times New Roman"/>
        </w:rPr>
        <w:t>.</w:t>
      </w:r>
    </w:p>
    <w:p w14:paraId="75821993" w14:textId="77777777" w:rsidR="008B244F" w:rsidRDefault="008B244F" w:rsidP="006C4B31">
      <w:pPr>
        <w:spacing w:after="0"/>
        <w:rPr>
          <w:rFonts w:cs="Times New Roman"/>
          <w:b/>
          <w:bCs/>
        </w:rPr>
      </w:pPr>
    </w:p>
    <w:p w14:paraId="0201022D" w14:textId="66877436" w:rsidR="00E00EE0" w:rsidRPr="004811C9" w:rsidRDefault="00B671BC" w:rsidP="008B244F">
      <w:pPr>
        <w:spacing w:after="0"/>
        <w:rPr>
          <w:rFonts w:cs="Times New Roman"/>
          <w:b/>
          <w:bCs/>
        </w:rPr>
      </w:pPr>
      <w:r w:rsidRPr="004811C9">
        <w:rPr>
          <w:rFonts w:cs="Times New Roman"/>
          <w:b/>
          <w:bCs/>
        </w:rPr>
        <w:t>5.</w:t>
      </w:r>
      <w:r w:rsidR="002200E4" w:rsidRPr="004811C9">
        <w:rPr>
          <w:rFonts w:cs="Times New Roman"/>
          <w:b/>
          <w:bCs/>
        </w:rPr>
        <w:t>3</w:t>
      </w:r>
      <w:r w:rsidRPr="004811C9">
        <w:rPr>
          <w:rFonts w:cs="Times New Roman"/>
          <w:b/>
          <w:bCs/>
        </w:rPr>
        <w:t xml:space="preserve"> </w:t>
      </w:r>
      <w:r w:rsidR="00FD6656" w:rsidRPr="004811C9">
        <w:rPr>
          <w:rFonts w:cs="Times New Roman"/>
          <w:b/>
          <w:bCs/>
        </w:rPr>
        <w:t>Prioritization</w:t>
      </w:r>
      <w:r w:rsidRPr="004811C9">
        <w:rPr>
          <w:rFonts w:cs="Times New Roman"/>
          <w:b/>
          <w:bCs/>
        </w:rPr>
        <w:t xml:space="preserve"> of </w:t>
      </w:r>
      <w:r w:rsidR="00045256" w:rsidRPr="004811C9">
        <w:rPr>
          <w:rFonts w:cs="Times New Roman"/>
          <w:b/>
          <w:bCs/>
        </w:rPr>
        <w:t xml:space="preserve">Travel </w:t>
      </w:r>
      <w:r w:rsidRPr="004811C9">
        <w:rPr>
          <w:rFonts w:cs="Times New Roman"/>
          <w:b/>
          <w:bCs/>
        </w:rPr>
        <w:t xml:space="preserve">Time </w:t>
      </w:r>
      <w:r w:rsidR="00FD6656" w:rsidRPr="004811C9">
        <w:rPr>
          <w:rFonts w:cs="Times New Roman"/>
          <w:b/>
          <w:bCs/>
        </w:rPr>
        <w:t>Savings</w:t>
      </w:r>
      <w:r w:rsidRPr="004811C9">
        <w:rPr>
          <w:rFonts w:cs="Times New Roman"/>
          <w:b/>
          <w:bCs/>
        </w:rPr>
        <w:t xml:space="preserve"> </w:t>
      </w:r>
      <w:r w:rsidR="00B75BF5" w:rsidRPr="004811C9">
        <w:rPr>
          <w:rFonts w:cs="Times New Roman"/>
          <w:b/>
          <w:bCs/>
        </w:rPr>
        <w:t>by Trip Purposes, Modes, and Times-of-</w:t>
      </w:r>
      <w:r w:rsidR="00AC5410" w:rsidRPr="004811C9">
        <w:rPr>
          <w:rFonts w:cs="Times New Roman"/>
          <w:b/>
          <w:bCs/>
        </w:rPr>
        <w:t>D</w:t>
      </w:r>
      <w:r w:rsidR="00B75BF5" w:rsidRPr="004811C9">
        <w:rPr>
          <w:rFonts w:cs="Times New Roman"/>
          <w:b/>
          <w:bCs/>
        </w:rPr>
        <w:t>ay</w:t>
      </w:r>
    </w:p>
    <w:p w14:paraId="4C6AAE71" w14:textId="5415CDFB" w:rsidR="00F71AAF" w:rsidRPr="004811C9" w:rsidRDefault="00E00EE0" w:rsidP="005305B5">
      <w:pPr>
        <w:spacing w:after="0" w:line="240" w:lineRule="auto"/>
        <w:jc w:val="both"/>
        <w:rPr>
          <w:rFonts w:cs="Times New Roman"/>
        </w:rPr>
      </w:pPr>
      <w:r w:rsidRPr="004811C9">
        <w:rPr>
          <w:rFonts w:cs="Times New Roman"/>
        </w:rPr>
        <w:t xml:space="preserve">The substantially higher VTTS among those traveling </w:t>
      </w:r>
      <w:r w:rsidR="00ED4913" w:rsidRPr="004811C9">
        <w:rPr>
          <w:rFonts w:cs="Times New Roman"/>
        </w:rPr>
        <w:t>for work</w:t>
      </w:r>
      <w:r w:rsidR="00A757B4" w:rsidRPr="004811C9">
        <w:rPr>
          <w:rFonts w:cs="Times New Roman"/>
        </w:rPr>
        <w:t>/</w:t>
      </w:r>
      <w:r w:rsidR="00ED4913" w:rsidRPr="004811C9">
        <w:rPr>
          <w:rFonts w:cs="Times New Roman"/>
        </w:rPr>
        <w:t>education</w:t>
      </w:r>
      <w:r w:rsidR="00A757B4" w:rsidRPr="004811C9">
        <w:rPr>
          <w:rFonts w:cs="Times New Roman"/>
        </w:rPr>
        <w:t xml:space="preserve"> </w:t>
      </w:r>
      <w:r w:rsidR="00ED4913" w:rsidRPr="004811C9">
        <w:rPr>
          <w:rFonts w:cs="Times New Roman"/>
        </w:rPr>
        <w:t xml:space="preserve">by car before 9:30 am </w:t>
      </w:r>
      <w:r w:rsidR="00A757B4" w:rsidRPr="004811C9">
        <w:rPr>
          <w:rFonts w:cs="Times New Roman"/>
        </w:rPr>
        <w:t xml:space="preserve">(relative to </w:t>
      </w:r>
      <w:r w:rsidR="00ED4913" w:rsidRPr="004811C9">
        <w:rPr>
          <w:rFonts w:cs="Times New Roman"/>
        </w:rPr>
        <w:t>other trip</w:t>
      </w:r>
      <w:r w:rsidR="00A757B4" w:rsidRPr="004811C9">
        <w:rPr>
          <w:rFonts w:cs="Times New Roman"/>
        </w:rPr>
        <w:t xml:space="preserve"> purpose-mode-time of day combinations), as reflected in the lower panel of Table 3</w:t>
      </w:r>
      <w:r w:rsidR="00B75BF5" w:rsidRPr="004811C9">
        <w:rPr>
          <w:rFonts w:cs="Times New Roman"/>
        </w:rPr>
        <w:t xml:space="preserve"> labeled “Trip Characteristics</w:t>
      </w:r>
      <w:r w:rsidR="00273229" w:rsidRPr="004811C9">
        <w:rPr>
          <w:rFonts w:cs="Times New Roman"/>
        </w:rPr>
        <w:t>,</w:t>
      </w:r>
      <w:r w:rsidR="00B75BF5" w:rsidRPr="004811C9">
        <w:rPr>
          <w:rFonts w:cs="Times New Roman"/>
        </w:rPr>
        <w:t>”</w:t>
      </w:r>
      <w:r w:rsidR="00ED4913" w:rsidRPr="004811C9">
        <w:rPr>
          <w:rFonts w:cs="Times New Roman"/>
        </w:rPr>
        <w:t xml:space="preserve"> highlights the importance of prioritizing </w:t>
      </w:r>
      <w:r w:rsidR="00A757B4" w:rsidRPr="004811C9">
        <w:rPr>
          <w:rFonts w:cs="Times New Roman"/>
        </w:rPr>
        <w:t xml:space="preserve">work/education </w:t>
      </w:r>
      <w:r w:rsidR="00ED4913" w:rsidRPr="004811C9">
        <w:rPr>
          <w:rFonts w:cs="Times New Roman"/>
        </w:rPr>
        <w:t xml:space="preserve">trips </w:t>
      </w:r>
      <w:r w:rsidR="0083626F" w:rsidRPr="004811C9">
        <w:rPr>
          <w:rFonts w:cs="Times New Roman"/>
        </w:rPr>
        <w:t xml:space="preserve">during peak periods </w:t>
      </w:r>
      <w:r w:rsidR="00ED4913" w:rsidRPr="004811C9">
        <w:rPr>
          <w:rFonts w:cs="Times New Roman"/>
        </w:rPr>
        <w:t xml:space="preserve">in congestion mitigation efforts. </w:t>
      </w:r>
      <w:r w:rsidR="00F46F4C" w:rsidRPr="004811C9">
        <w:rPr>
          <w:rFonts w:cs="Times New Roman"/>
        </w:rPr>
        <w:t xml:space="preserve">Focusing on </w:t>
      </w:r>
      <w:r w:rsidR="002D0FD8" w:rsidRPr="004811C9">
        <w:rPr>
          <w:rFonts w:cs="Times New Roman"/>
        </w:rPr>
        <w:t xml:space="preserve">infrastructure development </w:t>
      </w:r>
      <w:r w:rsidR="00CD6585" w:rsidRPr="004811C9">
        <w:rPr>
          <w:rFonts w:cs="Times New Roman"/>
        </w:rPr>
        <w:t xml:space="preserve">and road pricing (both flat tolling and congestion pricing) </w:t>
      </w:r>
      <w:r w:rsidR="002D0FD8" w:rsidRPr="004811C9">
        <w:rPr>
          <w:rFonts w:cs="Times New Roman"/>
        </w:rPr>
        <w:t>in areas with high employment densities</w:t>
      </w:r>
      <w:r w:rsidR="00CD6585" w:rsidRPr="004811C9">
        <w:rPr>
          <w:rFonts w:cs="Times New Roman"/>
        </w:rPr>
        <w:t>,</w:t>
      </w:r>
      <w:r w:rsidR="00874073" w:rsidRPr="004811C9">
        <w:rPr>
          <w:rFonts w:cs="Times New Roman"/>
        </w:rPr>
        <w:t xml:space="preserve"> and </w:t>
      </w:r>
      <w:r w:rsidR="00752BBF" w:rsidRPr="004811C9">
        <w:rPr>
          <w:rFonts w:cs="Times New Roman"/>
        </w:rPr>
        <w:t>corridors</w:t>
      </w:r>
      <w:r w:rsidR="00874073" w:rsidRPr="004811C9">
        <w:rPr>
          <w:rFonts w:cs="Times New Roman"/>
        </w:rPr>
        <w:t xml:space="preserve"> used </w:t>
      </w:r>
      <w:r w:rsidR="00CD6585" w:rsidRPr="004811C9">
        <w:rPr>
          <w:rFonts w:cs="Times New Roman"/>
        </w:rPr>
        <w:t xml:space="preserve">extensively </w:t>
      </w:r>
      <w:r w:rsidR="00874073" w:rsidRPr="004811C9">
        <w:rPr>
          <w:rFonts w:cs="Times New Roman"/>
        </w:rPr>
        <w:t>for car commutes</w:t>
      </w:r>
      <w:r w:rsidR="00CD6585" w:rsidRPr="004811C9">
        <w:rPr>
          <w:rFonts w:cs="Times New Roman"/>
        </w:rPr>
        <w:t>,</w:t>
      </w:r>
      <w:r w:rsidR="002D0FD8" w:rsidRPr="004811C9">
        <w:rPr>
          <w:rFonts w:cs="Times New Roman"/>
        </w:rPr>
        <w:t xml:space="preserve"> is likely to </w:t>
      </w:r>
      <w:r w:rsidR="00752BBF" w:rsidRPr="004811C9">
        <w:rPr>
          <w:rFonts w:cs="Times New Roman"/>
        </w:rPr>
        <w:t xml:space="preserve">provide the highest return on </w:t>
      </w:r>
      <w:r w:rsidR="00752BBF" w:rsidRPr="004811C9">
        <w:rPr>
          <w:rFonts w:cs="Times New Roman"/>
        </w:rPr>
        <w:lastRenderedPageBreak/>
        <w:t>investment</w:t>
      </w:r>
      <w:r w:rsidR="00051883" w:rsidRPr="004811C9">
        <w:rPr>
          <w:rFonts w:cs="Times New Roman"/>
        </w:rPr>
        <w:t xml:space="preserve">. </w:t>
      </w:r>
      <w:r w:rsidR="00CD6585" w:rsidRPr="004811C9">
        <w:rPr>
          <w:rFonts w:cs="Times New Roman"/>
        </w:rPr>
        <w:t>Besides</w:t>
      </w:r>
      <w:r w:rsidR="00A82463" w:rsidRPr="004811C9">
        <w:rPr>
          <w:rFonts w:cs="Times New Roman"/>
        </w:rPr>
        <w:t xml:space="preserve">, </w:t>
      </w:r>
      <w:r w:rsidR="00CD6585" w:rsidRPr="004811C9">
        <w:rPr>
          <w:rFonts w:cs="Times New Roman"/>
        </w:rPr>
        <w:t xml:space="preserve">the </w:t>
      </w:r>
      <w:r w:rsidR="00A82463" w:rsidRPr="004811C9">
        <w:rPr>
          <w:rFonts w:cs="Times New Roman"/>
        </w:rPr>
        <w:t xml:space="preserve">high traffic volumes through these corridors during the morning peak period </w:t>
      </w:r>
      <w:r w:rsidR="00CD6585" w:rsidRPr="004811C9">
        <w:rPr>
          <w:rFonts w:cs="Times New Roman"/>
        </w:rPr>
        <w:t>implies</w:t>
      </w:r>
      <w:r w:rsidR="00A82463" w:rsidRPr="004811C9">
        <w:rPr>
          <w:rFonts w:cs="Times New Roman"/>
        </w:rPr>
        <w:t xml:space="preserve"> that travel time savings during this </w:t>
      </w:r>
      <w:r w:rsidR="00CD6585" w:rsidRPr="004811C9">
        <w:rPr>
          <w:rFonts w:cs="Times New Roman"/>
        </w:rPr>
        <w:t xml:space="preserve">period </w:t>
      </w:r>
      <w:r w:rsidR="00A82463" w:rsidRPr="004811C9">
        <w:rPr>
          <w:rFonts w:cs="Times New Roman"/>
        </w:rPr>
        <w:t xml:space="preserve">will be magnified across a relatively large user base. </w:t>
      </w:r>
      <w:r w:rsidR="005305B5" w:rsidRPr="004811C9">
        <w:rPr>
          <w:rFonts w:cs="Times New Roman"/>
        </w:rPr>
        <w:t>F</w:t>
      </w:r>
      <w:r w:rsidR="002C21A2" w:rsidRPr="004811C9">
        <w:rPr>
          <w:rFonts w:cs="Times New Roman"/>
        </w:rPr>
        <w:t>urther</w:t>
      </w:r>
      <w:r w:rsidR="005305B5" w:rsidRPr="004811C9">
        <w:rPr>
          <w:rFonts w:cs="Times New Roman"/>
        </w:rPr>
        <w:t>, a</w:t>
      </w:r>
      <w:r w:rsidR="001E5928" w:rsidRPr="004811C9">
        <w:rPr>
          <w:rFonts w:cs="Times New Roman"/>
        </w:rPr>
        <w:t xml:space="preserve"> significantly reduced VTTS </w:t>
      </w:r>
      <w:r w:rsidR="0081151D" w:rsidRPr="004811C9">
        <w:rPr>
          <w:rFonts w:cs="Times New Roman"/>
        </w:rPr>
        <w:t>at off-peak times compared to th</w:t>
      </w:r>
      <w:r w:rsidR="0083626F" w:rsidRPr="004811C9">
        <w:rPr>
          <w:rFonts w:cs="Times New Roman"/>
        </w:rPr>
        <w:t>e</w:t>
      </w:r>
      <w:r w:rsidR="0081151D" w:rsidRPr="004811C9">
        <w:rPr>
          <w:rFonts w:cs="Times New Roman"/>
        </w:rPr>
        <w:t xml:space="preserve"> morning peak across all modes and trip purposes indicates that congestion mitigation </w:t>
      </w:r>
      <w:r w:rsidR="00CD6585" w:rsidRPr="004811C9">
        <w:rPr>
          <w:rFonts w:cs="Times New Roman"/>
        </w:rPr>
        <w:t xml:space="preserve">and pricing </w:t>
      </w:r>
      <w:r w:rsidR="0081151D" w:rsidRPr="004811C9">
        <w:rPr>
          <w:rFonts w:cs="Times New Roman"/>
        </w:rPr>
        <w:t>efforts should be time sensitive</w:t>
      </w:r>
      <w:r w:rsidR="008F2354" w:rsidRPr="004811C9">
        <w:rPr>
          <w:rFonts w:cs="Times New Roman"/>
        </w:rPr>
        <w:t>.</w:t>
      </w:r>
      <w:r w:rsidR="002C21A2" w:rsidRPr="004811C9">
        <w:rPr>
          <w:rFonts w:cs="Times New Roman"/>
        </w:rPr>
        <w:t xml:space="preserve"> In terms of priced lanes, d</w:t>
      </w:r>
      <w:r w:rsidR="008F2354" w:rsidRPr="004811C9">
        <w:rPr>
          <w:rFonts w:cs="Times New Roman"/>
        </w:rPr>
        <w:t>ynamic pricing strategies</w:t>
      </w:r>
      <w:r w:rsidR="007E4DD8" w:rsidRPr="004811C9">
        <w:rPr>
          <w:rFonts w:cs="Times New Roman"/>
        </w:rPr>
        <w:t xml:space="preserve"> that raise prices during</w:t>
      </w:r>
      <w:r w:rsidR="00CD6585" w:rsidRPr="004811C9">
        <w:rPr>
          <w:rFonts w:cs="Times New Roman"/>
        </w:rPr>
        <w:t xml:space="preserve"> </w:t>
      </w:r>
      <w:r w:rsidR="007E4DD8" w:rsidRPr="004811C9">
        <w:rPr>
          <w:rFonts w:cs="Times New Roman"/>
        </w:rPr>
        <w:t>peak hours while reducing or eliminating prices at off-peak hours</w:t>
      </w:r>
      <w:r w:rsidR="00CD6585" w:rsidRPr="004811C9">
        <w:rPr>
          <w:rFonts w:cs="Times New Roman"/>
        </w:rPr>
        <w:t>,</w:t>
      </w:r>
      <w:r w:rsidR="007E4DD8" w:rsidRPr="004811C9">
        <w:rPr>
          <w:rFonts w:cs="Times New Roman"/>
        </w:rPr>
        <w:t xml:space="preserve"> </w:t>
      </w:r>
      <w:r w:rsidR="00CD6585" w:rsidRPr="004811C9">
        <w:rPr>
          <w:rFonts w:cs="Times New Roman"/>
        </w:rPr>
        <w:t>would</w:t>
      </w:r>
      <w:r w:rsidR="007E4DD8" w:rsidRPr="004811C9">
        <w:rPr>
          <w:rFonts w:cs="Times New Roman"/>
        </w:rPr>
        <w:t xml:space="preserve"> be beneficial given these large </w:t>
      </w:r>
      <w:r w:rsidR="00CD6585" w:rsidRPr="004811C9">
        <w:rPr>
          <w:rFonts w:cs="Times New Roman"/>
        </w:rPr>
        <w:t>variations</w:t>
      </w:r>
      <w:r w:rsidR="007E4DD8" w:rsidRPr="004811C9">
        <w:rPr>
          <w:rFonts w:cs="Times New Roman"/>
        </w:rPr>
        <w:t xml:space="preserve"> in VTTS</w:t>
      </w:r>
      <w:r w:rsidR="003564FE" w:rsidRPr="004811C9">
        <w:rPr>
          <w:rFonts w:cs="Times New Roman"/>
        </w:rPr>
        <w:t xml:space="preserve"> </w:t>
      </w:r>
      <w:r w:rsidR="00CD6585" w:rsidRPr="004811C9">
        <w:rPr>
          <w:rFonts w:cs="Times New Roman"/>
        </w:rPr>
        <w:t xml:space="preserve">across different times of </w:t>
      </w:r>
      <w:r w:rsidR="003564FE" w:rsidRPr="004811C9">
        <w:rPr>
          <w:rFonts w:cs="Times New Roman"/>
        </w:rPr>
        <w:t>the day</w:t>
      </w:r>
      <w:r w:rsidR="007E4DD8" w:rsidRPr="004811C9">
        <w:rPr>
          <w:rFonts w:cs="Times New Roman"/>
        </w:rPr>
        <w:t>.</w:t>
      </w:r>
      <w:r w:rsidR="003564FE" w:rsidRPr="004811C9">
        <w:rPr>
          <w:rFonts w:cs="Times New Roman"/>
        </w:rPr>
        <w:t xml:space="preserve"> </w:t>
      </w:r>
    </w:p>
    <w:p w14:paraId="72E9CC01" w14:textId="4ABAA046" w:rsidR="00DD5662" w:rsidRPr="004811C9" w:rsidRDefault="00F71AAF" w:rsidP="00DD5662">
      <w:pPr>
        <w:spacing w:after="0" w:line="240" w:lineRule="auto"/>
        <w:jc w:val="both"/>
        <w:rPr>
          <w:rFonts w:cs="Times New Roman"/>
        </w:rPr>
      </w:pPr>
      <w:r w:rsidRPr="004811C9">
        <w:rPr>
          <w:rFonts w:cs="Times New Roman"/>
        </w:rPr>
        <w:tab/>
        <w:t>Although the total VTTS is lower for those traveling for maintenance and leisure purposes, a high willingness to pay for travel time savings</w:t>
      </w:r>
      <w:r w:rsidR="00494A8F" w:rsidRPr="004811C9">
        <w:rPr>
          <w:rFonts w:cs="Times New Roman"/>
        </w:rPr>
        <w:t>, particularly during the morning peak,</w:t>
      </w:r>
      <w:r w:rsidRPr="004811C9">
        <w:rPr>
          <w:rFonts w:cs="Times New Roman"/>
        </w:rPr>
        <w:t xml:space="preserve"> for </w:t>
      </w:r>
      <w:r w:rsidR="00B75BF5" w:rsidRPr="004811C9">
        <w:rPr>
          <w:rFonts w:cs="Times New Roman"/>
        </w:rPr>
        <w:t>such</w:t>
      </w:r>
      <w:r w:rsidRPr="004811C9">
        <w:rPr>
          <w:rFonts w:cs="Times New Roman"/>
        </w:rPr>
        <w:t xml:space="preserve"> trips suggests that </w:t>
      </w:r>
      <w:r w:rsidR="00296D2D">
        <w:rPr>
          <w:rFonts w:cs="Times New Roman"/>
        </w:rPr>
        <w:t xml:space="preserve">maintenance/leisure </w:t>
      </w:r>
      <w:r w:rsidR="00E77E91" w:rsidRPr="004811C9">
        <w:rPr>
          <w:rFonts w:cs="Times New Roman"/>
        </w:rPr>
        <w:t xml:space="preserve">trip </w:t>
      </w:r>
      <w:r w:rsidR="0064363E" w:rsidRPr="004811C9">
        <w:rPr>
          <w:rFonts w:cs="Times New Roman"/>
        </w:rPr>
        <w:t>purposes</w:t>
      </w:r>
      <w:r w:rsidR="00E77E91" w:rsidRPr="004811C9">
        <w:rPr>
          <w:rFonts w:cs="Times New Roman"/>
        </w:rPr>
        <w:t xml:space="preserve"> are also good targets for travel investments. </w:t>
      </w:r>
      <w:r w:rsidR="00347C75" w:rsidRPr="004811C9">
        <w:rPr>
          <w:rFonts w:cs="Times New Roman"/>
        </w:rPr>
        <w:t xml:space="preserve">This increased level of </w:t>
      </w:r>
      <w:r w:rsidR="00273229" w:rsidRPr="004811C9">
        <w:rPr>
          <w:rFonts w:cs="Times New Roman"/>
        </w:rPr>
        <w:t xml:space="preserve">perceived </w:t>
      </w:r>
      <w:r w:rsidR="00BC3645" w:rsidRPr="004811C9">
        <w:rPr>
          <w:rFonts w:cs="Times New Roman"/>
        </w:rPr>
        <w:t xml:space="preserve">acceptability </w:t>
      </w:r>
      <w:r w:rsidR="00273229" w:rsidRPr="004811C9">
        <w:rPr>
          <w:rFonts w:cs="Times New Roman"/>
        </w:rPr>
        <w:t>of payments</w:t>
      </w:r>
      <w:r w:rsidR="00BC3645" w:rsidRPr="004811C9">
        <w:rPr>
          <w:rFonts w:cs="Times New Roman"/>
        </w:rPr>
        <w:t xml:space="preserve"> for travel time reductions would be missed </w:t>
      </w:r>
      <w:r w:rsidR="00936C35" w:rsidRPr="004811C9">
        <w:rPr>
          <w:rFonts w:cs="Times New Roman"/>
        </w:rPr>
        <w:t>i</w:t>
      </w:r>
      <w:r w:rsidR="0064363E" w:rsidRPr="004811C9">
        <w:rPr>
          <w:rFonts w:cs="Times New Roman"/>
        </w:rPr>
        <w:t xml:space="preserve">f only the </w:t>
      </w:r>
      <w:r w:rsidR="00936C35" w:rsidRPr="004811C9">
        <w:rPr>
          <w:rFonts w:cs="Times New Roman"/>
        </w:rPr>
        <w:t xml:space="preserve">overall </w:t>
      </w:r>
      <w:r w:rsidR="004723E2" w:rsidRPr="004811C9">
        <w:rPr>
          <w:rFonts w:cs="Times New Roman"/>
        </w:rPr>
        <w:t>VTTS</w:t>
      </w:r>
      <w:r w:rsidR="0064363E" w:rsidRPr="004811C9">
        <w:rPr>
          <w:rFonts w:cs="Times New Roman"/>
        </w:rPr>
        <w:t xml:space="preserve"> were considered</w:t>
      </w:r>
      <w:r w:rsidR="004723E2" w:rsidRPr="004811C9">
        <w:rPr>
          <w:rFonts w:cs="Times New Roman"/>
        </w:rPr>
        <w:t>, highlighting the importance of directly considering WTP</w:t>
      </w:r>
      <w:r w:rsidR="0064363E" w:rsidRPr="004811C9">
        <w:rPr>
          <w:rFonts w:cs="Times New Roman"/>
        </w:rPr>
        <w:t xml:space="preserve"> too</w:t>
      </w:r>
      <w:r w:rsidR="004723E2" w:rsidRPr="004811C9">
        <w:rPr>
          <w:rFonts w:cs="Times New Roman"/>
        </w:rPr>
        <w:t xml:space="preserve">. </w:t>
      </w:r>
      <w:r w:rsidR="00962F56" w:rsidRPr="004811C9">
        <w:rPr>
          <w:rFonts w:cs="Times New Roman"/>
        </w:rPr>
        <w:t>Thus, while large</w:t>
      </w:r>
      <w:r w:rsidR="00273229" w:rsidRPr="004811C9">
        <w:rPr>
          <w:rFonts w:cs="Times New Roman"/>
        </w:rPr>
        <w:t>-</w:t>
      </w:r>
      <w:r w:rsidR="00962F56" w:rsidRPr="004811C9">
        <w:rPr>
          <w:rFonts w:cs="Times New Roman"/>
        </w:rPr>
        <w:t xml:space="preserve">scale pricing efforts </w:t>
      </w:r>
      <w:r w:rsidR="00313794" w:rsidRPr="004811C9">
        <w:rPr>
          <w:rFonts w:cs="Times New Roman"/>
        </w:rPr>
        <w:t xml:space="preserve">that impose high costs are likely to be unpopular among those traveling for these trip purposes, </w:t>
      </w:r>
      <w:r w:rsidR="00E41182" w:rsidRPr="004811C9">
        <w:rPr>
          <w:rFonts w:cs="Times New Roman"/>
        </w:rPr>
        <w:t xml:space="preserve">there is support for </w:t>
      </w:r>
      <w:r w:rsidR="0064363E" w:rsidRPr="004811C9">
        <w:rPr>
          <w:rFonts w:cs="Times New Roman"/>
        </w:rPr>
        <w:t xml:space="preserve">smaller scale efforts to reduce travel time even </w:t>
      </w:r>
      <w:r w:rsidR="00E41182" w:rsidRPr="004811C9">
        <w:rPr>
          <w:rFonts w:cs="Times New Roman"/>
        </w:rPr>
        <w:t xml:space="preserve">for these purposes. </w:t>
      </w:r>
      <w:r w:rsidR="0064363E" w:rsidRPr="004811C9">
        <w:rPr>
          <w:rFonts w:cs="Times New Roman"/>
        </w:rPr>
        <w:t xml:space="preserve">Such </w:t>
      </w:r>
      <w:r w:rsidR="00302CA4" w:rsidRPr="004811C9">
        <w:rPr>
          <w:rFonts w:cs="Times New Roman"/>
        </w:rPr>
        <w:t xml:space="preserve">targeted improvements </w:t>
      </w:r>
      <w:r w:rsidR="0064363E" w:rsidRPr="004811C9">
        <w:rPr>
          <w:rFonts w:cs="Times New Roman"/>
        </w:rPr>
        <w:t>at</w:t>
      </w:r>
      <w:r w:rsidR="00302CA4" w:rsidRPr="004811C9">
        <w:rPr>
          <w:rFonts w:cs="Times New Roman"/>
        </w:rPr>
        <w:t xml:space="preserve"> local commercial centers </w:t>
      </w:r>
      <w:r w:rsidR="001D078B" w:rsidRPr="004811C9">
        <w:rPr>
          <w:rFonts w:cs="Times New Roman"/>
        </w:rPr>
        <w:t xml:space="preserve">could include </w:t>
      </w:r>
      <w:r w:rsidR="0064363E" w:rsidRPr="004811C9">
        <w:rPr>
          <w:rFonts w:cs="Times New Roman"/>
        </w:rPr>
        <w:t xml:space="preserve">(a) </w:t>
      </w:r>
      <w:r w:rsidR="0005442F" w:rsidRPr="004811C9">
        <w:rPr>
          <w:rFonts w:cs="Times New Roman"/>
        </w:rPr>
        <w:t>strategic parking policies that provide higher cost</w:t>
      </w:r>
      <w:r w:rsidR="004452E0" w:rsidRPr="004811C9">
        <w:rPr>
          <w:rFonts w:cs="Times New Roman"/>
        </w:rPr>
        <w:t xml:space="preserve"> parking</w:t>
      </w:r>
      <w:r w:rsidR="0005442F" w:rsidRPr="004811C9">
        <w:rPr>
          <w:rFonts w:cs="Times New Roman"/>
        </w:rPr>
        <w:t xml:space="preserve"> options closer to population commercial destination</w:t>
      </w:r>
      <w:r w:rsidR="0064363E" w:rsidRPr="004811C9">
        <w:rPr>
          <w:rFonts w:cs="Times New Roman"/>
        </w:rPr>
        <w:t>s</w:t>
      </w:r>
      <w:r w:rsidR="0005442F" w:rsidRPr="004811C9">
        <w:rPr>
          <w:rFonts w:cs="Times New Roman"/>
        </w:rPr>
        <w:t>,</w:t>
      </w:r>
      <w:r w:rsidR="0064363E" w:rsidRPr="004811C9">
        <w:rPr>
          <w:rFonts w:cs="Times New Roman"/>
        </w:rPr>
        <w:t xml:space="preserve"> (b) </w:t>
      </w:r>
      <w:r w:rsidR="000D3FAF" w:rsidRPr="004811C9">
        <w:rPr>
          <w:rFonts w:cs="Times New Roman"/>
        </w:rPr>
        <w:t xml:space="preserve">dynamic parking information systems that reduce search time, </w:t>
      </w:r>
      <w:r w:rsidR="0064363E" w:rsidRPr="004811C9">
        <w:rPr>
          <w:rFonts w:cs="Times New Roman"/>
        </w:rPr>
        <w:t xml:space="preserve">(c) </w:t>
      </w:r>
      <w:r w:rsidR="001D078B" w:rsidRPr="004811C9">
        <w:rPr>
          <w:rFonts w:cs="Times New Roman"/>
        </w:rPr>
        <w:t xml:space="preserve">curb space </w:t>
      </w:r>
      <w:r w:rsidR="0064363E" w:rsidRPr="004811C9">
        <w:rPr>
          <w:rFonts w:cs="Times New Roman"/>
        </w:rPr>
        <w:t>allocation for</w:t>
      </w:r>
      <w:r w:rsidR="001D078B" w:rsidRPr="004811C9">
        <w:rPr>
          <w:rFonts w:cs="Times New Roman"/>
        </w:rPr>
        <w:t xml:space="preserve"> pickup/dropoff locations for ridehailing, taxi, and autorickshaw users </w:t>
      </w:r>
      <w:r w:rsidR="00AC635A" w:rsidRPr="004811C9">
        <w:rPr>
          <w:rFonts w:cs="Times New Roman"/>
        </w:rPr>
        <w:t>to</w:t>
      </w:r>
      <w:r w:rsidR="001D078B" w:rsidRPr="004811C9">
        <w:rPr>
          <w:rFonts w:cs="Times New Roman"/>
        </w:rPr>
        <w:t xml:space="preserve"> help facilitate access</w:t>
      </w:r>
      <w:r w:rsidR="0064363E" w:rsidRPr="004811C9">
        <w:rPr>
          <w:rFonts w:cs="Times New Roman"/>
        </w:rPr>
        <w:t xml:space="preserve"> even if  at a premium cost</w:t>
      </w:r>
      <w:r w:rsidR="001D078B" w:rsidRPr="004811C9">
        <w:rPr>
          <w:rFonts w:cs="Times New Roman"/>
        </w:rPr>
        <w:t xml:space="preserve">, </w:t>
      </w:r>
      <w:r w:rsidR="00713343" w:rsidRPr="004811C9">
        <w:rPr>
          <w:rFonts w:cs="Times New Roman"/>
        </w:rPr>
        <w:t xml:space="preserve">and </w:t>
      </w:r>
      <w:r w:rsidR="0064363E" w:rsidRPr="004811C9">
        <w:rPr>
          <w:rFonts w:cs="Times New Roman"/>
        </w:rPr>
        <w:t xml:space="preserve">(d) </w:t>
      </w:r>
      <w:r w:rsidR="00713343" w:rsidRPr="004811C9">
        <w:rPr>
          <w:rFonts w:cs="Times New Roman"/>
        </w:rPr>
        <w:t xml:space="preserve">land-use strategies that co-locate </w:t>
      </w:r>
      <w:r w:rsidR="0064363E" w:rsidRPr="004811C9">
        <w:rPr>
          <w:rFonts w:cs="Times New Roman"/>
        </w:rPr>
        <w:t>maintenance/leisure activity</w:t>
      </w:r>
      <w:r w:rsidR="00713343" w:rsidRPr="004811C9">
        <w:rPr>
          <w:rFonts w:cs="Times New Roman"/>
        </w:rPr>
        <w:t xml:space="preserve"> </w:t>
      </w:r>
      <w:r w:rsidR="0064363E" w:rsidRPr="004811C9">
        <w:rPr>
          <w:rFonts w:cs="Times New Roman"/>
        </w:rPr>
        <w:t xml:space="preserve">locations </w:t>
      </w:r>
      <w:r w:rsidR="00713343" w:rsidRPr="004811C9">
        <w:rPr>
          <w:rFonts w:cs="Times New Roman"/>
        </w:rPr>
        <w:t>with other services</w:t>
      </w:r>
      <w:r w:rsidR="00B75BF5" w:rsidRPr="004811C9">
        <w:rPr>
          <w:rFonts w:cs="Times New Roman"/>
        </w:rPr>
        <w:t>.</w:t>
      </w:r>
      <w:r w:rsidR="0064363E" w:rsidRPr="004811C9">
        <w:rPr>
          <w:rFonts w:cs="Times New Roman"/>
        </w:rPr>
        <w:t xml:space="preserve"> </w:t>
      </w:r>
    </w:p>
    <w:p w14:paraId="61D4ED13" w14:textId="31A93057" w:rsidR="00817535" w:rsidRPr="004811C9" w:rsidRDefault="00817535" w:rsidP="00DD5662">
      <w:pPr>
        <w:spacing w:after="0" w:line="240" w:lineRule="auto"/>
        <w:jc w:val="both"/>
        <w:rPr>
          <w:rFonts w:cs="Times New Roman"/>
        </w:rPr>
      </w:pPr>
    </w:p>
    <w:p w14:paraId="42B0468F" w14:textId="38504143" w:rsidR="00B75BF5" w:rsidRPr="004811C9" w:rsidRDefault="005351E6" w:rsidP="00DD5662">
      <w:pPr>
        <w:spacing w:after="0" w:line="240" w:lineRule="auto"/>
        <w:jc w:val="both"/>
        <w:rPr>
          <w:rFonts w:cs="Times New Roman"/>
          <w:b/>
          <w:bCs/>
        </w:rPr>
      </w:pPr>
      <w:r w:rsidRPr="004811C9">
        <w:rPr>
          <w:rFonts w:cs="Times New Roman"/>
          <w:b/>
          <w:bCs/>
        </w:rPr>
        <w:t>5.4 WTP and VTTS Variations Based on Trip Sharing and Trip Frequency</w:t>
      </w:r>
    </w:p>
    <w:p w14:paraId="3C993926" w14:textId="64E6D5ED" w:rsidR="00390F35" w:rsidRPr="004811C9" w:rsidRDefault="00477F90" w:rsidP="00DD5662">
      <w:pPr>
        <w:spacing w:after="0" w:line="240" w:lineRule="auto"/>
        <w:jc w:val="both"/>
        <w:rPr>
          <w:rFonts w:cs="Times New Roman"/>
        </w:rPr>
      </w:pPr>
      <w:r w:rsidRPr="004811C9">
        <w:rPr>
          <w:rFonts w:cs="Times New Roman"/>
        </w:rPr>
        <w:t xml:space="preserve">Although we find that the total VTTS is lower for those taking shared trips, there is a relatively high WTP </w:t>
      </w:r>
      <w:r w:rsidR="00273229" w:rsidRPr="004811C9">
        <w:rPr>
          <w:rFonts w:cs="Times New Roman"/>
        </w:rPr>
        <w:t>among</w:t>
      </w:r>
      <w:r w:rsidRPr="004811C9">
        <w:rPr>
          <w:rFonts w:cs="Times New Roman"/>
        </w:rPr>
        <w:t xml:space="preserve"> those who are sharing</w:t>
      </w:r>
      <w:r w:rsidR="00E03C82">
        <w:rPr>
          <w:rFonts w:cs="Times New Roman"/>
        </w:rPr>
        <w:t>. This finding suggests</w:t>
      </w:r>
      <w:r w:rsidRPr="004811C9">
        <w:rPr>
          <w:rFonts w:cs="Times New Roman"/>
        </w:rPr>
        <w:t xml:space="preserve"> that tolling and congestion pricing </w:t>
      </w:r>
      <w:r w:rsidR="007B698C">
        <w:rPr>
          <w:rFonts w:cs="Times New Roman"/>
        </w:rPr>
        <w:t xml:space="preserve">should not be limited to single-occupancy vehicles, as shared travelers also derive meaningful benefits from reduced delays and </w:t>
      </w:r>
      <w:r w:rsidR="00ED6207">
        <w:rPr>
          <w:rFonts w:cs="Times New Roman"/>
        </w:rPr>
        <w:t>appear</w:t>
      </w:r>
      <w:r w:rsidR="007B698C">
        <w:rPr>
          <w:rFonts w:cs="Times New Roman"/>
        </w:rPr>
        <w:t xml:space="preserve"> willing to pay for these travel time reductions</w:t>
      </w:r>
      <w:r w:rsidRPr="004811C9">
        <w:rPr>
          <w:rFonts w:cs="Times New Roman"/>
        </w:rPr>
        <w:t xml:space="preserve">. This contrasts with many existing </w:t>
      </w:r>
      <w:r w:rsidR="00ED6207">
        <w:rPr>
          <w:rFonts w:cs="Times New Roman"/>
        </w:rPr>
        <w:t>roadway</w:t>
      </w:r>
      <w:r w:rsidR="00ED6207" w:rsidRPr="004811C9">
        <w:rPr>
          <w:rFonts w:cs="Times New Roman"/>
        </w:rPr>
        <w:t xml:space="preserve"> </w:t>
      </w:r>
      <w:r w:rsidRPr="004811C9">
        <w:rPr>
          <w:rFonts w:cs="Times New Roman"/>
        </w:rPr>
        <w:t xml:space="preserve">policies that </w:t>
      </w:r>
      <w:r w:rsidR="00ED6207">
        <w:rPr>
          <w:rFonts w:cs="Times New Roman"/>
        </w:rPr>
        <w:t xml:space="preserve">effectively </w:t>
      </w:r>
      <w:r w:rsidRPr="004811C9">
        <w:rPr>
          <w:rFonts w:cs="Times New Roman"/>
        </w:rPr>
        <w:t xml:space="preserve">provide </w:t>
      </w:r>
      <w:r w:rsidR="00ED6207">
        <w:rPr>
          <w:rFonts w:cs="Times New Roman"/>
        </w:rPr>
        <w:t>complimentary travel time savings for</w:t>
      </w:r>
      <w:r w:rsidRPr="004811C9">
        <w:rPr>
          <w:rFonts w:cs="Times New Roman"/>
        </w:rPr>
        <w:t xml:space="preserve"> high-occupancy vehicle </w:t>
      </w:r>
      <w:r w:rsidR="00ED6207">
        <w:rPr>
          <w:rFonts w:cs="Times New Roman"/>
        </w:rPr>
        <w:t xml:space="preserve">users </w:t>
      </w:r>
      <w:r w:rsidR="00344AD6" w:rsidRPr="004811C9">
        <w:rPr>
          <w:rFonts w:cs="Times New Roman"/>
        </w:rPr>
        <w:fldChar w:fldCharType="begin"/>
      </w:r>
      <w:r w:rsidR="00BA1900">
        <w:rPr>
          <w:rFonts w:cs="Times New Roman"/>
        </w:rPr>
        <w:instrText xml:space="preserve"> ADDIN ZOTERO_ITEM CSL_CITATION {"citationID":"ar4ibHBX","properties":{"formattedCitation":"(Cohen et al., 2022)","plainCitation":"(Cohen et al., 2022)","dontUpdate":true,"noteIndex":0},"citationItems":[{"id":5099,"uris":["http://zotero.org/users/12832277/items/3T6RGN9R"],"itemData":{"id":5099,"type":"article-journal","abstract":"Since the 1970s, high-occupancy vehicle (HOV) lanes have been a common policy instrument to mitigate traffic congestion. Yet, their effectiveness remains a controversial topic among researchers, policy makers, and the public. In this debate, a key unknown has been the impact of HOV lanes on commuters’ carpooling behaviors. This paper brings a new piece of evidence by offering a data-driven assessment of carpooling intent and adoption, using revealed-preferences data. We partner with Waze, a major carpooling platform, and leverage a natural experiment following the introduction of three HOV lanes in Israel in 2019. Using tailored treatment and control groups coupled with econometric analyses, we derive four main findings. First, HOV lanes bring new users to the carpooling platform, which contributes to alleviating the “cold-start” problem in the marketplace. Second, HOV lanes have a positive impact on carpool intent: the number of carpool offers sent by drivers increase manifold following the introduction of the HOV lanes. Third, HOV lanes have a disparate impact on carpool adoption: carpools increase significantly for two out of three HOV lanes. This result underscores the critical impact of HOV lanes design: it seems more beneficial to have round-trip HOV lanes (as opposed to one-way lanes) and two-passenger occupancy requirements (as opposed to three-passenger requirements). Last, HOV lanes have a broader impact, by increasing carpooling on non-HOV routes and shifting the travel behaviors of non-carpoolers. We conclude by discussing policy implications, highlighting collaboration opportunities between policy makers and digital carpooling platforms to enhance the design and operations of HOV lanes.","container-title":"Transportation Research Part A: Policy and Practice","DOI":"10.1016/j.tra.2022.08.021","ISSN":"0965-8564","page":"186-206","source":"ScienceDirect","title":"The Impact of High-Occupancy Vehicle Lanes on Carpooling","volume":"165","author":[{"family":"Cohen","given":"Maxime C."},{"family":"Jacquillat","given":"Alexandre"},{"family":"Ratzon","given":"Avia"},{"family":"Sasson","given":"Roy"}],"issued":{"date-parts":[["2022",11,1]]}}}],"schema":"https://github.com/citation-style-language/schema/raw/master/csl-citation.json"} </w:instrText>
      </w:r>
      <w:r w:rsidR="00344AD6" w:rsidRPr="004811C9">
        <w:rPr>
          <w:rFonts w:cs="Times New Roman"/>
        </w:rPr>
        <w:fldChar w:fldCharType="separate"/>
      </w:r>
      <w:r w:rsidR="00344AD6" w:rsidRPr="004811C9">
        <w:rPr>
          <w:rFonts w:cs="Times New Roman"/>
        </w:rPr>
        <w:t>(see, for example, Cohen et al., 2022)</w:t>
      </w:r>
      <w:r w:rsidR="00344AD6" w:rsidRPr="004811C9">
        <w:rPr>
          <w:rFonts w:cs="Times New Roman"/>
        </w:rPr>
        <w:fldChar w:fldCharType="end"/>
      </w:r>
      <w:r w:rsidRPr="004811C9">
        <w:rPr>
          <w:rFonts w:cs="Times New Roman"/>
        </w:rPr>
        <w:t xml:space="preserve">. </w:t>
      </w:r>
      <w:r w:rsidR="00BE3AB4">
        <w:rPr>
          <w:rFonts w:cs="Times New Roman"/>
        </w:rPr>
        <w:t>At the same time, t</w:t>
      </w:r>
      <w:r w:rsidRPr="004811C9">
        <w:rPr>
          <w:rFonts w:cs="Times New Roman"/>
        </w:rPr>
        <w:t xml:space="preserve">he relatively lower total VTTS among those sharing rides </w:t>
      </w:r>
      <w:r w:rsidR="00344AD6" w:rsidRPr="004811C9">
        <w:rPr>
          <w:rFonts w:cs="Times New Roman"/>
        </w:rPr>
        <w:t xml:space="preserve">does </w:t>
      </w:r>
      <w:r w:rsidRPr="004811C9">
        <w:rPr>
          <w:rFonts w:cs="Times New Roman"/>
        </w:rPr>
        <w:t xml:space="preserve">suggest that discounts are warranted, </w:t>
      </w:r>
      <w:r w:rsidR="00ED6207">
        <w:rPr>
          <w:rFonts w:cs="Times New Roman"/>
        </w:rPr>
        <w:t>potentially</w:t>
      </w:r>
      <w:r w:rsidR="00ED6207" w:rsidRPr="004811C9">
        <w:rPr>
          <w:rFonts w:cs="Times New Roman"/>
        </w:rPr>
        <w:t xml:space="preserve"> </w:t>
      </w:r>
      <w:r w:rsidRPr="004811C9">
        <w:rPr>
          <w:rFonts w:cs="Times New Roman"/>
        </w:rPr>
        <w:t xml:space="preserve">including tiered </w:t>
      </w:r>
      <w:r w:rsidR="00296D2D">
        <w:rPr>
          <w:rFonts w:cs="Times New Roman"/>
        </w:rPr>
        <w:t>pricing levels</w:t>
      </w:r>
      <w:r w:rsidRPr="004811C9">
        <w:rPr>
          <w:rFonts w:cs="Times New Roman"/>
        </w:rPr>
        <w:t xml:space="preserve"> based on the number of occupants</w:t>
      </w:r>
      <w:r w:rsidR="00296D2D">
        <w:rPr>
          <w:rFonts w:cs="Times New Roman"/>
        </w:rPr>
        <w:t xml:space="preserve">. </w:t>
      </w:r>
      <w:r w:rsidR="00ED6207">
        <w:rPr>
          <w:rFonts w:cs="Times New Roman"/>
        </w:rPr>
        <w:t>From an efficiency perspective, congestion prices that more closely</w:t>
      </w:r>
      <w:r w:rsidR="00C93683">
        <w:rPr>
          <w:rFonts w:cs="Times New Roman"/>
        </w:rPr>
        <w:t xml:space="preserve"> reflect</w:t>
      </w:r>
      <w:r w:rsidR="00ED6207">
        <w:rPr>
          <w:rFonts w:cs="Times New Roman"/>
        </w:rPr>
        <w:t xml:space="preserve"> group-specific valuation of time can better align marginal willingness to pay with marginal social cost, while still preserving</w:t>
      </w:r>
      <w:r w:rsidR="00C93683">
        <w:rPr>
          <w:rFonts w:cs="Times New Roman"/>
        </w:rPr>
        <w:t xml:space="preserve"> the policy objective of </w:t>
      </w:r>
      <w:r w:rsidR="00705219">
        <w:rPr>
          <w:rFonts w:cs="Times New Roman"/>
        </w:rPr>
        <w:t>encouraging shared travel</w:t>
      </w:r>
      <w:r w:rsidR="00ED6207">
        <w:rPr>
          <w:rFonts w:cs="Times New Roman"/>
        </w:rPr>
        <w:t>. Such policies would continue to promote ride-sharing</w:t>
      </w:r>
      <w:r w:rsidR="00296D2D">
        <w:rPr>
          <w:rFonts w:cs="Times New Roman"/>
        </w:rPr>
        <w:t>,</w:t>
      </w:r>
      <w:r w:rsidRPr="004811C9">
        <w:rPr>
          <w:rFonts w:cs="Times New Roman"/>
        </w:rPr>
        <w:t xml:space="preserve"> while extending congestion </w:t>
      </w:r>
      <w:r w:rsidR="00344AD6" w:rsidRPr="004811C9">
        <w:rPr>
          <w:rFonts w:cs="Times New Roman"/>
        </w:rPr>
        <w:t>management strategies</w:t>
      </w:r>
      <w:r w:rsidRPr="004811C9">
        <w:rPr>
          <w:rFonts w:cs="Times New Roman"/>
        </w:rPr>
        <w:t xml:space="preserve"> </w:t>
      </w:r>
      <w:r w:rsidR="00273229" w:rsidRPr="004811C9">
        <w:rPr>
          <w:rFonts w:cs="Times New Roman"/>
        </w:rPr>
        <w:t xml:space="preserve">and revenue generation </w:t>
      </w:r>
      <w:r w:rsidRPr="004811C9">
        <w:rPr>
          <w:rFonts w:cs="Times New Roman"/>
        </w:rPr>
        <w:t>to shared trips</w:t>
      </w:r>
      <w:r w:rsidR="004723E7">
        <w:rPr>
          <w:rFonts w:cs="Times New Roman"/>
        </w:rPr>
        <w:t xml:space="preserve"> in a </w:t>
      </w:r>
      <w:r w:rsidR="00ED6207">
        <w:rPr>
          <w:rFonts w:cs="Times New Roman"/>
        </w:rPr>
        <w:t xml:space="preserve">manner consistent with </w:t>
      </w:r>
      <w:r w:rsidR="004723E7">
        <w:rPr>
          <w:rFonts w:cs="Times New Roman"/>
        </w:rPr>
        <w:t xml:space="preserve">the lower monetary </w:t>
      </w:r>
      <w:r w:rsidR="00ED6207">
        <w:rPr>
          <w:rFonts w:cs="Times New Roman"/>
        </w:rPr>
        <w:t>valuation placed on these trips.</w:t>
      </w:r>
    </w:p>
    <w:p w14:paraId="7FB0DDC3" w14:textId="68DA4590" w:rsidR="00477F90" w:rsidRPr="004811C9" w:rsidRDefault="00477F90" w:rsidP="00DD5662">
      <w:pPr>
        <w:spacing w:after="0" w:line="240" w:lineRule="auto"/>
        <w:jc w:val="both"/>
        <w:rPr>
          <w:rFonts w:cs="Times New Roman"/>
        </w:rPr>
      </w:pPr>
      <w:r w:rsidRPr="004811C9">
        <w:rPr>
          <w:rFonts w:cs="Times New Roman"/>
        </w:rPr>
        <w:tab/>
        <w:t xml:space="preserve">Further, </w:t>
      </w:r>
      <w:r w:rsidR="00DB3429" w:rsidRPr="004811C9">
        <w:rPr>
          <w:rFonts w:cs="Times New Roman"/>
        </w:rPr>
        <w:t>given that frequent travelers seem more</w:t>
      </w:r>
      <w:r w:rsidR="00296D2D">
        <w:rPr>
          <w:rFonts w:cs="Times New Roman"/>
        </w:rPr>
        <w:t xml:space="preserve"> reluctant to </w:t>
      </w:r>
      <w:r w:rsidR="00DB3429" w:rsidRPr="004811C9">
        <w:rPr>
          <w:rFonts w:cs="Times New Roman"/>
        </w:rPr>
        <w:t xml:space="preserve">pay for travel time savings (as evidenced by a slightly lower, though still above 80%, share of frequent travelers willing to pay for travel time savings as well as </w:t>
      </w:r>
      <w:r w:rsidR="00296D2D">
        <w:rPr>
          <w:rFonts w:cs="Times New Roman"/>
        </w:rPr>
        <w:t xml:space="preserve">the </w:t>
      </w:r>
      <w:r w:rsidR="00DB3429" w:rsidRPr="004811C9">
        <w:rPr>
          <w:rFonts w:cs="Times New Roman"/>
        </w:rPr>
        <w:t xml:space="preserve">lower VTTS among </w:t>
      </w:r>
      <w:r w:rsidR="00344AD6" w:rsidRPr="004811C9">
        <w:rPr>
          <w:rFonts w:cs="Times New Roman"/>
        </w:rPr>
        <w:t>this group</w:t>
      </w:r>
      <w:r w:rsidR="00DB3429" w:rsidRPr="004811C9">
        <w:rPr>
          <w:rFonts w:cs="Times New Roman"/>
        </w:rPr>
        <w:t xml:space="preserve">), policies that provide discounts to high-frequency travelers may </w:t>
      </w:r>
      <w:r w:rsidR="00273229" w:rsidRPr="004811C9">
        <w:rPr>
          <w:rFonts w:cs="Times New Roman"/>
        </w:rPr>
        <w:t>also be beneficial</w:t>
      </w:r>
      <w:r w:rsidR="00DB3429" w:rsidRPr="004811C9">
        <w:rPr>
          <w:rFonts w:cs="Times New Roman"/>
        </w:rPr>
        <w:t>. These types of tiered loyalty programs avoi</w:t>
      </w:r>
      <w:r w:rsidR="00296D2D">
        <w:rPr>
          <w:rFonts w:cs="Times New Roman"/>
        </w:rPr>
        <w:t>d</w:t>
      </w:r>
      <w:r w:rsidR="00DB3429" w:rsidRPr="004811C9">
        <w:rPr>
          <w:rFonts w:cs="Times New Roman"/>
        </w:rPr>
        <w:t xml:space="preserve"> the imposition of exorbitant costs on routine </w:t>
      </w:r>
      <w:r w:rsidR="00344AD6" w:rsidRPr="004811C9">
        <w:rPr>
          <w:rFonts w:cs="Times New Roman"/>
        </w:rPr>
        <w:t>travelers and ensur</w:t>
      </w:r>
      <w:r w:rsidR="00296D2D">
        <w:rPr>
          <w:rFonts w:cs="Times New Roman"/>
        </w:rPr>
        <w:t>e</w:t>
      </w:r>
      <w:r w:rsidR="00344AD6" w:rsidRPr="004811C9">
        <w:rPr>
          <w:rFonts w:cs="Times New Roman"/>
        </w:rPr>
        <w:t xml:space="preserve"> that recurring mandatory trips (such as for work or education) remain affordable even as congestion pricing is applied</w:t>
      </w:r>
      <w:r w:rsidR="00DB3429" w:rsidRPr="004811C9">
        <w:rPr>
          <w:rFonts w:cs="Times New Roman"/>
        </w:rPr>
        <w:t>.</w:t>
      </w:r>
      <w:r w:rsidR="007371AE" w:rsidRPr="004811C9">
        <w:rPr>
          <w:rFonts w:cs="Times New Roman"/>
        </w:rPr>
        <w:t xml:space="preserve"> This approach is especially important for travelers with limited alternatives, who may otherwise face disproportionately high cumulative toll costs over time.</w:t>
      </w:r>
      <w:r w:rsidR="00DB3429" w:rsidRPr="004811C9">
        <w:rPr>
          <w:rFonts w:cs="Times New Roman"/>
        </w:rPr>
        <w:t xml:space="preserve"> </w:t>
      </w:r>
      <w:r w:rsidR="00296D2D">
        <w:rPr>
          <w:rFonts w:cs="Times New Roman"/>
        </w:rPr>
        <w:t xml:space="preserve">Such loyalty programs have not been commonly implemented, though examples include the </w:t>
      </w:r>
      <w:r w:rsidR="007371AE" w:rsidRPr="004811C9">
        <w:rPr>
          <w:rFonts w:cs="Times New Roman"/>
        </w:rPr>
        <w:t xml:space="preserve">Central Florida </w:t>
      </w:r>
      <w:r w:rsidR="00FE3996" w:rsidRPr="004811C9">
        <w:rPr>
          <w:rFonts w:cs="Times New Roman"/>
        </w:rPr>
        <w:t>E-PASS Customer Loyalty Program</w:t>
      </w:r>
      <w:r w:rsidR="00296D2D">
        <w:rPr>
          <w:rFonts w:cs="Times New Roman"/>
        </w:rPr>
        <w:t xml:space="preserve"> (which</w:t>
      </w:r>
      <w:r w:rsidR="00FE3996" w:rsidRPr="004811C9">
        <w:rPr>
          <w:rFonts w:cs="Times New Roman"/>
        </w:rPr>
        <w:t xml:space="preserve"> </w:t>
      </w:r>
      <w:r w:rsidR="007371AE" w:rsidRPr="004811C9">
        <w:rPr>
          <w:rFonts w:cs="Times New Roman"/>
        </w:rPr>
        <w:t>provides a monthly discount of 5-10% for high-volume users</w:t>
      </w:r>
      <w:r w:rsidR="00296D2D">
        <w:rPr>
          <w:rFonts w:cs="Times New Roman"/>
        </w:rPr>
        <w:t xml:space="preserve">; see </w:t>
      </w:r>
      <w:r w:rsidR="00296D2D" w:rsidRPr="004811C9">
        <w:rPr>
          <w:rFonts w:cs="Times New Roman"/>
        </w:rPr>
        <w:fldChar w:fldCharType="begin"/>
      </w:r>
      <w:r w:rsidR="00BA1900">
        <w:rPr>
          <w:rFonts w:cs="Times New Roman"/>
        </w:rPr>
        <w:instrText xml:space="preserve"> ADDIN ZOTERO_ITEM CSL_CITATION {"citationID":"w3v5QQs8","properties":{"formattedCitation":"(Central Florida Expressway Authority, 2016)","plainCitation":"(Central Florida Expressway Authority, 2016)","dontUpdate":true,"noteIndex":0},"citationItems":[{"id":5097,"uris":["http://zotero.org/users/12832277/items/AY6L7WA3"],"itemData":{"id":5097,"type":"post-weblog","abstract":"ORLANDO, FL The Central Florida Expressway Authority (CFX) announces a new toll discount program exclusive for E-PASS customers starting May 1, 2016. Approved at the April 14, 2016 CFX Board meeting, the E-PASS Customer Loyalty discount program is a tiered program that provides toll discounts based on the number of transactions per transponder each month. There","language":"en-US","title":"Central Florida Expressway Authority Launches Loyalty Discount Program For E-PASS Customers","URL":"https://www.cfxway.com/agency-information/newsroom/news-releases/central-florida-expressway-authority-launches-loyalty-discount-program-for-e-pass-customers/","author":[{"family":"Central Florida Expressway Authority","given":""}],"accessed":{"date-parts":[["2025",7,27]]},"issued":{"date-parts":[["2016",4,18]]}}}],"schema":"https://github.com/citation-style-language/schema/raw/master/csl-citation.json"} </w:instrText>
      </w:r>
      <w:r w:rsidR="00296D2D" w:rsidRPr="004811C9">
        <w:rPr>
          <w:rFonts w:cs="Times New Roman"/>
        </w:rPr>
        <w:fldChar w:fldCharType="separate"/>
      </w:r>
      <w:r w:rsidR="00296D2D" w:rsidRPr="004811C9">
        <w:rPr>
          <w:rFonts w:cs="Times New Roman"/>
        </w:rPr>
        <w:t>Central Florida Expressway Authority, 2016</w:t>
      </w:r>
      <w:r w:rsidR="00296D2D">
        <w:rPr>
          <w:rFonts w:cs="Times New Roman"/>
        </w:rPr>
        <w:t xml:space="preserve">) </w:t>
      </w:r>
      <w:r w:rsidR="00296D2D" w:rsidRPr="004811C9">
        <w:rPr>
          <w:rFonts w:cs="Times New Roman"/>
        </w:rPr>
        <w:fldChar w:fldCharType="end"/>
      </w:r>
      <w:r w:rsidR="007371AE" w:rsidRPr="004811C9">
        <w:rPr>
          <w:rFonts w:cs="Times New Roman"/>
        </w:rPr>
        <w:t xml:space="preserve">and the Japan Electronic Toll Collection System </w:t>
      </w:r>
      <w:r w:rsidR="00296D2D">
        <w:rPr>
          <w:rFonts w:cs="Times New Roman"/>
        </w:rPr>
        <w:t xml:space="preserve">(which </w:t>
      </w:r>
      <w:r w:rsidR="007371AE" w:rsidRPr="004811C9">
        <w:rPr>
          <w:rFonts w:cs="Times New Roman"/>
        </w:rPr>
        <w:lastRenderedPageBreak/>
        <w:t>provides a commuter discount of up to 50% during peak hours for those making at least 10 trips per month</w:t>
      </w:r>
      <w:r w:rsidR="00FE3996" w:rsidRPr="004811C9">
        <w:rPr>
          <w:rFonts w:cs="Times New Roman"/>
        </w:rPr>
        <w:t xml:space="preserve">; </w:t>
      </w:r>
      <w:r w:rsidR="00296D2D">
        <w:rPr>
          <w:rFonts w:cs="Times New Roman"/>
        </w:rPr>
        <w:t xml:space="preserve">see </w:t>
      </w:r>
      <w:r w:rsidR="007371AE" w:rsidRPr="004811C9">
        <w:rPr>
          <w:rFonts w:cs="Times New Roman"/>
        </w:rPr>
        <w:fldChar w:fldCharType="begin"/>
      </w:r>
      <w:r w:rsidR="00BA1900">
        <w:rPr>
          <w:rFonts w:cs="Times New Roman"/>
        </w:rPr>
        <w:instrText xml:space="preserve"> ADDIN ZOTERO_ITEM CSL_CITATION {"citationID":"m69clj0W","properties":{"formattedCitation":"(Japan ETCcard, 2025)","plainCitation":"(Japan ETCcard, 2025)","dontUpdate":true,"noteIndex":0},"citationItems":[{"id":5104,"uris":["http://zotero.org/users/12832277/items/B3CMJ9NP"],"itemData":{"id":5104,"type":"webpage","title":"Comprehensive Guide to ETC Discounts and Mileage Benefits in Japan","URL":"https://japanetccard.com/How-It-Works/ETC-Discounts-and-Mileage-Benefits-in-Japan","author":[{"family":"Japan ETCcard","given":""}],"accessed":{"date-parts":[["2025",7,27]]},"issued":{"date-parts":[["2025"]]}}}],"schema":"https://github.com/citation-style-language/schema/raw/master/csl-citation.json"} </w:instrText>
      </w:r>
      <w:r w:rsidR="007371AE" w:rsidRPr="004811C9">
        <w:rPr>
          <w:rFonts w:cs="Times New Roman"/>
        </w:rPr>
        <w:fldChar w:fldCharType="separate"/>
      </w:r>
      <w:r w:rsidR="007371AE" w:rsidRPr="004811C9">
        <w:rPr>
          <w:rFonts w:cs="Times New Roman"/>
        </w:rPr>
        <w:t>Japan ETCcard, 2025)</w:t>
      </w:r>
      <w:r w:rsidR="007371AE" w:rsidRPr="004811C9">
        <w:rPr>
          <w:rFonts w:cs="Times New Roman"/>
        </w:rPr>
        <w:fldChar w:fldCharType="end"/>
      </w:r>
      <w:r w:rsidR="00296D2D">
        <w:rPr>
          <w:rFonts w:cs="Times New Roman"/>
        </w:rPr>
        <w:t xml:space="preserve">. </w:t>
      </w:r>
      <w:r w:rsidR="00AD7FC6" w:rsidRPr="00330BA8">
        <w:t xml:space="preserve">Overall, these types of flexible pricing policies balance the need to implement congestion management programs with the needs of different groups of travelers, highlighting the </w:t>
      </w:r>
      <w:r w:rsidR="00AD7FC6">
        <w:t>importance of</w:t>
      </w:r>
      <w:r w:rsidR="00AD7FC6" w:rsidRPr="00330BA8">
        <w:t xml:space="preserve"> consider</w:t>
      </w:r>
      <w:r w:rsidR="00AD7FC6">
        <w:t>ing</w:t>
      </w:r>
      <w:r w:rsidR="00AD7FC6" w:rsidRPr="00330BA8">
        <w:t xml:space="preserve"> both WTP and </w:t>
      </w:r>
      <w:r w:rsidR="00AD7FC6" w:rsidRPr="00356C87">
        <w:rPr>
          <w:i/>
          <w:iCs/>
        </w:rPr>
        <w:t>cVTTS</w:t>
      </w:r>
      <w:r w:rsidR="00AD7FC6" w:rsidRPr="00330BA8">
        <w:t xml:space="preserve"> and identify</w:t>
      </w:r>
      <w:r w:rsidR="00AD7FC6">
        <w:t>ing</w:t>
      </w:r>
      <w:r w:rsidR="00AD7FC6" w:rsidRPr="00330BA8">
        <w:t xml:space="preserve"> variations in each across different travel contexts.</w:t>
      </w:r>
      <w:r w:rsidR="00AD7FC6">
        <w:t xml:space="preserve"> While WTP and </w:t>
      </w:r>
      <w:r w:rsidR="00AD7FC6" w:rsidRPr="00356C87">
        <w:rPr>
          <w:i/>
          <w:iCs/>
        </w:rPr>
        <w:t>cVTTS</w:t>
      </w:r>
      <w:r w:rsidR="00AD7FC6" w:rsidRPr="00330BA8">
        <w:t xml:space="preserve"> </w:t>
      </w:r>
      <w:r w:rsidR="00AD7FC6">
        <w:t>are positively correlated, they capture distinct dimensions of heterogeneity: the mass of individuals with zero (or effectively zero) WTP determines the participation group, while variation in</w:t>
      </w:r>
      <w:r w:rsidR="00AD7FC6" w:rsidRPr="00BD000C">
        <w:t xml:space="preserve"> </w:t>
      </w:r>
      <w:r w:rsidR="00AD7FC6" w:rsidRPr="00356C87">
        <w:rPr>
          <w:i/>
          <w:iCs/>
        </w:rPr>
        <w:t>cVTTS</w:t>
      </w:r>
      <w:r w:rsidR="00AD7FC6">
        <w:t xml:space="preserve"> across those willing to pay governs the intensive margin. D</w:t>
      </w:r>
      <w:r w:rsidR="00AD7FC6" w:rsidRPr="00BD000C">
        <w:t>isaggregating these two dimensions</w:t>
      </w:r>
      <w:r w:rsidR="00AD7FC6">
        <w:t xml:space="preserve"> allows policymakers to map how both the concentration of zero WTP and the distribution of VTTS vary across segments. W</w:t>
      </w:r>
      <w:r w:rsidR="00AD7FC6" w:rsidRPr="00BD000C">
        <w:t xml:space="preserve">ithout understanding both who is willing to pay at all and how much different </w:t>
      </w:r>
      <w:r w:rsidR="00AD7FC6">
        <w:t>segments</w:t>
      </w:r>
      <w:r w:rsidR="00AD7FC6" w:rsidRPr="00BD000C">
        <w:t xml:space="preserve"> value time, policymakers cannot effectively calibrate </w:t>
      </w:r>
      <w:r w:rsidR="00AD7FC6">
        <w:t xml:space="preserve">differentiated pricing schemes, anticipate responsiveness across contexts, or evaluate potential equity and revenue implications. </w:t>
      </w:r>
      <w:r w:rsidR="00AD7FC6" w:rsidRPr="00BD000C">
        <w:t>T</w:t>
      </w:r>
      <w:r w:rsidR="00AD7FC6">
        <w:t>hus, t</w:t>
      </w:r>
      <w:r w:rsidR="00AD7FC6" w:rsidRPr="00BD000C">
        <w:t>reating VTTS as a single homogeneous parameter</w:t>
      </w:r>
      <w:r w:rsidR="00AD7FC6">
        <w:t xml:space="preserve"> </w:t>
      </w:r>
      <w:r w:rsidR="00AD7FC6" w:rsidRPr="00BD000C">
        <w:t xml:space="preserve">risks </w:t>
      </w:r>
      <w:r w:rsidR="00AD7FC6">
        <w:t>obscuring meaningful distribution patterns that are directly relevant for pricing design and policy evaluation.</w:t>
      </w:r>
    </w:p>
    <w:p w14:paraId="133FFA30" w14:textId="6F50A78E" w:rsidR="00AE1B47" w:rsidRPr="004811C9" w:rsidRDefault="00AE1B47" w:rsidP="00027FE5">
      <w:pPr>
        <w:spacing w:after="0" w:line="240" w:lineRule="auto"/>
        <w:jc w:val="both"/>
        <w:rPr>
          <w:rFonts w:cs="Times New Roman"/>
        </w:rPr>
      </w:pPr>
    </w:p>
    <w:p w14:paraId="612F74A1" w14:textId="432746DA" w:rsidR="005A012C" w:rsidRPr="004811C9" w:rsidRDefault="005A012C" w:rsidP="00027FE5">
      <w:pPr>
        <w:spacing w:after="0" w:line="240" w:lineRule="auto"/>
        <w:jc w:val="both"/>
        <w:rPr>
          <w:rFonts w:cs="Times New Roman"/>
          <w:b/>
          <w:bCs/>
        </w:rPr>
      </w:pPr>
      <w:r w:rsidRPr="004811C9">
        <w:rPr>
          <w:rFonts w:cs="Times New Roman"/>
          <w:b/>
          <w:bCs/>
        </w:rPr>
        <w:t>6. CONCLUSIONS</w:t>
      </w:r>
    </w:p>
    <w:p w14:paraId="741F5E15" w14:textId="5E441ECD" w:rsidR="00974C6E" w:rsidRDefault="0083626F" w:rsidP="00027FE5">
      <w:pPr>
        <w:spacing w:after="0" w:line="240" w:lineRule="auto"/>
        <w:jc w:val="both"/>
        <w:rPr>
          <w:rFonts w:cs="Times New Roman"/>
        </w:rPr>
      </w:pPr>
      <w:r w:rsidRPr="004811C9">
        <w:rPr>
          <w:rFonts w:cs="Times New Roman"/>
        </w:rPr>
        <w:t xml:space="preserve">Accurate VTTS estimates by socio-demographic groupings and travel contexts are important for </w:t>
      </w:r>
      <w:r w:rsidR="000C6A27" w:rsidRPr="004811C9">
        <w:rPr>
          <w:rFonts w:cs="Times New Roman"/>
        </w:rPr>
        <w:t xml:space="preserve">a variety of policy decisions in the </w:t>
      </w:r>
      <w:r w:rsidR="001D5F2B" w:rsidRPr="004811C9">
        <w:rPr>
          <w:rFonts w:cs="Times New Roman"/>
        </w:rPr>
        <w:t>transportation sector</w:t>
      </w:r>
      <w:r w:rsidRPr="004811C9">
        <w:rPr>
          <w:rFonts w:cs="Times New Roman"/>
        </w:rPr>
        <w:t>.</w:t>
      </w:r>
      <w:r w:rsidR="001D5F2B" w:rsidRPr="004811C9">
        <w:rPr>
          <w:rFonts w:cs="Times New Roman"/>
        </w:rPr>
        <w:t xml:space="preserve"> </w:t>
      </w:r>
      <w:r w:rsidRPr="004811C9">
        <w:rPr>
          <w:rFonts w:cs="Times New Roman"/>
        </w:rPr>
        <w:t xml:space="preserve">In this paper, we use a contingent valuation based iterative bidding method to </w:t>
      </w:r>
      <w:r w:rsidR="0005126C" w:rsidRPr="004811C9">
        <w:rPr>
          <w:rFonts w:cs="Times New Roman"/>
        </w:rPr>
        <w:t xml:space="preserve">directly </w:t>
      </w:r>
      <w:r w:rsidRPr="004811C9">
        <w:rPr>
          <w:rFonts w:cs="Times New Roman"/>
        </w:rPr>
        <w:t xml:space="preserve">elicit both willingness to pay (WTP) and a continuous measure of </w:t>
      </w:r>
      <w:r w:rsidR="0005126C" w:rsidRPr="004811C9">
        <w:rPr>
          <w:rFonts w:cs="Times New Roman"/>
        </w:rPr>
        <w:t>VT</w:t>
      </w:r>
      <w:r w:rsidR="00806C13" w:rsidRPr="004811C9">
        <w:rPr>
          <w:rFonts w:cs="Times New Roman"/>
        </w:rPr>
        <w:t>T</w:t>
      </w:r>
      <w:r w:rsidR="0005126C" w:rsidRPr="004811C9">
        <w:rPr>
          <w:rFonts w:cs="Times New Roman"/>
        </w:rPr>
        <w:t xml:space="preserve">S </w:t>
      </w:r>
      <w:r w:rsidRPr="004811C9">
        <w:rPr>
          <w:rFonts w:cs="Times New Roman"/>
        </w:rPr>
        <w:t>for those with a positive WTP</w:t>
      </w:r>
      <w:r w:rsidR="00273229" w:rsidRPr="004811C9">
        <w:rPr>
          <w:rFonts w:cs="Times New Roman"/>
        </w:rPr>
        <w:t>,</w:t>
      </w:r>
      <w:r w:rsidRPr="004811C9">
        <w:rPr>
          <w:rFonts w:cs="Times New Roman"/>
        </w:rPr>
        <w:t xml:space="preserve"> </w:t>
      </w:r>
      <w:r w:rsidR="005351E6" w:rsidRPr="004811C9">
        <w:rPr>
          <w:rFonts w:cs="Times New Roman"/>
        </w:rPr>
        <w:t xml:space="preserve">employing information elicited </w:t>
      </w:r>
      <w:r w:rsidR="0005126C" w:rsidRPr="004811C9">
        <w:rPr>
          <w:rFonts w:cs="Times New Roman"/>
        </w:rPr>
        <w:t>f</w:t>
      </w:r>
      <w:r w:rsidRPr="004811C9">
        <w:rPr>
          <w:rFonts w:cs="Times New Roman"/>
        </w:rPr>
        <w:t>rom</w:t>
      </w:r>
      <w:r w:rsidR="0005126C" w:rsidRPr="004811C9">
        <w:rPr>
          <w:rFonts w:cs="Times New Roman"/>
        </w:rPr>
        <w:t xml:space="preserve"> </w:t>
      </w:r>
      <w:r w:rsidRPr="004811C9">
        <w:rPr>
          <w:rFonts w:cs="Times New Roman"/>
        </w:rPr>
        <w:t xml:space="preserve">a sample of individuals residing </w:t>
      </w:r>
      <w:r w:rsidR="0005126C" w:rsidRPr="004811C9">
        <w:rPr>
          <w:rFonts w:cs="Times New Roman"/>
        </w:rPr>
        <w:t>in Mumbai, India</w:t>
      </w:r>
      <w:r w:rsidRPr="004811C9">
        <w:rPr>
          <w:rFonts w:cs="Times New Roman"/>
        </w:rPr>
        <w:t>. Through this data collection exercise, w</w:t>
      </w:r>
      <w:r w:rsidR="0005126C" w:rsidRPr="004811C9">
        <w:rPr>
          <w:rFonts w:cs="Times New Roman"/>
        </w:rPr>
        <w:t xml:space="preserve">e are able to quantify </w:t>
      </w:r>
      <w:r w:rsidRPr="004811C9">
        <w:rPr>
          <w:rFonts w:cs="Times New Roman"/>
        </w:rPr>
        <w:t xml:space="preserve">WTP and overall VTTS variations across population subgroups and travel contexts. </w:t>
      </w:r>
      <w:r w:rsidR="00325D5B" w:rsidRPr="004811C9">
        <w:rPr>
          <w:rFonts w:cs="Times New Roman"/>
        </w:rPr>
        <w:t xml:space="preserve">The findings reveal significant </w:t>
      </w:r>
      <w:r w:rsidR="00C16E36" w:rsidRPr="004811C9">
        <w:rPr>
          <w:rFonts w:cs="Times New Roman"/>
        </w:rPr>
        <w:t xml:space="preserve">heterogeneity in both WTP and </w:t>
      </w:r>
      <w:r w:rsidRPr="004811C9">
        <w:rPr>
          <w:rFonts w:cs="Times New Roman"/>
        </w:rPr>
        <w:t xml:space="preserve">overall VTTS </w:t>
      </w:r>
      <w:r w:rsidR="00C16E36" w:rsidRPr="004811C9">
        <w:rPr>
          <w:rFonts w:cs="Times New Roman"/>
        </w:rPr>
        <w:t xml:space="preserve">across sociodemographic groups. In terms of the travel context, WTP and VTTS are highest </w:t>
      </w:r>
      <w:r w:rsidR="00936C35" w:rsidRPr="004811C9">
        <w:rPr>
          <w:rFonts w:cs="Times New Roman"/>
        </w:rPr>
        <w:t xml:space="preserve">(and by a </w:t>
      </w:r>
      <w:r w:rsidR="00273229" w:rsidRPr="004811C9">
        <w:rPr>
          <w:rFonts w:cs="Times New Roman"/>
        </w:rPr>
        <w:t>large</w:t>
      </w:r>
      <w:r w:rsidR="00936C35" w:rsidRPr="004811C9">
        <w:rPr>
          <w:rFonts w:cs="Times New Roman"/>
        </w:rPr>
        <w:t xml:space="preserve"> margin) </w:t>
      </w:r>
      <w:r w:rsidR="00325D5B" w:rsidRPr="004811C9">
        <w:rPr>
          <w:rFonts w:cs="Times New Roman"/>
        </w:rPr>
        <w:t>for work and education trips taken by car during the morning peak period</w:t>
      </w:r>
      <w:r w:rsidR="00C16E36" w:rsidRPr="004811C9">
        <w:rPr>
          <w:rFonts w:cs="Times New Roman"/>
        </w:rPr>
        <w:t>.</w:t>
      </w:r>
      <w:r w:rsidR="00325D5B" w:rsidRPr="004811C9">
        <w:rPr>
          <w:rFonts w:cs="Times New Roman"/>
        </w:rPr>
        <w:t xml:space="preserve"> </w:t>
      </w:r>
      <w:r w:rsidR="005351E6" w:rsidRPr="004811C9">
        <w:rPr>
          <w:rFonts w:cs="Times New Roman"/>
        </w:rPr>
        <w:t xml:space="preserve">Young individuals, those not living alone, and those traveling infrequently also exhibit both high WTP and high VTTS. In contrast, WTP and VTTS are not always aligned perfectly. Thus, in some contexts, individuals display a generally elevated WTP, but a relatively low VTTS (such as for shared trips and maintenance/leisure trips after 9:30 am), while in other cases, individuals exhibit low WTP but high VTTS (such as adults with children in the household, and those from low income households). </w:t>
      </w:r>
      <w:r w:rsidR="00D2024B" w:rsidRPr="004811C9">
        <w:rPr>
          <w:rFonts w:cs="Times New Roman"/>
        </w:rPr>
        <w:t xml:space="preserve">These </w:t>
      </w:r>
      <w:r w:rsidR="00873C5F" w:rsidRPr="004811C9">
        <w:rPr>
          <w:rFonts w:cs="Times New Roman"/>
        </w:rPr>
        <w:t xml:space="preserve">differences </w:t>
      </w:r>
      <w:r w:rsidR="00D2024B" w:rsidRPr="004811C9">
        <w:rPr>
          <w:rFonts w:cs="Times New Roman"/>
        </w:rPr>
        <w:t xml:space="preserve">underscore the importance of </w:t>
      </w:r>
      <w:r w:rsidR="00873C5F" w:rsidRPr="004811C9">
        <w:rPr>
          <w:rFonts w:cs="Times New Roman"/>
        </w:rPr>
        <w:t>separating the discrete and continuous components of the value of travel time saving</w:t>
      </w:r>
      <w:r w:rsidR="00907353">
        <w:rPr>
          <w:rFonts w:cs="Times New Roman"/>
        </w:rPr>
        <w:t>s</w:t>
      </w:r>
      <w:r w:rsidR="00873C5F" w:rsidRPr="004811C9">
        <w:rPr>
          <w:rFonts w:cs="Times New Roman"/>
        </w:rPr>
        <w:t xml:space="preserve">, </w:t>
      </w:r>
      <w:r w:rsidR="00D2024B" w:rsidRPr="004811C9">
        <w:rPr>
          <w:rFonts w:cs="Times New Roman"/>
        </w:rPr>
        <w:t xml:space="preserve">providing </w:t>
      </w:r>
      <w:r w:rsidR="00873C5F" w:rsidRPr="004811C9">
        <w:rPr>
          <w:rFonts w:cs="Times New Roman"/>
        </w:rPr>
        <w:t xml:space="preserve">strategic insights for </w:t>
      </w:r>
      <w:r w:rsidR="00D2024B" w:rsidRPr="004811C9">
        <w:rPr>
          <w:rFonts w:cs="Times New Roman"/>
        </w:rPr>
        <w:t>targeted investments that align with the different perceptions of travel time savings for different trips as well as directly considering how benefits from travel time savings are distributed across the population</w:t>
      </w:r>
      <w:r w:rsidR="00936C35" w:rsidRPr="004811C9">
        <w:rPr>
          <w:rFonts w:cs="Times New Roman"/>
        </w:rPr>
        <w:t>, as discussed in detail in the previous section</w:t>
      </w:r>
      <w:r w:rsidR="00D2024B" w:rsidRPr="004811C9">
        <w:rPr>
          <w:rFonts w:cs="Times New Roman"/>
        </w:rPr>
        <w:t xml:space="preserve">. </w:t>
      </w:r>
    </w:p>
    <w:p w14:paraId="62D6CC6A" w14:textId="31124F7B" w:rsidR="00472D6C" w:rsidRPr="004811C9" w:rsidRDefault="00DC71A4" w:rsidP="006C4B31">
      <w:pPr>
        <w:spacing w:after="0" w:line="240" w:lineRule="auto"/>
        <w:ind w:firstLine="720"/>
        <w:jc w:val="both"/>
        <w:rPr>
          <w:rFonts w:cs="Times New Roman"/>
        </w:rPr>
      </w:pPr>
      <w:r w:rsidRPr="003700F6">
        <w:t xml:space="preserve">By explicitly separating the discrete and continuous </w:t>
      </w:r>
      <w:r>
        <w:t xml:space="preserve">VTTS </w:t>
      </w:r>
      <w:r w:rsidRPr="003700F6">
        <w:t>component</w:t>
      </w:r>
      <w:r>
        <w:t>s</w:t>
      </w:r>
      <w:r w:rsidRPr="003700F6">
        <w:t>, the current framework provides planners with a more behaviorally realistic basis for predicting adoption of priced facilities, estimating revenue potential, and assessing elasticities under different pricing levels. Incorporating the mass of individuals with zero VTTS is particularly important for forecasting, because these travelers will not switch to priced lanes regardless of pricing levels, impacting overall estimates of diversion onto these priced lanes as well as the distribution of benefits that these types of projects may yield. At the same time, the ability of this model to reveal systematic heterogeneity based on both individual characteristics and travel context</w:t>
      </w:r>
      <w:r>
        <w:t xml:space="preserve"> provides insights for </w:t>
      </w:r>
      <w:r w:rsidRPr="003700F6">
        <w:t xml:space="preserve">appraisal </w:t>
      </w:r>
      <w:r>
        <w:t>studies by</w:t>
      </w:r>
      <w:r w:rsidRPr="003700F6">
        <w:t xml:space="preserve"> generat</w:t>
      </w:r>
      <w:r>
        <w:t>ing</w:t>
      </w:r>
      <w:r w:rsidRPr="003700F6">
        <w:t xml:space="preserve"> a broad set of </w:t>
      </w:r>
      <w:proofErr w:type="gramStart"/>
      <w:r w:rsidRPr="003700F6">
        <w:t>segment</w:t>
      </w:r>
      <w:proofErr w:type="gramEnd"/>
      <w:r w:rsidRPr="003700F6">
        <w:t xml:space="preserve">‑specific VTTS values than is typically available through differentiation by mode, purpose, and income. By mapping how the VTTS distribution varies across sociodemographic groups and travel contexts, the model supports </w:t>
      </w:r>
      <w:r w:rsidRPr="003700F6">
        <w:lastRenderedPageBreak/>
        <w:t>a detailed cost‑benefit analysis regarding the monetization of time savings</w:t>
      </w:r>
      <w:r>
        <w:t xml:space="preserve">, the </w:t>
      </w:r>
      <w:r w:rsidRPr="003700F6">
        <w:t xml:space="preserve">evaluation </w:t>
      </w:r>
      <w:r>
        <w:t>of the</w:t>
      </w:r>
      <w:r w:rsidRPr="003700F6">
        <w:t xml:space="preserve"> overall impacts of transportation projects</w:t>
      </w:r>
      <w:r>
        <w:t xml:space="preserve">, and an improved </w:t>
      </w:r>
      <w:r w:rsidRPr="003700F6">
        <w:t>assess</w:t>
      </w:r>
      <w:r>
        <w:t>ment of</w:t>
      </w:r>
      <w:r w:rsidRPr="003700F6">
        <w:t xml:space="preserve"> the distribution of transportation project</w:t>
      </w:r>
      <w:r>
        <w:t xml:space="preserve"> benefits</w:t>
      </w:r>
      <w:r w:rsidRPr="003700F6">
        <w:t xml:space="preserve"> across population subgroups</w:t>
      </w:r>
      <w:r>
        <w:t>. Overall, the methodology in this study</w:t>
      </w:r>
      <w:r w:rsidRPr="003700F6">
        <w:t xml:space="preserve"> offer</w:t>
      </w:r>
      <w:r>
        <w:t>s</w:t>
      </w:r>
      <w:r w:rsidRPr="003700F6">
        <w:t xml:space="preserve"> planners and policymakers a </w:t>
      </w:r>
      <w:r>
        <w:t>rich</w:t>
      </w:r>
      <w:r w:rsidRPr="003700F6">
        <w:t xml:space="preserve"> tool for designing, evaluating, and calibrating </w:t>
      </w:r>
      <w:r>
        <w:t xml:space="preserve">equitable </w:t>
      </w:r>
      <w:r w:rsidRPr="003700F6">
        <w:t>transportation policies and investments.</w:t>
      </w:r>
    </w:p>
    <w:p w14:paraId="1011D56F" w14:textId="119D8E25" w:rsidR="005A012C" w:rsidRPr="004811C9" w:rsidRDefault="00D2024B" w:rsidP="00027FE5">
      <w:pPr>
        <w:spacing w:after="0" w:line="240" w:lineRule="auto"/>
        <w:jc w:val="both"/>
        <w:rPr>
          <w:rFonts w:cs="Times New Roman"/>
        </w:rPr>
      </w:pPr>
      <w:r w:rsidRPr="004811C9">
        <w:rPr>
          <w:rFonts w:cs="Times New Roman"/>
        </w:rPr>
        <w:tab/>
      </w:r>
      <w:r w:rsidR="00B5464E" w:rsidRPr="004811C9">
        <w:rPr>
          <w:rFonts w:cs="Times New Roman"/>
        </w:rPr>
        <w:t xml:space="preserve">Based on our findings, future research efforts should directly consider the possibility that some individuals are unwilling to pay for travel time savings and explore the impacts of this issue on existing measures of VTTS as imputed using traditional methods. </w:t>
      </w:r>
      <w:r w:rsidR="0027792D" w:rsidRPr="004811C9">
        <w:rPr>
          <w:rFonts w:cs="Times New Roman"/>
        </w:rPr>
        <w:t xml:space="preserve">This includes more closely examining psychological issues surrounding willingness to pay </w:t>
      </w:r>
      <w:r w:rsidR="00BC2D3C" w:rsidRPr="004811C9">
        <w:rPr>
          <w:rFonts w:cs="Times New Roman"/>
        </w:rPr>
        <w:t xml:space="preserve">for priced lanes or feelings of fairness regarding congestion pricing as well as </w:t>
      </w:r>
      <w:r w:rsidR="00C145A9" w:rsidRPr="004811C9">
        <w:rPr>
          <w:rFonts w:cs="Times New Roman"/>
        </w:rPr>
        <w:t>examining real-world pricing context</w:t>
      </w:r>
      <w:r w:rsidR="004D51D9" w:rsidRPr="004811C9">
        <w:rPr>
          <w:rFonts w:cs="Times New Roman"/>
        </w:rPr>
        <w:t>s</w:t>
      </w:r>
      <w:r w:rsidR="00C145A9" w:rsidRPr="004811C9">
        <w:rPr>
          <w:rFonts w:cs="Times New Roman"/>
        </w:rPr>
        <w:t xml:space="preserve"> to determine why some individuals never choose priced lanes </w:t>
      </w:r>
      <w:r w:rsidR="004D51D9" w:rsidRPr="004811C9">
        <w:rPr>
          <w:rFonts w:cs="Times New Roman"/>
        </w:rPr>
        <w:t xml:space="preserve">when cost/time tradeoff </w:t>
      </w:r>
      <w:r w:rsidR="00936C35" w:rsidRPr="004811C9">
        <w:rPr>
          <w:rFonts w:cs="Times New Roman"/>
        </w:rPr>
        <w:t>exists</w:t>
      </w:r>
      <w:r w:rsidR="004D51D9" w:rsidRPr="004811C9">
        <w:rPr>
          <w:rFonts w:cs="Times New Roman"/>
        </w:rPr>
        <w:t xml:space="preserve">. </w:t>
      </w:r>
      <w:r w:rsidR="001179FC" w:rsidRPr="004811C9">
        <w:rPr>
          <w:rFonts w:cs="Times New Roman"/>
        </w:rPr>
        <w:t xml:space="preserve">In fact, this issue may have even larger effects in areas where there is generally more </w:t>
      </w:r>
      <w:r w:rsidR="009C0776" w:rsidRPr="004811C9">
        <w:rPr>
          <w:rFonts w:cs="Times New Roman"/>
        </w:rPr>
        <w:t xml:space="preserve">pushback against transportation pricing strategies. </w:t>
      </w:r>
      <w:r w:rsidR="000956FB">
        <w:rPr>
          <w:rFonts w:cs="Times New Roman"/>
        </w:rPr>
        <w:t>Further</w:t>
      </w:r>
      <w:r w:rsidR="009C0776" w:rsidRPr="004811C9">
        <w:rPr>
          <w:rFonts w:cs="Times New Roman"/>
        </w:rPr>
        <w:t>,</w:t>
      </w:r>
      <w:r w:rsidR="00A01D57" w:rsidRPr="004811C9">
        <w:rPr>
          <w:rFonts w:cs="Times New Roman"/>
        </w:rPr>
        <w:t xml:space="preserve"> while the current study focused on the context of </w:t>
      </w:r>
      <w:r w:rsidR="00936C35" w:rsidRPr="004811C9">
        <w:rPr>
          <w:rFonts w:cs="Times New Roman"/>
        </w:rPr>
        <w:t xml:space="preserve">pricing related to </w:t>
      </w:r>
      <w:r w:rsidR="00A01D57" w:rsidRPr="004811C9">
        <w:rPr>
          <w:rFonts w:cs="Times New Roman"/>
        </w:rPr>
        <w:t xml:space="preserve">private </w:t>
      </w:r>
      <w:r w:rsidR="00936C35" w:rsidRPr="004811C9">
        <w:rPr>
          <w:rFonts w:cs="Times New Roman"/>
        </w:rPr>
        <w:t xml:space="preserve">motorized </w:t>
      </w:r>
      <w:r w:rsidR="00A01D57" w:rsidRPr="004811C9">
        <w:rPr>
          <w:rFonts w:cs="Times New Roman"/>
        </w:rPr>
        <w:t>individual travel, explor</w:t>
      </w:r>
      <w:r w:rsidR="00936C35" w:rsidRPr="004811C9">
        <w:rPr>
          <w:rFonts w:cs="Times New Roman"/>
        </w:rPr>
        <w:t>ing</w:t>
      </w:r>
      <w:r w:rsidR="00A01D57" w:rsidRPr="004811C9">
        <w:rPr>
          <w:rFonts w:cs="Times New Roman"/>
        </w:rPr>
        <w:t xml:space="preserve"> WTP and VTTS in the context of </w:t>
      </w:r>
      <w:r w:rsidR="00936C35" w:rsidRPr="004811C9">
        <w:rPr>
          <w:rFonts w:cs="Times New Roman"/>
        </w:rPr>
        <w:t>non-motorized</w:t>
      </w:r>
      <w:r w:rsidR="00A01D57" w:rsidRPr="004811C9">
        <w:rPr>
          <w:rFonts w:cs="Times New Roman"/>
        </w:rPr>
        <w:t xml:space="preserve"> transport modes as well as public transportation would provide additional insights into investments across the transportation sector.</w:t>
      </w:r>
      <w:r w:rsidR="000956FB">
        <w:rPr>
          <w:rFonts w:cs="Times New Roman"/>
        </w:rPr>
        <w:t xml:space="preserve"> Similarly, while the trips considered in the current study were </w:t>
      </w:r>
      <w:r w:rsidR="00A85E13">
        <w:rPr>
          <w:rFonts w:cs="Times New Roman"/>
        </w:rPr>
        <w:t xml:space="preserve">heavily </w:t>
      </w:r>
      <w:r w:rsidR="000956FB">
        <w:rPr>
          <w:rFonts w:cs="Times New Roman"/>
        </w:rPr>
        <w:t xml:space="preserve">clustered during the morning peak (preventing </w:t>
      </w:r>
      <w:r w:rsidR="004B7061">
        <w:rPr>
          <w:rFonts w:cs="Times New Roman"/>
        </w:rPr>
        <w:t xml:space="preserve">a detailed consideration of VTTS variations across </w:t>
      </w:r>
      <w:r w:rsidR="00A85E13">
        <w:rPr>
          <w:rFonts w:cs="Times New Roman"/>
        </w:rPr>
        <w:t>finer time-of-day intervals</w:t>
      </w:r>
      <w:r w:rsidR="004B7061">
        <w:rPr>
          <w:rFonts w:cs="Times New Roman"/>
        </w:rPr>
        <w:t xml:space="preserve">), future research should </w:t>
      </w:r>
      <w:r w:rsidR="00A85E13">
        <w:rPr>
          <w:rFonts w:cs="Times New Roman"/>
        </w:rPr>
        <w:t>explore</w:t>
      </w:r>
      <w:r w:rsidR="004B7061">
        <w:rPr>
          <w:rFonts w:cs="Times New Roman"/>
        </w:rPr>
        <w:t xml:space="preserve"> </w:t>
      </w:r>
      <w:r w:rsidR="00B230EA">
        <w:rPr>
          <w:rFonts w:cs="Times New Roman"/>
        </w:rPr>
        <w:t xml:space="preserve">time-of-day variations in VTTS </w:t>
      </w:r>
      <w:r w:rsidR="00ED6207">
        <w:rPr>
          <w:rFonts w:cs="Times New Roman"/>
        </w:rPr>
        <w:t>to inform</w:t>
      </w:r>
      <w:r w:rsidR="002939A0">
        <w:rPr>
          <w:rFonts w:cs="Times New Roman"/>
        </w:rPr>
        <w:t xml:space="preserve"> time-sensitive dynamic pricing and congestion </w:t>
      </w:r>
      <w:r w:rsidR="00ED6207">
        <w:rPr>
          <w:rFonts w:cs="Times New Roman"/>
        </w:rPr>
        <w:t>management</w:t>
      </w:r>
      <w:r w:rsidR="002939A0">
        <w:rPr>
          <w:rFonts w:cs="Times New Roman"/>
        </w:rPr>
        <w:t xml:space="preserve"> strategies that </w:t>
      </w:r>
      <w:r w:rsidR="00ED6207">
        <w:rPr>
          <w:rFonts w:cs="Times New Roman"/>
        </w:rPr>
        <w:t>respond</w:t>
      </w:r>
      <w:r w:rsidR="002939A0">
        <w:rPr>
          <w:rFonts w:cs="Times New Roman"/>
        </w:rPr>
        <w:t xml:space="preserve"> both </w:t>
      </w:r>
      <w:r w:rsidR="00ED6207">
        <w:rPr>
          <w:rFonts w:cs="Times New Roman"/>
        </w:rPr>
        <w:t xml:space="preserve">to </w:t>
      </w:r>
      <w:r w:rsidR="00200B1E">
        <w:rPr>
          <w:rFonts w:cs="Times New Roman"/>
        </w:rPr>
        <w:t xml:space="preserve">roadway conditions and </w:t>
      </w:r>
      <w:r w:rsidR="00ED6207">
        <w:rPr>
          <w:rFonts w:cs="Times New Roman"/>
        </w:rPr>
        <w:t xml:space="preserve">to temporal variation </w:t>
      </w:r>
      <w:r w:rsidR="00200B1E">
        <w:rPr>
          <w:rFonts w:cs="Times New Roman"/>
        </w:rPr>
        <w:t xml:space="preserve">in travel time valuations. </w:t>
      </w:r>
      <w:r w:rsidR="00A01D57" w:rsidRPr="004811C9">
        <w:rPr>
          <w:rFonts w:cs="Times New Roman"/>
        </w:rPr>
        <w:t xml:space="preserve"> </w:t>
      </w:r>
    </w:p>
    <w:p w14:paraId="03C69BBC" w14:textId="77777777" w:rsidR="005A012C" w:rsidRPr="004811C9" w:rsidRDefault="005A012C" w:rsidP="00027FE5">
      <w:pPr>
        <w:spacing w:after="0" w:line="240" w:lineRule="auto"/>
        <w:jc w:val="both"/>
        <w:rPr>
          <w:rFonts w:cs="Times New Roman"/>
        </w:rPr>
      </w:pPr>
    </w:p>
    <w:p w14:paraId="5EC69A65" w14:textId="5DCCE266" w:rsidR="00361E40" w:rsidRPr="00361E40" w:rsidRDefault="00361E40" w:rsidP="00361E40">
      <w:pPr>
        <w:spacing w:after="0" w:line="240" w:lineRule="auto"/>
        <w:rPr>
          <w:rFonts w:cs="Times New Roman"/>
          <w:b/>
          <w:bCs/>
        </w:rPr>
      </w:pPr>
      <w:r w:rsidRPr="00361E40">
        <w:rPr>
          <w:rFonts w:cs="Times New Roman"/>
          <w:b/>
          <w:bCs/>
        </w:rPr>
        <w:t>ACKNOWLEDGMENTS</w:t>
      </w:r>
    </w:p>
    <w:p w14:paraId="274F3962" w14:textId="7AD3462F" w:rsidR="00361E40" w:rsidRDefault="008B244F" w:rsidP="008B244F">
      <w:pPr>
        <w:spacing w:after="0" w:line="240" w:lineRule="auto"/>
        <w:jc w:val="both"/>
        <w:rPr>
          <w:rFonts w:cs="Times New Roman"/>
        </w:rPr>
      </w:pPr>
      <w:r w:rsidRPr="008B244F">
        <w:rPr>
          <w:rFonts w:cs="Times New Roman"/>
        </w:rPr>
        <w:t>The household travel survey used in this research was funded by the Cintra, a Ferrovial company (https://www.ferrovial.com/en-us/cintra/), as an independent research investigation. Any opinions, findings, and conclusions or recommendations expressed in this study are those of the authors and do not necessarily reflect the views of the sponsor organization. This research was also partially supported by the U.S. Department of Transportation through the Center for Understanding Future Travel Behavior and Demand (TBD) (Grant No. 69A3552344815 and No. 69A3552348320). The authors are grateful to research associates at the Indian Institute of Management Ahmedabad for their help in survey design, to Lisa Macias for help in formatting this document</w:t>
      </w:r>
      <w:r w:rsidR="00EC71A1">
        <w:rPr>
          <w:rFonts w:cs="Times New Roman"/>
        </w:rPr>
        <w:t>, and to three</w:t>
      </w:r>
      <w:r w:rsidR="00EC71A1" w:rsidRPr="00EC71A1">
        <w:rPr>
          <w:rFonts w:cs="Times New Roman"/>
        </w:rPr>
        <w:t xml:space="preserve"> anonymous reviewers who provided useful comments and suggestions on an earlier version of this paper</w:t>
      </w:r>
      <w:r w:rsidRPr="008B244F">
        <w:rPr>
          <w:rFonts w:cs="Times New Roman"/>
        </w:rPr>
        <w:t xml:space="preserve">. </w:t>
      </w:r>
    </w:p>
    <w:p w14:paraId="4D016FCF" w14:textId="77777777" w:rsidR="008B244F" w:rsidRDefault="008B244F" w:rsidP="00CD74F1">
      <w:pPr>
        <w:spacing w:after="0" w:line="240" w:lineRule="auto"/>
        <w:rPr>
          <w:rFonts w:cs="Times New Roman"/>
          <w:b/>
          <w:bCs/>
        </w:rPr>
      </w:pPr>
    </w:p>
    <w:p w14:paraId="11FE9554" w14:textId="25F79D03" w:rsidR="00F77ECE" w:rsidRPr="004811C9" w:rsidRDefault="00CE7F87" w:rsidP="00CD74F1">
      <w:pPr>
        <w:spacing w:after="0" w:line="240" w:lineRule="auto"/>
        <w:rPr>
          <w:rFonts w:cs="Times New Roman"/>
          <w:b/>
          <w:bCs/>
        </w:rPr>
      </w:pPr>
      <w:r w:rsidRPr="004811C9">
        <w:rPr>
          <w:rFonts w:cs="Times New Roman"/>
          <w:b/>
          <w:bCs/>
        </w:rPr>
        <w:t xml:space="preserve">REFERENCES </w:t>
      </w:r>
    </w:p>
    <w:p w14:paraId="1A77ED7F" w14:textId="77777777" w:rsidR="00D478E5" w:rsidRDefault="0018313A" w:rsidP="00D478E5">
      <w:pPr>
        <w:pStyle w:val="Bibliography"/>
      </w:pPr>
      <w:r w:rsidRPr="008B244F">
        <w:rPr>
          <w:rFonts w:asciiTheme="minorHAnsi" w:hAnsiTheme="minorHAnsi"/>
          <w:b/>
          <w:bCs/>
        </w:rPr>
        <w:fldChar w:fldCharType="begin"/>
      </w:r>
      <w:r w:rsidR="00D464F2">
        <w:rPr>
          <w:b/>
          <w:bCs/>
        </w:rPr>
        <w:instrText xml:space="preserve"> ADDIN ZOTERO_BIBL {"uncited":[],"omitted":[],"custom":[]} CSL_BIBLIOGRAPHY </w:instrText>
      </w:r>
      <w:r w:rsidRPr="008B244F">
        <w:rPr>
          <w:rFonts w:asciiTheme="minorHAnsi" w:hAnsiTheme="minorHAnsi"/>
          <w:b/>
          <w:bCs/>
        </w:rPr>
        <w:fldChar w:fldCharType="separate"/>
      </w:r>
      <w:r w:rsidR="00D478E5">
        <w:t>Acampa, G., Ticali, D., Parisi, C.M., 2019. Value of Travel Time: An Economic Assessment for Transport Appraisal Decision-Makers, in: Proceedings of the International Conference of Computational Methods in Sciences and Engineering. AIP Conference Proceedings, Rhodes, Greece, p. 160009. https://doi.org/10.1063/1.5138077</w:t>
      </w:r>
    </w:p>
    <w:p w14:paraId="05DEF296" w14:textId="77777777" w:rsidR="00D478E5" w:rsidRDefault="00D478E5" w:rsidP="00D478E5">
      <w:pPr>
        <w:pStyle w:val="Bibliography"/>
      </w:pPr>
      <w:r>
        <w:t>Anas, A., Lindsey, R., 2011. Reducing Urban Road Transportation Externalities: Road Pricing in                         Theory and in Practice. Review of Environmental Economics and Policy 5, 66–88. https://doi.org/10.1093/reep/req019</w:t>
      </w:r>
    </w:p>
    <w:p w14:paraId="550D28FA" w14:textId="77777777" w:rsidR="00D478E5" w:rsidRDefault="00D478E5" w:rsidP="00D478E5">
      <w:pPr>
        <w:pStyle w:val="Bibliography"/>
      </w:pPr>
      <w:r>
        <w:t>Andersson, H., Svensson, M., 2008. Cognitive Ability and Scale Bias in the Contingent Valuation Method. Environ Resource Econ 39, 481–495. https://doi.org/10.1007/s10640-007-9137-0</w:t>
      </w:r>
    </w:p>
    <w:p w14:paraId="74E9D968" w14:textId="77777777" w:rsidR="00D478E5" w:rsidRDefault="00D478E5" w:rsidP="00D478E5">
      <w:pPr>
        <w:pStyle w:val="Bibliography"/>
      </w:pPr>
      <w:r>
        <w:lastRenderedPageBreak/>
        <w:t>Antoniou, C., Matsoukis, E., Roussi, P., 2007. A Methodology for the Estimation of Value-of-Time Using State-of-the-Art Econometric Models. Journal of Public Transportation 10, 1–19. https://doi.org/10.5038/2375-0901.10.3.1</w:t>
      </w:r>
    </w:p>
    <w:p w14:paraId="4A465BC6" w14:textId="77777777" w:rsidR="00D478E5" w:rsidRDefault="00D478E5" w:rsidP="00D478E5">
      <w:pPr>
        <w:pStyle w:val="Bibliography"/>
      </w:pPr>
      <w:r>
        <w:t>Aprahamian, F., Chanel, O., Luchini, S., 2008. Heterogeneous Anchoring and the Shift Effect in Iterative Valuation Questions. Resource and Energy Economics 30, 12–20. https://doi.org/10.1016/j.reseneeco.2007.03.002</w:t>
      </w:r>
    </w:p>
    <w:p w14:paraId="083B917A" w14:textId="77777777" w:rsidR="00D478E5" w:rsidRDefault="00D478E5" w:rsidP="00D478E5">
      <w:pPr>
        <w:pStyle w:val="Bibliography"/>
      </w:pPr>
      <w:r>
        <w:t>Armbrecht, J., 2014. Use Value of Cultural Experiences: A Comparison of Contingent Valuation and Travel Cost. Tourism Management 42, 141–148. https://doi.org/10.1016/j.tourman.2013.11.010</w:t>
      </w:r>
    </w:p>
    <w:p w14:paraId="7048A0ED" w14:textId="77777777" w:rsidR="00D478E5" w:rsidRDefault="00D478E5" w:rsidP="00D478E5">
      <w:pPr>
        <w:pStyle w:val="Bibliography"/>
      </w:pPr>
      <w:r>
        <w:t>Athira, I.C., Muneera, C.P., Krishnamurthy, K., Anjaneyulu, M.V.L.R., 2016. Estimation of Value of Travel Time for Work Trips, in: Transportation Research Procedia. Presented at the International Conference on Transportation Planning and Implementation Methodologies for Developing Countries (12th TPMDC), IIT Bombay, Mumbai, India, pp. 116–123. https://doi.org/10.1016/j.trpro.2016.11.067</w:t>
      </w:r>
    </w:p>
    <w:p w14:paraId="2D52995D" w14:textId="77777777" w:rsidR="00D478E5" w:rsidRDefault="00D478E5" w:rsidP="00D478E5">
      <w:pPr>
        <w:pStyle w:val="Bibliography"/>
      </w:pPr>
      <w:r>
        <w:t>Axhausen, K.W., Hess, S., König, A., Abay, G., Bates, J.J., Bierlaire, M., 2008. Income and Distance Elasticities of Values of Travel Time Savings: New Swiss Results. Transport Policy 15, 173–185. https://doi.org/10.1016/j.tranpol.2008.02.001</w:t>
      </w:r>
    </w:p>
    <w:p w14:paraId="54D2429A" w14:textId="77777777" w:rsidR="00D478E5" w:rsidRDefault="00D478E5" w:rsidP="00D478E5">
      <w:pPr>
        <w:pStyle w:val="Bibliography"/>
      </w:pPr>
      <w:r>
        <w:t>Basu, A., 2025. NHAI Starts Charging Toll for Jaipur Bandikui Linkway. The Times of India.</w:t>
      </w:r>
    </w:p>
    <w:p w14:paraId="2151E22B" w14:textId="77777777" w:rsidR="00D478E5" w:rsidRDefault="00D478E5" w:rsidP="00D478E5">
      <w:pPr>
        <w:pStyle w:val="Bibliography"/>
      </w:pPr>
      <w:r>
        <w:t>Batley, R., Bates, J., Bliemer, M., Börjesson, M., Bourdon, J., Cabral, M.O., Chintakayala, P.K., Choudhury, C., Daly, A., Dekker, T., Drivyla, E., Fowkes, T., Hess, S., Heywood, C., Johnson, D., Laird, J., Mackie, P., Parkin, J., Sanders, S., Sheldon, R., Wardman, M., Worsley, T., 2019. New Appraisal Values of Travel Time Saving and Reliability in Great Britain. Transportation 46, 583–621. https://doi.org/10.1007/s11116-017-9798-7</w:t>
      </w:r>
    </w:p>
    <w:p w14:paraId="5D5E4564" w14:textId="77777777" w:rsidR="00D478E5" w:rsidRDefault="00D478E5" w:rsidP="00D478E5">
      <w:pPr>
        <w:pStyle w:val="Bibliography"/>
      </w:pPr>
      <w:r>
        <w:t>Beck, M.J., Hess, S., Ojeda-Cabral, M., Dubernet, I., 2017. Valuing Travel Time Savings: A Case of Short-Term or Long Term Choices? Transportation Research Part E: Logistics and Transportation Review 100, 133–143. https://doi.org/10.1016/j.tre.2017.02.001</w:t>
      </w:r>
    </w:p>
    <w:p w14:paraId="0498E8E5" w14:textId="77777777" w:rsidR="00D478E5" w:rsidRDefault="00D478E5" w:rsidP="00D478E5">
      <w:pPr>
        <w:pStyle w:val="Bibliography"/>
      </w:pPr>
      <w:r>
        <w:t>Becker, G.S., 1965. A Theory of the Allocation of Time. The Economic Journal 75, 493–517. https://doi.org/10.2307/2228949</w:t>
      </w:r>
    </w:p>
    <w:p w14:paraId="792B4B51" w14:textId="77777777" w:rsidR="00D478E5" w:rsidRDefault="00D478E5" w:rsidP="00D478E5">
      <w:pPr>
        <w:pStyle w:val="Bibliography"/>
      </w:pPr>
      <w:r>
        <w:t>Berg, S.A., Moss, J.H., 2022. Anchoring and Judgment Bias: Disregarding Under Uncertainty. Psychol Rep 125, 2688–2708. https://doi.org/10.1177/00332941211016750</w:t>
      </w:r>
    </w:p>
    <w:p w14:paraId="0CF55020" w14:textId="56DBDDE7" w:rsidR="00D478E5" w:rsidRDefault="00D478E5" w:rsidP="00D478E5">
      <w:pPr>
        <w:pStyle w:val="Bibliography"/>
      </w:pPr>
      <w:r>
        <w:t>Bhat, C.R., 2000. Flexible Model Structures for Discrete Choice Analysis</w:t>
      </w:r>
      <w:r w:rsidR="00494E95">
        <w:t xml:space="preserve">. </w:t>
      </w:r>
      <w:r w:rsidR="00494E95" w:rsidRPr="00956FC3">
        <w:rPr>
          <w:rFonts w:cs="Times New Roman"/>
        </w:rPr>
        <w:t>In: Handbook of Transport Modelling, Ch. 5, 71-90, D.A. Hensher and K.J. Button</w:t>
      </w:r>
      <w:r w:rsidR="00494E95">
        <w:t xml:space="preserve"> (Eds.)</w:t>
      </w:r>
      <w:r w:rsidR="00494E95" w:rsidRPr="00956FC3">
        <w:rPr>
          <w:rFonts w:cs="Times New Roman"/>
        </w:rPr>
        <w:t>, Elsevier Science</w:t>
      </w:r>
      <w:r>
        <w:t>.</w:t>
      </w:r>
    </w:p>
    <w:p w14:paraId="3A0F8C1B" w14:textId="77777777" w:rsidR="00D478E5" w:rsidRDefault="00D478E5" w:rsidP="00D478E5">
      <w:pPr>
        <w:pStyle w:val="Bibliography"/>
      </w:pPr>
      <w:r>
        <w:t>Bhat, C.R., 1998. Accommodating Variations in Responsiveness to Level-of-Service Measures in Travel Mode Choice Modeling. Transportation Research Part A: Policy and Practice 32, 495–507. https://doi.org/10.1016/S0965-8564(98)00011-1</w:t>
      </w:r>
    </w:p>
    <w:p w14:paraId="017EAF4B" w14:textId="77777777" w:rsidR="00D478E5" w:rsidRDefault="00D478E5" w:rsidP="00D478E5">
      <w:pPr>
        <w:pStyle w:val="Bibliography"/>
      </w:pPr>
      <w:r>
        <w:t>Bhat, C.R., Castelar, S., 2002. A Unified Mixed Logit Framework for Modeling Revealed and Stated Preferences: Formulation and Application to Congestion Pricing Analysis in the San Francisco Bay Area. Transportation Research Part B: Methodological 36, 593–616. https://doi.org/10.1016/S0191-2615(01)00020-0</w:t>
      </w:r>
    </w:p>
    <w:p w14:paraId="74178EA9" w14:textId="77777777" w:rsidR="00D478E5" w:rsidRDefault="00D478E5" w:rsidP="00D478E5">
      <w:pPr>
        <w:pStyle w:val="Bibliography"/>
      </w:pPr>
      <w:r>
        <w:t>Bhat, C.R., Lavieri, P.S., 2018. A new mixed MNP model accommodating a variety of dependent non-normal coefficient distributions. Theory Decis 84, 239–275. https://doi.org/10.1007/s11238-017-9638-4</w:t>
      </w:r>
    </w:p>
    <w:p w14:paraId="46C8CF00" w14:textId="77777777" w:rsidR="00D478E5" w:rsidRDefault="00D478E5" w:rsidP="003A3CB2">
      <w:pPr>
        <w:pStyle w:val="Bibliography"/>
        <w:keepLines/>
      </w:pPr>
      <w:r>
        <w:lastRenderedPageBreak/>
        <w:t>Bhat, C.R., Mondal, A., Pinjari, A.R., 2025. A Flexible Non-Normal Random Coefficient Multinomial Probit Model: Application to Investigating Commuter’s Mode Choice Behavior in a Developing Economy Context. Transportation Research Part B: Methodological 195, 103186. https://doi.org/10.1016/j.trb.2025.103186</w:t>
      </w:r>
    </w:p>
    <w:p w14:paraId="20B9FDB5" w14:textId="77777777" w:rsidR="00D478E5" w:rsidRDefault="00D478E5" w:rsidP="00D478E5">
      <w:pPr>
        <w:pStyle w:val="Bibliography"/>
      </w:pPr>
      <w:r>
        <w:t>Bhat, C.R., Sardesai, R., 2006. The Impact of Stop-Making and Travel Time Reliability on Commute Mode Choice. Transportation Research Part B: Methodological 40, 709–730. https://doi.org/10.1016/j.trb.2005.09.008</w:t>
      </w:r>
    </w:p>
    <w:p w14:paraId="1A46BFE7" w14:textId="77777777" w:rsidR="00D478E5" w:rsidRDefault="00D478E5" w:rsidP="00D478E5">
      <w:pPr>
        <w:pStyle w:val="Bibliography"/>
      </w:pPr>
      <w:r>
        <w:t>Binsuwadan, J., Wardman, M., de Jong, G., Batley, R., Wheat, P., 2023. The Income Elasticity of the Value of Travel Time Savings: A Meta-Analysis. Transport Policy 136, 126–136. https://doi.org/10.1016/j.tranpol.2023.03.013</w:t>
      </w:r>
    </w:p>
    <w:p w14:paraId="273CCEC5" w14:textId="77777777" w:rsidR="00D478E5" w:rsidRDefault="00D478E5" w:rsidP="00D478E5">
      <w:pPr>
        <w:pStyle w:val="Bibliography"/>
      </w:pPr>
      <w:r>
        <w:t>Bishop, R.C., Heberlein, T.A., 1990. The Contingent Valuation Method, in: Economic Valuation Of Natural Resources. Routledge.</w:t>
      </w:r>
    </w:p>
    <w:p w14:paraId="62D52AD7" w14:textId="77777777" w:rsidR="00D478E5" w:rsidRDefault="00D478E5" w:rsidP="00D478E5">
      <w:pPr>
        <w:pStyle w:val="Bibliography"/>
      </w:pPr>
      <w:r>
        <w:t>Blundell, R., Bozio, A., Laroque, G., 2013. Extensive and Intensive Margins of Labour Supply: Work and Working Hours in the US, the UK and France. Fiscal Studies 34, 1–29. https://doi.org/10.1111/j.1475-5890.2013.00175.x</w:t>
      </w:r>
    </w:p>
    <w:p w14:paraId="26D95AB1" w14:textId="77777777" w:rsidR="00D478E5" w:rsidRDefault="00D478E5" w:rsidP="00D478E5">
      <w:pPr>
        <w:pStyle w:val="Bibliography"/>
      </w:pPr>
      <w:r>
        <w:t>Bonsall, P., 1985. Transfer Price Data-Its Definition, Collection and Use, in: New Survey Methods in Transport. VNU Science Press Utrecht.</w:t>
      </w:r>
    </w:p>
    <w:p w14:paraId="7B78F0F1" w14:textId="77777777" w:rsidR="00D478E5" w:rsidRDefault="00D478E5" w:rsidP="00D478E5">
      <w:pPr>
        <w:pStyle w:val="Bibliography"/>
      </w:pPr>
      <w:r>
        <w:t>Borah Hazarika, O., Das, S., 2021. Paid and Unpaid Work During the COVID-19 Pandemic: A Study of the Gendered Division of Domestic Responsibilities During Lockdown. Journal of Gender Studies 30, 429–439. https://doi.org/10.1080/09589236.2020.1863202</w:t>
      </w:r>
    </w:p>
    <w:p w14:paraId="69C05A0A" w14:textId="77777777" w:rsidR="00D478E5" w:rsidRDefault="00D478E5" w:rsidP="00D478E5">
      <w:pPr>
        <w:pStyle w:val="Bibliography"/>
      </w:pPr>
      <w:r>
        <w:t>Börjesson, M., Fosgerau, M., Algers, S., 2012. On the Income Elasticity of the Value of Travel Time. Transportation Research Part A: Policy and Practice 46, 368–377. https://doi.org/10.1016/j.tra.2011.10.007</w:t>
      </w:r>
    </w:p>
    <w:p w14:paraId="134B21A7" w14:textId="77777777" w:rsidR="00D478E5" w:rsidRDefault="00D478E5" w:rsidP="00D478E5">
      <w:pPr>
        <w:pStyle w:val="Bibliography"/>
      </w:pPr>
      <w:r>
        <w:t>Bouscasse, H., de Lapparent, M., 2019. Perceived Comfort and Values of Travel Time Savings in the Rhône-Alpes Region. Transportation Research Part A: Policy and Practice 124, 370–387. https://doi.org/10.1016/j.tra.2019.04.006</w:t>
      </w:r>
    </w:p>
    <w:p w14:paraId="4456CC59" w14:textId="77777777" w:rsidR="00D478E5" w:rsidRDefault="00D478E5" w:rsidP="00D478E5">
      <w:pPr>
        <w:pStyle w:val="Bibliography"/>
      </w:pPr>
      <w:r>
        <w:t>Boyle, K.J., 2017. Contingent Valuation in Practice, in: Champ, P.A., Boyle, K.J., Brown, T.C. (Eds.), A Primer on Nonmarket Valuation. Springer Netherlands, Dordrecht, pp. 83–131. https://doi.org/10.1007/978-94-007-7104-8_4</w:t>
      </w:r>
    </w:p>
    <w:p w14:paraId="50EA5383" w14:textId="77777777" w:rsidR="00D478E5" w:rsidRDefault="00D478E5" w:rsidP="00D478E5">
      <w:pPr>
        <w:pStyle w:val="Bibliography"/>
      </w:pPr>
      <w:r>
        <w:t>Boyle, K.J., Bishop, R.C., Welsh, M.P., 1985. Starting Point Bias in Contingent Valuation Bidding Games. Land Economics 61, 188–194. https://doi.org/10.2307/3145811</w:t>
      </w:r>
    </w:p>
    <w:p w14:paraId="4892B8FB" w14:textId="77777777" w:rsidR="00D478E5" w:rsidRDefault="00D478E5" w:rsidP="00D478E5">
      <w:pPr>
        <w:pStyle w:val="Bibliography"/>
      </w:pPr>
      <w:r>
        <w:t>Bradley, M.A., Gunn, H.F., 1990. Stated Preference Analysis of Values of Travel Time in the Netherlands. Transportation Research Record 78–88.</w:t>
      </w:r>
    </w:p>
    <w:p w14:paraId="3FCF60B5" w14:textId="77777777" w:rsidR="00D478E5" w:rsidRDefault="00D478E5" w:rsidP="00D478E5">
      <w:pPr>
        <w:pStyle w:val="Bibliography"/>
      </w:pPr>
      <w:r>
        <w:t>Brent, D.A., Gross, A., 2018. Dynamic Road Pricing and the Value of Time and Reliability. Journal of Regional Science 58, 330–349. https://doi.org/10.1111/jors.12362</w:t>
      </w:r>
    </w:p>
    <w:p w14:paraId="11BDCC55" w14:textId="77777777" w:rsidR="00D478E5" w:rsidRDefault="00D478E5" w:rsidP="00D478E5">
      <w:pPr>
        <w:pStyle w:val="Bibliography"/>
      </w:pPr>
      <w:r>
        <w:t>Carrion, C., Levinson, D., 2012. Value of Travel Time Reliability: A Review of Current Evidence. Transportation Research Part A: Policy and Practice 46, 720–741. https://doi.org/10.1016/j.tra.2012.01.003</w:t>
      </w:r>
    </w:p>
    <w:p w14:paraId="3954A4C8" w14:textId="77777777" w:rsidR="00D478E5" w:rsidRDefault="00D478E5" w:rsidP="00D478E5">
      <w:pPr>
        <w:pStyle w:val="Bibliography"/>
      </w:pPr>
      <w:r>
        <w:t>Central Florida Expressway Authority, 2016. Central Florida Expressway Authority Launches Loyalty Discount Program For E-PASS Customers. URL https://www.cfxway.com/agency-information/newsroom/news-releases/central-florida-expressway-authority-launches-loyalty-discount-program-for-e-pass-customers/ (accessed 7.27.25).</w:t>
      </w:r>
    </w:p>
    <w:p w14:paraId="7F426691" w14:textId="4C2DD786" w:rsidR="00D478E5" w:rsidRDefault="00D478E5" w:rsidP="00D478E5">
      <w:pPr>
        <w:pStyle w:val="Bibliography"/>
      </w:pPr>
      <w:r>
        <w:t>Cho, S., Parkhomenko, A., 2024. Time Use and City Size.</w:t>
      </w:r>
      <w:r w:rsidR="003A3CB2" w:rsidRPr="003A3CB2">
        <w:rPr>
          <w:rFonts w:cs="Times New Roman"/>
        </w:rPr>
        <w:t xml:space="preserve"> </w:t>
      </w:r>
      <w:r w:rsidR="003A3CB2" w:rsidRPr="00D07E60">
        <w:rPr>
          <w:rFonts w:cs="Times New Roman"/>
        </w:rPr>
        <w:t>Available at SSRN:</w:t>
      </w:r>
      <w:r w:rsidR="003A3CB2">
        <w:rPr>
          <w:rFonts w:cs="Times New Roman"/>
        </w:rPr>
        <w:t xml:space="preserve"> </w:t>
      </w:r>
      <w:r w:rsidR="003A3CB2" w:rsidRPr="00D07E60">
        <w:rPr>
          <w:rFonts w:cs="Times New Roman"/>
        </w:rPr>
        <w:t>https://ssrn.com/abstract=4919448</w:t>
      </w:r>
    </w:p>
    <w:p w14:paraId="3165C7AE" w14:textId="77777777" w:rsidR="00D478E5" w:rsidRDefault="00D478E5" w:rsidP="00D478E5">
      <w:pPr>
        <w:pStyle w:val="Bibliography"/>
      </w:pPr>
      <w:r>
        <w:lastRenderedPageBreak/>
        <w:t>Cirillo, C., Axhausen, K.W., 2006. Evidence on the Distribution of Values of Travel Time Savings from a Six-Week Diary. Transportation Research Part A: Policy and Practice 40, 444–457. https://doi.org/10.1016/j.tra.2005.06.007</w:t>
      </w:r>
    </w:p>
    <w:p w14:paraId="28AA338E" w14:textId="77777777" w:rsidR="00D478E5" w:rsidRDefault="00D478E5" w:rsidP="00D478E5">
      <w:pPr>
        <w:pStyle w:val="Bibliography"/>
      </w:pPr>
      <w:r>
        <w:t>Cohen, M.C., Jacquillat, A., Ratzon, A., Sasson, R., 2022. The Impact of High-Occupancy Vehicle Lanes on Carpooling. Transportation Research Part A: Policy and Practice 165, 186–206. https://doi.org/10.1016/j.tra.2022.08.021</w:t>
      </w:r>
    </w:p>
    <w:p w14:paraId="2488A428" w14:textId="77777777" w:rsidR="00D478E5" w:rsidRDefault="00D478E5" w:rsidP="00D478E5">
      <w:pPr>
        <w:pStyle w:val="Bibliography"/>
      </w:pPr>
      <w:r>
        <w:t>Comprehensive Mobility Plan (CMP) for Greater Mumbai, 2016. . Municipal Corporate of Greater Mumbai.</w:t>
      </w:r>
    </w:p>
    <w:p w14:paraId="290E56A5" w14:textId="77777777" w:rsidR="00D478E5" w:rsidRDefault="00D478E5" w:rsidP="00D478E5">
      <w:pPr>
        <w:pStyle w:val="Bibliography"/>
      </w:pPr>
      <w:r>
        <w:t>Coppola, P., De Fabiis, F., Silvestri, F., 2024. Urban Air Mobility (UAM): Airport shuttles or city-taxis? Transport Policy 150, 24–34. https://doi.org/10.1016/j.tranpol.2024.03.003</w:t>
      </w:r>
    </w:p>
    <w:p w14:paraId="261EAFB1" w14:textId="77777777" w:rsidR="00D478E5" w:rsidRDefault="00D478E5" w:rsidP="00D478E5">
      <w:pPr>
        <w:pStyle w:val="Bibliography"/>
      </w:pPr>
      <w:r>
        <w:t>D’Agostino, M.C., Pellaton, P., White, B., 2020. Equitable Congestion Pricing (No. UC-ITS-2020-21a). University of California Institute of Transportation Studies. https://doi.org/10.7922/G2RF5S92</w:t>
      </w:r>
    </w:p>
    <w:p w14:paraId="0246D22D" w14:textId="77777777" w:rsidR="00D478E5" w:rsidRDefault="00D478E5" w:rsidP="00D478E5">
      <w:pPr>
        <w:pStyle w:val="Bibliography"/>
      </w:pPr>
      <w:r>
        <w:t>Dalvi, M.Q., Lee, N., 1971. Variations in the Value of Travel Time: Further Analysis. The Manchester School 39, 187–204. https://doi.org/10.1111/j.1467-9957.1971.tb00379.x</w:t>
      </w:r>
    </w:p>
    <w:p w14:paraId="71F9B6A7" w14:textId="77777777" w:rsidR="00D478E5" w:rsidRDefault="00D478E5" w:rsidP="00D478E5">
      <w:pPr>
        <w:pStyle w:val="Bibliography"/>
      </w:pPr>
      <w:r>
        <w:t>Daly, A., Gunn, H., 2002. Simultaneous Analysis of Choice and Transfer Price Data, in: European Transport Conference.</w:t>
      </w:r>
    </w:p>
    <w:p w14:paraId="13E10841" w14:textId="77777777" w:rsidR="00D478E5" w:rsidRDefault="00D478E5" w:rsidP="00D478E5">
      <w:pPr>
        <w:pStyle w:val="Bibliography"/>
      </w:pPr>
      <w:r>
        <w:t>Dannemiller, K.A., Asmussen, K.E., Mondal, A., Bhat, C.R., 2023. Autonomous Vehicle Impacts on Travel-Based Activity and Activity-Based Travel. Transportation Research Part C: Emerging Technologies 150, 104107. https://doi.org/10.1016/j.trc.2023.104107</w:t>
      </w:r>
    </w:p>
    <w:p w14:paraId="3B065917" w14:textId="77777777" w:rsidR="00D478E5" w:rsidRDefault="00D478E5" w:rsidP="00D478E5">
      <w:pPr>
        <w:pStyle w:val="Bibliography"/>
      </w:pPr>
      <w:r>
        <w:t>De Serpa, A.C., 1971. A Theory of the Economics of Time. The Economic Journal 81, 828–846. https://doi.org/10.2307/2230320</w:t>
      </w:r>
    </w:p>
    <w:p w14:paraId="7D949906" w14:textId="77777777" w:rsidR="00D478E5" w:rsidRDefault="00D478E5" w:rsidP="00D478E5">
      <w:pPr>
        <w:pStyle w:val="Bibliography"/>
      </w:pPr>
      <w:r>
        <w:t>Deshpande, A., Kabeer, N., 2024. Norms That Matter: Exploring the Distribution of Women’s Work Between Income Generation, Expenditure-Saving and Unpaid Domestic Responsibilities in India. World Development 174, 106435. https://doi.org/10.1016/j.worlddev.2023.106435</w:t>
      </w:r>
    </w:p>
    <w:p w14:paraId="48BF7AEF" w14:textId="77777777" w:rsidR="00D478E5" w:rsidRDefault="00D478E5" w:rsidP="00D478E5">
      <w:pPr>
        <w:pStyle w:val="Bibliography"/>
      </w:pPr>
      <w:r>
        <w:t>Economic Research Institute, 2025. Average Salary in Mumbai, India [WWW Document]. ERI SalaryExpert Global Salary Calculator. URL https://www.salaryexpert.com/salary/area/india/mumbai (accessed 3.3.26).</w:t>
      </w:r>
    </w:p>
    <w:p w14:paraId="74DBF11F" w14:textId="77777777" w:rsidR="00D478E5" w:rsidRDefault="00D478E5" w:rsidP="00D478E5">
      <w:pPr>
        <w:pStyle w:val="Bibliography"/>
      </w:pPr>
      <w:r>
        <w:t>Eliasson, J., 2016. Is Congestion Pricing Fair? Consumer and Citizen Perspectives on Equity Effects. Transport Policy 52, 1–15. https://doi.org/10.1016/j.tranpol.2016.06.009</w:t>
      </w:r>
    </w:p>
    <w:p w14:paraId="34BE2B59" w14:textId="77777777" w:rsidR="00D478E5" w:rsidRDefault="00D478E5" w:rsidP="00D478E5">
      <w:pPr>
        <w:pStyle w:val="Bibliography"/>
      </w:pPr>
      <w:r>
        <w:t>Fayyaz, M., Bliemer, M.C.J., Beck, M.J., Hess, S., van Lint, J.W.C., 2021. Stated Choices and Simulated Experiences: Differences in the Value of Travel Time and Reliability. Transportation Research Part C: Emerging Technologies 128, 103145. https://doi.org/10.1016/j.trc.2021.103145</w:t>
      </w:r>
    </w:p>
    <w:p w14:paraId="7E91BD2F" w14:textId="77777777" w:rsidR="00D478E5" w:rsidRDefault="00D478E5" w:rsidP="00D478E5">
      <w:pPr>
        <w:pStyle w:val="Bibliography"/>
      </w:pPr>
      <w:r>
        <w:t>Fernandes, A.M., Klenow, P.J., Meleshchuk, S., Pierola, M.D., Rodríguez-Clare, A., 2023. The Intensive Margin in Trade: How Big and How Important? American Economic Journal: Macroeconomics 15, 320–354. https://doi.org/10.1257/mac.20200269</w:t>
      </w:r>
    </w:p>
    <w:p w14:paraId="3813BBB2" w14:textId="77777777" w:rsidR="00D478E5" w:rsidRDefault="00D478E5" w:rsidP="00D478E5">
      <w:pPr>
        <w:pStyle w:val="Bibliography"/>
      </w:pPr>
      <w:r>
        <w:t>Festjens, A., Janiszewski, C., 2015. The Value of Time. Journal of Consumer Research 42, 178–195. https://doi.org/10.1093/jcr/ucv021</w:t>
      </w:r>
    </w:p>
    <w:p w14:paraId="68146CCF" w14:textId="77777777" w:rsidR="00D478E5" w:rsidRDefault="00D478E5" w:rsidP="00D478E5">
      <w:pPr>
        <w:pStyle w:val="Bibliography"/>
      </w:pPr>
      <w:r>
        <w:t>Fosgerau, M., 2006. Investigating the Distribution of the Value of Travel Time Savings. Transportation Research Part B: Methodological 40, 688–707. https://doi.org/10.1016/j.trb.2005.09.007</w:t>
      </w:r>
    </w:p>
    <w:p w14:paraId="729F3689" w14:textId="77777777" w:rsidR="00D478E5" w:rsidRDefault="00D478E5" w:rsidP="00D478E5">
      <w:pPr>
        <w:pStyle w:val="Bibliography"/>
      </w:pPr>
      <w:r>
        <w:t>Fournier, N., Christofa, E., 2021. On the Impact of Income, Age, and Travel Distance on the Value of Time. Transportation Research Record 2675, 122–135. https://doi.org/10.1177/0361198120966603</w:t>
      </w:r>
    </w:p>
    <w:p w14:paraId="60FC10D7" w14:textId="77777777" w:rsidR="00D478E5" w:rsidRDefault="00D478E5" w:rsidP="00D478E5">
      <w:pPr>
        <w:pStyle w:val="Bibliography"/>
      </w:pPr>
      <w:r>
        <w:lastRenderedPageBreak/>
        <w:t>Fujii, S., Gärling, T., Jakobsson, C., Jou, R.-C., 2004. A Cross-Country Study of Fairness and Infringement on Freedom as Determinants of Car Owners’ Acceptance of Road Pricing. Transportation 31, 285–295. https://doi.org/10.1023/B:PORT.0000025395.17250.49</w:t>
      </w:r>
    </w:p>
    <w:p w14:paraId="411EF7AD" w14:textId="77777777" w:rsidR="00D478E5" w:rsidRDefault="00D478E5" w:rsidP="00D478E5">
      <w:pPr>
        <w:pStyle w:val="Bibliography"/>
      </w:pPr>
      <w:r>
        <w:t>George, A.S., Shaji, T., 2024. Unpaid Labor’s Unaccounted Value: Estimating the Economic Worth of Indian Housework. Partners Universal Innovative Research Publication 2, 38–56. https://doi.org/10.5281/zenodo.11650647</w:t>
      </w:r>
    </w:p>
    <w:p w14:paraId="5C106D14" w14:textId="77777777" w:rsidR="00D478E5" w:rsidRDefault="00D478E5" w:rsidP="00D478E5">
      <w:pPr>
        <w:pStyle w:val="Bibliography"/>
      </w:pPr>
      <w:r>
        <w:t>González, R.M., 1997. The Value of Time: A Theoretical Review. Transport Reviews 17, 245–266. https://doi.org/10.1080/01441649708716984</w:t>
      </w:r>
    </w:p>
    <w:p w14:paraId="7D35922C" w14:textId="77777777" w:rsidR="00D478E5" w:rsidRDefault="00D478E5" w:rsidP="00D478E5">
      <w:pPr>
        <w:pStyle w:val="Bibliography"/>
      </w:pPr>
      <w:r>
        <w:t>Green, D., Jacowitz, K.E., Kahneman, D., McFadden, D., 1998. Referendum Contingent Valuation, Anchoring, and Willingness to Pay for Public Goods. Resource and Energy Economics 20, 85–116. https://doi.org/10.1016/S0928-7655(97)00031-6</w:t>
      </w:r>
    </w:p>
    <w:p w14:paraId="0B359022" w14:textId="77777777" w:rsidR="00D478E5" w:rsidRDefault="00D478E5" w:rsidP="00D478E5">
      <w:pPr>
        <w:pStyle w:val="Bibliography"/>
      </w:pPr>
      <w:r>
        <w:t>Greene, W., 2000. Econometric Analysis, 4th ed. Pearson Education.</w:t>
      </w:r>
    </w:p>
    <w:p w14:paraId="20E71C6E" w14:textId="77777777" w:rsidR="00D478E5" w:rsidRDefault="00D478E5" w:rsidP="00D478E5">
      <w:pPr>
        <w:pStyle w:val="Bibliography"/>
      </w:pPr>
      <w:r>
        <w:t>Haghani, M., Bliemer, M.C.J., Rose, J.M., Oppewal, H., Lancsar, E., 2021. Hypothetical Bias in Stated Choice Experiments: Part II. Conceptualisation of External Validity, Sources and Explanations of Bias and Effectiveness of Mitigation Methods. Journal of Choice Modelling 41, 100322. https://doi.org/10.1016/j.jocm.2021.100322</w:t>
      </w:r>
    </w:p>
    <w:p w14:paraId="5D3A64A7" w14:textId="77777777" w:rsidR="00D478E5" w:rsidRDefault="00D478E5" w:rsidP="00D478E5">
      <w:pPr>
        <w:pStyle w:val="Bibliography"/>
      </w:pPr>
      <w:r>
        <w:t>Hague Consulting Group, 1990. The Netherlands’ “Value of Time” Study: Final Report (No. 175160). Rijkswaterstaat, Dienst Verkeerskunde, The Hague.</w:t>
      </w:r>
    </w:p>
    <w:p w14:paraId="24343974" w14:textId="77777777" w:rsidR="00D478E5" w:rsidRDefault="00D478E5" w:rsidP="00D478E5">
      <w:pPr>
        <w:pStyle w:val="Bibliography"/>
      </w:pPr>
      <w:r>
        <w:t>Hartwig, L., Gühnemann, A., Hössinger, R., 2024. Decomposing Mode-Specific Values of Travel Time Savings with Respect to Different Levels of Travel-Based Multitasking: A Revealed Preference Study. Travel Behaviour and Society 34, 100700. https://doi.org/10.1016/j.tbs.2023.100700</w:t>
      </w:r>
    </w:p>
    <w:p w14:paraId="028CE85E" w14:textId="77777777" w:rsidR="00D478E5" w:rsidRDefault="00D478E5" w:rsidP="00D478E5">
      <w:pPr>
        <w:pStyle w:val="Bibliography"/>
      </w:pPr>
      <w:r>
        <w:t>Hayes, G.P., Venter, C.J., 2025. Willingness to Pay for Travel Time Savings on Public Transport: Past Practice, New Evidence and Implications for Policy. South African Journal of Economics 93, 374–386. https://doi.org/10.1111/saje.70002</w:t>
      </w:r>
    </w:p>
    <w:p w14:paraId="72BB0DBA" w14:textId="77777777" w:rsidR="00D478E5" w:rsidRDefault="00D478E5" w:rsidP="00D478E5">
      <w:pPr>
        <w:pStyle w:val="Bibliography"/>
      </w:pPr>
      <w:r>
        <w:t>Hensher, D.A., 1997. Behavioral Value of Travel Time Savings in Personal and Commercial Automobile Travel, in: Greene, D.L., Jones, D.W., Delucchi, M.A. (Eds.), The Full Costs and Benefits of Transportation. Springer, Berlin, Heidelberg, pp. 245–278. https://doi.org/10.1007/978-3-642-59064-1_9</w:t>
      </w:r>
    </w:p>
    <w:p w14:paraId="0D0A7F87" w14:textId="77777777" w:rsidR="00D478E5" w:rsidRDefault="00D478E5" w:rsidP="00D478E5">
      <w:pPr>
        <w:pStyle w:val="Bibliography"/>
      </w:pPr>
      <w:r>
        <w:t>Hensher, D.A., Goodwin, P., 2004. Using Values of Travel Time Savings for Toll Roads: Avoiding Some Common Errors. Transport Policy 11, 171–181. https://doi.org/10.1016/j.tranpol.2003.10.002</w:t>
      </w:r>
    </w:p>
    <w:p w14:paraId="66CB1843" w14:textId="77777777" w:rsidR="00D478E5" w:rsidRDefault="00D478E5" w:rsidP="00D478E5">
      <w:pPr>
        <w:pStyle w:val="Bibliography"/>
      </w:pPr>
      <w:r>
        <w:t>Herriges, J.A., Shogren, J.F., 1996. Starting Point Bias in Dichotomous Choice Valuation with Follow-Up Questioning. Journal of Environmental Economics and Management 30, 112–131. https://doi.org/10.1006/jeem.1996.0008</w:t>
      </w:r>
    </w:p>
    <w:p w14:paraId="186EA15A" w14:textId="77777777" w:rsidR="00D478E5" w:rsidRDefault="00D478E5" w:rsidP="00D478E5">
      <w:pPr>
        <w:pStyle w:val="Bibliography"/>
      </w:pPr>
      <w:r>
        <w:t>Hess, S., Bierlaire, M., Polak, J.W., 2005. Estimation of Value of Travel-Time Savings Using Mixed Logit Models. Transportation Research Part A: Policy and Practice 39, 221–236. https://doi.org/10.1016/j.tra.2004.09.007</w:t>
      </w:r>
    </w:p>
    <w:p w14:paraId="6730B975" w14:textId="77777777" w:rsidR="00D478E5" w:rsidRDefault="00D478E5" w:rsidP="00D478E5">
      <w:pPr>
        <w:pStyle w:val="Bibliography"/>
      </w:pPr>
      <w:r>
        <w:t>Hoyos, D., Mariel, P., 2010. Contingent Valuation: Past, Present and Future. Prague Economic Papers 4, 329–343.</w:t>
      </w:r>
    </w:p>
    <w:p w14:paraId="5347AD72" w14:textId="77777777" w:rsidR="00D478E5" w:rsidRDefault="00D478E5" w:rsidP="00D478E5">
      <w:pPr>
        <w:pStyle w:val="Bibliography"/>
      </w:pPr>
      <w:r>
        <w:t>Hsieh, H.-S., 2022. Road Pricing Acceptability and Persuasive Communication Effectiveness. Transport Policy 125, 179–191. https://doi.org/10.1016/j.tranpol.2022.05.004</w:t>
      </w:r>
    </w:p>
    <w:p w14:paraId="7FD5D67C" w14:textId="77777777" w:rsidR="00D478E5" w:rsidRDefault="00D478E5" w:rsidP="00D478E5">
      <w:pPr>
        <w:pStyle w:val="Bibliography"/>
      </w:pPr>
      <w:r>
        <w:t>Japan ETCcard, 2025. Comprehensive Guide to ETC Discounts and Mileage Benefits in Japan [WWW Document]. URL https://japanetccard.com/How-It-Works/ETC-Discounts-and-Mileage-Benefits-in-Japan (accessed 7.27.25).</w:t>
      </w:r>
    </w:p>
    <w:p w14:paraId="49925EB7" w14:textId="77777777" w:rsidR="00D478E5" w:rsidRDefault="00D478E5" w:rsidP="00D478E5">
      <w:pPr>
        <w:pStyle w:val="Bibliography"/>
      </w:pPr>
      <w:r>
        <w:lastRenderedPageBreak/>
        <w:t>Jara-Diaz, S., 2024. The Value(s) of Travel Time Savings Considering in-Vehicle Activities. Transportation Research Part A: Policy and Practice 184, 104092. https://doi.org/10.1016/j.tra.2024.104092</w:t>
      </w:r>
    </w:p>
    <w:p w14:paraId="0F485C23" w14:textId="77777777" w:rsidR="00D478E5" w:rsidRDefault="00D478E5" w:rsidP="00D478E5">
      <w:pPr>
        <w:pStyle w:val="Bibliography"/>
      </w:pPr>
      <w:r>
        <w:t>Jara-Diaz, S.R., Guevara, C.A., 2003. Behind the Subjective Value of Travel Time Savings. Journal of Transport Economics and Policy (JTEP) 37, 29–46.</w:t>
      </w:r>
    </w:p>
    <w:p w14:paraId="66037365" w14:textId="77777777" w:rsidR="00D478E5" w:rsidRDefault="00D478E5" w:rsidP="00D478E5">
      <w:pPr>
        <w:pStyle w:val="Bibliography"/>
      </w:pPr>
      <w:r>
        <w:t>Jha, R., 2025. Making a Case for Congestion Pricing in India’s Cities (ORF Occasional Paper No. 479). Observer Research Foundation.</w:t>
      </w:r>
    </w:p>
    <w:p w14:paraId="2D6ECAE0" w14:textId="77777777" w:rsidR="00D478E5" w:rsidRDefault="00D478E5" w:rsidP="00D478E5">
      <w:pPr>
        <w:pStyle w:val="Bibliography"/>
      </w:pPr>
      <w:r>
        <w:t>Jing, P., Seshadri, R., Sakai, T., Shamshiripour, A., Alho, A.R., Lentzakis, A., Ben-Akiva, M.E., 2024. Evaluating Congestion Pricing Schemes Using Agent-Based Passenger and Freight Microsimulation. Transportation Research Part A: Policy and Practice 186, 104118. https://doi.org/10.1016/j.tra.2024.104118</w:t>
      </w:r>
    </w:p>
    <w:p w14:paraId="0E69BD68" w14:textId="77777777" w:rsidR="00D478E5" w:rsidRDefault="00D478E5" w:rsidP="00D478E5">
      <w:pPr>
        <w:pStyle w:val="Bibliography"/>
      </w:pPr>
      <w:r>
        <w:t>Johnston, R.J., Boyle, K.J., Adamowicz, W. (Vic), Bennett, J., Brouwer, R., Cameron, T.A., Hanemann, W.M., Hanley, N., Ryan, M., Scarpa, R., Tourangeau, R., Vossler, C.A., 2017. Contemporary Guidance for Stated Preference Studies. Journal of the Association of Environmental and Resource Economists 4, 319–405. https://doi.org/10.1086/691697</w:t>
      </w:r>
    </w:p>
    <w:p w14:paraId="099403F2" w14:textId="77777777" w:rsidR="00D478E5" w:rsidRDefault="00D478E5" w:rsidP="00D478E5">
      <w:pPr>
        <w:pStyle w:val="Bibliography"/>
      </w:pPr>
      <w:r>
        <w:t>Kaddoura, I., Nagel, K., 2016. Agent-based Congestion Pricing and Transport Routing with Heterogeneous Values of Travel Time Savings. Procedia Computer Science, The 7th International Conference on Ambient Systems, Networks and Technologies (ANT 2016) / The 6th International Conference on Sustainable Energy Information Technology (SEIT-2016) / Affiliated Workshops 83, 908–913. https://doi.org/10.1016/j.procs.2016.04.184</w:t>
      </w:r>
    </w:p>
    <w:p w14:paraId="0E680121" w14:textId="77777777" w:rsidR="00D478E5" w:rsidRDefault="00D478E5" w:rsidP="00D478E5">
      <w:pPr>
        <w:pStyle w:val="Bibliography"/>
      </w:pPr>
      <w:r>
        <w:t>Karmarkar, O.D., Jana, A., Velaga, N.R., 2023. Willingness to Pay for Reduced Travel Time: Case Study of Mumbai - Ahmedabad High Speed Railway. Case Studies on Transport Policy 12, 100974. https://doi.org/10.1016/j.cstp.2023.100974</w:t>
      </w:r>
    </w:p>
    <w:p w14:paraId="47001AE4" w14:textId="77777777" w:rsidR="00D478E5" w:rsidRDefault="00D478E5" w:rsidP="00D478E5">
      <w:pPr>
        <w:pStyle w:val="Bibliography"/>
      </w:pPr>
      <w:r>
        <w:t>Kim, N.S., Yook, D., 2018. Enhancing the Economic Benefit Assessment of Roadway Investment Through the Application of Value of Time by Trip Length. Transport Policy 68, 28–36. https://doi.org/10.1016/j.tranpol.2018.04.003</w:t>
      </w:r>
    </w:p>
    <w:p w14:paraId="6A1476BD" w14:textId="77777777" w:rsidR="00D478E5" w:rsidRDefault="00D478E5" w:rsidP="00D478E5">
      <w:pPr>
        <w:pStyle w:val="Bibliography"/>
      </w:pPr>
      <w:r>
        <w:t>Kim, S., Filimonau, V., Dickinson, J.E., 2023. Tourist Perception of the Value of Time on Holidays: Implications for the Time Use Rebound Effect and Sustainable Travel Practice. Journal of Travel Research 62, 362–381. https://doi.org/10.1177/00472875211064636</w:t>
      </w:r>
    </w:p>
    <w:p w14:paraId="2E1C2FAA" w14:textId="77777777" w:rsidR="00D478E5" w:rsidRDefault="00D478E5" w:rsidP="00D478E5">
      <w:pPr>
        <w:pStyle w:val="Bibliography"/>
      </w:pPr>
      <w:r>
        <w:t>Kolarova, V., Steck, F., Cyganski, R., Trommer, S., 2018. Estimation of the Value of Time for Automated Driving Using Revealed and Stated Preference Methods. Transportation Research Procedia, Assessing wider impacts of transportation policies 31, 35–46. https://doi.org/10.1016/j.trpro.2018.09.044</w:t>
      </w:r>
    </w:p>
    <w:p w14:paraId="0A5D6208" w14:textId="77777777" w:rsidR="00D478E5" w:rsidRDefault="00D478E5" w:rsidP="00D478E5">
      <w:pPr>
        <w:pStyle w:val="Bibliography"/>
      </w:pPr>
      <w:r>
        <w:t>Kono, T., Kishi, A., Seita, E., Yokoi, T., 2018. Limitations of Using Generalized Transport Costs to Estimate Changes in Trip Demand: A Bias Caused by the Endogenous Value of Time. Transportmetrica A: Transport Science 14, 192–209. https://doi.org/10.1080/23249935.2017.1363316</w:t>
      </w:r>
    </w:p>
    <w:p w14:paraId="3B867525" w14:textId="77777777" w:rsidR="00D478E5" w:rsidRDefault="00D478E5" w:rsidP="00D478E5">
      <w:pPr>
        <w:pStyle w:val="Bibliography"/>
      </w:pPr>
      <w:r>
        <w:t>Kreindler, G., Duflo, E., Olken, B., 2018. Benefits and Costs of Road Traffic Congestion Pricing: Evidence from Bangalore (No. 89415). International Growth Centre.</w:t>
      </w:r>
    </w:p>
    <w:p w14:paraId="3048D4AC" w14:textId="77777777" w:rsidR="00D478E5" w:rsidRDefault="00D478E5" w:rsidP="00D478E5">
      <w:pPr>
        <w:pStyle w:val="Bibliography"/>
      </w:pPr>
      <w:r>
        <w:t>Laird, J.J., Venables, A.J., 2017. Transport Investment and Economic Performance: A Framework for Project Appraisal. Transport Policy 56, 1–11. https://doi.org/10.1016/j.tranpol.2017.02.006</w:t>
      </w:r>
    </w:p>
    <w:p w14:paraId="7513A837" w14:textId="77777777" w:rsidR="00D478E5" w:rsidRDefault="00D478E5" w:rsidP="00D478E5">
      <w:pPr>
        <w:pStyle w:val="Bibliography"/>
      </w:pPr>
      <w:r>
        <w:t>Lavieri, P.S., Bhat, C.R., 2019. Modeling Individuals’ Willingness to Share Trips with Strangers in an Autonomous Vehicle Future. Transportation Research Part A: Policy and Practice 124, 242–261. https://doi.org/10.1016/j.tra.2019.03.009</w:t>
      </w:r>
    </w:p>
    <w:p w14:paraId="0E294F1A" w14:textId="77777777" w:rsidR="00D478E5" w:rsidRDefault="00D478E5" w:rsidP="00D478E5">
      <w:pPr>
        <w:pStyle w:val="Bibliography"/>
      </w:pPr>
      <w:r>
        <w:lastRenderedPageBreak/>
        <w:t>Lehtonen, M., Kulmala, R., 2002. Benefits of Pilot Implementation of Public Transport Signal Priorities and Real-Time Passenger Information. Transportation Research Record 1799, 18–25. https://doi.org/10.3141/1799-03</w:t>
      </w:r>
    </w:p>
    <w:p w14:paraId="61CC5B81" w14:textId="77777777" w:rsidR="00D478E5" w:rsidRDefault="00D478E5" w:rsidP="00D478E5">
      <w:pPr>
        <w:pStyle w:val="Bibliography"/>
      </w:pPr>
      <w:r>
        <w:t>Li, Z., Hensher, D.A., Ho, C., 2020. An Empirical Investigation of Values of Travel Time Savings from Stated Preference Data and Revealed Preference Data. Transportation Letters 12, 166–171. https://doi.org/10.1080/19427867.2018.1546806</w:t>
      </w:r>
    </w:p>
    <w:p w14:paraId="77DF5381" w14:textId="77777777" w:rsidR="00D478E5" w:rsidRDefault="00D478E5" w:rsidP="00D478E5">
      <w:pPr>
        <w:pStyle w:val="Bibliography"/>
      </w:pPr>
      <w:r>
        <w:t>Mackie, P.J., Jara-Dı́az, S., Fowkes, A.S., 2001. The Value of Travel Time Savings in Evaluation. Transportation Research Part E: Logistics and Transportation Review, Advances in the Valuation of Travel Time Savings 37, 91–106. https://doi.org/10.1016/S1366-5545(00)00013-2</w:t>
      </w:r>
    </w:p>
    <w:p w14:paraId="4D936E6E" w14:textId="77777777" w:rsidR="00D478E5" w:rsidRDefault="00D478E5" w:rsidP="00D478E5">
      <w:pPr>
        <w:pStyle w:val="Bibliography"/>
      </w:pPr>
      <w:r>
        <w:t>Manville, M., King, D., 2013. Credible Commitment and Congestion Pricing. Transportation 40, 229–249. https://doi.org/10.1007/s11116-012-9430-9</w:t>
      </w:r>
    </w:p>
    <w:p w14:paraId="2C004176" w14:textId="77777777" w:rsidR="00D478E5" w:rsidRDefault="00D478E5" w:rsidP="00D478E5">
      <w:pPr>
        <w:pStyle w:val="Bibliography"/>
      </w:pPr>
      <w:r>
        <w:t>Marazi, N.F., Majumdar, B.B., Sahu, P.K., 2024. Examining Congestion Pricing Scheme Effectiveness Using the Travel Time Congestion Index. Transportation Research Record 2678, 474–488. https://doi.org/10.1177/03611981241242061</w:t>
      </w:r>
    </w:p>
    <w:p w14:paraId="20DC1AFE" w14:textId="77777777" w:rsidR="00D478E5" w:rsidRDefault="00D478E5" w:rsidP="00D478E5">
      <w:pPr>
        <w:pStyle w:val="Bibliography"/>
      </w:pPr>
      <w:r>
        <w:t>Marazi, N.F., Majumdar, B.B., Sahu, P.K., Potoglou, D., 2022. Congestion Pricing Acceptability Among Commuters: An Indian Perspective. Research in Transportation Economics 95, 101180. https://doi.org/10.1016/j.retrec.2022.101180</w:t>
      </w:r>
    </w:p>
    <w:p w14:paraId="370454EC" w14:textId="77777777" w:rsidR="00D478E5" w:rsidRDefault="00D478E5" w:rsidP="00D478E5">
      <w:pPr>
        <w:pStyle w:val="Bibliography"/>
      </w:pPr>
      <w:r>
        <w:t>Meshram, A., Choudhary, P., Velaga, N.R., 2020. Assessing and Modelling Perceived Safety and Comfort of Women during Ridesharing. Transportation Research Procedia, Recent Advances and Emerging Issues in Transport Research – An Editorial Note for the Selected Proceedings of WCTR 2019 Mumbai 48, 2852–2869. https://doi.org/10.1016/j.trpro.2020.08.233</w:t>
      </w:r>
    </w:p>
    <w:p w14:paraId="3C3AA29F" w14:textId="77777777" w:rsidR="00D478E5" w:rsidRDefault="00D478E5" w:rsidP="00D478E5">
      <w:pPr>
        <w:pStyle w:val="Bibliography"/>
      </w:pPr>
      <w:r>
        <w:t>Meunier, D., Quinet, E., 2015. Value of Time Estimations in Cost Benefit Analysis: The French Experience. Transportation Research Procedia, Current practices in transport: appraisal methods, policies and models – 42nd European Transport Conference Selected Proceedings 8, 62–71. https://doi.org/10.1016/j.trpro.2015.06.042</w:t>
      </w:r>
    </w:p>
    <w:p w14:paraId="307D9324" w14:textId="77777777" w:rsidR="00D478E5" w:rsidRDefault="00D478E5" w:rsidP="00D478E5">
      <w:pPr>
        <w:pStyle w:val="Bibliography"/>
      </w:pPr>
      <w:r>
        <w:t>Mishra, S., Tang, L., Ghader, S., Mahapatra, S., Zhang, L., 2018. Estimation and Valuation of Travel Time Reliability for Transportation Planning Applications. Case Studies on Transport Policy 6, 51–62. https://doi.org/10.1016/j.cstp.2017.11.005</w:t>
      </w:r>
    </w:p>
    <w:p w14:paraId="5C829CB3" w14:textId="77777777" w:rsidR="00D478E5" w:rsidRDefault="00D478E5" w:rsidP="00D478E5">
      <w:pPr>
        <w:pStyle w:val="Bibliography"/>
      </w:pPr>
      <w:r>
        <w:t>Mitchell, R.C., Carson, R.T., 2013. Using Surveys to Value Public Goods: The Contingent Valuation Method. RFF Press, New York. https://doi.org/10.4324/9781315060569</w:t>
      </w:r>
    </w:p>
    <w:p w14:paraId="19C269F4" w14:textId="77777777" w:rsidR="00D478E5" w:rsidRDefault="00D478E5" w:rsidP="00D478E5">
      <w:pPr>
        <w:pStyle w:val="Bibliography"/>
      </w:pPr>
      <w:r>
        <w:t>Moulin, L., Urbano, V.M., 2025. Evaluating the Effectiveness of Two Congestion Limitation Policies in Milan: Charge Increase and Vehicle Type. Transport Policy 165, 17–27. https://doi.org/10.1016/j.tranpol.2025.02.006</w:t>
      </w:r>
    </w:p>
    <w:p w14:paraId="526770D5" w14:textId="77777777" w:rsidR="00D478E5" w:rsidRDefault="00D478E5" w:rsidP="00D478E5">
      <w:pPr>
        <w:pStyle w:val="Bibliography"/>
      </w:pPr>
      <w:r>
        <w:t>Mussweiler, T., Strack, F., 2000. Numeric Judgments under Uncertainty: The Role of Knowledge in Anchoring. Journal of Experimental Social Psychology 36, 495–518. https://doi.org/10.1006/jesp.1999.1414</w:t>
      </w:r>
    </w:p>
    <w:p w14:paraId="6560883F" w14:textId="77777777" w:rsidR="00D478E5" w:rsidRDefault="00D478E5" w:rsidP="00D478E5">
      <w:pPr>
        <w:pStyle w:val="Bibliography"/>
      </w:pPr>
      <w:r>
        <w:t>MVA Consultancy, ITS University of Leeds, TSU University of Oxford, 1987. Value of Travel Time Savings. Policy Journals.</w:t>
      </w:r>
    </w:p>
    <w:p w14:paraId="4357D62B" w14:textId="77777777" w:rsidR="00D478E5" w:rsidRDefault="00D478E5" w:rsidP="00D478E5">
      <w:pPr>
        <w:pStyle w:val="Bibliography"/>
      </w:pPr>
      <w:r>
        <w:t>Naganathan, R., Gupta, D., Prasad, R., 2021. Connotation of Leisure and Leisure Activities Among Urban Indian Middle-Class Working Women. Leisure Studies 40, 837–853. https://doi.org/10.1080/02614367.2021.1942519</w:t>
      </w:r>
    </w:p>
    <w:p w14:paraId="1BBFFE13" w14:textId="77777777" w:rsidR="00D478E5" w:rsidRDefault="00D478E5" w:rsidP="00D478E5">
      <w:pPr>
        <w:pStyle w:val="Bibliography"/>
      </w:pPr>
      <w:r>
        <w:t>Nair, M., 2025. International Best Practices Shed Light on Congestion Pricing in Delhi. Hindustan Times.</w:t>
      </w:r>
    </w:p>
    <w:p w14:paraId="2F82D933" w14:textId="77777777" w:rsidR="00D478E5" w:rsidRDefault="00D478E5" w:rsidP="00D478E5">
      <w:pPr>
        <w:pStyle w:val="Bibliography"/>
      </w:pPr>
      <w:r>
        <w:lastRenderedPageBreak/>
        <w:t>Newmark, G.L., 2014. HOT for Transit? Transit’s Experience of High-Occupancy Toll Lanes. Journal of Public Transportation 17, 97–114. https://doi.org/10.5038/2375-0901.17.3.7</w:t>
      </w:r>
    </w:p>
    <w:p w14:paraId="49D33924" w14:textId="77777777" w:rsidR="00D478E5" w:rsidRDefault="00D478E5" w:rsidP="00D478E5">
      <w:pPr>
        <w:pStyle w:val="Bibliography"/>
      </w:pPr>
      <w:r>
        <w:t>Oh, J.-S., Kwigizile, V., Sun, Z., Clark, M.L., Kurdi, A.H., Wiersma, M.J., 2015. Costs and Benefits of MDOT Intelligent Transportation System Deployments. (No. RC-1631). Western Michigan University, Transportation Research Center for Livable Communities.</w:t>
      </w:r>
    </w:p>
    <w:p w14:paraId="4743FC16" w14:textId="77777777" w:rsidR="00D478E5" w:rsidRDefault="00D478E5" w:rsidP="00D478E5">
      <w:pPr>
        <w:pStyle w:val="Bibliography"/>
      </w:pPr>
      <w:r>
        <w:t>Ojeda-Cabral, M., Hess, S., Batley, R., 2018. Understanding Valuation of Travel Time Changes: Are Preferences Different Under Different Stated Choice Design Settings? Transportation 45, 1–21. https://doi.org/10.1007/s11116-016-9716-4</w:t>
      </w:r>
    </w:p>
    <w:p w14:paraId="162AA1F3" w14:textId="77777777" w:rsidR="00D478E5" w:rsidRDefault="00D478E5" w:rsidP="00D478E5">
      <w:pPr>
        <w:pStyle w:val="Bibliography"/>
      </w:pPr>
      <w:r>
        <w:t>Paleti, C., He, X., Peeta, S., 2016. Design of Income-Equitable Toll Prices for High Occupancy Toll Lanes in a Single Toll Facility. Transportation Planning and Technology 39, 389–406. https://doi.org/10.1080/03081060.2016.1160581</w:t>
      </w:r>
    </w:p>
    <w:p w14:paraId="7C93A577" w14:textId="77777777" w:rsidR="00D478E5" w:rsidRDefault="00D478E5" w:rsidP="00D478E5">
      <w:pPr>
        <w:pStyle w:val="Bibliography"/>
      </w:pPr>
      <w:r>
        <w:t>Parmar, J., Saiyed, G., Dave, S., 2023. Analysis of Taste Heterogeneity in Commuters’ Travel Decisions Using Joint Parking– and Mode–Choice Model: A Case from Urban India. Transportation Research Part A: Policy and Practice 170, 103610. https://doi.org/10.1016/j.tra.2023.103610</w:t>
      </w:r>
    </w:p>
    <w:p w14:paraId="473FBD4B" w14:textId="77777777" w:rsidR="00D478E5" w:rsidRDefault="00D478E5" w:rsidP="00D478E5">
      <w:pPr>
        <w:pStyle w:val="Bibliography"/>
      </w:pPr>
      <w:r>
        <w:t>Pigou, A., 1920. The Economics of Welfare. Macmillan and Co., London.</w:t>
      </w:r>
    </w:p>
    <w:p w14:paraId="734DB1D9" w14:textId="0C36DC67" w:rsidR="00D478E5" w:rsidRDefault="00D478E5" w:rsidP="00D478E5">
      <w:pPr>
        <w:pStyle w:val="Bibliography"/>
      </w:pPr>
      <w:r>
        <w:t>Robbennolt, D., Pendyala, R.M., Bhat, C.R., 2026. Data Collection, Weighting, and Modeling Techniques to Estimate Consistent Population Parameters. Transportation Research Part B: Methodological 203</w:t>
      </w:r>
      <w:r w:rsidR="00494E95">
        <w:t xml:space="preserve">, </w:t>
      </w:r>
      <w:r w:rsidR="00494E95" w:rsidRPr="00956FC3">
        <w:rPr>
          <w:rFonts w:cs="Times New Roman"/>
        </w:rPr>
        <w:t>103349</w:t>
      </w:r>
      <w:r>
        <w:t>. https://doi.org/https://doi.org/10.1016/j.trb.2025.103349</w:t>
      </w:r>
    </w:p>
    <w:p w14:paraId="06ACB63D" w14:textId="77777777" w:rsidR="00D478E5" w:rsidRDefault="00D478E5" w:rsidP="00D478E5">
      <w:pPr>
        <w:pStyle w:val="Bibliography"/>
      </w:pPr>
      <w:r>
        <w:t>Rubite, C.P., Muromachi, Y., 2008. Value of Travel Time Savings under Random Taste Heterogeneity: Application to Cities in Developing Countries. Transportation Research Record 2082, 148–155. https://doi.org/10.3141/2082-18</w:t>
      </w:r>
    </w:p>
    <w:p w14:paraId="2AD804EC" w14:textId="77777777" w:rsidR="00D478E5" w:rsidRDefault="00D478E5" w:rsidP="00D478E5">
      <w:pPr>
        <w:pStyle w:val="Bibliography"/>
      </w:pPr>
      <w:r>
        <w:t>Saez, E., 2002. Optimal Income Transfer Programs: Intensive versus Extensive Labor Supply Responses. Q J Econ 117, 1039–1073. https://doi.org/10.1162/003355302760193959</w:t>
      </w:r>
    </w:p>
    <w:p w14:paraId="3C41A581" w14:textId="77777777" w:rsidR="00D478E5" w:rsidRDefault="00D478E5" w:rsidP="00D478E5">
      <w:pPr>
        <w:pStyle w:val="Bibliography"/>
      </w:pPr>
      <w:r>
        <w:t>Sahu, P.K., Marazi, N.F., Majumdar, B.B., Sharma, I., 2024. What Makes Congestion Pricing a Successful Landing in Indian Cities? Identification of Motivators, Insights, and Inferences for Policy Formulation. Transp. in Dev. Econ. 10, 21. https://doi.org/10.1007/s40890-024-00211-3</w:t>
      </w:r>
    </w:p>
    <w:p w14:paraId="3D77228D" w14:textId="77777777" w:rsidR="00D478E5" w:rsidRDefault="00D478E5" w:rsidP="00D478E5">
      <w:pPr>
        <w:pStyle w:val="Bibliography"/>
      </w:pPr>
      <w:r>
        <w:t>Sajise, A.J., Samson, J.N., Quiao, L., Sibal, J., Raitzer, D.A., Harder, D., 2021. Contingent Valuation of Nonmarket Benefits in Project Economic Analysis: A Guide to Good Practice. Asian Development Bank.</w:t>
      </w:r>
    </w:p>
    <w:p w14:paraId="1E754927" w14:textId="77777777" w:rsidR="00D478E5" w:rsidRDefault="00D478E5" w:rsidP="00D478E5">
      <w:pPr>
        <w:pStyle w:val="Bibliography"/>
      </w:pPr>
      <w:r>
        <w:t>Salmani Bishak, M.R., Karimi Takanlou, Z., Esmaeelzadeh, H., 2024. Estimating the Value of Travel Time for Tehran-Tabriz Passengers with Consideration of New Tabriz-Miyaneh Railroad. Journal of Transportation Research 21, 441–458. https://doi.org/10.22034/tri.2024.415287.3187</w:t>
      </w:r>
    </w:p>
    <w:p w14:paraId="14840D0D" w14:textId="77777777" w:rsidR="00D478E5" w:rsidRDefault="00D478E5" w:rsidP="00D478E5">
      <w:pPr>
        <w:pStyle w:val="Bibliography"/>
      </w:pPr>
      <w:r>
        <w:t>Salunke, S.J., Bang, S.S., 2024. Enhancing Traffic Incident Management and Regulatory Compliance Using IoT and Itms: A Mumbai Traffic Police Case Study, in: 2024 International Conference on Trends in Quantum Computing and Emerging Business Technologies. Presented at the 2024 International Conference on Trends in Quantum Computing and Emerging Business Technologies, pp. 1–5. https://doi.org/10.1109/TQCEBT59414.2024.10545276</w:t>
      </w:r>
    </w:p>
    <w:p w14:paraId="28F561D3" w14:textId="77777777" w:rsidR="00D478E5" w:rsidRDefault="00D478E5" w:rsidP="00D478E5">
      <w:pPr>
        <w:pStyle w:val="Bibliography"/>
      </w:pPr>
      <w:r>
        <w:t>Sarath, K.T., Mishra, T., Banerjee, R., 2026. A Multidimensional Urban Transport Equity Assessment Framework: A Case of Mumbai. Cities 169, 106503. https://doi.org/10.1016/j.cities.2025.106503</w:t>
      </w:r>
    </w:p>
    <w:p w14:paraId="68B694AC" w14:textId="77777777" w:rsidR="00D478E5" w:rsidRDefault="00D478E5" w:rsidP="003A3CB2">
      <w:pPr>
        <w:pStyle w:val="Bibliography"/>
        <w:keepLines/>
      </w:pPr>
      <w:r>
        <w:lastRenderedPageBreak/>
        <w:t>Schmid, B., Schatzmann, T., Winkler, C., Axhausen, K.W., 2022. A Two-Stage RP/SP Survey to Estimate the Value of Travel Time in Switzerland: Short- Versus Long-Term Choice Behavior. Arbeitsberichte Verkehrs- und Raumplanung 1724. https://doi.org/10.3929/ethz-b-000536709</w:t>
      </w:r>
    </w:p>
    <w:p w14:paraId="3F726D17" w14:textId="77777777" w:rsidR="00D478E5" w:rsidRDefault="00D478E5" w:rsidP="00D478E5">
      <w:pPr>
        <w:pStyle w:val="Bibliography"/>
      </w:pPr>
      <w:r>
        <w:t>Schmidt, J., Bijmolt, T.H.A., 2020. Accurately Measuring Willingness to Pay for Consumer Goods: A Meta-Analysis of the Hypothetical Bias. J. of the Acad. Mark. Sci. 48, 499–518. https://doi.org/10.1007/s11747-019-00666-6</w:t>
      </w:r>
    </w:p>
    <w:p w14:paraId="23CFE6B2" w14:textId="77777777" w:rsidR="00D478E5" w:rsidRDefault="00D478E5" w:rsidP="00D478E5">
      <w:pPr>
        <w:pStyle w:val="Bibliography"/>
      </w:pPr>
      <w:r>
        <w:t>Schwanen, T., Ettema, D., 2009. Coping with Unreliable Transportation When Collecting Children: Examining Parents’ Behavior with Cumulative Prospect Theory. Transportation Research Part A: Policy and Practice 43, 511–525. https://doi.org/10.1016/j.tra.2009.01.002</w:t>
      </w:r>
    </w:p>
    <w:p w14:paraId="79D1FE3F" w14:textId="77777777" w:rsidR="00D478E5" w:rsidRDefault="00D478E5" w:rsidP="00D478E5">
      <w:pPr>
        <w:pStyle w:val="Bibliography"/>
      </w:pPr>
      <w:r>
        <w:t>Selmoune, A., Cheng, Q., Wang, L., Liu, Z., 2020. Influencing Factors in Congestion Pricing Acceptability: A Literature Review. Journal of Advanced Transportation 2020, 4242964. https://doi.org/10.1155/2020/4242964</w:t>
      </w:r>
    </w:p>
    <w:p w14:paraId="0813B0F3" w14:textId="77777777" w:rsidR="00D478E5" w:rsidRDefault="00D478E5" w:rsidP="00D478E5">
      <w:pPr>
        <w:pStyle w:val="Bibliography"/>
      </w:pPr>
      <w:r>
        <w:t>Sen, S., 2025. BEST’s Contract Buses a ‘Flop’, but System a Success Globally. Times of India.</w:t>
      </w:r>
    </w:p>
    <w:p w14:paraId="767809B4" w14:textId="77777777" w:rsidR="00D478E5" w:rsidRDefault="00D478E5" w:rsidP="00D478E5">
      <w:pPr>
        <w:pStyle w:val="Bibliography"/>
      </w:pPr>
      <w:r>
        <w:t>Shaban, A., Sattar, S., 2023. Mobility and Transport Infrastructure in Mumbai Metropolitan Region: Growth, Exclusion and Modal Choices. Urban, Planning and Transport Research 11, 2212745. https://doi.org/10.1080/21650020.2023.2212745</w:t>
      </w:r>
    </w:p>
    <w:p w14:paraId="76193DC4" w14:textId="77777777" w:rsidR="00D478E5" w:rsidRDefault="00D478E5" w:rsidP="00D478E5">
      <w:pPr>
        <w:pStyle w:val="Bibliography"/>
      </w:pPr>
      <w:r>
        <w:t>Shah, P., Varghese, V., Jana, A., Mathew, T., 2020. Analysing the Ride Sharing Behaviour in ICT Based Cab Services: A Case of Mumbai, India. Transportation Research Procedia, Recent Advances and Emerging Issues in Transport Research – An Editorial Note for the Selected Proceedings of WCTR 2019 Mumbai 48, 233–246. https://doi.org/10.1016/j.trpro.2020.08.018</w:t>
      </w:r>
    </w:p>
    <w:p w14:paraId="41638050" w14:textId="77777777" w:rsidR="00D478E5" w:rsidRDefault="00D478E5" w:rsidP="00D478E5">
      <w:pPr>
        <w:pStyle w:val="Bibliography"/>
      </w:pPr>
      <w:r>
        <w:t>Shires, J.D., de Jong, G.C., 2009. An International Meta-Analysis of Values of Travel Time Savings. Evaluation and Program Planning, Evaluating the Impact of Transport Projects: Lessons for Other Disciplines 32, 315–325. https://doi.org/10.1016/j.evalprogplan.2009.06.010</w:t>
      </w:r>
    </w:p>
    <w:p w14:paraId="213E5D7F" w14:textId="77777777" w:rsidR="00D478E5" w:rsidRDefault="00D478E5" w:rsidP="00D478E5">
      <w:pPr>
        <w:pStyle w:val="Bibliography"/>
      </w:pPr>
      <w:r>
        <w:t>Small, K.A., 2012. Valuation of Travel Time. Economics of Transportation 1, 2–14. https://doi.org/10.1016/j.ecotra.2012.09.002</w:t>
      </w:r>
    </w:p>
    <w:p w14:paraId="7095A235" w14:textId="77777777" w:rsidR="00D478E5" w:rsidRDefault="00D478E5" w:rsidP="00D478E5">
      <w:pPr>
        <w:pStyle w:val="Bibliography"/>
      </w:pPr>
      <w:r>
        <w:t>Small, K.A., Verhoef, E.T., Lindsey, R., 2024. The Economics of Urban Transportation, 3rd ed. Routledge, London. https://doi.org/10.4324/9781315157375</w:t>
      </w:r>
    </w:p>
    <w:p w14:paraId="377CB9A0" w14:textId="77777777" w:rsidR="00D478E5" w:rsidRDefault="00D478E5" w:rsidP="00D478E5">
      <w:pPr>
        <w:pStyle w:val="Bibliography"/>
      </w:pPr>
      <w:r>
        <w:t>Solon, G., Haider, S.J., Wooldridge, J.M., 2015. What Are We Weighting For? Journal of Human Resources 50, 301–316. https://doi.org/10.3368/jhr.50.2.301</w:t>
      </w:r>
    </w:p>
    <w:p w14:paraId="46E9F808" w14:textId="77777777" w:rsidR="00D478E5" w:rsidRDefault="00D478E5" w:rsidP="00D478E5">
      <w:pPr>
        <w:pStyle w:val="Bibliography"/>
      </w:pPr>
      <w:r>
        <w:t>Steck, F., Kolarova, V., Bahamonde-Birke, F., Trommer, S., Lenz, B., 2018. How Autonomous Driving May Affect the Value of Travel Time Savings for Commuting. Transportation Research Record 2672, 11–20. https://doi.org/10.1177/0361198118757980</w:t>
      </w:r>
    </w:p>
    <w:p w14:paraId="18DD1AA2" w14:textId="77777777" w:rsidR="00D478E5" w:rsidRDefault="00D478E5" w:rsidP="00D478E5">
      <w:pPr>
        <w:pStyle w:val="Bibliography"/>
      </w:pPr>
      <w:r>
        <w:t>Steigenberger, C., Flatscher-Thoeni, M., Siebert, U., Leiter, A.M., 2022. Determinants of willingness to pay for health services: a systematic review of contingent valuation studies. Eur J Health Econ 23, 1455–1482. https://doi.org/10.1007/s10198-022-01437-x</w:t>
      </w:r>
    </w:p>
    <w:p w14:paraId="75537684" w14:textId="77777777" w:rsidR="00D478E5" w:rsidRDefault="00D478E5" w:rsidP="00D478E5">
      <w:pPr>
        <w:pStyle w:val="Bibliography"/>
      </w:pPr>
      <w:r>
        <w:t>Tabasi, M., Raei, A., Hillel, T., Krueger, R., Hossein Rashidi, T., 2023. Empowering Revealed Preference Survey with a Supplementary Stated Preference Survey: Demonstration of Willingness-to-Pay Estimation Within a Mode Choice Case. Travel Behaviour and Society 33, 100632. https://doi.org/10.1016/j.tbs.2023.100632</w:t>
      </w:r>
    </w:p>
    <w:p w14:paraId="1DF6929A" w14:textId="77777777" w:rsidR="00D478E5" w:rsidRDefault="00D478E5" w:rsidP="003A3CB2">
      <w:pPr>
        <w:pStyle w:val="Bibliography"/>
        <w:keepLines/>
      </w:pPr>
      <w:r>
        <w:lastRenderedPageBreak/>
        <w:t>Tabasi, M., Rose, J.M., Pellegrini, A., Hossein Rashidi, T., 2024. An Empirical Investigation of the Distribution of Travellers’ Willingness-to-Pay: A Comparison Between a Parametric and Nonparametric Approach. Transport Policy 146, 312–321. https://doi.org/10.1016/j.tranpol.2023.12.006</w:t>
      </w:r>
    </w:p>
    <w:p w14:paraId="1762E01C" w14:textId="77777777" w:rsidR="00D478E5" w:rsidRDefault="00D478E5" w:rsidP="00D478E5">
      <w:pPr>
        <w:pStyle w:val="Bibliography"/>
      </w:pPr>
      <w:r>
        <w:t>TomTom, 2025. Most Congested Cities | Mumbai, India [WWW Document]. TomTom Traffic Index. URL https://www.tomtom.com/traffic-index (accessed 3.3.26).</w:t>
      </w:r>
    </w:p>
    <w:p w14:paraId="473C548F" w14:textId="77777777" w:rsidR="00D478E5" w:rsidRDefault="00D478E5" w:rsidP="00D478E5">
      <w:pPr>
        <w:pStyle w:val="Bibliography"/>
      </w:pPr>
      <w:r>
        <w:t>Train, K., Wilson, W.W., 2008. Estimation on Stated-Preference Experiments Constructed from Revealed-Preference Choices. Transportation Research Part B: Methodological, A Tribute to the Career of Frank Koppelman 42, 191–203. https://doi.org/10.1016/j.trb.2007.04.012</w:t>
      </w:r>
    </w:p>
    <w:p w14:paraId="7084C93D" w14:textId="77777777" w:rsidR="00D478E5" w:rsidRDefault="00D478E5" w:rsidP="00D478E5">
      <w:pPr>
        <w:pStyle w:val="Bibliography"/>
      </w:pPr>
      <w:r>
        <w:t>Tveter, E., 2023. The Value of Travel Time: A Revealed Preferences Approach Using Exogenous Variation in Travel Costs and Automatic Traffic Count Data. Transportation 50, 2273–2297. https://doi.org/10.1007/s11116-022-10308-6</w:t>
      </w:r>
    </w:p>
    <w:p w14:paraId="31291A74" w14:textId="77777777" w:rsidR="00D478E5" w:rsidRDefault="00D478E5" w:rsidP="00D478E5">
      <w:pPr>
        <w:pStyle w:val="Bibliography"/>
      </w:pPr>
      <w:r>
        <w:t>Utsunomiya, K., 2025. An Analysis of the Value of Travel Time Savings for Children, in: Transportation Research Procedia. Presented at the 2023 World Conference on Transport Research, Montreal, pp. 2162–2171. https://doi.org/10.1016/j.trpro.2024.12.179</w:t>
      </w:r>
    </w:p>
    <w:p w14:paraId="10E8A032" w14:textId="77777777" w:rsidR="00D478E5" w:rsidRDefault="00D478E5" w:rsidP="00D478E5">
      <w:pPr>
        <w:pStyle w:val="Bibliography"/>
      </w:pPr>
      <w:r>
        <w:t>Varghese, V., Jana, A., 2018. Impact of ICT on Multitasking During Travel and the Value of Travel Time Savings: Empirical Evidences from Mumbai, India. Travel Behaviour and Society 12, 11–22. https://doi.org/10.1016/j.tbs.2018.03.003</w:t>
      </w:r>
    </w:p>
    <w:p w14:paraId="47565FA7" w14:textId="77777777" w:rsidR="00D478E5" w:rsidRDefault="00D478E5" w:rsidP="00D478E5">
      <w:pPr>
        <w:pStyle w:val="Bibliography"/>
      </w:pPr>
      <w:r>
        <w:t>Veitch, E., Rhodes, E., 2024. A Cross-Country Comparative Analysis of Congestion Pricing Systems: Lessons for Decarbonizing Transportation. Case Studies on Transport Policy 15, 101128. https://doi.org/10.1016/j.cstp.2023.101128</w:t>
      </w:r>
    </w:p>
    <w:p w14:paraId="57A05A11" w14:textId="77777777" w:rsidR="00D478E5" w:rsidRDefault="00D478E5" w:rsidP="00D478E5">
      <w:pPr>
        <w:pStyle w:val="Bibliography"/>
      </w:pPr>
      <w:r>
        <w:t>Veronesi, M., Alberini, A., Cooper, J.C., 2011. Implications of Bid Design and Willingness-To-Pay Distribution for Starting Point Bias in Double-Bounded Dichotomous Choice Contingent Valuation Surveys. Environ Resource Econ 49, 199–215. https://doi.org/10.1007/s10640-010-9430-1</w:t>
      </w:r>
    </w:p>
    <w:p w14:paraId="3DAC1432" w14:textId="77777777" w:rsidR="00D478E5" w:rsidRDefault="00D478E5" w:rsidP="00D478E5">
      <w:pPr>
        <w:pStyle w:val="Bibliography"/>
      </w:pPr>
      <w:r>
        <w:t>Vogtman, J., Tucker, J., 2017. Collateral Damage: Scheduling Challenges for Workers in Low-Wage Jobs and Their Consequences, Workplace Justice. National Women’s Law Center, Washington, D.C.</w:t>
      </w:r>
    </w:p>
    <w:p w14:paraId="0D8F89B9" w14:textId="77777777" w:rsidR="00D478E5" w:rsidRDefault="00D478E5" w:rsidP="00D478E5">
      <w:pPr>
        <w:pStyle w:val="Bibliography"/>
      </w:pPr>
      <w:r>
        <w:t>Wardman, M., Chintakayala, P., Heywood, C., 2020. The Valuation and Demand Impacts of the Worthwhile Use of Travel Time with Specific Reference to the Digital Revolution and Endogeneity. Transportation 47, 1515–1540. https://doi.org/10.1007/s11116-019-10059-x</w:t>
      </w:r>
    </w:p>
    <w:p w14:paraId="56A34397" w14:textId="77777777" w:rsidR="00D478E5" w:rsidRDefault="00D478E5" w:rsidP="00D478E5">
      <w:pPr>
        <w:pStyle w:val="Bibliography"/>
      </w:pPr>
      <w:r>
        <w:t>Wardman, M., Chintakayala, V.P.K., de Jong, G., 2016. Values of Travel Time in Europe: Review and Meta-Analysis. Transportation Research Part A: Policy and Practice 94, 93–111. https://doi.org/10.1016/j.tra.2016.08.019</w:t>
      </w:r>
    </w:p>
    <w:p w14:paraId="5064D956" w14:textId="77777777" w:rsidR="00D478E5" w:rsidRDefault="00D478E5" w:rsidP="00D478E5">
      <w:pPr>
        <w:pStyle w:val="Bibliography"/>
      </w:pPr>
      <w:r>
        <w:t>Wardman, M., Neki, K., Humphreys, R.M., 2023. Meta-analysis of the Value of Travel Time Savings in Low-and Middle-Income Countries. World Bank, Washington, DC.</w:t>
      </w:r>
    </w:p>
    <w:p w14:paraId="47F29E25" w14:textId="77777777" w:rsidR="00D478E5" w:rsidRDefault="00D478E5" w:rsidP="00D478E5">
      <w:pPr>
        <w:pStyle w:val="Bibliography"/>
      </w:pPr>
      <w:r>
        <w:t>Wardman, M., Nicolás Ibáñez, J., 2012. The Congestion Multiplier: Variations in Motorists’ Valuations of Travel Time with Traffic Conditions. Transportation Research Part A: Policy and Practice 46, 213–225. https://doi.org/10.1016/j.tra.2011.06.011</w:t>
      </w:r>
    </w:p>
    <w:p w14:paraId="41A9CC7B" w14:textId="77777777" w:rsidR="00D478E5" w:rsidRDefault="00D478E5" w:rsidP="00D478E5">
      <w:pPr>
        <w:pStyle w:val="Bibliography"/>
      </w:pPr>
      <w:r>
        <w:t>Yu, X., van den Berg, V.A.C., Verhoef, E.T., 2025. Preference Heterogeneity in a Dynamic Flow Congestion Model. Transportation Research Part B: Methodological 195, 103193. https://doi.org/10.1016/j.trb.2025.103193</w:t>
      </w:r>
    </w:p>
    <w:p w14:paraId="18943DDD" w14:textId="666B7740" w:rsidR="000310E1" w:rsidRPr="004811C9" w:rsidRDefault="0018313A" w:rsidP="008B244F">
      <w:pPr>
        <w:spacing w:after="0" w:line="240" w:lineRule="auto"/>
        <w:rPr>
          <w:rFonts w:cs="Times New Roman"/>
        </w:rPr>
      </w:pPr>
      <w:r w:rsidRPr="008B244F">
        <w:rPr>
          <w:rFonts w:cs="Times New Roman"/>
          <w:b/>
          <w:bCs/>
        </w:rPr>
        <w:fldChar w:fldCharType="end"/>
      </w:r>
      <w:r w:rsidR="000310E1" w:rsidRPr="004811C9">
        <w:rPr>
          <w:rFonts w:cs="Times New Roman"/>
        </w:rPr>
        <w:br w:type="page"/>
      </w:r>
    </w:p>
    <w:p w14:paraId="32BE7D55" w14:textId="029E7B8F" w:rsidR="00B67ABE" w:rsidRPr="004811C9" w:rsidRDefault="000310E1" w:rsidP="009227CD">
      <w:pPr>
        <w:spacing w:after="0" w:line="240" w:lineRule="auto"/>
        <w:rPr>
          <w:rFonts w:cs="Times New Roman"/>
          <w:b/>
          <w:bCs/>
        </w:rPr>
      </w:pPr>
      <w:r w:rsidRPr="004811C9">
        <w:rPr>
          <w:rFonts w:cs="Times New Roman"/>
          <w:b/>
          <w:bCs/>
        </w:rPr>
        <w:lastRenderedPageBreak/>
        <w:t>Table 1: Descriptive Statistics of Exogenous Variables</w:t>
      </w:r>
    </w:p>
    <w:p w14:paraId="0A7B02E9" w14:textId="77777777" w:rsidR="00B67ABE" w:rsidRPr="004811C9" w:rsidRDefault="00B67ABE" w:rsidP="009227CD">
      <w:pPr>
        <w:spacing w:after="0" w:line="240" w:lineRule="auto"/>
        <w:rPr>
          <w:rFonts w:cs="Times New Roman"/>
          <w:b/>
          <w:bCs/>
        </w:rPr>
      </w:pPr>
    </w:p>
    <w:tbl>
      <w:tblPr>
        <w:tblW w:w="8535" w:type="dxa"/>
        <w:tblLook w:val="04A0" w:firstRow="1" w:lastRow="0" w:firstColumn="1" w:lastColumn="0" w:noHBand="0" w:noVBand="1"/>
      </w:tblPr>
      <w:tblGrid>
        <w:gridCol w:w="2150"/>
        <w:gridCol w:w="928"/>
        <w:gridCol w:w="872"/>
        <w:gridCol w:w="781"/>
        <w:gridCol w:w="1829"/>
        <w:gridCol w:w="928"/>
        <w:gridCol w:w="1047"/>
      </w:tblGrid>
      <w:tr w:rsidR="003B0FDF" w:rsidRPr="004811C9" w14:paraId="249CFC46" w14:textId="77777777" w:rsidTr="000B11EA">
        <w:trPr>
          <w:trHeight w:val="20"/>
        </w:trPr>
        <w:tc>
          <w:tcPr>
            <w:tcW w:w="8535" w:type="dxa"/>
            <w:gridSpan w:val="7"/>
            <w:tcBorders>
              <w:top w:val="single" w:sz="18" w:space="0" w:color="auto"/>
              <w:left w:val="single" w:sz="18" w:space="0" w:color="auto"/>
              <w:bottom w:val="single" w:sz="18" w:space="0" w:color="auto"/>
              <w:right w:val="single" w:sz="18" w:space="0" w:color="auto"/>
            </w:tcBorders>
            <w:noWrap/>
            <w:vAlign w:val="bottom"/>
            <w:hideMark/>
          </w:tcPr>
          <w:p w14:paraId="471FA8D6" w14:textId="77777777" w:rsidR="005E772C" w:rsidRPr="004811C9" w:rsidRDefault="005E772C" w:rsidP="00405333">
            <w:pPr>
              <w:spacing w:after="0" w:line="240" w:lineRule="auto"/>
              <w:jc w:val="center"/>
              <w:rPr>
                <w:rFonts w:eastAsia="Times New Roman" w:cs="Times New Roman"/>
                <w:b/>
                <w:bCs/>
                <w:i/>
                <w:iCs/>
                <w:color w:val="000000"/>
                <w:kern w:val="0"/>
                <w:sz w:val="20"/>
                <w:szCs w:val="20"/>
                <w14:ligatures w14:val="none"/>
              </w:rPr>
            </w:pPr>
            <w:r w:rsidRPr="004811C9">
              <w:rPr>
                <w:rFonts w:eastAsia="Times New Roman" w:cs="Times New Roman"/>
                <w:b/>
                <w:bCs/>
                <w:i/>
                <w:iCs/>
                <w:color w:val="000000"/>
                <w:kern w:val="0"/>
                <w:sz w:val="20"/>
                <w:szCs w:val="20"/>
                <w14:ligatures w14:val="none"/>
              </w:rPr>
              <w:t>Individual Characteristics</w:t>
            </w:r>
          </w:p>
        </w:tc>
      </w:tr>
      <w:tr w:rsidR="005E772C" w:rsidRPr="004811C9" w14:paraId="74957EB5" w14:textId="77777777" w:rsidTr="000B11EA">
        <w:trPr>
          <w:trHeight w:val="20"/>
        </w:trPr>
        <w:tc>
          <w:tcPr>
            <w:tcW w:w="2150" w:type="dxa"/>
            <w:tcBorders>
              <w:top w:val="single" w:sz="18" w:space="0" w:color="auto"/>
              <w:left w:val="single" w:sz="18" w:space="0" w:color="auto"/>
              <w:bottom w:val="single" w:sz="4" w:space="0" w:color="auto"/>
              <w:right w:val="nil"/>
            </w:tcBorders>
            <w:noWrap/>
            <w:vAlign w:val="bottom"/>
            <w:hideMark/>
          </w:tcPr>
          <w:p w14:paraId="3586DDCD"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Variable</w:t>
            </w:r>
          </w:p>
        </w:tc>
        <w:tc>
          <w:tcPr>
            <w:tcW w:w="928" w:type="dxa"/>
            <w:tcBorders>
              <w:top w:val="single" w:sz="18" w:space="0" w:color="auto"/>
              <w:left w:val="nil"/>
              <w:bottom w:val="single" w:sz="4" w:space="0" w:color="auto"/>
              <w:right w:val="nil"/>
            </w:tcBorders>
            <w:noWrap/>
            <w:vAlign w:val="bottom"/>
            <w:hideMark/>
          </w:tcPr>
          <w:p w14:paraId="11F7C92F"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Number</w:t>
            </w:r>
          </w:p>
        </w:tc>
        <w:tc>
          <w:tcPr>
            <w:tcW w:w="872" w:type="dxa"/>
            <w:tcBorders>
              <w:top w:val="single" w:sz="18" w:space="0" w:color="auto"/>
              <w:left w:val="nil"/>
              <w:bottom w:val="single" w:sz="4" w:space="0" w:color="auto"/>
              <w:right w:val="single" w:sz="4" w:space="0" w:color="auto"/>
            </w:tcBorders>
            <w:noWrap/>
            <w:vAlign w:val="bottom"/>
            <w:hideMark/>
          </w:tcPr>
          <w:p w14:paraId="69EDBD07"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Percent</w:t>
            </w:r>
          </w:p>
        </w:tc>
        <w:tc>
          <w:tcPr>
            <w:tcW w:w="2610" w:type="dxa"/>
            <w:gridSpan w:val="2"/>
            <w:tcBorders>
              <w:top w:val="single" w:sz="18" w:space="0" w:color="auto"/>
              <w:left w:val="single" w:sz="4" w:space="0" w:color="auto"/>
              <w:bottom w:val="single" w:sz="4" w:space="0" w:color="auto"/>
              <w:right w:val="nil"/>
            </w:tcBorders>
            <w:noWrap/>
            <w:vAlign w:val="bottom"/>
            <w:hideMark/>
          </w:tcPr>
          <w:p w14:paraId="6079B525"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Variable</w:t>
            </w:r>
          </w:p>
        </w:tc>
        <w:tc>
          <w:tcPr>
            <w:tcW w:w="928" w:type="dxa"/>
            <w:tcBorders>
              <w:top w:val="single" w:sz="18" w:space="0" w:color="auto"/>
              <w:left w:val="nil"/>
              <w:bottom w:val="single" w:sz="4" w:space="0" w:color="auto"/>
              <w:right w:val="nil"/>
            </w:tcBorders>
            <w:noWrap/>
            <w:vAlign w:val="bottom"/>
            <w:hideMark/>
          </w:tcPr>
          <w:p w14:paraId="38273318"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Number</w:t>
            </w:r>
          </w:p>
        </w:tc>
        <w:tc>
          <w:tcPr>
            <w:tcW w:w="1047" w:type="dxa"/>
            <w:tcBorders>
              <w:top w:val="single" w:sz="18" w:space="0" w:color="auto"/>
              <w:left w:val="nil"/>
              <w:bottom w:val="single" w:sz="4" w:space="0" w:color="auto"/>
              <w:right w:val="single" w:sz="18" w:space="0" w:color="auto"/>
            </w:tcBorders>
            <w:noWrap/>
            <w:vAlign w:val="bottom"/>
            <w:hideMark/>
          </w:tcPr>
          <w:p w14:paraId="52DFF3B6"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Percent</w:t>
            </w:r>
          </w:p>
        </w:tc>
      </w:tr>
      <w:tr w:rsidR="005E772C" w:rsidRPr="004811C9" w14:paraId="1AACEE81" w14:textId="77777777" w:rsidTr="000B11EA">
        <w:trPr>
          <w:trHeight w:val="20"/>
        </w:trPr>
        <w:tc>
          <w:tcPr>
            <w:tcW w:w="2150" w:type="dxa"/>
            <w:tcBorders>
              <w:top w:val="single" w:sz="4" w:space="0" w:color="auto"/>
              <w:left w:val="single" w:sz="18" w:space="0" w:color="auto"/>
              <w:bottom w:val="nil"/>
              <w:right w:val="nil"/>
            </w:tcBorders>
            <w:noWrap/>
            <w:vAlign w:val="bottom"/>
            <w:hideMark/>
          </w:tcPr>
          <w:p w14:paraId="262ACDAE"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Gender</w:t>
            </w:r>
          </w:p>
        </w:tc>
        <w:tc>
          <w:tcPr>
            <w:tcW w:w="928" w:type="dxa"/>
            <w:tcBorders>
              <w:top w:val="single" w:sz="4" w:space="0" w:color="auto"/>
              <w:left w:val="nil"/>
              <w:bottom w:val="nil"/>
              <w:right w:val="nil"/>
            </w:tcBorders>
            <w:noWrap/>
            <w:vAlign w:val="bottom"/>
            <w:hideMark/>
          </w:tcPr>
          <w:p w14:paraId="532163A7"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c>
          <w:tcPr>
            <w:tcW w:w="872" w:type="dxa"/>
            <w:tcBorders>
              <w:top w:val="single" w:sz="4" w:space="0" w:color="auto"/>
              <w:left w:val="nil"/>
              <w:bottom w:val="nil"/>
              <w:right w:val="single" w:sz="4" w:space="0" w:color="auto"/>
            </w:tcBorders>
            <w:noWrap/>
            <w:vAlign w:val="bottom"/>
            <w:hideMark/>
          </w:tcPr>
          <w:p w14:paraId="42F8D688"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c>
          <w:tcPr>
            <w:tcW w:w="3538" w:type="dxa"/>
            <w:gridSpan w:val="3"/>
            <w:tcBorders>
              <w:top w:val="single" w:sz="4" w:space="0" w:color="auto"/>
              <w:left w:val="single" w:sz="4" w:space="0" w:color="auto"/>
              <w:bottom w:val="nil"/>
              <w:right w:val="nil"/>
            </w:tcBorders>
            <w:noWrap/>
            <w:vAlign w:val="bottom"/>
            <w:hideMark/>
          </w:tcPr>
          <w:p w14:paraId="5F4B0994"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Education</w:t>
            </w:r>
          </w:p>
        </w:tc>
        <w:tc>
          <w:tcPr>
            <w:tcW w:w="1047" w:type="dxa"/>
            <w:tcBorders>
              <w:top w:val="single" w:sz="4" w:space="0" w:color="auto"/>
              <w:left w:val="nil"/>
              <w:bottom w:val="nil"/>
              <w:right w:val="single" w:sz="18" w:space="0" w:color="auto"/>
            </w:tcBorders>
            <w:noWrap/>
            <w:vAlign w:val="bottom"/>
            <w:hideMark/>
          </w:tcPr>
          <w:p w14:paraId="5CBB5B5D"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r>
      <w:tr w:rsidR="005E772C" w:rsidRPr="004811C9" w14:paraId="78C5B7A5" w14:textId="77777777" w:rsidTr="000B11EA">
        <w:trPr>
          <w:trHeight w:val="20"/>
        </w:trPr>
        <w:tc>
          <w:tcPr>
            <w:tcW w:w="2150" w:type="dxa"/>
            <w:tcBorders>
              <w:top w:val="nil"/>
              <w:left w:val="single" w:sz="18" w:space="0" w:color="auto"/>
              <w:bottom w:val="nil"/>
              <w:right w:val="nil"/>
            </w:tcBorders>
            <w:noWrap/>
            <w:vAlign w:val="bottom"/>
            <w:hideMark/>
          </w:tcPr>
          <w:p w14:paraId="77469E08"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Male</w:t>
            </w:r>
          </w:p>
        </w:tc>
        <w:tc>
          <w:tcPr>
            <w:tcW w:w="928" w:type="dxa"/>
            <w:tcBorders>
              <w:top w:val="nil"/>
              <w:left w:val="nil"/>
              <w:bottom w:val="nil"/>
              <w:right w:val="nil"/>
            </w:tcBorders>
            <w:noWrap/>
            <w:vAlign w:val="bottom"/>
            <w:hideMark/>
          </w:tcPr>
          <w:p w14:paraId="6B298A92"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816</w:t>
            </w:r>
          </w:p>
        </w:tc>
        <w:tc>
          <w:tcPr>
            <w:tcW w:w="872" w:type="dxa"/>
            <w:tcBorders>
              <w:top w:val="nil"/>
              <w:left w:val="nil"/>
              <w:bottom w:val="nil"/>
              <w:right w:val="single" w:sz="4" w:space="0" w:color="auto"/>
            </w:tcBorders>
            <w:noWrap/>
            <w:vAlign w:val="bottom"/>
            <w:hideMark/>
          </w:tcPr>
          <w:p w14:paraId="33B5F202"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38.91</w:t>
            </w:r>
          </w:p>
        </w:tc>
        <w:tc>
          <w:tcPr>
            <w:tcW w:w="2610" w:type="dxa"/>
            <w:gridSpan w:val="2"/>
            <w:tcBorders>
              <w:top w:val="nil"/>
              <w:left w:val="single" w:sz="4" w:space="0" w:color="auto"/>
              <w:bottom w:val="nil"/>
              <w:right w:val="nil"/>
            </w:tcBorders>
            <w:noWrap/>
            <w:vAlign w:val="bottom"/>
            <w:hideMark/>
          </w:tcPr>
          <w:p w14:paraId="66121103"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Less than senior secondary</w:t>
            </w:r>
          </w:p>
        </w:tc>
        <w:tc>
          <w:tcPr>
            <w:tcW w:w="928" w:type="dxa"/>
            <w:tcBorders>
              <w:top w:val="nil"/>
              <w:left w:val="nil"/>
              <w:bottom w:val="nil"/>
              <w:right w:val="nil"/>
            </w:tcBorders>
            <w:noWrap/>
            <w:vAlign w:val="bottom"/>
            <w:hideMark/>
          </w:tcPr>
          <w:p w14:paraId="5E239B92"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271</w:t>
            </w:r>
          </w:p>
        </w:tc>
        <w:tc>
          <w:tcPr>
            <w:tcW w:w="1047" w:type="dxa"/>
            <w:tcBorders>
              <w:top w:val="nil"/>
              <w:left w:val="nil"/>
              <w:bottom w:val="nil"/>
              <w:right w:val="single" w:sz="18" w:space="0" w:color="auto"/>
            </w:tcBorders>
            <w:noWrap/>
            <w:vAlign w:val="bottom"/>
            <w:hideMark/>
          </w:tcPr>
          <w:p w14:paraId="17141711"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12.92</w:t>
            </w:r>
          </w:p>
        </w:tc>
      </w:tr>
      <w:tr w:rsidR="005E772C" w:rsidRPr="004811C9" w14:paraId="107DD1FF" w14:textId="77777777" w:rsidTr="000B11EA">
        <w:trPr>
          <w:trHeight w:val="20"/>
        </w:trPr>
        <w:tc>
          <w:tcPr>
            <w:tcW w:w="2150" w:type="dxa"/>
            <w:tcBorders>
              <w:top w:val="nil"/>
              <w:left w:val="single" w:sz="18" w:space="0" w:color="auto"/>
              <w:bottom w:val="nil"/>
              <w:right w:val="nil"/>
            </w:tcBorders>
            <w:noWrap/>
            <w:vAlign w:val="bottom"/>
            <w:hideMark/>
          </w:tcPr>
          <w:p w14:paraId="5423384A"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Female</w:t>
            </w:r>
          </w:p>
        </w:tc>
        <w:tc>
          <w:tcPr>
            <w:tcW w:w="928" w:type="dxa"/>
            <w:tcBorders>
              <w:top w:val="nil"/>
              <w:left w:val="nil"/>
              <w:bottom w:val="nil"/>
              <w:right w:val="nil"/>
            </w:tcBorders>
            <w:noWrap/>
            <w:vAlign w:val="bottom"/>
            <w:hideMark/>
          </w:tcPr>
          <w:p w14:paraId="663358C1"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1281</w:t>
            </w:r>
          </w:p>
        </w:tc>
        <w:tc>
          <w:tcPr>
            <w:tcW w:w="872" w:type="dxa"/>
            <w:tcBorders>
              <w:top w:val="nil"/>
              <w:left w:val="nil"/>
              <w:bottom w:val="nil"/>
              <w:right w:val="single" w:sz="4" w:space="0" w:color="auto"/>
            </w:tcBorders>
            <w:noWrap/>
            <w:vAlign w:val="bottom"/>
            <w:hideMark/>
          </w:tcPr>
          <w:p w14:paraId="5AE0D734"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61.09</w:t>
            </w:r>
          </w:p>
        </w:tc>
        <w:tc>
          <w:tcPr>
            <w:tcW w:w="2610" w:type="dxa"/>
            <w:gridSpan w:val="2"/>
            <w:tcBorders>
              <w:top w:val="nil"/>
              <w:left w:val="single" w:sz="4" w:space="0" w:color="auto"/>
              <w:bottom w:val="nil"/>
              <w:right w:val="nil"/>
            </w:tcBorders>
            <w:noWrap/>
            <w:vAlign w:val="bottom"/>
            <w:hideMark/>
          </w:tcPr>
          <w:p w14:paraId="7EACBFBA"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Senior secondary passed</w:t>
            </w:r>
          </w:p>
        </w:tc>
        <w:tc>
          <w:tcPr>
            <w:tcW w:w="928" w:type="dxa"/>
            <w:tcBorders>
              <w:top w:val="nil"/>
              <w:left w:val="nil"/>
              <w:bottom w:val="nil"/>
              <w:right w:val="nil"/>
            </w:tcBorders>
            <w:noWrap/>
            <w:vAlign w:val="bottom"/>
            <w:hideMark/>
          </w:tcPr>
          <w:p w14:paraId="44443A9B"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706</w:t>
            </w:r>
          </w:p>
        </w:tc>
        <w:tc>
          <w:tcPr>
            <w:tcW w:w="1047" w:type="dxa"/>
            <w:tcBorders>
              <w:top w:val="nil"/>
              <w:left w:val="nil"/>
              <w:bottom w:val="nil"/>
              <w:right w:val="single" w:sz="18" w:space="0" w:color="auto"/>
            </w:tcBorders>
            <w:noWrap/>
            <w:vAlign w:val="bottom"/>
            <w:hideMark/>
          </w:tcPr>
          <w:p w14:paraId="088925DA"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33.67</w:t>
            </w:r>
          </w:p>
        </w:tc>
      </w:tr>
      <w:tr w:rsidR="005E772C" w:rsidRPr="004811C9" w14:paraId="00411B02" w14:textId="77777777" w:rsidTr="000B11EA">
        <w:trPr>
          <w:trHeight w:val="20"/>
        </w:trPr>
        <w:tc>
          <w:tcPr>
            <w:tcW w:w="2150" w:type="dxa"/>
            <w:tcBorders>
              <w:top w:val="nil"/>
              <w:left w:val="single" w:sz="18" w:space="0" w:color="auto"/>
              <w:bottom w:val="nil"/>
              <w:right w:val="nil"/>
            </w:tcBorders>
            <w:noWrap/>
            <w:vAlign w:val="bottom"/>
            <w:hideMark/>
          </w:tcPr>
          <w:p w14:paraId="45EDE726"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Age</w:t>
            </w:r>
          </w:p>
        </w:tc>
        <w:tc>
          <w:tcPr>
            <w:tcW w:w="928" w:type="dxa"/>
            <w:tcBorders>
              <w:top w:val="nil"/>
              <w:left w:val="nil"/>
              <w:bottom w:val="nil"/>
              <w:right w:val="nil"/>
            </w:tcBorders>
            <w:noWrap/>
            <w:vAlign w:val="bottom"/>
            <w:hideMark/>
          </w:tcPr>
          <w:p w14:paraId="52C96988"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p>
        </w:tc>
        <w:tc>
          <w:tcPr>
            <w:tcW w:w="872" w:type="dxa"/>
            <w:tcBorders>
              <w:top w:val="nil"/>
              <w:left w:val="nil"/>
              <w:bottom w:val="nil"/>
              <w:right w:val="single" w:sz="4" w:space="0" w:color="auto"/>
            </w:tcBorders>
            <w:noWrap/>
            <w:vAlign w:val="bottom"/>
            <w:hideMark/>
          </w:tcPr>
          <w:p w14:paraId="13E26040"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c>
          <w:tcPr>
            <w:tcW w:w="2610" w:type="dxa"/>
            <w:gridSpan w:val="2"/>
            <w:tcBorders>
              <w:top w:val="nil"/>
              <w:left w:val="single" w:sz="4" w:space="0" w:color="auto"/>
              <w:bottom w:val="nil"/>
              <w:right w:val="nil"/>
            </w:tcBorders>
            <w:noWrap/>
            <w:vAlign w:val="bottom"/>
            <w:hideMark/>
          </w:tcPr>
          <w:p w14:paraId="6E93228E"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Bachelor's degree</w:t>
            </w:r>
          </w:p>
        </w:tc>
        <w:tc>
          <w:tcPr>
            <w:tcW w:w="928" w:type="dxa"/>
            <w:tcBorders>
              <w:top w:val="nil"/>
              <w:left w:val="nil"/>
              <w:bottom w:val="nil"/>
              <w:right w:val="nil"/>
            </w:tcBorders>
            <w:noWrap/>
            <w:vAlign w:val="bottom"/>
            <w:hideMark/>
          </w:tcPr>
          <w:p w14:paraId="1DA1A157"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1008</w:t>
            </w:r>
          </w:p>
        </w:tc>
        <w:tc>
          <w:tcPr>
            <w:tcW w:w="1047" w:type="dxa"/>
            <w:tcBorders>
              <w:top w:val="nil"/>
              <w:left w:val="nil"/>
              <w:bottom w:val="nil"/>
              <w:right w:val="single" w:sz="18" w:space="0" w:color="auto"/>
            </w:tcBorders>
            <w:noWrap/>
            <w:vAlign w:val="bottom"/>
            <w:hideMark/>
          </w:tcPr>
          <w:p w14:paraId="5CB754E7"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48.07</w:t>
            </w:r>
          </w:p>
        </w:tc>
      </w:tr>
      <w:tr w:rsidR="005E772C" w:rsidRPr="004811C9" w14:paraId="1D1FE61B" w14:textId="77777777" w:rsidTr="000B11EA">
        <w:trPr>
          <w:trHeight w:val="20"/>
        </w:trPr>
        <w:tc>
          <w:tcPr>
            <w:tcW w:w="2150" w:type="dxa"/>
            <w:tcBorders>
              <w:top w:val="nil"/>
              <w:left w:val="single" w:sz="18" w:space="0" w:color="auto"/>
              <w:bottom w:val="nil"/>
              <w:right w:val="nil"/>
            </w:tcBorders>
            <w:noWrap/>
            <w:vAlign w:val="bottom"/>
            <w:hideMark/>
          </w:tcPr>
          <w:p w14:paraId="5CB5BD38"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Less than 25</w:t>
            </w:r>
          </w:p>
        </w:tc>
        <w:tc>
          <w:tcPr>
            <w:tcW w:w="928" w:type="dxa"/>
            <w:tcBorders>
              <w:top w:val="nil"/>
              <w:left w:val="nil"/>
              <w:bottom w:val="nil"/>
              <w:right w:val="nil"/>
            </w:tcBorders>
            <w:noWrap/>
            <w:vAlign w:val="bottom"/>
            <w:hideMark/>
          </w:tcPr>
          <w:p w14:paraId="4328EE9A"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207</w:t>
            </w:r>
          </w:p>
        </w:tc>
        <w:tc>
          <w:tcPr>
            <w:tcW w:w="872" w:type="dxa"/>
            <w:tcBorders>
              <w:top w:val="nil"/>
              <w:left w:val="nil"/>
              <w:bottom w:val="nil"/>
              <w:right w:val="single" w:sz="4" w:space="0" w:color="auto"/>
            </w:tcBorders>
            <w:noWrap/>
            <w:vAlign w:val="bottom"/>
            <w:hideMark/>
          </w:tcPr>
          <w:p w14:paraId="14566955"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9.87</w:t>
            </w:r>
          </w:p>
        </w:tc>
        <w:tc>
          <w:tcPr>
            <w:tcW w:w="2610" w:type="dxa"/>
            <w:gridSpan w:val="2"/>
            <w:tcBorders>
              <w:top w:val="nil"/>
              <w:left w:val="single" w:sz="4" w:space="0" w:color="auto"/>
              <w:bottom w:val="nil"/>
              <w:right w:val="nil"/>
            </w:tcBorders>
            <w:noWrap/>
            <w:vAlign w:val="bottom"/>
            <w:hideMark/>
          </w:tcPr>
          <w:p w14:paraId="52139E1F"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Graduate degree</w:t>
            </w:r>
          </w:p>
        </w:tc>
        <w:tc>
          <w:tcPr>
            <w:tcW w:w="928" w:type="dxa"/>
            <w:tcBorders>
              <w:top w:val="nil"/>
              <w:left w:val="nil"/>
              <w:bottom w:val="nil"/>
              <w:right w:val="nil"/>
            </w:tcBorders>
            <w:noWrap/>
            <w:vAlign w:val="bottom"/>
            <w:hideMark/>
          </w:tcPr>
          <w:p w14:paraId="55A5E699"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112</w:t>
            </w:r>
          </w:p>
        </w:tc>
        <w:tc>
          <w:tcPr>
            <w:tcW w:w="1047" w:type="dxa"/>
            <w:tcBorders>
              <w:top w:val="nil"/>
              <w:left w:val="nil"/>
              <w:bottom w:val="nil"/>
              <w:right w:val="single" w:sz="18" w:space="0" w:color="auto"/>
            </w:tcBorders>
            <w:noWrap/>
            <w:vAlign w:val="bottom"/>
            <w:hideMark/>
          </w:tcPr>
          <w:p w14:paraId="588C6588"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5.34</w:t>
            </w:r>
          </w:p>
        </w:tc>
      </w:tr>
      <w:tr w:rsidR="005E772C" w:rsidRPr="004811C9" w14:paraId="698F57B2" w14:textId="77777777" w:rsidTr="000B11EA">
        <w:trPr>
          <w:trHeight w:val="20"/>
        </w:trPr>
        <w:tc>
          <w:tcPr>
            <w:tcW w:w="2150" w:type="dxa"/>
            <w:tcBorders>
              <w:top w:val="nil"/>
              <w:left w:val="single" w:sz="18" w:space="0" w:color="auto"/>
              <w:bottom w:val="nil"/>
              <w:right w:val="nil"/>
            </w:tcBorders>
            <w:noWrap/>
            <w:vAlign w:val="bottom"/>
            <w:hideMark/>
          </w:tcPr>
          <w:p w14:paraId="6BCB4929"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25-34</w:t>
            </w:r>
          </w:p>
        </w:tc>
        <w:tc>
          <w:tcPr>
            <w:tcW w:w="928" w:type="dxa"/>
            <w:tcBorders>
              <w:top w:val="nil"/>
              <w:left w:val="nil"/>
              <w:bottom w:val="nil"/>
              <w:right w:val="nil"/>
            </w:tcBorders>
            <w:noWrap/>
            <w:vAlign w:val="bottom"/>
            <w:hideMark/>
          </w:tcPr>
          <w:p w14:paraId="70C2A24D"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877</w:t>
            </w:r>
          </w:p>
        </w:tc>
        <w:tc>
          <w:tcPr>
            <w:tcW w:w="872" w:type="dxa"/>
            <w:tcBorders>
              <w:top w:val="nil"/>
              <w:left w:val="nil"/>
              <w:bottom w:val="nil"/>
              <w:right w:val="single" w:sz="4" w:space="0" w:color="auto"/>
            </w:tcBorders>
            <w:noWrap/>
            <w:vAlign w:val="bottom"/>
            <w:hideMark/>
          </w:tcPr>
          <w:p w14:paraId="75D96047"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41.82</w:t>
            </w:r>
          </w:p>
        </w:tc>
        <w:tc>
          <w:tcPr>
            <w:tcW w:w="3538" w:type="dxa"/>
            <w:gridSpan w:val="3"/>
            <w:tcBorders>
              <w:top w:val="nil"/>
              <w:left w:val="single" w:sz="4" w:space="0" w:color="auto"/>
              <w:bottom w:val="nil"/>
              <w:right w:val="nil"/>
            </w:tcBorders>
            <w:noWrap/>
            <w:vAlign w:val="bottom"/>
            <w:hideMark/>
          </w:tcPr>
          <w:p w14:paraId="2F4F6AD2"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Employment</w:t>
            </w:r>
          </w:p>
        </w:tc>
        <w:tc>
          <w:tcPr>
            <w:tcW w:w="1047" w:type="dxa"/>
            <w:tcBorders>
              <w:top w:val="nil"/>
              <w:left w:val="nil"/>
              <w:bottom w:val="nil"/>
              <w:right w:val="single" w:sz="18" w:space="0" w:color="auto"/>
            </w:tcBorders>
            <w:noWrap/>
            <w:vAlign w:val="bottom"/>
            <w:hideMark/>
          </w:tcPr>
          <w:p w14:paraId="14C1CAD7"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r>
      <w:tr w:rsidR="005E772C" w:rsidRPr="004811C9" w14:paraId="7BB30672" w14:textId="77777777" w:rsidTr="000B11EA">
        <w:trPr>
          <w:trHeight w:val="20"/>
        </w:trPr>
        <w:tc>
          <w:tcPr>
            <w:tcW w:w="2150" w:type="dxa"/>
            <w:tcBorders>
              <w:top w:val="nil"/>
              <w:left w:val="single" w:sz="18" w:space="0" w:color="auto"/>
              <w:bottom w:val="nil"/>
              <w:right w:val="nil"/>
            </w:tcBorders>
            <w:noWrap/>
            <w:vAlign w:val="bottom"/>
            <w:hideMark/>
          </w:tcPr>
          <w:p w14:paraId="3B242D58"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35-44</w:t>
            </w:r>
          </w:p>
        </w:tc>
        <w:tc>
          <w:tcPr>
            <w:tcW w:w="928" w:type="dxa"/>
            <w:tcBorders>
              <w:top w:val="nil"/>
              <w:left w:val="nil"/>
              <w:bottom w:val="nil"/>
              <w:right w:val="nil"/>
            </w:tcBorders>
            <w:noWrap/>
            <w:vAlign w:val="bottom"/>
            <w:hideMark/>
          </w:tcPr>
          <w:p w14:paraId="75EC4F19"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550</w:t>
            </w:r>
          </w:p>
        </w:tc>
        <w:tc>
          <w:tcPr>
            <w:tcW w:w="872" w:type="dxa"/>
            <w:tcBorders>
              <w:top w:val="nil"/>
              <w:left w:val="nil"/>
              <w:bottom w:val="nil"/>
              <w:right w:val="single" w:sz="4" w:space="0" w:color="auto"/>
            </w:tcBorders>
            <w:noWrap/>
            <w:vAlign w:val="bottom"/>
            <w:hideMark/>
          </w:tcPr>
          <w:p w14:paraId="05A372E3"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26.23</w:t>
            </w:r>
          </w:p>
        </w:tc>
        <w:tc>
          <w:tcPr>
            <w:tcW w:w="2610" w:type="dxa"/>
            <w:gridSpan w:val="2"/>
            <w:tcBorders>
              <w:top w:val="nil"/>
              <w:left w:val="single" w:sz="4" w:space="0" w:color="auto"/>
              <w:bottom w:val="nil"/>
              <w:right w:val="nil"/>
            </w:tcBorders>
            <w:noWrap/>
            <w:vAlign w:val="bottom"/>
            <w:hideMark/>
          </w:tcPr>
          <w:p w14:paraId="6A7B2B3B"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Employed</w:t>
            </w:r>
          </w:p>
        </w:tc>
        <w:tc>
          <w:tcPr>
            <w:tcW w:w="928" w:type="dxa"/>
            <w:tcBorders>
              <w:top w:val="nil"/>
              <w:left w:val="nil"/>
              <w:bottom w:val="nil"/>
              <w:right w:val="nil"/>
            </w:tcBorders>
            <w:noWrap/>
            <w:vAlign w:val="bottom"/>
            <w:hideMark/>
          </w:tcPr>
          <w:p w14:paraId="12365C30"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1281</w:t>
            </w:r>
          </w:p>
        </w:tc>
        <w:tc>
          <w:tcPr>
            <w:tcW w:w="1047" w:type="dxa"/>
            <w:tcBorders>
              <w:top w:val="nil"/>
              <w:left w:val="nil"/>
              <w:bottom w:val="nil"/>
              <w:right w:val="single" w:sz="18" w:space="0" w:color="auto"/>
            </w:tcBorders>
            <w:noWrap/>
            <w:vAlign w:val="bottom"/>
            <w:hideMark/>
          </w:tcPr>
          <w:p w14:paraId="4A7B6A8A"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61.09</w:t>
            </w:r>
          </w:p>
        </w:tc>
      </w:tr>
      <w:tr w:rsidR="005E772C" w:rsidRPr="004811C9" w14:paraId="1DB9595B" w14:textId="77777777" w:rsidTr="000B11EA">
        <w:trPr>
          <w:trHeight w:val="20"/>
        </w:trPr>
        <w:tc>
          <w:tcPr>
            <w:tcW w:w="2150" w:type="dxa"/>
            <w:tcBorders>
              <w:top w:val="nil"/>
              <w:left w:val="single" w:sz="18" w:space="0" w:color="auto"/>
              <w:bottom w:val="nil"/>
              <w:right w:val="nil"/>
            </w:tcBorders>
            <w:noWrap/>
            <w:vAlign w:val="bottom"/>
            <w:hideMark/>
          </w:tcPr>
          <w:p w14:paraId="1E0B4D36"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45-54</w:t>
            </w:r>
          </w:p>
        </w:tc>
        <w:tc>
          <w:tcPr>
            <w:tcW w:w="928" w:type="dxa"/>
            <w:tcBorders>
              <w:top w:val="nil"/>
              <w:left w:val="nil"/>
              <w:bottom w:val="nil"/>
              <w:right w:val="nil"/>
            </w:tcBorders>
            <w:noWrap/>
            <w:vAlign w:val="bottom"/>
            <w:hideMark/>
          </w:tcPr>
          <w:p w14:paraId="329DC598"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344</w:t>
            </w:r>
          </w:p>
        </w:tc>
        <w:tc>
          <w:tcPr>
            <w:tcW w:w="872" w:type="dxa"/>
            <w:tcBorders>
              <w:top w:val="nil"/>
              <w:left w:val="nil"/>
              <w:bottom w:val="nil"/>
              <w:right w:val="single" w:sz="4" w:space="0" w:color="auto"/>
            </w:tcBorders>
            <w:noWrap/>
            <w:vAlign w:val="bottom"/>
            <w:hideMark/>
          </w:tcPr>
          <w:p w14:paraId="69B21BCD" w14:textId="5242F880"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16.4</w:t>
            </w:r>
            <w:r w:rsidR="00296CEB" w:rsidRPr="004811C9">
              <w:rPr>
                <w:rFonts w:eastAsia="Times New Roman" w:cs="Times New Roman"/>
                <w:color w:val="000000"/>
                <w:kern w:val="0"/>
                <w:sz w:val="20"/>
                <w:szCs w:val="20"/>
                <w14:ligatures w14:val="none"/>
              </w:rPr>
              <w:t>1</w:t>
            </w:r>
          </w:p>
        </w:tc>
        <w:tc>
          <w:tcPr>
            <w:tcW w:w="2610" w:type="dxa"/>
            <w:gridSpan w:val="2"/>
            <w:tcBorders>
              <w:top w:val="nil"/>
              <w:left w:val="single" w:sz="4" w:space="0" w:color="auto"/>
              <w:bottom w:val="nil"/>
              <w:right w:val="nil"/>
            </w:tcBorders>
            <w:noWrap/>
            <w:vAlign w:val="bottom"/>
            <w:hideMark/>
          </w:tcPr>
          <w:p w14:paraId="70E18187"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Not currently employed</w:t>
            </w:r>
          </w:p>
        </w:tc>
        <w:tc>
          <w:tcPr>
            <w:tcW w:w="928" w:type="dxa"/>
            <w:tcBorders>
              <w:top w:val="nil"/>
              <w:left w:val="nil"/>
              <w:bottom w:val="nil"/>
              <w:right w:val="nil"/>
            </w:tcBorders>
            <w:noWrap/>
            <w:vAlign w:val="bottom"/>
            <w:hideMark/>
          </w:tcPr>
          <w:p w14:paraId="16331421"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816</w:t>
            </w:r>
          </w:p>
        </w:tc>
        <w:tc>
          <w:tcPr>
            <w:tcW w:w="1047" w:type="dxa"/>
            <w:tcBorders>
              <w:top w:val="nil"/>
              <w:left w:val="nil"/>
              <w:bottom w:val="nil"/>
              <w:right w:val="single" w:sz="18" w:space="0" w:color="auto"/>
            </w:tcBorders>
            <w:noWrap/>
            <w:vAlign w:val="bottom"/>
            <w:hideMark/>
          </w:tcPr>
          <w:p w14:paraId="4097E1AC"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38.91</w:t>
            </w:r>
          </w:p>
        </w:tc>
      </w:tr>
      <w:tr w:rsidR="005E772C" w:rsidRPr="004811C9" w14:paraId="6B7EF57E" w14:textId="77777777" w:rsidTr="000B11EA">
        <w:trPr>
          <w:trHeight w:val="20"/>
        </w:trPr>
        <w:tc>
          <w:tcPr>
            <w:tcW w:w="2150" w:type="dxa"/>
            <w:tcBorders>
              <w:top w:val="nil"/>
              <w:left w:val="single" w:sz="18" w:space="0" w:color="auto"/>
              <w:bottom w:val="single" w:sz="18" w:space="0" w:color="auto"/>
              <w:right w:val="nil"/>
            </w:tcBorders>
            <w:noWrap/>
            <w:vAlign w:val="bottom"/>
            <w:hideMark/>
          </w:tcPr>
          <w:p w14:paraId="6AA5B1AD"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55 or older</w:t>
            </w:r>
          </w:p>
        </w:tc>
        <w:tc>
          <w:tcPr>
            <w:tcW w:w="928" w:type="dxa"/>
            <w:tcBorders>
              <w:top w:val="nil"/>
              <w:left w:val="nil"/>
              <w:bottom w:val="single" w:sz="18" w:space="0" w:color="auto"/>
              <w:right w:val="nil"/>
            </w:tcBorders>
            <w:noWrap/>
            <w:vAlign w:val="bottom"/>
            <w:hideMark/>
          </w:tcPr>
          <w:p w14:paraId="719E2DD5"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119</w:t>
            </w:r>
          </w:p>
        </w:tc>
        <w:tc>
          <w:tcPr>
            <w:tcW w:w="872" w:type="dxa"/>
            <w:tcBorders>
              <w:top w:val="nil"/>
              <w:left w:val="nil"/>
              <w:bottom w:val="single" w:sz="18" w:space="0" w:color="auto"/>
              <w:right w:val="single" w:sz="4" w:space="0" w:color="auto"/>
            </w:tcBorders>
            <w:noWrap/>
            <w:vAlign w:val="bottom"/>
            <w:hideMark/>
          </w:tcPr>
          <w:p w14:paraId="5C514B79"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5.67</w:t>
            </w:r>
          </w:p>
        </w:tc>
        <w:tc>
          <w:tcPr>
            <w:tcW w:w="2610" w:type="dxa"/>
            <w:gridSpan w:val="2"/>
            <w:tcBorders>
              <w:top w:val="nil"/>
              <w:left w:val="single" w:sz="4" w:space="0" w:color="auto"/>
              <w:bottom w:val="single" w:sz="18" w:space="0" w:color="auto"/>
              <w:right w:val="nil"/>
            </w:tcBorders>
            <w:noWrap/>
            <w:vAlign w:val="bottom"/>
            <w:hideMark/>
          </w:tcPr>
          <w:p w14:paraId="35C94DFB" w14:textId="77777777" w:rsidR="005E772C" w:rsidRPr="004811C9" w:rsidRDefault="005E772C" w:rsidP="00405333">
            <w:pPr>
              <w:spacing w:after="0" w:line="240" w:lineRule="auto"/>
              <w:jc w:val="right"/>
              <w:rPr>
                <w:rFonts w:eastAsia="Times New Roman" w:cs="Times New Roman"/>
                <w:color w:val="000000"/>
                <w:kern w:val="0"/>
                <w:sz w:val="20"/>
                <w:szCs w:val="20"/>
                <w14:ligatures w14:val="none"/>
              </w:rPr>
            </w:pPr>
          </w:p>
        </w:tc>
        <w:tc>
          <w:tcPr>
            <w:tcW w:w="928" w:type="dxa"/>
            <w:tcBorders>
              <w:top w:val="nil"/>
              <w:left w:val="nil"/>
              <w:bottom w:val="single" w:sz="18" w:space="0" w:color="auto"/>
              <w:right w:val="nil"/>
            </w:tcBorders>
            <w:noWrap/>
            <w:vAlign w:val="bottom"/>
            <w:hideMark/>
          </w:tcPr>
          <w:p w14:paraId="06C154AD" w14:textId="77777777" w:rsidR="005E772C" w:rsidRPr="004811C9" w:rsidRDefault="005E772C" w:rsidP="00405333">
            <w:pPr>
              <w:spacing w:after="0" w:line="240" w:lineRule="auto"/>
              <w:rPr>
                <w:rFonts w:eastAsia="Times New Roman" w:cs="Times New Roman"/>
                <w:kern w:val="0"/>
                <w:sz w:val="20"/>
                <w:szCs w:val="20"/>
                <w14:ligatures w14:val="none"/>
              </w:rPr>
            </w:pPr>
          </w:p>
        </w:tc>
        <w:tc>
          <w:tcPr>
            <w:tcW w:w="1047" w:type="dxa"/>
            <w:tcBorders>
              <w:top w:val="nil"/>
              <w:left w:val="nil"/>
              <w:bottom w:val="single" w:sz="18" w:space="0" w:color="auto"/>
              <w:right w:val="single" w:sz="18" w:space="0" w:color="auto"/>
            </w:tcBorders>
            <w:noWrap/>
            <w:vAlign w:val="bottom"/>
            <w:hideMark/>
          </w:tcPr>
          <w:p w14:paraId="41DA370E"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r>
      <w:tr w:rsidR="005E772C" w:rsidRPr="004811C9" w14:paraId="18C01BFE" w14:textId="77777777" w:rsidTr="000B11EA">
        <w:trPr>
          <w:trHeight w:val="20"/>
        </w:trPr>
        <w:tc>
          <w:tcPr>
            <w:tcW w:w="8535" w:type="dxa"/>
            <w:gridSpan w:val="7"/>
            <w:tcBorders>
              <w:top w:val="single" w:sz="18" w:space="0" w:color="auto"/>
              <w:left w:val="single" w:sz="18" w:space="0" w:color="auto"/>
              <w:bottom w:val="single" w:sz="18" w:space="0" w:color="auto"/>
              <w:right w:val="single" w:sz="18" w:space="0" w:color="auto"/>
            </w:tcBorders>
            <w:noWrap/>
            <w:vAlign w:val="bottom"/>
            <w:hideMark/>
          </w:tcPr>
          <w:p w14:paraId="009CC1B6" w14:textId="77777777" w:rsidR="005E772C" w:rsidRPr="004811C9" w:rsidRDefault="005E772C" w:rsidP="00405333">
            <w:pPr>
              <w:spacing w:after="0" w:line="240" w:lineRule="auto"/>
              <w:jc w:val="center"/>
              <w:rPr>
                <w:rFonts w:eastAsia="Times New Roman" w:cs="Times New Roman"/>
                <w:b/>
                <w:bCs/>
                <w:i/>
                <w:iCs/>
                <w:color w:val="000000"/>
                <w:kern w:val="0"/>
                <w:sz w:val="20"/>
                <w:szCs w:val="20"/>
                <w14:ligatures w14:val="none"/>
              </w:rPr>
            </w:pPr>
            <w:r w:rsidRPr="004811C9">
              <w:rPr>
                <w:rFonts w:eastAsia="Times New Roman" w:cs="Times New Roman"/>
                <w:b/>
                <w:bCs/>
                <w:i/>
                <w:iCs/>
                <w:color w:val="000000"/>
                <w:kern w:val="0"/>
                <w:sz w:val="20"/>
                <w:szCs w:val="20"/>
                <w14:ligatures w14:val="none"/>
              </w:rPr>
              <w:t>Household Characteristics</w:t>
            </w:r>
          </w:p>
        </w:tc>
      </w:tr>
      <w:tr w:rsidR="005E772C" w:rsidRPr="004811C9" w14:paraId="140AD895" w14:textId="77777777" w:rsidTr="000B11EA">
        <w:trPr>
          <w:trHeight w:val="20"/>
        </w:trPr>
        <w:tc>
          <w:tcPr>
            <w:tcW w:w="2150" w:type="dxa"/>
            <w:tcBorders>
              <w:top w:val="single" w:sz="18" w:space="0" w:color="auto"/>
              <w:left w:val="single" w:sz="18" w:space="0" w:color="auto"/>
              <w:bottom w:val="single" w:sz="4" w:space="0" w:color="auto"/>
              <w:right w:val="nil"/>
            </w:tcBorders>
            <w:noWrap/>
            <w:vAlign w:val="bottom"/>
            <w:hideMark/>
          </w:tcPr>
          <w:p w14:paraId="1CFE8D95"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Variable</w:t>
            </w:r>
          </w:p>
        </w:tc>
        <w:tc>
          <w:tcPr>
            <w:tcW w:w="928" w:type="dxa"/>
            <w:tcBorders>
              <w:top w:val="single" w:sz="18" w:space="0" w:color="auto"/>
              <w:left w:val="nil"/>
              <w:bottom w:val="single" w:sz="4" w:space="0" w:color="auto"/>
              <w:right w:val="nil"/>
            </w:tcBorders>
            <w:noWrap/>
            <w:vAlign w:val="bottom"/>
            <w:hideMark/>
          </w:tcPr>
          <w:p w14:paraId="6C8A55D8"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Number</w:t>
            </w:r>
          </w:p>
        </w:tc>
        <w:tc>
          <w:tcPr>
            <w:tcW w:w="872" w:type="dxa"/>
            <w:tcBorders>
              <w:top w:val="single" w:sz="18" w:space="0" w:color="auto"/>
              <w:left w:val="nil"/>
              <w:bottom w:val="single" w:sz="4" w:space="0" w:color="auto"/>
              <w:right w:val="single" w:sz="4" w:space="0" w:color="auto"/>
            </w:tcBorders>
            <w:noWrap/>
            <w:vAlign w:val="bottom"/>
            <w:hideMark/>
          </w:tcPr>
          <w:p w14:paraId="120C3752"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Percent</w:t>
            </w:r>
          </w:p>
        </w:tc>
        <w:tc>
          <w:tcPr>
            <w:tcW w:w="2610" w:type="dxa"/>
            <w:gridSpan w:val="2"/>
            <w:tcBorders>
              <w:top w:val="single" w:sz="18" w:space="0" w:color="auto"/>
              <w:left w:val="single" w:sz="4" w:space="0" w:color="auto"/>
              <w:bottom w:val="single" w:sz="4" w:space="0" w:color="auto"/>
              <w:right w:val="nil"/>
            </w:tcBorders>
            <w:noWrap/>
            <w:vAlign w:val="bottom"/>
            <w:hideMark/>
          </w:tcPr>
          <w:p w14:paraId="79B2F99C"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Variable</w:t>
            </w:r>
          </w:p>
        </w:tc>
        <w:tc>
          <w:tcPr>
            <w:tcW w:w="928" w:type="dxa"/>
            <w:tcBorders>
              <w:top w:val="single" w:sz="18" w:space="0" w:color="auto"/>
              <w:left w:val="nil"/>
              <w:bottom w:val="single" w:sz="4" w:space="0" w:color="auto"/>
              <w:right w:val="nil"/>
            </w:tcBorders>
            <w:noWrap/>
            <w:vAlign w:val="bottom"/>
            <w:hideMark/>
          </w:tcPr>
          <w:p w14:paraId="621ED80C"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Number</w:t>
            </w:r>
          </w:p>
        </w:tc>
        <w:tc>
          <w:tcPr>
            <w:tcW w:w="1047" w:type="dxa"/>
            <w:tcBorders>
              <w:top w:val="single" w:sz="18" w:space="0" w:color="auto"/>
              <w:left w:val="nil"/>
              <w:bottom w:val="single" w:sz="4" w:space="0" w:color="auto"/>
              <w:right w:val="single" w:sz="18" w:space="0" w:color="auto"/>
            </w:tcBorders>
            <w:noWrap/>
            <w:vAlign w:val="bottom"/>
            <w:hideMark/>
          </w:tcPr>
          <w:p w14:paraId="5453204C"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Percent</w:t>
            </w:r>
          </w:p>
        </w:tc>
      </w:tr>
      <w:tr w:rsidR="005E772C" w:rsidRPr="004811C9" w14:paraId="5D55AF99" w14:textId="77777777" w:rsidTr="000B11EA">
        <w:trPr>
          <w:trHeight w:val="20"/>
        </w:trPr>
        <w:tc>
          <w:tcPr>
            <w:tcW w:w="3078" w:type="dxa"/>
            <w:gridSpan w:val="2"/>
            <w:tcBorders>
              <w:top w:val="single" w:sz="4" w:space="0" w:color="auto"/>
              <w:left w:val="single" w:sz="18" w:space="0" w:color="auto"/>
              <w:bottom w:val="nil"/>
              <w:right w:val="nil"/>
            </w:tcBorders>
            <w:noWrap/>
            <w:vAlign w:val="bottom"/>
          </w:tcPr>
          <w:p w14:paraId="7F237EDA"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Lives Alone</w:t>
            </w:r>
          </w:p>
        </w:tc>
        <w:tc>
          <w:tcPr>
            <w:tcW w:w="872" w:type="dxa"/>
            <w:tcBorders>
              <w:top w:val="single" w:sz="4" w:space="0" w:color="auto"/>
              <w:left w:val="nil"/>
              <w:bottom w:val="nil"/>
              <w:right w:val="single" w:sz="4" w:space="0" w:color="auto"/>
            </w:tcBorders>
            <w:noWrap/>
            <w:vAlign w:val="bottom"/>
          </w:tcPr>
          <w:p w14:paraId="0FC67047"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c>
          <w:tcPr>
            <w:tcW w:w="4585" w:type="dxa"/>
            <w:gridSpan w:val="4"/>
            <w:tcBorders>
              <w:top w:val="single" w:sz="4" w:space="0" w:color="auto"/>
              <w:left w:val="single" w:sz="4" w:space="0" w:color="auto"/>
              <w:bottom w:val="nil"/>
              <w:right w:val="single" w:sz="18" w:space="0" w:color="auto"/>
            </w:tcBorders>
            <w:noWrap/>
            <w:vAlign w:val="bottom"/>
          </w:tcPr>
          <w:p w14:paraId="4ACE09AB" w14:textId="43EF764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Presence of Children</w:t>
            </w:r>
            <w:r w:rsidR="00882957" w:rsidRPr="004811C9">
              <w:rPr>
                <w:rFonts w:eastAsia="Times New Roman" w:cs="Times New Roman"/>
                <w:b/>
                <w:bCs/>
                <w:color w:val="000000"/>
                <w:kern w:val="0"/>
                <w:sz w:val="20"/>
                <w:szCs w:val="20"/>
                <w14:ligatures w14:val="none"/>
              </w:rPr>
              <w:t xml:space="preserve"> (&lt;</w:t>
            </w:r>
            <w:r w:rsidR="006F2FA9" w:rsidRPr="004811C9">
              <w:rPr>
                <w:rFonts w:eastAsia="Times New Roman" w:cs="Times New Roman"/>
                <w:b/>
                <w:bCs/>
                <w:color w:val="000000"/>
                <w:kern w:val="0"/>
                <w:sz w:val="20"/>
                <w:szCs w:val="20"/>
                <w14:ligatures w14:val="none"/>
              </w:rPr>
              <w:t>18</w:t>
            </w:r>
            <w:r w:rsidR="00882957" w:rsidRPr="004811C9">
              <w:rPr>
                <w:rFonts w:eastAsia="Times New Roman" w:cs="Times New Roman"/>
                <w:b/>
                <w:bCs/>
                <w:color w:val="000000"/>
                <w:kern w:val="0"/>
                <w:sz w:val="20"/>
                <w:szCs w:val="20"/>
                <w14:ligatures w14:val="none"/>
              </w:rPr>
              <w:t xml:space="preserve"> Years of age)</w:t>
            </w:r>
          </w:p>
        </w:tc>
      </w:tr>
      <w:tr w:rsidR="005E772C" w:rsidRPr="004811C9" w14:paraId="19E8FC01" w14:textId="77777777" w:rsidTr="000B11EA">
        <w:trPr>
          <w:trHeight w:val="20"/>
        </w:trPr>
        <w:tc>
          <w:tcPr>
            <w:tcW w:w="2150" w:type="dxa"/>
            <w:tcBorders>
              <w:top w:val="nil"/>
              <w:left w:val="single" w:sz="18" w:space="0" w:color="auto"/>
              <w:bottom w:val="nil"/>
              <w:right w:val="nil"/>
            </w:tcBorders>
            <w:noWrap/>
            <w:vAlign w:val="bottom"/>
            <w:hideMark/>
          </w:tcPr>
          <w:p w14:paraId="3B3E6F8D"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Yes</w:t>
            </w:r>
          </w:p>
        </w:tc>
        <w:tc>
          <w:tcPr>
            <w:tcW w:w="928" w:type="dxa"/>
            <w:tcBorders>
              <w:top w:val="nil"/>
              <w:left w:val="nil"/>
              <w:bottom w:val="nil"/>
              <w:right w:val="nil"/>
            </w:tcBorders>
            <w:noWrap/>
            <w:vAlign w:val="bottom"/>
            <w:hideMark/>
          </w:tcPr>
          <w:p w14:paraId="654A4E6F"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124</w:t>
            </w:r>
          </w:p>
        </w:tc>
        <w:tc>
          <w:tcPr>
            <w:tcW w:w="872" w:type="dxa"/>
            <w:tcBorders>
              <w:top w:val="nil"/>
              <w:left w:val="nil"/>
              <w:bottom w:val="nil"/>
              <w:right w:val="single" w:sz="4" w:space="0" w:color="auto"/>
            </w:tcBorders>
            <w:noWrap/>
            <w:vAlign w:val="bottom"/>
            <w:hideMark/>
          </w:tcPr>
          <w:p w14:paraId="6EAFECD6"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5.91</w:t>
            </w:r>
          </w:p>
        </w:tc>
        <w:tc>
          <w:tcPr>
            <w:tcW w:w="2610" w:type="dxa"/>
            <w:gridSpan w:val="2"/>
            <w:tcBorders>
              <w:top w:val="nil"/>
              <w:left w:val="single" w:sz="4" w:space="0" w:color="auto"/>
              <w:bottom w:val="nil"/>
              <w:right w:val="nil"/>
            </w:tcBorders>
            <w:noWrap/>
            <w:vAlign w:val="bottom"/>
            <w:hideMark/>
          </w:tcPr>
          <w:p w14:paraId="6E1DB8E3"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Yes</w:t>
            </w:r>
          </w:p>
        </w:tc>
        <w:tc>
          <w:tcPr>
            <w:tcW w:w="928" w:type="dxa"/>
            <w:tcBorders>
              <w:top w:val="nil"/>
              <w:left w:val="nil"/>
              <w:bottom w:val="nil"/>
              <w:right w:val="nil"/>
            </w:tcBorders>
            <w:noWrap/>
            <w:vAlign w:val="bottom"/>
            <w:hideMark/>
          </w:tcPr>
          <w:p w14:paraId="054AD315"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1334</w:t>
            </w:r>
          </w:p>
        </w:tc>
        <w:tc>
          <w:tcPr>
            <w:tcW w:w="1047" w:type="dxa"/>
            <w:tcBorders>
              <w:top w:val="nil"/>
              <w:left w:val="nil"/>
              <w:bottom w:val="nil"/>
              <w:right w:val="single" w:sz="18" w:space="0" w:color="auto"/>
            </w:tcBorders>
            <w:noWrap/>
            <w:vAlign w:val="bottom"/>
            <w:hideMark/>
          </w:tcPr>
          <w:p w14:paraId="22906E6C"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63.61</w:t>
            </w:r>
          </w:p>
        </w:tc>
      </w:tr>
      <w:tr w:rsidR="005E772C" w:rsidRPr="004811C9" w14:paraId="4C4E18E6" w14:textId="77777777" w:rsidTr="000B11EA">
        <w:trPr>
          <w:trHeight w:val="20"/>
        </w:trPr>
        <w:tc>
          <w:tcPr>
            <w:tcW w:w="2150" w:type="dxa"/>
            <w:tcBorders>
              <w:top w:val="nil"/>
              <w:left w:val="single" w:sz="18" w:space="0" w:color="auto"/>
              <w:bottom w:val="nil"/>
              <w:right w:val="nil"/>
            </w:tcBorders>
            <w:noWrap/>
            <w:vAlign w:val="bottom"/>
            <w:hideMark/>
          </w:tcPr>
          <w:p w14:paraId="1A1872E1"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No</w:t>
            </w:r>
          </w:p>
        </w:tc>
        <w:tc>
          <w:tcPr>
            <w:tcW w:w="928" w:type="dxa"/>
            <w:tcBorders>
              <w:top w:val="nil"/>
              <w:left w:val="nil"/>
              <w:bottom w:val="nil"/>
              <w:right w:val="nil"/>
            </w:tcBorders>
            <w:noWrap/>
            <w:vAlign w:val="bottom"/>
            <w:hideMark/>
          </w:tcPr>
          <w:p w14:paraId="36FBE447"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1973</w:t>
            </w:r>
          </w:p>
        </w:tc>
        <w:tc>
          <w:tcPr>
            <w:tcW w:w="872" w:type="dxa"/>
            <w:tcBorders>
              <w:top w:val="nil"/>
              <w:left w:val="nil"/>
              <w:bottom w:val="nil"/>
              <w:right w:val="single" w:sz="4" w:space="0" w:color="auto"/>
            </w:tcBorders>
            <w:noWrap/>
            <w:vAlign w:val="bottom"/>
            <w:hideMark/>
          </w:tcPr>
          <w:p w14:paraId="787136A8"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94.09</w:t>
            </w:r>
          </w:p>
        </w:tc>
        <w:tc>
          <w:tcPr>
            <w:tcW w:w="2610" w:type="dxa"/>
            <w:gridSpan w:val="2"/>
            <w:tcBorders>
              <w:top w:val="nil"/>
              <w:left w:val="single" w:sz="4" w:space="0" w:color="auto"/>
              <w:bottom w:val="nil"/>
              <w:right w:val="nil"/>
            </w:tcBorders>
            <w:noWrap/>
            <w:vAlign w:val="bottom"/>
            <w:hideMark/>
          </w:tcPr>
          <w:p w14:paraId="2A4AB415"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No</w:t>
            </w:r>
          </w:p>
        </w:tc>
        <w:tc>
          <w:tcPr>
            <w:tcW w:w="928" w:type="dxa"/>
            <w:tcBorders>
              <w:top w:val="nil"/>
              <w:left w:val="nil"/>
              <w:bottom w:val="nil"/>
              <w:right w:val="nil"/>
            </w:tcBorders>
            <w:noWrap/>
            <w:vAlign w:val="bottom"/>
            <w:hideMark/>
          </w:tcPr>
          <w:p w14:paraId="0EEB5695"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763</w:t>
            </w:r>
          </w:p>
        </w:tc>
        <w:tc>
          <w:tcPr>
            <w:tcW w:w="1047" w:type="dxa"/>
            <w:tcBorders>
              <w:top w:val="nil"/>
              <w:left w:val="nil"/>
              <w:bottom w:val="nil"/>
              <w:right w:val="single" w:sz="18" w:space="0" w:color="auto"/>
            </w:tcBorders>
            <w:noWrap/>
            <w:vAlign w:val="bottom"/>
            <w:hideMark/>
          </w:tcPr>
          <w:p w14:paraId="75655A82"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36.39</w:t>
            </w:r>
          </w:p>
        </w:tc>
      </w:tr>
      <w:tr w:rsidR="00494E95" w:rsidRPr="004811C9" w14:paraId="005474AE" w14:textId="77777777" w:rsidTr="00BD4F45">
        <w:trPr>
          <w:trHeight w:val="20"/>
        </w:trPr>
        <w:tc>
          <w:tcPr>
            <w:tcW w:w="3950" w:type="dxa"/>
            <w:gridSpan w:val="3"/>
            <w:tcBorders>
              <w:top w:val="nil"/>
              <w:left w:val="single" w:sz="18" w:space="0" w:color="auto"/>
              <w:bottom w:val="nil"/>
              <w:right w:val="single" w:sz="4" w:space="0" w:color="auto"/>
            </w:tcBorders>
            <w:noWrap/>
            <w:vAlign w:val="bottom"/>
            <w:hideMark/>
          </w:tcPr>
          <w:p w14:paraId="6B1E0A24" w14:textId="77777777" w:rsidR="00494E95" w:rsidRPr="004811C9" w:rsidRDefault="00494E95"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Household Income (million rupees)</w:t>
            </w:r>
          </w:p>
        </w:tc>
        <w:tc>
          <w:tcPr>
            <w:tcW w:w="4585" w:type="dxa"/>
            <w:gridSpan w:val="4"/>
            <w:tcBorders>
              <w:top w:val="nil"/>
              <w:left w:val="single" w:sz="4" w:space="0" w:color="auto"/>
              <w:bottom w:val="nil"/>
              <w:right w:val="single" w:sz="18" w:space="0" w:color="auto"/>
            </w:tcBorders>
            <w:noWrap/>
            <w:vAlign w:val="bottom"/>
            <w:hideMark/>
          </w:tcPr>
          <w:p w14:paraId="6774A114" w14:textId="4A0722A9" w:rsidR="00494E95" w:rsidRPr="00494E95" w:rsidRDefault="00494E95"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Residential Neighborhood Population Density</w:t>
            </w:r>
          </w:p>
        </w:tc>
      </w:tr>
      <w:tr w:rsidR="005E772C" w:rsidRPr="004811C9" w14:paraId="618AB218" w14:textId="77777777" w:rsidTr="000B11EA">
        <w:trPr>
          <w:trHeight w:val="20"/>
        </w:trPr>
        <w:tc>
          <w:tcPr>
            <w:tcW w:w="2150" w:type="dxa"/>
            <w:tcBorders>
              <w:top w:val="nil"/>
              <w:left w:val="single" w:sz="18" w:space="0" w:color="auto"/>
              <w:bottom w:val="nil"/>
              <w:right w:val="nil"/>
            </w:tcBorders>
            <w:noWrap/>
            <w:vAlign w:val="bottom"/>
            <w:hideMark/>
          </w:tcPr>
          <w:p w14:paraId="430CE6B7"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Less than 1.0</w:t>
            </w:r>
          </w:p>
        </w:tc>
        <w:tc>
          <w:tcPr>
            <w:tcW w:w="928" w:type="dxa"/>
            <w:tcBorders>
              <w:top w:val="nil"/>
              <w:left w:val="nil"/>
              <w:bottom w:val="nil"/>
              <w:right w:val="nil"/>
            </w:tcBorders>
            <w:noWrap/>
            <w:vAlign w:val="bottom"/>
            <w:hideMark/>
          </w:tcPr>
          <w:p w14:paraId="60FBDA77"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671</w:t>
            </w:r>
          </w:p>
        </w:tc>
        <w:tc>
          <w:tcPr>
            <w:tcW w:w="872" w:type="dxa"/>
            <w:tcBorders>
              <w:top w:val="nil"/>
              <w:left w:val="nil"/>
              <w:bottom w:val="nil"/>
              <w:right w:val="single" w:sz="4" w:space="0" w:color="auto"/>
            </w:tcBorders>
            <w:noWrap/>
            <w:vAlign w:val="bottom"/>
            <w:hideMark/>
          </w:tcPr>
          <w:p w14:paraId="38F8E33E"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32.00</w:t>
            </w:r>
          </w:p>
        </w:tc>
        <w:tc>
          <w:tcPr>
            <w:tcW w:w="2610" w:type="dxa"/>
            <w:gridSpan w:val="2"/>
            <w:tcBorders>
              <w:top w:val="nil"/>
              <w:left w:val="single" w:sz="4" w:space="0" w:color="auto"/>
              <w:bottom w:val="nil"/>
              <w:right w:val="nil"/>
            </w:tcBorders>
            <w:noWrap/>
            <w:vAlign w:val="bottom"/>
            <w:hideMark/>
          </w:tcPr>
          <w:p w14:paraId="3F329D76"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Low</w:t>
            </w:r>
          </w:p>
        </w:tc>
        <w:tc>
          <w:tcPr>
            <w:tcW w:w="928" w:type="dxa"/>
            <w:tcBorders>
              <w:top w:val="nil"/>
              <w:left w:val="nil"/>
              <w:bottom w:val="nil"/>
              <w:right w:val="nil"/>
            </w:tcBorders>
            <w:noWrap/>
            <w:vAlign w:val="bottom"/>
            <w:hideMark/>
          </w:tcPr>
          <w:p w14:paraId="13CF8CD7"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656</w:t>
            </w:r>
          </w:p>
        </w:tc>
        <w:tc>
          <w:tcPr>
            <w:tcW w:w="1047" w:type="dxa"/>
            <w:tcBorders>
              <w:top w:val="nil"/>
              <w:left w:val="nil"/>
              <w:bottom w:val="nil"/>
              <w:right w:val="single" w:sz="18" w:space="0" w:color="auto"/>
            </w:tcBorders>
            <w:noWrap/>
            <w:vAlign w:val="bottom"/>
            <w:hideMark/>
          </w:tcPr>
          <w:p w14:paraId="1C5AC6D6"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31.28</w:t>
            </w:r>
          </w:p>
        </w:tc>
      </w:tr>
      <w:tr w:rsidR="005E772C" w:rsidRPr="004811C9" w14:paraId="55B6E706" w14:textId="77777777" w:rsidTr="000B11EA">
        <w:trPr>
          <w:trHeight w:val="20"/>
        </w:trPr>
        <w:tc>
          <w:tcPr>
            <w:tcW w:w="2150" w:type="dxa"/>
            <w:tcBorders>
              <w:top w:val="nil"/>
              <w:left w:val="single" w:sz="18" w:space="0" w:color="auto"/>
              <w:bottom w:val="nil"/>
              <w:right w:val="nil"/>
            </w:tcBorders>
            <w:noWrap/>
            <w:vAlign w:val="bottom"/>
            <w:hideMark/>
          </w:tcPr>
          <w:p w14:paraId="20DF1EF5"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2.0 - 2.5</w:t>
            </w:r>
          </w:p>
        </w:tc>
        <w:tc>
          <w:tcPr>
            <w:tcW w:w="928" w:type="dxa"/>
            <w:tcBorders>
              <w:top w:val="nil"/>
              <w:left w:val="nil"/>
              <w:bottom w:val="nil"/>
              <w:right w:val="nil"/>
            </w:tcBorders>
            <w:noWrap/>
            <w:vAlign w:val="bottom"/>
            <w:hideMark/>
          </w:tcPr>
          <w:p w14:paraId="2AB3677C"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1040</w:t>
            </w:r>
          </w:p>
        </w:tc>
        <w:tc>
          <w:tcPr>
            <w:tcW w:w="872" w:type="dxa"/>
            <w:tcBorders>
              <w:top w:val="nil"/>
              <w:left w:val="nil"/>
              <w:bottom w:val="nil"/>
              <w:right w:val="single" w:sz="4" w:space="0" w:color="auto"/>
            </w:tcBorders>
            <w:noWrap/>
            <w:vAlign w:val="bottom"/>
            <w:hideMark/>
          </w:tcPr>
          <w:p w14:paraId="3F95C8A7"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49.59</w:t>
            </w:r>
          </w:p>
        </w:tc>
        <w:tc>
          <w:tcPr>
            <w:tcW w:w="2610" w:type="dxa"/>
            <w:gridSpan w:val="2"/>
            <w:tcBorders>
              <w:top w:val="nil"/>
              <w:left w:val="single" w:sz="4" w:space="0" w:color="auto"/>
              <w:bottom w:val="nil"/>
              <w:right w:val="nil"/>
            </w:tcBorders>
            <w:noWrap/>
            <w:vAlign w:val="bottom"/>
            <w:hideMark/>
          </w:tcPr>
          <w:p w14:paraId="703F88E1"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Medium</w:t>
            </w:r>
          </w:p>
        </w:tc>
        <w:tc>
          <w:tcPr>
            <w:tcW w:w="928" w:type="dxa"/>
            <w:tcBorders>
              <w:top w:val="nil"/>
              <w:left w:val="nil"/>
              <w:bottom w:val="nil"/>
              <w:right w:val="nil"/>
            </w:tcBorders>
            <w:noWrap/>
            <w:vAlign w:val="bottom"/>
            <w:hideMark/>
          </w:tcPr>
          <w:p w14:paraId="50731440"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675</w:t>
            </w:r>
          </w:p>
        </w:tc>
        <w:tc>
          <w:tcPr>
            <w:tcW w:w="1047" w:type="dxa"/>
            <w:tcBorders>
              <w:top w:val="nil"/>
              <w:left w:val="nil"/>
              <w:bottom w:val="nil"/>
              <w:right w:val="single" w:sz="18" w:space="0" w:color="auto"/>
            </w:tcBorders>
            <w:noWrap/>
            <w:vAlign w:val="bottom"/>
            <w:hideMark/>
          </w:tcPr>
          <w:p w14:paraId="69DCC678"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32.19</w:t>
            </w:r>
          </w:p>
        </w:tc>
      </w:tr>
      <w:tr w:rsidR="005E772C" w:rsidRPr="004811C9" w14:paraId="0CD630DC" w14:textId="77777777" w:rsidTr="000B11EA">
        <w:trPr>
          <w:trHeight w:val="20"/>
        </w:trPr>
        <w:tc>
          <w:tcPr>
            <w:tcW w:w="2150" w:type="dxa"/>
            <w:tcBorders>
              <w:top w:val="nil"/>
              <w:left w:val="single" w:sz="18" w:space="0" w:color="auto"/>
              <w:bottom w:val="single" w:sz="18" w:space="0" w:color="auto"/>
              <w:right w:val="nil"/>
            </w:tcBorders>
            <w:noWrap/>
            <w:vAlign w:val="bottom"/>
            <w:hideMark/>
          </w:tcPr>
          <w:p w14:paraId="64C9AD90"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2.5 or more</w:t>
            </w:r>
          </w:p>
        </w:tc>
        <w:tc>
          <w:tcPr>
            <w:tcW w:w="928" w:type="dxa"/>
            <w:tcBorders>
              <w:top w:val="nil"/>
              <w:left w:val="nil"/>
              <w:bottom w:val="single" w:sz="18" w:space="0" w:color="auto"/>
              <w:right w:val="nil"/>
            </w:tcBorders>
            <w:noWrap/>
            <w:vAlign w:val="bottom"/>
            <w:hideMark/>
          </w:tcPr>
          <w:p w14:paraId="28146C18"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386</w:t>
            </w:r>
          </w:p>
        </w:tc>
        <w:tc>
          <w:tcPr>
            <w:tcW w:w="872" w:type="dxa"/>
            <w:tcBorders>
              <w:top w:val="nil"/>
              <w:left w:val="nil"/>
              <w:bottom w:val="single" w:sz="18" w:space="0" w:color="auto"/>
              <w:right w:val="single" w:sz="4" w:space="0" w:color="auto"/>
            </w:tcBorders>
            <w:noWrap/>
            <w:vAlign w:val="bottom"/>
            <w:hideMark/>
          </w:tcPr>
          <w:p w14:paraId="32839515"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18.41</w:t>
            </w:r>
          </w:p>
        </w:tc>
        <w:tc>
          <w:tcPr>
            <w:tcW w:w="2610" w:type="dxa"/>
            <w:gridSpan w:val="2"/>
            <w:tcBorders>
              <w:top w:val="nil"/>
              <w:left w:val="single" w:sz="4" w:space="0" w:color="auto"/>
              <w:bottom w:val="single" w:sz="18" w:space="0" w:color="auto"/>
              <w:right w:val="nil"/>
            </w:tcBorders>
            <w:noWrap/>
            <w:vAlign w:val="bottom"/>
            <w:hideMark/>
          </w:tcPr>
          <w:p w14:paraId="7CFB2197"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High</w:t>
            </w:r>
          </w:p>
        </w:tc>
        <w:tc>
          <w:tcPr>
            <w:tcW w:w="928" w:type="dxa"/>
            <w:tcBorders>
              <w:top w:val="nil"/>
              <w:left w:val="nil"/>
              <w:bottom w:val="single" w:sz="18" w:space="0" w:color="auto"/>
              <w:right w:val="nil"/>
            </w:tcBorders>
            <w:noWrap/>
            <w:vAlign w:val="bottom"/>
            <w:hideMark/>
          </w:tcPr>
          <w:p w14:paraId="49448B53"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766</w:t>
            </w:r>
          </w:p>
        </w:tc>
        <w:tc>
          <w:tcPr>
            <w:tcW w:w="1047" w:type="dxa"/>
            <w:tcBorders>
              <w:top w:val="nil"/>
              <w:left w:val="nil"/>
              <w:bottom w:val="single" w:sz="18" w:space="0" w:color="auto"/>
              <w:right w:val="single" w:sz="18" w:space="0" w:color="auto"/>
            </w:tcBorders>
            <w:noWrap/>
            <w:vAlign w:val="bottom"/>
            <w:hideMark/>
          </w:tcPr>
          <w:p w14:paraId="65A1D787"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36.53</w:t>
            </w:r>
          </w:p>
        </w:tc>
      </w:tr>
      <w:tr w:rsidR="005E772C" w:rsidRPr="004811C9" w14:paraId="488B5FE6" w14:textId="77777777" w:rsidTr="000B11EA">
        <w:trPr>
          <w:trHeight w:val="20"/>
        </w:trPr>
        <w:tc>
          <w:tcPr>
            <w:tcW w:w="8535" w:type="dxa"/>
            <w:gridSpan w:val="7"/>
            <w:tcBorders>
              <w:top w:val="single" w:sz="18" w:space="0" w:color="auto"/>
              <w:left w:val="single" w:sz="18" w:space="0" w:color="auto"/>
              <w:bottom w:val="single" w:sz="18" w:space="0" w:color="auto"/>
              <w:right w:val="single" w:sz="18" w:space="0" w:color="auto"/>
            </w:tcBorders>
            <w:noWrap/>
            <w:vAlign w:val="bottom"/>
            <w:hideMark/>
          </w:tcPr>
          <w:p w14:paraId="101D2118" w14:textId="77777777" w:rsidR="005E772C" w:rsidRPr="004811C9" w:rsidRDefault="005E772C" w:rsidP="00405333">
            <w:pPr>
              <w:spacing w:after="0" w:line="240" w:lineRule="auto"/>
              <w:jc w:val="center"/>
              <w:rPr>
                <w:rFonts w:eastAsia="Times New Roman" w:cs="Times New Roman"/>
                <w:b/>
                <w:bCs/>
                <w:i/>
                <w:iCs/>
                <w:color w:val="000000"/>
                <w:kern w:val="0"/>
                <w:sz w:val="20"/>
                <w:szCs w:val="20"/>
                <w14:ligatures w14:val="none"/>
              </w:rPr>
            </w:pPr>
            <w:r w:rsidRPr="004811C9">
              <w:rPr>
                <w:rFonts w:eastAsia="Times New Roman" w:cs="Times New Roman"/>
                <w:b/>
                <w:bCs/>
                <w:i/>
                <w:iCs/>
                <w:color w:val="000000"/>
                <w:kern w:val="0"/>
                <w:sz w:val="20"/>
                <w:szCs w:val="20"/>
                <w14:ligatures w14:val="none"/>
              </w:rPr>
              <w:t>Trip Characteristics</w:t>
            </w:r>
          </w:p>
        </w:tc>
      </w:tr>
      <w:tr w:rsidR="005E772C" w:rsidRPr="004811C9" w14:paraId="3B814835" w14:textId="77777777" w:rsidTr="000B11EA">
        <w:trPr>
          <w:trHeight w:val="20"/>
        </w:trPr>
        <w:tc>
          <w:tcPr>
            <w:tcW w:w="2150" w:type="dxa"/>
            <w:tcBorders>
              <w:top w:val="single" w:sz="18" w:space="0" w:color="auto"/>
              <w:left w:val="single" w:sz="18" w:space="0" w:color="auto"/>
              <w:bottom w:val="single" w:sz="4" w:space="0" w:color="auto"/>
              <w:right w:val="nil"/>
            </w:tcBorders>
            <w:noWrap/>
            <w:vAlign w:val="bottom"/>
            <w:hideMark/>
          </w:tcPr>
          <w:p w14:paraId="25EACDA7"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Variable</w:t>
            </w:r>
          </w:p>
        </w:tc>
        <w:tc>
          <w:tcPr>
            <w:tcW w:w="928" w:type="dxa"/>
            <w:tcBorders>
              <w:top w:val="single" w:sz="18" w:space="0" w:color="auto"/>
              <w:left w:val="nil"/>
              <w:bottom w:val="single" w:sz="4" w:space="0" w:color="auto"/>
              <w:right w:val="nil"/>
            </w:tcBorders>
            <w:noWrap/>
            <w:vAlign w:val="bottom"/>
            <w:hideMark/>
          </w:tcPr>
          <w:p w14:paraId="3BE04401"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Number</w:t>
            </w:r>
          </w:p>
        </w:tc>
        <w:tc>
          <w:tcPr>
            <w:tcW w:w="872" w:type="dxa"/>
            <w:tcBorders>
              <w:top w:val="single" w:sz="18" w:space="0" w:color="auto"/>
              <w:left w:val="nil"/>
              <w:bottom w:val="single" w:sz="4" w:space="0" w:color="auto"/>
              <w:right w:val="single" w:sz="4" w:space="0" w:color="auto"/>
            </w:tcBorders>
            <w:noWrap/>
            <w:vAlign w:val="bottom"/>
            <w:hideMark/>
          </w:tcPr>
          <w:p w14:paraId="259DA704"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Percent</w:t>
            </w:r>
          </w:p>
        </w:tc>
        <w:tc>
          <w:tcPr>
            <w:tcW w:w="2610" w:type="dxa"/>
            <w:gridSpan w:val="2"/>
            <w:tcBorders>
              <w:top w:val="single" w:sz="18" w:space="0" w:color="auto"/>
              <w:left w:val="single" w:sz="4" w:space="0" w:color="auto"/>
              <w:bottom w:val="single" w:sz="4" w:space="0" w:color="auto"/>
              <w:right w:val="nil"/>
            </w:tcBorders>
            <w:noWrap/>
            <w:vAlign w:val="bottom"/>
            <w:hideMark/>
          </w:tcPr>
          <w:p w14:paraId="2C1D1753"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Variable</w:t>
            </w:r>
          </w:p>
        </w:tc>
        <w:tc>
          <w:tcPr>
            <w:tcW w:w="928" w:type="dxa"/>
            <w:tcBorders>
              <w:top w:val="single" w:sz="18" w:space="0" w:color="auto"/>
              <w:left w:val="nil"/>
              <w:bottom w:val="single" w:sz="4" w:space="0" w:color="auto"/>
              <w:right w:val="nil"/>
            </w:tcBorders>
            <w:noWrap/>
            <w:vAlign w:val="bottom"/>
            <w:hideMark/>
          </w:tcPr>
          <w:p w14:paraId="7314A0F1"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Number</w:t>
            </w:r>
          </w:p>
        </w:tc>
        <w:tc>
          <w:tcPr>
            <w:tcW w:w="1047" w:type="dxa"/>
            <w:tcBorders>
              <w:top w:val="single" w:sz="18" w:space="0" w:color="auto"/>
              <w:left w:val="nil"/>
              <w:bottom w:val="single" w:sz="4" w:space="0" w:color="auto"/>
              <w:right w:val="single" w:sz="18" w:space="0" w:color="auto"/>
            </w:tcBorders>
            <w:noWrap/>
            <w:vAlign w:val="bottom"/>
            <w:hideMark/>
          </w:tcPr>
          <w:p w14:paraId="796F3CED"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Percent</w:t>
            </w:r>
          </w:p>
        </w:tc>
      </w:tr>
      <w:tr w:rsidR="005E772C" w:rsidRPr="004811C9" w14:paraId="07E155A3" w14:textId="77777777" w:rsidTr="000B11EA">
        <w:trPr>
          <w:trHeight w:val="20"/>
        </w:trPr>
        <w:tc>
          <w:tcPr>
            <w:tcW w:w="2150" w:type="dxa"/>
            <w:tcBorders>
              <w:top w:val="single" w:sz="4" w:space="0" w:color="auto"/>
              <w:left w:val="single" w:sz="18" w:space="0" w:color="auto"/>
              <w:bottom w:val="nil"/>
              <w:right w:val="nil"/>
            </w:tcBorders>
            <w:noWrap/>
            <w:vAlign w:val="bottom"/>
            <w:hideMark/>
          </w:tcPr>
          <w:p w14:paraId="69BBF9AF"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Mode</w:t>
            </w:r>
          </w:p>
        </w:tc>
        <w:tc>
          <w:tcPr>
            <w:tcW w:w="928" w:type="dxa"/>
            <w:tcBorders>
              <w:top w:val="single" w:sz="4" w:space="0" w:color="auto"/>
              <w:left w:val="nil"/>
              <w:bottom w:val="nil"/>
              <w:right w:val="nil"/>
            </w:tcBorders>
            <w:noWrap/>
            <w:vAlign w:val="bottom"/>
            <w:hideMark/>
          </w:tcPr>
          <w:p w14:paraId="6B66A602"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c>
          <w:tcPr>
            <w:tcW w:w="872" w:type="dxa"/>
            <w:tcBorders>
              <w:top w:val="single" w:sz="4" w:space="0" w:color="auto"/>
              <w:left w:val="nil"/>
              <w:bottom w:val="nil"/>
              <w:right w:val="single" w:sz="4" w:space="0" w:color="auto"/>
            </w:tcBorders>
            <w:noWrap/>
            <w:vAlign w:val="bottom"/>
            <w:hideMark/>
          </w:tcPr>
          <w:p w14:paraId="5BFB8918"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c>
          <w:tcPr>
            <w:tcW w:w="4585" w:type="dxa"/>
            <w:gridSpan w:val="4"/>
            <w:tcBorders>
              <w:top w:val="single" w:sz="4" w:space="0" w:color="auto"/>
              <w:left w:val="single" w:sz="4" w:space="0" w:color="auto"/>
              <w:bottom w:val="nil"/>
              <w:right w:val="single" w:sz="18" w:space="0" w:color="auto"/>
            </w:tcBorders>
            <w:noWrap/>
            <w:vAlign w:val="bottom"/>
            <w:hideMark/>
          </w:tcPr>
          <w:p w14:paraId="5BC74CFC"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Trip Distance (kilometers)</w:t>
            </w:r>
          </w:p>
        </w:tc>
      </w:tr>
      <w:tr w:rsidR="005E772C" w:rsidRPr="004811C9" w14:paraId="1A0167BE" w14:textId="77777777" w:rsidTr="000B11EA">
        <w:trPr>
          <w:trHeight w:val="20"/>
        </w:trPr>
        <w:tc>
          <w:tcPr>
            <w:tcW w:w="2150" w:type="dxa"/>
            <w:tcBorders>
              <w:top w:val="nil"/>
              <w:left w:val="single" w:sz="18" w:space="0" w:color="auto"/>
              <w:bottom w:val="nil"/>
              <w:right w:val="nil"/>
            </w:tcBorders>
            <w:noWrap/>
            <w:vAlign w:val="bottom"/>
            <w:hideMark/>
          </w:tcPr>
          <w:p w14:paraId="6A9F0BE1"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Car</w:t>
            </w:r>
          </w:p>
        </w:tc>
        <w:tc>
          <w:tcPr>
            <w:tcW w:w="928" w:type="dxa"/>
            <w:tcBorders>
              <w:top w:val="nil"/>
              <w:left w:val="nil"/>
              <w:bottom w:val="nil"/>
              <w:right w:val="nil"/>
            </w:tcBorders>
            <w:noWrap/>
            <w:vAlign w:val="bottom"/>
            <w:hideMark/>
          </w:tcPr>
          <w:p w14:paraId="7297A362"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1031</w:t>
            </w:r>
          </w:p>
        </w:tc>
        <w:tc>
          <w:tcPr>
            <w:tcW w:w="872" w:type="dxa"/>
            <w:tcBorders>
              <w:top w:val="nil"/>
              <w:left w:val="nil"/>
              <w:bottom w:val="nil"/>
              <w:right w:val="single" w:sz="4" w:space="0" w:color="auto"/>
            </w:tcBorders>
            <w:noWrap/>
            <w:vAlign w:val="bottom"/>
            <w:hideMark/>
          </w:tcPr>
          <w:p w14:paraId="3E63CEFA"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49.17</w:t>
            </w:r>
          </w:p>
        </w:tc>
        <w:tc>
          <w:tcPr>
            <w:tcW w:w="2610" w:type="dxa"/>
            <w:gridSpan w:val="2"/>
            <w:tcBorders>
              <w:top w:val="nil"/>
              <w:left w:val="single" w:sz="4" w:space="0" w:color="auto"/>
              <w:bottom w:val="nil"/>
              <w:right w:val="nil"/>
            </w:tcBorders>
            <w:noWrap/>
            <w:vAlign w:val="bottom"/>
            <w:hideMark/>
          </w:tcPr>
          <w:p w14:paraId="160827B6"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Less than 5.00</w:t>
            </w:r>
          </w:p>
        </w:tc>
        <w:tc>
          <w:tcPr>
            <w:tcW w:w="928" w:type="dxa"/>
            <w:tcBorders>
              <w:top w:val="nil"/>
              <w:left w:val="nil"/>
              <w:bottom w:val="nil"/>
              <w:right w:val="nil"/>
            </w:tcBorders>
            <w:noWrap/>
            <w:vAlign w:val="bottom"/>
            <w:hideMark/>
          </w:tcPr>
          <w:p w14:paraId="51E83141"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370</w:t>
            </w:r>
          </w:p>
        </w:tc>
        <w:tc>
          <w:tcPr>
            <w:tcW w:w="1047" w:type="dxa"/>
            <w:tcBorders>
              <w:top w:val="nil"/>
              <w:left w:val="nil"/>
              <w:bottom w:val="nil"/>
              <w:right w:val="single" w:sz="18" w:space="0" w:color="auto"/>
            </w:tcBorders>
            <w:noWrap/>
            <w:vAlign w:val="bottom"/>
            <w:hideMark/>
          </w:tcPr>
          <w:p w14:paraId="53B67709"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17.64</w:t>
            </w:r>
          </w:p>
        </w:tc>
      </w:tr>
      <w:tr w:rsidR="005E772C" w:rsidRPr="004811C9" w14:paraId="67614305" w14:textId="77777777" w:rsidTr="000B11EA">
        <w:trPr>
          <w:trHeight w:val="20"/>
        </w:trPr>
        <w:tc>
          <w:tcPr>
            <w:tcW w:w="2150" w:type="dxa"/>
            <w:tcBorders>
              <w:top w:val="nil"/>
              <w:left w:val="single" w:sz="18" w:space="0" w:color="auto"/>
              <w:bottom w:val="nil"/>
              <w:right w:val="nil"/>
            </w:tcBorders>
            <w:noWrap/>
            <w:vAlign w:val="bottom"/>
            <w:hideMark/>
          </w:tcPr>
          <w:p w14:paraId="42F5A4D6"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Rickshaw</w:t>
            </w:r>
          </w:p>
        </w:tc>
        <w:tc>
          <w:tcPr>
            <w:tcW w:w="928" w:type="dxa"/>
            <w:tcBorders>
              <w:top w:val="nil"/>
              <w:left w:val="nil"/>
              <w:bottom w:val="nil"/>
              <w:right w:val="nil"/>
            </w:tcBorders>
            <w:noWrap/>
            <w:vAlign w:val="bottom"/>
            <w:hideMark/>
          </w:tcPr>
          <w:p w14:paraId="64C18426"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503</w:t>
            </w:r>
          </w:p>
        </w:tc>
        <w:tc>
          <w:tcPr>
            <w:tcW w:w="872" w:type="dxa"/>
            <w:tcBorders>
              <w:top w:val="nil"/>
              <w:left w:val="nil"/>
              <w:bottom w:val="nil"/>
              <w:right w:val="single" w:sz="4" w:space="0" w:color="auto"/>
            </w:tcBorders>
            <w:noWrap/>
            <w:vAlign w:val="bottom"/>
            <w:hideMark/>
          </w:tcPr>
          <w:p w14:paraId="6EF7A0E9"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23.99</w:t>
            </w:r>
          </w:p>
        </w:tc>
        <w:tc>
          <w:tcPr>
            <w:tcW w:w="2610" w:type="dxa"/>
            <w:gridSpan w:val="2"/>
            <w:tcBorders>
              <w:top w:val="nil"/>
              <w:left w:val="single" w:sz="4" w:space="0" w:color="auto"/>
              <w:bottom w:val="nil"/>
              <w:right w:val="nil"/>
            </w:tcBorders>
            <w:noWrap/>
            <w:vAlign w:val="bottom"/>
            <w:hideMark/>
          </w:tcPr>
          <w:p w14:paraId="2CE4F532"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5.00 - 9.99</w:t>
            </w:r>
          </w:p>
        </w:tc>
        <w:tc>
          <w:tcPr>
            <w:tcW w:w="928" w:type="dxa"/>
            <w:tcBorders>
              <w:top w:val="nil"/>
              <w:left w:val="nil"/>
              <w:bottom w:val="nil"/>
              <w:right w:val="nil"/>
            </w:tcBorders>
            <w:noWrap/>
            <w:vAlign w:val="bottom"/>
            <w:hideMark/>
          </w:tcPr>
          <w:p w14:paraId="669F3E07"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741</w:t>
            </w:r>
          </w:p>
        </w:tc>
        <w:tc>
          <w:tcPr>
            <w:tcW w:w="1047" w:type="dxa"/>
            <w:tcBorders>
              <w:top w:val="nil"/>
              <w:left w:val="nil"/>
              <w:bottom w:val="nil"/>
              <w:right w:val="single" w:sz="18" w:space="0" w:color="auto"/>
            </w:tcBorders>
            <w:noWrap/>
            <w:vAlign w:val="bottom"/>
            <w:hideMark/>
          </w:tcPr>
          <w:p w14:paraId="061B7B99"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35.34</w:t>
            </w:r>
          </w:p>
        </w:tc>
      </w:tr>
      <w:tr w:rsidR="005E772C" w:rsidRPr="004811C9" w14:paraId="4D11776C" w14:textId="77777777" w:rsidTr="000B11EA">
        <w:trPr>
          <w:trHeight w:val="20"/>
        </w:trPr>
        <w:tc>
          <w:tcPr>
            <w:tcW w:w="2150" w:type="dxa"/>
            <w:tcBorders>
              <w:top w:val="nil"/>
              <w:left w:val="single" w:sz="18" w:space="0" w:color="auto"/>
              <w:bottom w:val="nil"/>
              <w:right w:val="nil"/>
            </w:tcBorders>
            <w:noWrap/>
            <w:vAlign w:val="bottom"/>
            <w:hideMark/>
          </w:tcPr>
          <w:p w14:paraId="1954F7A0"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Ridehailing</w:t>
            </w:r>
          </w:p>
        </w:tc>
        <w:tc>
          <w:tcPr>
            <w:tcW w:w="928" w:type="dxa"/>
            <w:tcBorders>
              <w:top w:val="nil"/>
              <w:left w:val="nil"/>
              <w:bottom w:val="nil"/>
              <w:right w:val="nil"/>
            </w:tcBorders>
            <w:noWrap/>
            <w:vAlign w:val="bottom"/>
            <w:hideMark/>
          </w:tcPr>
          <w:p w14:paraId="6BAC82AC"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245</w:t>
            </w:r>
          </w:p>
        </w:tc>
        <w:tc>
          <w:tcPr>
            <w:tcW w:w="872" w:type="dxa"/>
            <w:tcBorders>
              <w:top w:val="nil"/>
              <w:left w:val="nil"/>
              <w:bottom w:val="nil"/>
              <w:right w:val="single" w:sz="4" w:space="0" w:color="auto"/>
            </w:tcBorders>
            <w:noWrap/>
            <w:vAlign w:val="bottom"/>
            <w:hideMark/>
          </w:tcPr>
          <w:p w14:paraId="541E009C"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11.68</w:t>
            </w:r>
          </w:p>
        </w:tc>
        <w:tc>
          <w:tcPr>
            <w:tcW w:w="2610" w:type="dxa"/>
            <w:gridSpan w:val="2"/>
            <w:tcBorders>
              <w:top w:val="nil"/>
              <w:left w:val="single" w:sz="4" w:space="0" w:color="auto"/>
              <w:bottom w:val="nil"/>
              <w:right w:val="nil"/>
            </w:tcBorders>
            <w:noWrap/>
            <w:vAlign w:val="bottom"/>
            <w:hideMark/>
          </w:tcPr>
          <w:p w14:paraId="1E0A51E4"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10.00 - 19.99</w:t>
            </w:r>
          </w:p>
        </w:tc>
        <w:tc>
          <w:tcPr>
            <w:tcW w:w="928" w:type="dxa"/>
            <w:tcBorders>
              <w:top w:val="nil"/>
              <w:left w:val="nil"/>
              <w:bottom w:val="nil"/>
              <w:right w:val="nil"/>
            </w:tcBorders>
            <w:noWrap/>
            <w:vAlign w:val="bottom"/>
            <w:hideMark/>
          </w:tcPr>
          <w:p w14:paraId="0CF45CEA"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656</w:t>
            </w:r>
          </w:p>
        </w:tc>
        <w:tc>
          <w:tcPr>
            <w:tcW w:w="1047" w:type="dxa"/>
            <w:tcBorders>
              <w:top w:val="nil"/>
              <w:left w:val="nil"/>
              <w:bottom w:val="nil"/>
              <w:right w:val="single" w:sz="18" w:space="0" w:color="auto"/>
            </w:tcBorders>
            <w:noWrap/>
            <w:vAlign w:val="bottom"/>
            <w:hideMark/>
          </w:tcPr>
          <w:p w14:paraId="159D429E"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31.28</w:t>
            </w:r>
          </w:p>
        </w:tc>
      </w:tr>
      <w:tr w:rsidR="005E772C" w:rsidRPr="004811C9" w14:paraId="11086DB0" w14:textId="77777777" w:rsidTr="000B11EA">
        <w:trPr>
          <w:trHeight w:val="20"/>
        </w:trPr>
        <w:tc>
          <w:tcPr>
            <w:tcW w:w="2150" w:type="dxa"/>
            <w:tcBorders>
              <w:top w:val="nil"/>
              <w:left w:val="single" w:sz="18" w:space="0" w:color="auto"/>
              <w:bottom w:val="nil"/>
              <w:right w:val="nil"/>
            </w:tcBorders>
            <w:noWrap/>
            <w:vAlign w:val="bottom"/>
            <w:hideMark/>
          </w:tcPr>
          <w:p w14:paraId="321F43C6"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Taxi</w:t>
            </w:r>
          </w:p>
        </w:tc>
        <w:tc>
          <w:tcPr>
            <w:tcW w:w="928" w:type="dxa"/>
            <w:tcBorders>
              <w:top w:val="nil"/>
              <w:left w:val="nil"/>
              <w:bottom w:val="nil"/>
              <w:right w:val="nil"/>
            </w:tcBorders>
            <w:noWrap/>
            <w:vAlign w:val="bottom"/>
            <w:hideMark/>
          </w:tcPr>
          <w:p w14:paraId="7477DF17"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318</w:t>
            </w:r>
          </w:p>
        </w:tc>
        <w:tc>
          <w:tcPr>
            <w:tcW w:w="872" w:type="dxa"/>
            <w:tcBorders>
              <w:top w:val="nil"/>
              <w:left w:val="nil"/>
              <w:bottom w:val="nil"/>
              <w:right w:val="single" w:sz="4" w:space="0" w:color="auto"/>
            </w:tcBorders>
            <w:noWrap/>
            <w:vAlign w:val="bottom"/>
            <w:hideMark/>
          </w:tcPr>
          <w:p w14:paraId="35B65F3B"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15.16</w:t>
            </w:r>
          </w:p>
        </w:tc>
        <w:tc>
          <w:tcPr>
            <w:tcW w:w="2610" w:type="dxa"/>
            <w:gridSpan w:val="2"/>
            <w:tcBorders>
              <w:top w:val="nil"/>
              <w:left w:val="single" w:sz="4" w:space="0" w:color="auto"/>
              <w:bottom w:val="nil"/>
              <w:right w:val="nil"/>
            </w:tcBorders>
            <w:noWrap/>
            <w:vAlign w:val="bottom"/>
            <w:hideMark/>
          </w:tcPr>
          <w:p w14:paraId="3070273D"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20.00 or more</w:t>
            </w:r>
          </w:p>
        </w:tc>
        <w:tc>
          <w:tcPr>
            <w:tcW w:w="928" w:type="dxa"/>
            <w:tcBorders>
              <w:top w:val="nil"/>
              <w:left w:val="nil"/>
              <w:bottom w:val="nil"/>
              <w:right w:val="nil"/>
            </w:tcBorders>
            <w:noWrap/>
            <w:vAlign w:val="bottom"/>
            <w:hideMark/>
          </w:tcPr>
          <w:p w14:paraId="599E099A"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330</w:t>
            </w:r>
          </w:p>
        </w:tc>
        <w:tc>
          <w:tcPr>
            <w:tcW w:w="1047" w:type="dxa"/>
            <w:tcBorders>
              <w:top w:val="nil"/>
              <w:left w:val="nil"/>
              <w:bottom w:val="nil"/>
              <w:right w:val="single" w:sz="18" w:space="0" w:color="auto"/>
            </w:tcBorders>
            <w:noWrap/>
            <w:vAlign w:val="bottom"/>
            <w:hideMark/>
          </w:tcPr>
          <w:p w14:paraId="1EE34CDD"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15.74</w:t>
            </w:r>
          </w:p>
        </w:tc>
      </w:tr>
      <w:tr w:rsidR="005E772C" w:rsidRPr="004811C9" w14:paraId="27E883A1" w14:textId="77777777" w:rsidTr="000B11EA">
        <w:trPr>
          <w:trHeight w:val="20"/>
        </w:trPr>
        <w:tc>
          <w:tcPr>
            <w:tcW w:w="3078" w:type="dxa"/>
            <w:gridSpan w:val="2"/>
            <w:tcBorders>
              <w:top w:val="nil"/>
              <w:left w:val="single" w:sz="18" w:space="0" w:color="auto"/>
              <w:bottom w:val="nil"/>
              <w:right w:val="nil"/>
            </w:tcBorders>
            <w:noWrap/>
            <w:vAlign w:val="bottom"/>
            <w:hideMark/>
          </w:tcPr>
          <w:p w14:paraId="0B64C3A5"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Trip Purpose</w:t>
            </w:r>
          </w:p>
        </w:tc>
        <w:tc>
          <w:tcPr>
            <w:tcW w:w="872" w:type="dxa"/>
            <w:tcBorders>
              <w:top w:val="nil"/>
              <w:left w:val="nil"/>
              <w:bottom w:val="nil"/>
              <w:right w:val="single" w:sz="4" w:space="0" w:color="auto"/>
            </w:tcBorders>
            <w:noWrap/>
            <w:vAlign w:val="bottom"/>
            <w:hideMark/>
          </w:tcPr>
          <w:p w14:paraId="33B24817"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c>
          <w:tcPr>
            <w:tcW w:w="3538" w:type="dxa"/>
            <w:gridSpan w:val="3"/>
            <w:tcBorders>
              <w:top w:val="nil"/>
              <w:left w:val="single" w:sz="4" w:space="0" w:color="auto"/>
              <w:bottom w:val="nil"/>
              <w:right w:val="nil"/>
            </w:tcBorders>
            <w:noWrap/>
            <w:vAlign w:val="bottom"/>
            <w:hideMark/>
          </w:tcPr>
          <w:p w14:paraId="59846834"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Trip Frequency</w:t>
            </w:r>
          </w:p>
        </w:tc>
        <w:tc>
          <w:tcPr>
            <w:tcW w:w="1047" w:type="dxa"/>
            <w:tcBorders>
              <w:top w:val="nil"/>
              <w:left w:val="nil"/>
              <w:bottom w:val="nil"/>
              <w:right w:val="single" w:sz="18" w:space="0" w:color="auto"/>
            </w:tcBorders>
            <w:noWrap/>
            <w:vAlign w:val="bottom"/>
            <w:hideMark/>
          </w:tcPr>
          <w:p w14:paraId="479E8887"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r>
      <w:tr w:rsidR="005E772C" w:rsidRPr="004811C9" w14:paraId="53555EEA" w14:textId="77777777" w:rsidTr="000B11EA">
        <w:trPr>
          <w:trHeight w:val="20"/>
        </w:trPr>
        <w:tc>
          <w:tcPr>
            <w:tcW w:w="2150" w:type="dxa"/>
            <w:tcBorders>
              <w:top w:val="nil"/>
              <w:left w:val="single" w:sz="18" w:space="0" w:color="auto"/>
              <w:bottom w:val="nil"/>
              <w:right w:val="nil"/>
            </w:tcBorders>
            <w:noWrap/>
            <w:vAlign w:val="bottom"/>
            <w:hideMark/>
          </w:tcPr>
          <w:p w14:paraId="1E0E7023"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Work</w:t>
            </w:r>
          </w:p>
        </w:tc>
        <w:tc>
          <w:tcPr>
            <w:tcW w:w="928" w:type="dxa"/>
            <w:tcBorders>
              <w:top w:val="nil"/>
              <w:left w:val="nil"/>
              <w:bottom w:val="nil"/>
              <w:right w:val="nil"/>
            </w:tcBorders>
            <w:noWrap/>
            <w:vAlign w:val="bottom"/>
            <w:hideMark/>
          </w:tcPr>
          <w:p w14:paraId="2AF0AE7B"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1328</w:t>
            </w:r>
          </w:p>
        </w:tc>
        <w:tc>
          <w:tcPr>
            <w:tcW w:w="872" w:type="dxa"/>
            <w:tcBorders>
              <w:top w:val="nil"/>
              <w:left w:val="nil"/>
              <w:bottom w:val="nil"/>
              <w:right w:val="single" w:sz="4" w:space="0" w:color="auto"/>
            </w:tcBorders>
            <w:noWrap/>
            <w:vAlign w:val="bottom"/>
            <w:hideMark/>
          </w:tcPr>
          <w:p w14:paraId="6E626E43"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63.33</w:t>
            </w:r>
          </w:p>
        </w:tc>
        <w:tc>
          <w:tcPr>
            <w:tcW w:w="2610" w:type="dxa"/>
            <w:gridSpan w:val="2"/>
            <w:tcBorders>
              <w:top w:val="nil"/>
              <w:left w:val="single" w:sz="4" w:space="0" w:color="auto"/>
              <w:bottom w:val="nil"/>
              <w:right w:val="nil"/>
            </w:tcBorders>
            <w:noWrap/>
            <w:vAlign w:val="bottom"/>
            <w:hideMark/>
          </w:tcPr>
          <w:p w14:paraId="512CE86A"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Once per week</w:t>
            </w:r>
          </w:p>
        </w:tc>
        <w:tc>
          <w:tcPr>
            <w:tcW w:w="928" w:type="dxa"/>
            <w:tcBorders>
              <w:top w:val="nil"/>
              <w:left w:val="nil"/>
              <w:bottom w:val="nil"/>
              <w:right w:val="nil"/>
            </w:tcBorders>
            <w:noWrap/>
            <w:vAlign w:val="bottom"/>
            <w:hideMark/>
          </w:tcPr>
          <w:p w14:paraId="42DD0FE3"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573</w:t>
            </w:r>
          </w:p>
        </w:tc>
        <w:tc>
          <w:tcPr>
            <w:tcW w:w="1047" w:type="dxa"/>
            <w:tcBorders>
              <w:top w:val="nil"/>
              <w:left w:val="nil"/>
              <w:bottom w:val="nil"/>
              <w:right w:val="single" w:sz="18" w:space="0" w:color="auto"/>
            </w:tcBorders>
            <w:noWrap/>
            <w:vAlign w:val="bottom"/>
            <w:hideMark/>
          </w:tcPr>
          <w:p w14:paraId="35B74817"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27.32</w:t>
            </w:r>
          </w:p>
        </w:tc>
      </w:tr>
      <w:tr w:rsidR="005E772C" w:rsidRPr="004811C9" w14:paraId="64700D16" w14:textId="77777777" w:rsidTr="000B11EA">
        <w:trPr>
          <w:trHeight w:val="20"/>
        </w:trPr>
        <w:tc>
          <w:tcPr>
            <w:tcW w:w="2150" w:type="dxa"/>
            <w:tcBorders>
              <w:top w:val="nil"/>
              <w:left w:val="single" w:sz="18" w:space="0" w:color="auto"/>
              <w:bottom w:val="nil"/>
              <w:right w:val="nil"/>
            </w:tcBorders>
            <w:noWrap/>
            <w:vAlign w:val="bottom"/>
            <w:hideMark/>
          </w:tcPr>
          <w:p w14:paraId="0D271891"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Maintenance</w:t>
            </w:r>
          </w:p>
        </w:tc>
        <w:tc>
          <w:tcPr>
            <w:tcW w:w="928" w:type="dxa"/>
            <w:tcBorders>
              <w:top w:val="nil"/>
              <w:left w:val="nil"/>
              <w:bottom w:val="nil"/>
              <w:right w:val="nil"/>
            </w:tcBorders>
            <w:noWrap/>
            <w:vAlign w:val="bottom"/>
            <w:hideMark/>
          </w:tcPr>
          <w:p w14:paraId="2FE6392F"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372</w:t>
            </w:r>
          </w:p>
        </w:tc>
        <w:tc>
          <w:tcPr>
            <w:tcW w:w="872" w:type="dxa"/>
            <w:tcBorders>
              <w:top w:val="nil"/>
              <w:left w:val="nil"/>
              <w:bottom w:val="nil"/>
              <w:right w:val="single" w:sz="4" w:space="0" w:color="auto"/>
            </w:tcBorders>
            <w:noWrap/>
            <w:vAlign w:val="bottom"/>
            <w:hideMark/>
          </w:tcPr>
          <w:p w14:paraId="2E2C96FE"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17.74</w:t>
            </w:r>
          </w:p>
        </w:tc>
        <w:tc>
          <w:tcPr>
            <w:tcW w:w="2610" w:type="dxa"/>
            <w:gridSpan w:val="2"/>
            <w:tcBorders>
              <w:top w:val="nil"/>
              <w:left w:val="single" w:sz="4" w:space="0" w:color="auto"/>
              <w:bottom w:val="nil"/>
              <w:right w:val="nil"/>
            </w:tcBorders>
            <w:noWrap/>
            <w:vAlign w:val="bottom"/>
            <w:hideMark/>
          </w:tcPr>
          <w:p w14:paraId="7FA95CB8"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2 - 4 days per week</w:t>
            </w:r>
          </w:p>
        </w:tc>
        <w:tc>
          <w:tcPr>
            <w:tcW w:w="928" w:type="dxa"/>
            <w:tcBorders>
              <w:top w:val="nil"/>
              <w:left w:val="nil"/>
              <w:bottom w:val="nil"/>
              <w:right w:val="nil"/>
            </w:tcBorders>
            <w:noWrap/>
            <w:vAlign w:val="bottom"/>
            <w:hideMark/>
          </w:tcPr>
          <w:p w14:paraId="1F5705DE"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791</w:t>
            </w:r>
          </w:p>
        </w:tc>
        <w:tc>
          <w:tcPr>
            <w:tcW w:w="1047" w:type="dxa"/>
            <w:tcBorders>
              <w:top w:val="nil"/>
              <w:left w:val="nil"/>
              <w:bottom w:val="nil"/>
              <w:right w:val="single" w:sz="18" w:space="0" w:color="auto"/>
            </w:tcBorders>
            <w:noWrap/>
            <w:vAlign w:val="bottom"/>
            <w:hideMark/>
          </w:tcPr>
          <w:p w14:paraId="6888D569"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37.72</w:t>
            </w:r>
          </w:p>
        </w:tc>
      </w:tr>
      <w:tr w:rsidR="005E772C" w:rsidRPr="004811C9" w14:paraId="59F44C2C" w14:textId="77777777" w:rsidTr="000B11EA">
        <w:trPr>
          <w:trHeight w:val="20"/>
        </w:trPr>
        <w:tc>
          <w:tcPr>
            <w:tcW w:w="2150" w:type="dxa"/>
            <w:tcBorders>
              <w:top w:val="nil"/>
              <w:left w:val="single" w:sz="18" w:space="0" w:color="auto"/>
              <w:bottom w:val="nil"/>
              <w:right w:val="nil"/>
            </w:tcBorders>
            <w:noWrap/>
            <w:vAlign w:val="bottom"/>
            <w:hideMark/>
          </w:tcPr>
          <w:p w14:paraId="39B2ED11"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Education</w:t>
            </w:r>
          </w:p>
        </w:tc>
        <w:tc>
          <w:tcPr>
            <w:tcW w:w="928" w:type="dxa"/>
            <w:tcBorders>
              <w:top w:val="nil"/>
              <w:left w:val="nil"/>
              <w:bottom w:val="nil"/>
              <w:right w:val="nil"/>
            </w:tcBorders>
            <w:noWrap/>
            <w:vAlign w:val="bottom"/>
            <w:hideMark/>
          </w:tcPr>
          <w:p w14:paraId="203D8A7B"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104</w:t>
            </w:r>
          </w:p>
        </w:tc>
        <w:tc>
          <w:tcPr>
            <w:tcW w:w="872" w:type="dxa"/>
            <w:tcBorders>
              <w:top w:val="nil"/>
              <w:left w:val="nil"/>
              <w:bottom w:val="nil"/>
              <w:right w:val="single" w:sz="4" w:space="0" w:color="auto"/>
            </w:tcBorders>
            <w:noWrap/>
            <w:vAlign w:val="bottom"/>
            <w:hideMark/>
          </w:tcPr>
          <w:p w14:paraId="73F65A56"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4.96</w:t>
            </w:r>
          </w:p>
        </w:tc>
        <w:tc>
          <w:tcPr>
            <w:tcW w:w="2610" w:type="dxa"/>
            <w:gridSpan w:val="2"/>
            <w:tcBorders>
              <w:top w:val="nil"/>
              <w:left w:val="single" w:sz="4" w:space="0" w:color="auto"/>
              <w:bottom w:val="nil"/>
              <w:right w:val="nil"/>
            </w:tcBorders>
            <w:noWrap/>
            <w:vAlign w:val="bottom"/>
            <w:hideMark/>
          </w:tcPr>
          <w:p w14:paraId="4CF48449"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5+ days per week</w:t>
            </w:r>
          </w:p>
        </w:tc>
        <w:tc>
          <w:tcPr>
            <w:tcW w:w="928" w:type="dxa"/>
            <w:tcBorders>
              <w:top w:val="nil"/>
              <w:left w:val="nil"/>
              <w:bottom w:val="nil"/>
              <w:right w:val="nil"/>
            </w:tcBorders>
            <w:noWrap/>
            <w:vAlign w:val="bottom"/>
            <w:hideMark/>
          </w:tcPr>
          <w:p w14:paraId="5B83C5DA"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733</w:t>
            </w:r>
          </w:p>
        </w:tc>
        <w:tc>
          <w:tcPr>
            <w:tcW w:w="1047" w:type="dxa"/>
            <w:tcBorders>
              <w:top w:val="nil"/>
              <w:left w:val="nil"/>
              <w:bottom w:val="nil"/>
              <w:right w:val="single" w:sz="18" w:space="0" w:color="auto"/>
            </w:tcBorders>
            <w:noWrap/>
            <w:vAlign w:val="bottom"/>
            <w:hideMark/>
          </w:tcPr>
          <w:p w14:paraId="694A1429" w14:textId="6E4422BC"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34.9</w:t>
            </w:r>
            <w:r w:rsidR="00831E69" w:rsidRPr="004811C9">
              <w:rPr>
                <w:rFonts w:eastAsia="Times New Roman" w:cs="Times New Roman"/>
                <w:color w:val="000000"/>
                <w:kern w:val="0"/>
                <w:sz w:val="20"/>
                <w:szCs w:val="20"/>
                <w14:ligatures w14:val="none"/>
              </w:rPr>
              <w:t>6</w:t>
            </w:r>
          </w:p>
        </w:tc>
      </w:tr>
      <w:tr w:rsidR="005E772C" w:rsidRPr="004811C9" w14:paraId="7AC8E010" w14:textId="77777777" w:rsidTr="000B11EA">
        <w:trPr>
          <w:trHeight w:val="20"/>
        </w:trPr>
        <w:tc>
          <w:tcPr>
            <w:tcW w:w="2150" w:type="dxa"/>
            <w:tcBorders>
              <w:top w:val="nil"/>
              <w:left w:val="single" w:sz="18" w:space="0" w:color="auto"/>
              <w:bottom w:val="nil"/>
              <w:right w:val="nil"/>
            </w:tcBorders>
            <w:noWrap/>
            <w:vAlign w:val="bottom"/>
            <w:hideMark/>
          </w:tcPr>
          <w:p w14:paraId="0C1B27AD"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Leisure</w:t>
            </w:r>
          </w:p>
        </w:tc>
        <w:tc>
          <w:tcPr>
            <w:tcW w:w="928" w:type="dxa"/>
            <w:tcBorders>
              <w:top w:val="nil"/>
              <w:left w:val="nil"/>
              <w:bottom w:val="nil"/>
              <w:right w:val="nil"/>
            </w:tcBorders>
            <w:noWrap/>
            <w:vAlign w:val="bottom"/>
            <w:hideMark/>
          </w:tcPr>
          <w:p w14:paraId="08CDDCB6"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293</w:t>
            </w:r>
          </w:p>
        </w:tc>
        <w:tc>
          <w:tcPr>
            <w:tcW w:w="872" w:type="dxa"/>
            <w:tcBorders>
              <w:top w:val="nil"/>
              <w:left w:val="nil"/>
              <w:bottom w:val="nil"/>
              <w:right w:val="single" w:sz="4" w:space="0" w:color="auto"/>
            </w:tcBorders>
            <w:noWrap/>
            <w:vAlign w:val="bottom"/>
            <w:hideMark/>
          </w:tcPr>
          <w:p w14:paraId="5C98E2D2"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13.97</w:t>
            </w:r>
          </w:p>
        </w:tc>
        <w:tc>
          <w:tcPr>
            <w:tcW w:w="3538" w:type="dxa"/>
            <w:gridSpan w:val="3"/>
            <w:tcBorders>
              <w:top w:val="nil"/>
              <w:left w:val="single" w:sz="4" w:space="0" w:color="auto"/>
              <w:bottom w:val="nil"/>
              <w:right w:val="nil"/>
            </w:tcBorders>
            <w:noWrap/>
            <w:vAlign w:val="bottom"/>
            <w:hideMark/>
          </w:tcPr>
          <w:p w14:paraId="70426EAC"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Time of Day</w:t>
            </w:r>
          </w:p>
        </w:tc>
        <w:tc>
          <w:tcPr>
            <w:tcW w:w="1047" w:type="dxa"/>
            <w:tcBorders>
              <w:top w:val="nil"/>
              <w:left w:val="nil"/>
              <w:bottom w:val="nil"/>
              <w:right w:val="single" w:sz="18" w:space="0" w:color="auto"/>
            </w:tcBorders>
            <w:noWrap/>
            <w:vAlign w:val="bottom"/>
            <w:hideMark/>
          </w:tcPr>
          <w:p w14:paraId="3F9CBB43"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r>
      <w:tr w:rsidR="005E772C" w:rsidRPr="004811C9" w14:paraId="731DD10A" w14:textId="77777777" w:rsidTr="000B11EA">
        <w:trPr>
          <w:trHeight w:val="20"/>
        </w:trPr>
        <w:tc>
          <w:tcPr>
            <w:tcW w:w="3078" w:type="dxa"/>
            <w:gridSpan w:val="2"/>
            <w:tcBorders>
              <w:top w:val="nil"/>
              <w:left w:val="single" w:sz="18" w:space="0" w:color="auto"/>
              <w:bottom w:val="nil"/>
              <w:right w:val="nil"/>
            </w:tcBorders>
            <w:noWrap/>
            <w:vAlign w:val="bottom"/>
            <w:hideMark/>
          </w:tcPr>
          <w:p w14:paraId="0748C724"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Cost (Rupees)</w:t>
            </w:r>
          </w:p>
        </w:tc>
        <w:tc>
          <w:tcPr>
            <w:tcW w:w="872" w:type="dxa"/>
            <w:tcBorders>
              <w:top w:val="nil"/>
              <w:left w:val="nil"/>
              <w:bottom w:val="nil"/>
              <w:right w:val="single" w:sz="4" w:space="0" w:color="auto"/>
            </w:tcBorders>
            <w:noWrap/>
            <w:vAlign w:val="bottom"/>
            <w:hideMark/>
          </w:tcPr>
          <w:p w14:paraId="0E0C7757" w14:textId="77777777" w:rsidR="005E772C" w:rsidRPr="004811C9" w:rsidRDefault="005E772C" w:rsidP="001F11D9">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c>
          <w:tcPr>
            <w:tcW w:w="2610" w:type="dxa"/>
            <w:gridSpan w:val="2"/>
            <w:tcBorders>
              <w:top w:val="nil"/>
              <w:left w:val="single" w:sz="4" w:space="0" w:color="auto"/>
              <w:bottom w:val="nil"/>
              <w:right w:val="nil"/>
            </w:tcBorders>
            <w:noWrap/>
            <w:vAlign w:val="bottom"/>
            <w:hideMark/>
          </w:tcPr>
          <w:p w14:paraId="0F4AEE1E"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Before 9:30am</w:t>
            </w:r>
          </w:p>
        </w:tc>
        <w:tc>
          <w:tcPr>
            <w:tcW w:w="928" w:type="dxa"/>
            <w:tcBorders>
              <w:top w:val="nil"/>
              <w:left w:val="nil"/>
              <w:bottom w:val="nil"/>
              <w:right w:val="nil"/>
            </w:tcBorders>
            <w:noWrap/>
            <w:vAlign w:val="bottom"/>
            <w:hideMark/>
          </w:tcPr>
          <w:p w14:paraId="489DC080"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948</w:t>
            </w:r>
          </w:p>
        </w:tc>
        <w:tc>
          <w:tcPr>
            <w:tcW w:w="1047" w:type="dxa"/>
            <w:tcBorders>
              <w:top w:val="nil"/>
              <w:left w:val="nil"/>
              <w:bottom w:val="nil"/>
              <w:right w:val="single" w:sz="18" w:space="0" w:color="auto"/>
            </w:tcBorders>
            <w:noWrap/>
            <w:vAlign w:val="bottom"/>
            <w:hideMark/>
          </w:tcPr>
          <w:p w14:paraId="66EED2E7"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45.21</w:t>
            </w:r>
          </w:p>
        </w:tc>
      </w:tr>
      <w:tr w:rsidR="005E772C" w:rsidRPr="004811C9" w14:paraId="4E765973" w14:textId="77777777" w:rsidTr="000B11EA">
        <w:trPr>
          <w:trHeight w:val="20"/>
        </w:trPr>
        <w:tc>
          <w:tcPr>
            <w:tcW w:w="2150" w:type="dxa"/>
            <w:tcBorders>
              <w:top w:val="nil"/>
              <w:left w:val="single" w:sz="18" w:space="0" w:color="auto"/>
              <w:bottom w:val="nil"/>
              <w:right w:val="nil"/>
            </w:tcBorders>
            <w:noWrap/>
            <w:vAlign w:val="bottom"/>
            <w:hideMark/>
          </w:tcPr>
          <w:p w14:paraId="59E966C4"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Less than 100</w:t>
            </w:r>
          </w:p>
        </w:tc>
        <w:tc>
          <w:tcPr>
            <w:tcW w:w="928" w:type="dxa"/>
            <w:tcBorders>
              <w:top w:val="nil"/>
              <w:left w:val="nil"/>
              <w:bottom w:val="nil"/>
              <w:right w:val="nil"/>
            </w:tcBorders>
            <w:noWrap/>
            <w:vAlign w:val="bottom"/>
            <w:hideMark/>
          </w:tcPr>
          <w:p w14:paraId="6A184A09"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377</w:t>
            </w:r>
          </w:p>
        </w:tc>
        <w:tc>
          <w:tcPr>
            <w:tcW w:w="872" w:type="dxa"/>
            <w:tcBorders>
              <w:top w:val="nil"/>
              <w:left w:val="nil"/>
              <w:bottom w:val="nil"/>
              <w:right w:val="single" w:sz="4" w:space="0" w:color="auto"/>
            </w:tcBorders>
            <w:noWrap/>
            <w:vAlign w:val="bottom"/>
            <w:hideMark/>
          </w:tcPr>
          <w:p w14:paraId="40DD3D7F"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17.98</w:t>
            </w:r>
          </w:p>
        </w:tc>
        <w:tc>
          <w:tcPr>
            <w:tcW w:w="2610" w:type="dxa"/>
            <w:gridSpan w:val="2"/>
            <w:tcBorders>
              <w:top w:val="nil"/>
              <w:left w:val="single" w:sz="4" w:space="0" w:color="auto"/>
              <w:bottom w:val="nil"/>
              <w:right w:val="nil"/>
            </w:tcBorders>
            <w:noWrap/>
            <w:vAlign w:val="bottom"/>
            <w:hideMark/>
          </w:tcPr>
          <w:p w14:paraId="028CFF24"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9:30am - 12:00pm</w:t>
            </w:r>
          </w:p>
        </w:tc>
        <w:tc>
          <w:tcPr>
            <w:tcW w:w="928" w:type="dxa"/>
            <w:tcBorders>
              <w:top w:val="nil"/>
              <w:left w:val="nil"/>
              <w:bottom w:val="nil"/>
              <w:right w:val="nil"/>
            </w:tcBorders>
            <w:noWrap/>
            <w:vAlign w:val="bottom"/>
            <w:hideMark/>
          </w:tcPr>
          <w:p w14:paraId="7624BEEC"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643</w:t>
            </w:r>
          </w:p>
        </w:tc>
        <w:tc>
          <w:tcPr>
            <w:tcW w:w="1047" w:type="dxa"/>
            <w:tcBorders>
              <w:top w:val="nil"/>
              <w:left w:val="nil"/>
              <w:bottom w:val="nil"/>
              <w:right w:val="single" w:sz="18" w:space="0" w:color="auto"/>
            </w:tcBorders>
            <w:noWrap/>
            <w:vAlign w:val="bottom"/>
            <w:hideMark/>
          </w:tcPr>
          <w:p w14:paraId="7ABD6270"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30.66</w:t>
            </w:r>
          </w:p>
        </w:tc>
      </w:tr>
      <w:tr w:rsidR="005E772C" w:rsidRPr="004811C9" w14:paraId="518849F4" w14:textId="77777777" w:rsidTr="000B11EA">
        <w:trPr>
          <w:trHeight w:val="20"/>
        </w:trPr>
        <w:tc>
          <w:tcPr>
            <w:tcW w:w="2150" w:type="dxa"/>
            <w:tcBorders>
              <w:top w:val="nil"/>
              <w:left w:val="single" w:sz="18" w:space="0" w:color="auto"/>
              <w:bottom w:val="nil"/>
              <w:right w:val="nil"/>
            </w:tcBorders>
            <w:noWrap/>
            <w:vAlign w:val="bottom"/>
            <w:hideMark/>
          </w:tcPr>
          <w:p w14:paraId="2D5266DF"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100 - 199</w:t>
            </w:r>
          </w:p>
        </w:tc>
        <w:tc>
          <w:tcPr>
            <w:tcW w:w="928" w:type="dxa"/>
            <w:tcBorders>
              <w:top w:val="nil"/>
              <w:left w:val="nil"/>
              <w:bottom w:val="nil"/>
              <w:right w:val="nil"/>
            </w:tcBorders>
            <w:noWrap/>
            <w:vAlign w:val="bottom"/>
            <w:hideMark/>
          </w:tcPr>
          <w:p w14:paraId="4D414789"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352</w:t>
            </w:r>
          </w:p>
        </w:tc>
        <w:tc>
          <w:tcPr>
            <w:tcW w:w="872" w:type="dxa"/>
            <w:tcBorders>
              <w:top w:val="nil"/>
              <w:left w:val="nil"/>
              <w:bottom w:val="nil"/>
              <w:right w:val="single" w:sz="4" w:space="0" w:color="auto"/>
            </w:tcBorders>
            <w:noWrap/>
            <w:vAlign w:val="bottom"/>
            <w:hideMark/>
          </w:tcPr>
          <w:p w14:paraId="5C623A65" w14:textId="46F57724"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16.7</w:t>
            </w:r>
            <w:r w:rsidR="00C86857" w:rsidRPr="004811C9">
              <w:rPr>
                <w:rFonts w:eastAsia="Times New Roman" w:cs="Times New Roman"/>
                <w:color w:val="000000"/>
                <w:kern w:val="0"/>
                <w:sz w:val="20"/>
                <w:szCs w:val="20"/>
                <w14:ligatures w14:val="none"/>
              </w:rPr>
              <w:t>8</w:t>
            </w:r>
          </w:p>
        </w:tc>
        <w:tc>
          <w:tcPr>
            <w:tcW w:w="2610" w:type="dxa"/>
            <w:gridSpan w:val="2"/>
            <w:tcBorders>
              <w:top w:val="nil"/>
              <w:left w:val="single" w:sz="4" w:space="0" w:color="auto"/>
              <w:bottom w:val="nil"/>
              <w:right w:val="nil"/>
            </w:tcBorders>
            <w:noWrap/>
            <w:vAlign w:val="bottom"/>
            <w:hideMark/>
          </w:tcPr>
          <w:p w14:paraId="3F67168C"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After 12:00pm</w:t>
            </w:r>
          </w:p>
        </w:tc>
        <w:tc>
          <w:tcPr>
            <w:tcW w:w="928" w:type="dxa"/>
            <w:tcBorders>
              <w:top w:val="nil"/>
              <w:left w:val="nil"/>
              <w:bottom w:val="nil"/>
              <w:right w:val="nil"/>
            </w:tcBorders>
            <w:noWrap/>
            <w:vAlign w:val="bottom"/>
            <w:hideMark/>
          </w:tcPr>
          <w:p w14:paraId="70D8DB3D"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506</w:t>
            </w:r>
          </w:p>
        </w:tc>
        <w:tc>
          <w:tcPr>
            <w:tcW w:w="1047" w:type="dxa"/>
            <w:tcBorders>
              <w:top w:val="nil"/>
              <w:left w:val="nil"/>
              <w:bottom w:val="nil"/>
              <w:right w:val="single" w:sz="18" w:space="0" w:color="auto"/>
            </w:tcBorders>
            <w:noWrap/>
            <w:vAlign w:val="bottom"/>
            <w:hideMark/>
          </w:tcPr>
          <w:p w14:paraId="4A5F9FF5"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24.13</w:t>
            </w:r>
          </w:p>
        </w:tc>
      </w:tr>
      <w:tr w:rsidR="005E772C" w:rsidRPr="004811C9" w14:paraId="2213F428" w14:textId="77777777" w:rsidTr="000B11EA">
        <w:trPr>
          <w:trHeight w:val="20"/>
        </w:trPr>
        <w:tc>
          <w:tcPr>
            <w:tcW w:w="2150" w:type="dxa"/>
            <w:tcBorders>
              <w:top w:val="nil"/>
              <w:left w:val="single" w:sz="18" w:space="0" w:color="auto"/>
              <w:bottom w:val="nil"/>
              <w:right w:val="nil"/>
            </w:tcBorders>
            <w:noWrap/>
            <w:vAlign w:val="bottom"/>
            <w:hideMark/>
          </w:tcPr>
          <w:p w14:paraId="7489E835"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200 - 299</w:t>
            </w:r>
          </w:p>
        </w:tc>
        <w:tc>
          <w:tcPr>
            <w:tcW w:w="928" w:type="dxa"/>
            <w:tcBorders>
              <w:top w:val="nil"/>
              <w:left w:val="nil"/>
              <w:bottom w:val="nil"/>
              <w:right w:val="nil"/>
            </w:tcBorders>
            <w:noWrap/>
            <w:vAlign w:val="bottom"/>
            <w:hideMark/>
          </w:tcPr>
          <w:p w14:paraId="699E3FE6"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179</w:t>
            </w:r>
          </w:p>
        </w:tc>
        <w:tc>
          <w:tcPr>
            <w:tcW w:w="872" w:type="dxa"/>
            <w:tcBorders>
              <w:top w:val="nil"/>
              <w:left w:val="nil"/>
              <w:bottom w:val="nil"/>
              <w:right w:val="single" w:sz="4" w:space="0" w:color="auto"/>
            </w:tcBorders>
            <w:noWrap/>
            <w:vAlign w:val="bottom"/>
            <w:hideMark/>
          </w:tcPr>
          <w:p w14:paraId="77064420"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8.54</w:t>
            </w:r>
          </w:p>
        </w:tc>
        <w:tc>
          <w:tcPr>
            <w:tcW w:w="3538" w:type="dxa"/>
            <w:gridSpan w:val="3"/>
            <w:tcBorders>
              <w:top w:val="nil"/>
              <w:left w:val="single" w:sz="4" w:space="0" w:color="auto"/>
              <w:bottom w:val="nil"/>
              <w:right w:val="nil"/>
            </w:tcBorders>
            <w:noWrap/>
            <w:vAlign w:val="bottom"/>
            <w:hideMark/>
          </w:tcPr>
          <w:p w14:paraId="46707D34"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Shared Trip</w:t>
            </w:r>
          </w:p>
        </w:tc>
        <w:tc>
          <w:tcPr>
            <w:tcW w:w="1047" w:type="dxa"/>
            <w:tcBorders>
              <w:top w:val="nil"/>
              <w:left w:val="nil"/>
              <w:bottom w:val="nil"/>
              <w:right w:val="single" w:sz="18" w:space="0" w:color="auto"/>
            </w:tcBorders>
            <w:noWrap/>
            <w:vAlign w:val="bottom"/>
            <w:hideMark/>
          </w:tcPr>
          <w:p w14:paraId="64801E36"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w:t>
            </w:r>
          </w:p>
        </w:tc>
      </w:tr>
      <w:tr w:rsidR="005E772C" w:rsidRPr="004811C9" w14:paraId="0ABF3696" w14:textId="77777777" w:rsidTr="000B11EA">
        <w:trPr>
          <w:trHeight w:val="20"/>
        </w:trPr>
        <w:tc>
          <w:tcPr>
            <w:tcW w:w="2150" w:type="dxa"/>
            <w:tcBorders>
              <w:top w:val="nil"/>
              <w:left w:val="single" w:sz="18" w:space="0" w:color="auto"/>
              <w:right w:val="nil"/>
            </w:tcBorders>
            <w:noWrap/>
            <w:vAlign w:val="bottom"/>
            <w:hideMark/>
          </w:tcPr>
          <w:p w14:paraId="728A63A4"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300 or more</w:t>
            </w:r>
          </w:p>
        </w:tc>
        <w:tc>
          <w:tcPr>
            <w:tcW w:w="928" w:type="dxa"/>
            <w:tcBorders>
              <w:top w:val="nil"/>
              <w:left w:val="nil"/>
              <w:right w:val="nil"/>
            </w:tcBorders>
            <w:noWrap/>
            <w:vAlign w:val="bottom"/>
            <w:hideMark/>
          </w:tcPr>
          <w:p w14:paraId="421D84DC"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158</w:t>
            </w:r>
          </w:p>
        </w:tc>
        <w:tc>
          <w:tcPr>
            <w:tcW w:w="872" w:type="dxa"/>
            <w:tcBorders>
              <w:top w:val="nil"/>
              <w:left w:val="nil"/>
              <w:right w:val="single" w:sz="4" w:space="0" w:color="auto"/>
            </w:tcBorders>
            <w:noWrap/>
            <w:vAlign w:val="bottom"/>
            <w:hideMark/>
          </w:tcPr>
          <w:p w14:paraId="017ED68D"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7.53</w:t>
            </w:r>
          </w:p>
        </w:tc>
        <w:tc>
          <w:tcPr>
            <w:tcW w:w="2610" w:type="dxa"/>
            <w:gridSpan w:val="2"/>
            <w:tcBorders>
              <w:top w:val="nil"/>
              <w:left w:val="single" w:sz="4" w:space="0" w:color="auto"/>
              <w:right w:val="nil"/>
            </w:tcBorders>
            <w:noWrap/>
            <w:vAlign w:val="bottom"/>
            <w:hideMark/>
          </w:tcPr>
          <w:p w14:paraId="79F97E8A"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Yes</w:t>
            </w:r>
          </w:p>
        </w:tc>
        <w:tc>
          <w:tcPr>
            <w:tcW w:w="928" w:type="dxa"/>
            <w:tcBorders>
              <w:top w:val="nil"/>
              <w:left w:val="nil"/>
              <w:right w:val="nil"/>
            </w:tcBorders>
            <w:noWrap/>
            <w:vAlign w:val="bottom"/>
            <w:hideMark/>
          </w:tcPr>
          <w:p w14:paraId="7378717C"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955</w:t>
            </w:r>
          </w:p>
        </w:tc>
        <w:tc>
          <w:tcPr>
            <w:tcW w:w="1047" w:type="dxa"/>
            <w:tcBorders>
              <w:top w:val="nil"/>
              <w:left w:val="nil"/>
              <w:right w:val="single" w:sz="18" w:space="0" w:color="auto"/>
            </w:tcBorders>
            <w:noWrap/>
            <w:vAlign w:val="bottom"/>
            <w:hideMark/>
          </w:tcPr>
          <w:p w14:paraId="6EA6A971"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45.54</w:t>
            </w:r>
          </w:p>
        </w:tc>
      </w:tr>
      <w:tr w:rsidR="005E772C" w:rsidRPr="004811C9" w14:paraId="2EF76858" w14:textId="77777777" w:rsidTr="000B11EA">
        <w:trPr>
          <w:trHeight w:val="20"/>
        </w:trPr>
        <w:tc>
          <w:tcPr>
            <w:tcW w:w="2150" w:type="dxa"/>
            <w:tcBorders>
              <w:top w:val="nil"/>
              <w:left w:val="single" w:sz="18" w:space="0" w:color="auto"/>
              <w:bottom w:val="single" w:sz="4" w:space="0" w:color="auto"/>
              <w:right w:val="nil"/>
            </w:tcBorders>
            <w:noWrap/>
            <w:vAlign w:val="bottom"/>
            <w:hideMark/>
          </w:tcPr>
          <w:p w14:paraId="649DC692"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NA (cars)</w:t>
            </w:r>
          </w:p>
        </w:tc>
        <w:tc>
          <w:tcPr>
            <w:tcW w:w="928" w:type="dxa"/>
            <w:tcBorders>
              <w:top w:val="nil"/>
              <w:left w:val="nil"/>
              <w:bottom w:val="single" w:sz="4" w:space="0" w:color="auto"/>
              <w:right w:val="nil"/>
            </w:tcBorders>
            <w:noWrap/>
            <w:vAlign w:val="bottom"/>
            <w:hideMark/>
          </w:tcPr>
          <w:p w14:paraId="13D7C414"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1031</w:t>
            </w:r>
          </w:p>
        </w:tc>
        <w:tc>
          <w:tcPr>
            <w:tcW w:w="872" w:type="dxa"/>
            <w:tcBorders>
              <w:top w:val="nil"/>
              <w:left w:val="nil"/>
              <w:bottom w:val="single" w:sz="4" w:space="0" w:color="auto"/>
              <w:right w:val="single" w:sz="4" w:space="0" w:color="auto"/>
            </w:tcBorders>
            <w:noWrap/>
            <w:vAlign w:val="bottom"/>
            <w:hideMark/>
          </w:tcPr>
          <w:p w14:paraId="578A0277" w14:textId="77777777" w:rsidR="005E772C" w:rsidRPr="004811C9" w:rsidRDefault="005E772C" w:rsidP="00C86857">
            <w:pPr>
              <w:tabs>
                <w:tab w:val="decimal" w:pos="215"/>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49.17</w:t>
            </w:r>
          </w:p>
        </w:tc>
        <w:tc>
          <w:tcPr>
            <w:tcW w:w="2610" w:type="dxa"/>
            <w:gridSpan w:val="2"/>
            <w:tcBorders>
              <w:top w:val="nil"/>
              <w:left w:val="single" w:sz="4" w:space="0" w:color="auto"/>
              <w:bottom w:val="single" w:sz="4" w:space="0" w:color="auto"/>
              <w:right w:val="nil"/>
            </w:tcBorders>
            <w:noWrap/>
            <w:vAlign w:val="bottom"/>
            <w:hideMark/>
          </w:tcPr>
          <w:p w14:paraId="648D68D8"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 xml:space="preserve">    No</w:t>
            </w:r>
          </w:p>
        </w:tc>
        <w:tc>
          <w:tcPr>
            <w:tcW w:w="928" w:type="dxa"/>
            <w:tcBorders>
              <w:top w:val="nil"/>
              <w:left w:val="nil"/>
              <w:bottom w:val="single" w:sz="4" w:space="0" w:color="auto"/>
              <w:right w:val="nil"/>
            </w:tcBorders>
            <w:noWrap/>
            <w:vAlign w:val="bottom"/>
            <w:hideMark/>
          </w:tcPr>
          <w:p w14:paraId="1FFC099A" w14:textId="77777777" w:rsidR="005E772C" w:rsidRPr="004811C9" w:rsidRDefault="005E772C" w:rsidP="00C86857">
            <w:pPr>
              <w:tabs>
                <w:tab w:val="decimal" w:pos="42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1142</w:t>
            </w:r>
          </w:p>
        </w:tc>
        <w:tc>
          <w:tcPr>
            <w:tcW w:w="1047" w:type="dxa"/>
            <w:tcBorders>
              <w:top w:val="nil"/>
              <w:left w:val="nil"/>
              <w:bottom w:val="single" w:sz="4" w:space="0" w:color="auto"/>
              <w:right w:val="single" w:sz="18" w:space="0" w:color="auto"/>
            </w:tcBorders>
            <w:noWrap/>
            <w:vAlign w:val="bottom"/>
            <w:hideMark/>
          </w:tcPr>
          <w:p w14:paraId="23091856" w14:textId="77777777" w:rsidR="005E772C" w:rsidRPr="004811C9" w:rsidRDefault="005E772C" w:rsidP="00C86857">
            <w:pPr>
              <w:tabs>
                <w:tab w:val="decimal" w:pos="217"/>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54.46</w:t>
            </w:r>
          </w:p>
        </w:tc>
      </w:tr>
      <w:tr w:rsidR="005E772C" w:rsidRPr="004811C9" w14:paraId="01CCC0D3" w14:textId="77777777" w:rsidTr="000B11EA">
        <w:trPr>
          <w:trHeight w:val="20"/>
        </w:trPr>
        <w:tc>
          <w:tcPr>
            <w:tcW w:w="2150" w:type="dxa"/>
            <w:tcBorders>
              <w:top w:val="single" w:sz="4" w:space="0" w:color="auto"/>
              <w:left w:val="single" w:sz="18" w:space="0" w:color="auto"/>
              <w:bottom w:val="single" w:sz="4" w:space="0" w:color="auto"/>
              <w:right w:val="nil"/>
            </w:tcBorders>
            <w:noWrap/>
            <w:vAlign w:val="bottom"/>
            <w:hideMark/>
          </w:tcPr>
          <w:p w14:paraId="646ACE49" w14:textId="77777777" w:rsidR="005E772C" w:rsidRPr="004811C9" w:rsidRDefault="005E772C" w:rsidP="00405333">
            <w:pPr>
              <w:spacing w:after="0" w:line="240" w:lineRule="auto"/>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Variable</w:t>
            </w:r>
          </w:p>
        </w:tc>
        <w:tc>
          <w:tcPr>
            <w:tcW w:w="928" w:type="dxa"/>
            <w:tcBorders>
              <w:top w:val="single" w:sz="4" w:space="0" w:color="auto"/>
              <w:left w:val="nil"/>
              <w:bottom w:val="single" w:sz="4" w:space="0" w:color="auto"/>
              <w:right w:val="nil"/>
            </w:tcBorders>
            <w:noWrap/>
            <w:vAlign w:val="bottom"/>
            <w:hideMark/>
          </w:tcPr>
          <w:p w14:paraId="7078A9F2" w14:textId="77777777" w:rsidR="005E772C" w:rsidRPr="004811C9" w:rsidRDefault="005E772C" w:rsidP="00405333">
            <w:pPr>
              <w:spacing w:after="0" w:line="240" w:lineRule="auto"/>
              <w:rPr>
                <w:rFonts w:eastAsia="Times New Roman" w:cs="Times New Roman"/>
                <w:color w:val="000000"/>
                <w:kern w:val="0"/>
                <w:sz w:val="20"/>
                <w:szCs w:val="20"/>
                <w14:ligatures w14:val="none"/>
              </w:rPr>
            </w:pPr>
          </w:p>
        </w:tc>
        <w:tc>
          <w:tcPr>
            <w:tcW w:w="1653" w:type="dxa"/>
            <w:gridSpan w:val="2"/>
            <w:tcBorders>
              <w:top w:val="single" w:sz="4" w:space="0" w:color="auto"/>
              <w:left w:val="nil"/>
              <w:bottom w:val="single" w:sz="4" w:space="0" w:color="auto"/>
              <w:right w:val="nil"/>
            </w:tcBorders>
            <w:noWrap/>
            <w:vAlign w:val="bottom"/>
          </w:tcPr>
          <w:p w14:paraId="601CAA8A"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p>
        </w:tc>
        <w:tc>
          <w:tcPr>
            <w:tcW w:w="1829" w:type="dxa"/>
            <w:tcBorders>
              <w:top w:val="single" w:sz="4" w:space="0" w:color="auto"/>
              <w:left w:val="nil"/>
              <w:bottom w:val="single" w:sz="4" w:space="0" w:color="auto"/>
              <w:right w:val="nil"/>
            </w:tcBorders>
            <w:vAlign w:val="bottom"/>
          </w:tcPr>
          <w:p w14:paraId="46C75343"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 xml:space="preserve">Mean </w:t>
            </w:r>
          </w:p>
        </w:tc>
        <w:tc>
          <w:tcPr>
            <w:tcW w:w="1975" w:type="dxa"/>
            <w:gridSpan w:val="2"/>
            <w:tcBorders>
              <w:top w:val="single" w:sz="4" w:space="0" w:color="auto"/>
              <w:left w:val="nil"/>
              <w:bottom w:val="single" w:sz="4" w:space="0" w:color="auto"/>
              <w:right w:val="single" w:sz="18" w:space="0" w:color="auto"/>
            </w:tcBorders>
            <w:noWrap/>
            <w:vAlign w:val="bottom"/>
            <w:hideMark/>
          </w:tcPr>
          <w:p w14:paraId="67D21717" w14:textId="77777777" w:rsidR="005E772C" w:rsidRPr="004811C9" w:rsidRDefault="005E772C" w:rsidP="00405333">
            <w:pPr>
              <w:spacing w:after="0" w:line="240" w:lineRule="auto"/>
              <w:jc w:val="center"/>
              <w:rPr>
                <w:rFonts w:eastAsia="Times New Roman" w:cs="Times New Roman"/>
                <w:b/>
                <w:bCs/>
                <w:color w:val="000000"/>
                <w:kern w:val="0"/>
                <w:sz w:val="20"/>
                <w:szCs w:val="20"/>
                <w14:ligatures w14:val="none"/>
              </w:rPr>
            </w:pPr>
            <w:r w:rsidRPr="004811C9">
              <w:rPr>
                <w:rFonts w:eastAsia="Times New Roman" w:cs="Times New Roman"/>
                <w:b/>
                <w:bCs/>
                <w:color w:val="000000"/>
                <w:kern w:val="0"/>
                <w:sz w:val="20"/>
                <w:szCs w:val="20"/>
                <w14:ligatures w14:val="none"/>
              </w:rPr>
              <w:t>Standard Deviation</w:t>
            </w:r>
          </w:p>
        </w:tc>
      </w:tr>
      <w:tr w:rsidR="005E772C" w:rsidRPr="004811C9" w14:paraId="7D401D02" w14:textId="77777777" w:rsidTr="000B11EA">
        <w:trPr>
          <w:trHeight w:val="171"/>
        </w:trPr>
        <w:tc>
          <w:tcPr>
            <w:tcW w:w="4731" w:type="dxa"/>
            <w:gridSpan w:val="4"/>
            <w:tcBorders>
              <w:top w:val="single" w:sz="4" w:space="0" w:color="auto"/>
              <w:left w:val="single" w:sz="18" w:space="0" w:color="auto"/>
              <w:bottom w:val="nil"/>
              <w:right w:val="nil"/>
            </w:tcBorders>
            <w:noWrap/>
            <w:vAlign w:val="bottom"/>
            <w:hideMark/>
          </w:tcPr>
          <w:p w14:paraId="270E0E9C"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Expected Travel Time (hours)</w:t>
            </w:r>
          </w:p>
        </w:tc>
        <w:tc>
          <w:tcPr>
            <w:tcW w:w="1829" w:type="dxa"/>
            <w:tcBorders>
              <w:top w:val="single" w:sz="4" w:space="0" w:color="auto"/>
              <w:left w:val="nil"/>
              <w:bottom w:val="nil"/>
              <w:right w:val="nil"/>
            </w:tcBorders>
            <w:vAlign w:val="bottom"/>
          </w:tcPr>
          <w:p w14:paraId="615333BD" w14:textId="77777777" w:rsidR="005E772C" w:rsidRPr="004811C9" w:rsidRDefault="005E772C" w:rsidP="00C86857">
            <w:pPr>
              <w:tabs>
                <w:tab w:val="decimal" w:pos="9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0.65</w:t>
            </w:r>
          </w:p>
        </w:tc>
        <w:tc>
          <w:tcPr>
            <w:tcW w:w="1975" w:type="dxa"/>
            <w:gridSpan w:val="2"/>
            <w:tcBorders>
              <w:top w:val="single" w:sz="4" w:space="0" w:color="auto"/>
              <w:left w:val="nil"/>
              <w:bottom w:val="nil"/>
              <w:right w:val="single" w:sz="18" w:space="0" w:color="auto"/>
            </w:tcBorders>
            <w:noWrap/>
            <w:vAlign w:val="bottom"/>
            <w:hideMark/>
          </w:tcPr>
          <w:p w14:paraId="4FF4CBED" w14:textId="77777777" w:rsidR="005E772C" w:rsidRPr="004811C9" w:rsidRDefault="005E772C" w:rsidP="00C86857">
            <w:pPr>
              <w:tabs>
                <w:tab w:val="decimal" w:pos="15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0.31</w:t>
            </w:r>
          </w:p>
        </w:tc>
      </w:tr>
      <w:tr w:rsidR="005E772C" w:rsidRPr="004811C9" w14:paraId="3837BFE5" w14:textId="77777777" w:rsidTr="000B11EA">
        <w:trPr>
          <w:trHeight w:val="20"/>
        </w:trPr>
        <w:tc>
          <w:tcPr>
            <w:tcW w:w="4731" w:type="dxa"/>
            <w:gridSpan w:val="4"/>
            <w:tcBorders>
              <w:top w:val="nil"/>
              <w:left w:val="single" w:sz="18" w:space="0" w:color="auto"/>
              <w:bottom w:val="nil"/>
              <w:right w:val="nil"/>
            </w:tcBorders>
            <w:noWrap/>
            <w:vAlign w:val="bottom"/>
            <w:hideMark/>
          </w:tcPr>
          <w:p w14:paraId="1FA5D4BB"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Congested Travel Time (hours)</w:t>
            </w:r>
          </w:p>
        </w:tc>
        <w:tc>
          <w:tcPr>
            <w:tcW w:w="1829" w:type="dxa"/>
            <w:tcBorders>
              <w:top w:val="nil"/>
              <w:left w:val="nil"/>
              <w:bottom w:val="nil"/>
              <w:right w:val="nil"/>
            </w:tcBorders>
            <w:vAlign w:val="bottom"/>
          </w:tcPr>
          <w:p w14:paraId="37DEDF47" w14:textId="77777777" w:rsidR="005E772C" w:rsidRPr="004811C9" w:rsidRDefault="005E772C" w:rsidP="00C86857">
            <w:pPr>
              <w:tabs>
                <w:tab w:val="decimal" w:pos="9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1.18</w:t>
            </w:r>
          </w:p>
        </w:tc>
        <w:tc>
          <w:tcPr>
            <w:tcW w:w="1975" w:type="dxa"/>
            <w:gridSpan w:val="2"/>
            <w:tcBorders>
              <w:top w:val="nil"/>
              <w:left w:val="nil"/>
              <w:bottom w:val="nil"/>
              <w:right w:val="single" w:sz="18" w:space="0" w:color="auto"/>
            </w:tcBorders>
            <w:noWrap/>
            <w:vAlign w:val="bottom"/>
            <w:hideMark/>
          </w:tcPr>
          <w:p w14:paraId="7C287C5C" w14:textId="77777777" w:rsidR="005E772C" w:rsidRPr="004811C9" w:rsidRDefault="005E772C" w:rsidP="00C86857">
            <w:pPr>
              <w:tabs>
                <w:tab w:val="decimal" w:pos="15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0.50</w:t>
            </w:r>
          </w:p>
        </w:tc>
      </w:tr>
      <w:tr w:rsidR="005E772C" w:rsidRPr="004811C9" w14:paraId="01F56D85" w14:textId="77777777" w:rsidTr="000B11EA">
        <w:trPr>
          <w:trHeight w:val="20"/>
        </w:trPr>
        <w:tc>
          <w:tcPr>
            <w:tcW w:w="4731" w:type="dxa"/>
            <w:gridSpan w:val="4"/>
            <w:tcBorders>
              <w:top w:val="nil"/>
              <w:left w:val="single" w:sz="18" w:space="0" w:color="auto"/>
              <w:bottom w:val="nil"/>
              <w:right w:val="nil"/>
            </w:tcBorders>
            <w:noWrap/>
            <w:vAlign w:val="bottom"/>
            <w:hideMark/>
          </w:tcPr>
          <w:p w14:paraId="4DC99260" w14:textId="7777777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Free Flow Travel Time (hours)</w:t>
            </w:r>
          </w:p>
        </w:tc>
        <w:tc>
          <w:tcPr>
            <w:tcW w:w="1829" w:type="dxa"/>
            <w:tcBorders>
              <w:top w:val="nil"/>
              <w:left w:val="nil"/>
              <w:bottom w:val="nil"/>
              <w:right w:val="nil"/>
            </w:tcBorders>
            <w:vAlign w:val="bottom"/>
          </w:tcPr>
          <w:p w14:paraId="49015314" w14:textId="77777777" w:rsidR="005E772C" w:rsidRPr="004811C9" w:rsidRDefault="005E772C" w:rsidP="00C86857">
            <w:pPr>
              <w:tabs>
                <w:tab w:val="decimal" w:pos="9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0.33</w:t>
            </w:r>
          </w:p>
        </w:tc>
        <w:tc>
          <w:tcPr>
            <w:tcW w:w="1975" w:type="dxa"/>
            <w:gridSpan w:val="2"/>
            <w:tcBorders>
              <w:top w:val="nil"/>
              <w:left w:val="nil"/>
              <w:bottom w:val="nil"/>
              <w:right w:val="single" w:sz="18" w:space="0" w:color="auto"/>
            </w:tcBorders>
            <w:noWrap/>
            <w:vAlign w:val="bottom"/>
            <w:hideMark/>
          </w:tcPr>
          <w:p w14:paraId="52DCF6D0" w14:textId="77777777" w:rsidR="005E772C" w:rsidRPr="004811C9" w:rsidRDefault="005E772C" w:rsidP="00C86857">
            <w:pPr>
              <w:tabs>
                <w:tab w:val="decimal" w:pos="15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0.16</w:t>
            </w:r>
          </w:p>
        </w:tc>
      </w:tr>
      <w:tr w:rsidR="005E772C" w:rsidRPr="004811C9" w14:paraId="3F4CF1E6" w14:textId="77777777" w:rsidTr="000B11EA">
        <w:trPr>
          <w:trHeight w:val="20"/>
        </w:trPr>
        <w:tc>
          <w:tcPr>
            <w:tcW w:w="4731" w:type="dxa"/>
            <w:gridSpan w:val="4"/>
            <w:tcBorders>
              <w:top w:val="nil"/>
              <w:left w:val="single" w:sz="18" w:space="0" w:color="auto"/>
              <w:bottom w:val="nil"/>
              <w:right w:val="nil"/>
            </w:tcBorders>
            <w:noWrap/>
            <w:vAlign w:val="bottom"/>
            <w:hideMark/>
          </w:tcPr>
          <w:p w14:paraId="3F7746A2" w14:textId="744FA65E"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P</w:t>
            </w:r>
            <w:r w:rsidR="005702FF" w:rsidRPr="004811C9">
              <w:rPr>
                <w:rFonts w:eastAsia="Times New Roman" w:cs="Times New Roman"/>
                <w:color w:val="000000"/>
                <w:kern w:val="0"/>
                <w:sz w:val="20"/>
                <w:szCs w:val="20"/>
                <w14:ligatures w14:val="none"/>
              </w:rPr>
              <w:t>rop</w:t>
            </w:r>
            <w:r w:rsidRPr="004811C9">
              <w:rPr>
                <w:rFonts w:eastAsia="Times New Roman" w:cs="Times New Roman"/>
                <w:color w:val="000000"/>
                <w:kern w:val="0"/>
                <w:sz w:val="20"/>
                <w:szCs w:val="20"/>
                <w14:ligatures w14:val="none"/>
              </w:rPr>
              <w:t>ortion of Expected Travel Time Saved</w:t>
            </w:r>
          </w:p>
        </w:tc>
        <w:tc>
          <w:tcPr>
            <w:tcW w:w="1829" w:type="dxa"/>
            <w:tcBorders>
              <w:top w:val="nil"/>
              <w:left w:val="nil"/>
              <w:bottom w:val="nil"/>
              <w:right w:val="nil"/>
            </w:tcBorders>
            <w:vAlign w:val="bottom"/>
          </w:tcPr>
          <w:p w14:paraId="5DDD7AFC" w14:textId="77777777" w:rsidR="005E772C" w:rsidRPr="004811C9" w:rsidRDefault="005E772C" w:rsidP="00C86857">
            <w:pPr>
              <w:tabs>
                <w:tab w:val="decimal" w:pos="9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0.48</w:t>
            </w:r>
          </w:p>
        </w:tc>
        <w:tc>
          <w:tcPr>
            <w:tcW w:w="1975" w:type="dxa"/>
            <w:gridSpan w:val="2"/>
            <w:tcBorders>
              <w:top w:val="nil"/>
              <w:left w:val="nil"/>
              <w:bottom w:val="nil"/>
              <w:right w:val="single" w:sz="18" w:space="0" w:color="auto"/>
            </w:tcBorders>
            <w:noWrap/>
            <w:vAlign w:val="bottom"/>
            <w:hideMark/>
          </w:tcPr>
          <w:p w14:paraId="14C406FE" w14:textId="77777777" w:rsidR="005E772C" w:rsidRPr="004811C9" w:rsidRDefault="005E772C" w:rsidP="00C86857">
            <w:pPr>
              <w:tabs>
                <w:tab w:val="decimal" w:pos="15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0.14</w:t>
            </w:r>
          </w:p>
        </w:tc>
      </w:tr>
      <w:tr w:rsidR="005E772C" w:rsidRPr="004811C9" w14:paraId="68AB9B2F" w14:textId="77777777" w:rsidTr="000B11EA">
        <w:trPr>
          <w:trHeight w:val="20"/>
        </w:trPr>
        <w:tc>
          <w:tcPr>
            <w:tcW w:w="4731" w:type="dxa"/>
            <w:gridSpan w:val="4"/>
            <w:tcBorders>
              <w:top w:val="nil"/>
              <w:left w:val="single" w:sz="18" w:space="0" w:color="auto"/>
              <w:bottom w:val="single" w:sz="18" w:space="0" w:color="auto"/>
              <w:right w:val="nil"/>
            </w:tcBorders>
            <w:noWrap/>
            <w:vAlign w:val="bottom"/>
            <w:hideMark/>
          </w:tcPr>
          <w:p w14:paraId="05E8E42B" w14:textId="0BB0F897" w:rsidR="005E772C" w:rsidRPr="004811C9" w:rsidRDefault="005E772C" w:rsidP="00405333">
            <w:pPr>
              <w:spacing w:after="0" w:line="240" w:lineRule="auto"/>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P</w:t>
            </w:r>
            <w:r w:rsidR="005702FF" w:rsidRPr="004811C9">
              <w:rPr>
                <w:rFonts w:eastAsia="Times New Roman" w:cs="Times New Roman"/>
                <w:color w:val="000000"/>
                <w:kern w:val="0"/>
                <w:sz w:val="20"/>
                <w:szCs w:val="20"/>
                <w14:ligatures w14:val="none"/>
              </w:rPr>
              <w:t>rop</w:t>
            </w:r>
            <w:r w:rsidRPr="004811C9">
              <w:rPr>
                <w:rFonts w:eastAsia="Times New Roman" w:cs="Times New Roman"/>
                <w:color w:val="000000"/>
                <w:kern w:val="0"/>
                <w:sz w:val="20"/>
                <w:szCs w:val="20"/>
                <w14:ligatures w14:val="none"/>
              </w:rPr>
              <w:t>ortion of Maximum Delay Expected to be Reduced</w:t>
            </w:r>
          </w:p>
        </w:tc>
        <w:tc>
          <w:tcPr>
            <w:tcW w:w="1829" w:type="dxa"/>
            <w:tcBorders>
              <w:top w:val="nil"/>
              <w:left w:val="nil"/>
              <w:bottom w:val="single" w:sz="18" w:space="0" w:color="auto"/>
              <w:right w:val="nil"/>
            </w:tcBorders>
            <w:vAlign w:val="bottom"/>
          </w:tcPr>
          <w:p w14:paraId="5285F068" w14:textId="77777777" w:rsidR="005E772C" w:rsidRPr="004811C9" w:rsidRDefault="005E772C" w:rsidP="00C86857">
            <w:pPr>
              <w:tabs>
                <w:tab w:val="decimal" w:pos="9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0.38</w:t>
            </w:r>
          </w:p>
        </w:tc>
        <w:tc>
          <w:tcPr>
            <w:tcW w:w="1975" w:type="dxa"/>
            <w:gridSpan w:val="2"/>
            <w:tcBorders>
              <w:top w:val="nil"/>
              <w:left w:val="nil"/>
              <w:bottom w:val="single" w:sz="18" w:space="0" w:color="auto"/>
              <w:right w:val="single" w:sz="18" w:space="0" w:color="auto"/>
            </w:tcBorders>
            <w:noWrap/>
            <w:vAlign w:val="bottom"/>
            <w:hideMark/>
          </w:tcPr>
          <w:p w14:paraId="776494C1" w14:textId="77777777" w:rsidR="005E772C" w:rsidRPr="004811C9" w:rsidRDefault="005E772C" w:rsidP="00C86857">
            <w:pPr>
              <w:tabs>
                <w:tab w:val="decimal" w:pos="150"/>
              </w:tabs>
              <w:spacing w:after="0" w:line="240" w:lineRule="auto"/>
              <w:jc w:val="center"/>
              <w:rPr>
                <w:rFonts w:eastAsia="Times New Roman" w:cs="Times New Roman"/>
                <w:color w:val="000000"/>
                <w:kern w:val="0"/>
                <w:sz w:val="20"/>
                <w:szCs w:val="20"/>
                <w14:ligatures w14:val="none"/>
              </w:rPr>
            </w:pPr>
            <w:r w:rsidRPr="004811C9">
              <w:rPr>
                <w:rFonts w:eastAsia="Times New Roman" w:cs="Times New Roman"/>
                <w:color w:val="000000"/>
                <w:kern w:val="0"/>
                <w:sz w:val="20"/>
                <w:szCs w:val="20"/>
                <w14:ligatures w14:val="none"/>
              </w:rPr>
              <w:t>0.14</w:t>
            </w:r>
          </w:p>
        </w:tc>
      </w:tr>
    </w:tbl>
    <w:p w14:paraId="1A6D49A5" w14:textId="77777777" w:rsidR="005E772C" w:rsidRPr="004811C9" w:rsidRDefault="005E772C" w:rsidP="005E772C">
      <w:pPr>
        <w:rPr>
          <w:rFonts w:cs="Times New Roman"/>
        </w:rPr>
      </w:pPr>
    </w:p>
    <w:p w14:paraId="368AA380" w14:textId="77777777" w:rsidR="000A4EDB" w:rsidRPr="004811C9" w:rsidRDefault="000A4EDB">
      <w:pPr>
        <w:rPr>
          <w:rFonts w:cs="Times New Roman"/>
          <w:b/>
          <w:bCs/>
        </w:rPr>
      </w:pPr>
      <w:r w:rsidRPr="004811C9">
        <w:rPr>
          <w:rFonts w:cs="Times New Roman"/>
          <w:b/>
          <w:bCs/>
        </w:rPr>
        <w:br w:type="page"/>
      </w:r>
    </w:p>
    <w:p w14:paraId="105AA59C" w14:textId="3BE25222" w:rsidR="001B55DC" w:rsidRPr="004811C9" w:rsidRDefault="000310E1" w:rsidP="001B55DC">
      <w:pPr>
        <w:spacing w:after="0" w:line="240" w:lineRule="auto"/>
        <w:rPr>
          <w:rFonts w:cs="Times New Roman"/>
          <w:b/>
          <w:bCs/>
        </w:rPr>
      </w:pPr>
      <w:r w:rsidRPr="004811C9">
        <w:rPr>
          <w:rFonts w:cs="Times New Roman"/>
          <w:b/>
          <w:bCs/>
        </w:rPr>
        <w:lastRenderedPageBreak/>
        <w:t>Table 2: Model Results</w:t>
      </w:r>
      <w:r w:rsidR="005702FF" w:rsidRPr="004811C9">
        <w:rPr>
          <w:rFonts w:cs="Times New Roman"/>
          <w:b/>
          <w:bCs/>
        </w:rPr>
        <w:t xml:space="preserve"> </w:t>
      </w:r>
    </w:p>
    <w:p w14:paraId="60C49799" w14:textId="77777777" w:rsidR="00DD61AB" w:rsidRPr="004811C9" w:rsidRDefault="00DD61AB" w:rsidP="001B55DC">
      <w:pPr>
        <w:spacing w:after="0" w:line="240" w:lineRule="auto"/>
        <w:rPr>
          <w:rFonts w:cs="Times New Roman"/>
          <w:b/>
          <w:bCs/>
        </w:rPr>
      </w:pPr>
    </w:p>
    <w:tbl>
      <w:tblPr>
        <w:tblW w:w="0" w:type="auto"/>
        <w:tblCellMar>
          <w:left w:w="15" w:type="dxa"/>
          <w:right w:w="15" w:type="dxa"/>
        </w:tblCellMar>
        <w:tblLook w:val="04A0" w:firstRow="1" w:lastRow="0" w:firstColumn="1" w:lastColumn="0" w:noHBand="0" w:noVBand="1"/>
      </w:tblPr>
      <w:tblGrid>
        <w:gridCol w:w="5020"/>
        <w:gridCol w:w="987"/>
        <w:gridCol w:w="990"/>
        <w:gridCol w:w="1002"/>
        <w:gridCol w:w="1002"/>
      </w:tblGrid>
      <w:tr w:rsidR="001B55DC" w:rsidRPr="004811C9" w14:paraId="286C6C71" w14:textId="77777777" w:rsidTr="00494E95">
        <w:trPr>
          <w:trHeight w:val="20"/>
          <w:tblHeader/>
        </w:trPr>
        <w:tc>
          <w:tcPr>
            <w:tcW w:w="0" w:type="auto"/>
            <w:vMerge w:val="restart"/>
            <w:tcBorders>
              <w:top w:val="single" w:sz="18" w:space="0" w:color="auto"/>
              <w:left w:val="single" w:sz="18" w:space="0" w:color="auto"/>
              <w:bottom w:val="single" w:sz="18" w:space="0" w:color="auto"/>
              <w:right w:val="single" w:sz="18" w:space="0" w:color="auto"/>
            </w:tcBorders>
            <w:tcMar>
              <w:top w:w="0" w:type="dxa"/>
              <w:left w:w="115" w:type="dxa"/>
              <w:bottom w:w="0" w:type="dxa"/>
              <w:right w:w="216" w:type="dxa"/>
            </w:tcMar>
            <w:vAlign w:val="center"/>
            <w:hideMark/>
          </w:tcPr>
          <w:p w14:paraId="00901543" w14:textId="77777777" w:rsidR="001B55DC" w:rsidRPr="004811C9" w:rsidRDefault="001B55DC" w:rsidP="001B55DC">
            <w:pPr>
              <w:spacing w:after="0" w:line="240" w:lineRule="auto"/>
              <w:rPr>
                <w:rFonts w:cs="Times New Roman"/>
                <w:sz w:val="20"/>
                <w:szCs w:val="20"/>
              </w:rPr>
            </w:pPr>
            <w:bookmarkStart w:id="2" w:name="_Hlk202341613"/>
            <w:r w:rsidRPr="004811C9">
              <w:rPr>
                <w:rFonts w:cs="Times New Roman"/>
                <w:sz w:val="20"/>
                <w:szCs w:val="20"/>
              </w:rPr>
              <w:t>Variable (base)</w:t>
            </w:r>
          </w:p>
        </w:tc>
        <w:tc>
          <w:tcPr>
            <w:tcW w:w="1977" w:type="dxa"/>
            <w:gridSpan w:val="2"/>
            <w:tcBorders>
              <w:top w:val="single" w:sz="18" w:space="0" w:color="auto"/>
              <w:left w:val="single" w:sz="18" w:space="0" w:color="auto"/>
              <w:bottom w:val="single" w:sz="18" w:space="0" w:color="auto"/>
              <w:right w:val="single" w:sz="6" w:space="0" w:color="auto"/>
            </w:tcBorders>
            <w:tcMar>
              <w:top w:w="0" w:type="dxa"/>
              <w:left w:w="115" w:type="dxa"/>
              <w:bottom w:w="0" w:type="dxa"/>
              <w:right w:w="216" w:type="dxa"/>
            </w:tcMar>
            <w:vAlign w:val="center"/>
            <w:hideMark/>
          </w:tcPr>
          <w:p w14:paraId="328C58AC" w14:textId="401DE1AF" w:rsidR="001B55DC" w:rsidRPr="004811C9" w:rsidRDefault="00AA0750" w:rsidP="00494E95">
            <w:pPr>
              <w:spacing w:after="0" w:line="240" w:lineRule="auto"/>
              <w:jc w:val="center"/>
              <w:rPr>
                <w:rFonts w:cs="Times New Roman"/>
                <w:b/>
                <w:bCs/>
                <w:sz w:val="20"/>
                <w:szCs w:val="20"/>
              </w:rPr>
            </w:pPr>
            <w:r w:rsidRPr="004811C9">
              <w:rPr>
                <w:rFonts w:cs="Times New Roman"/>
                <w:b/>
                <w:bCs/>
                <w:sz w:val="20"/>
                <w:szCs w:val="20"/>
              </w:rPr>
              <w:t>WTP</w:t>
            </w:r>
          </w:p>
        </w:tc>
        <w:tc>
          <w:tcPr>
            <w:tcW w:w="0" w:type="auto"/>
            <w:gridSpan w:val="2"/>
            <w:tcBorders>
              <w:top w:val="single" w:sz="18" w:space="0" w:color="auto"/>
              <w:left w:val="single" w:sz="6" w:space="0" w:color="auto"/>
              <w:bottom w:val="single" w:sz="18" w:space="0" w:color="auto"/>
              <w:right w:val="single" w:sz="18" w:space="0" w:color="auto"/>
            </w:tcBorders>
            <w:tcMar>
              <w:top w:w="0" w:type="dxa"/>
              <w:left w:w="115" w:type="dxa"/>
              <w:bottom w:w="0" w:type="dxa"/>
              <w:right w:w="216" w:type="dxa"/>
            </w:tcMar>
            <w:vAlign w:val="center"/>
            <w:hideMark/>
          </w:tcPr>
          <w:p w14:paraId="4D329434" w14:textId="4FA61181" w:rsidR="001B55DC" w:rsidRPr="004811C9" w:rsidRDefault="000E6405" w:rsidP="00494E95">
            <w:pPr>
              <w:spacing w:after="0" w:line="240" w:lineRule="auto"/>
              <w:jc w:val="center"/>
              <w:rPr>
                <w:rFonts w:cs="Times New Roman"/>
                <w:b/>
                <w:bCs/>
                <w:sz w:val="20"/>
                <w:szCs w:val="20"/>
              </w:rPr>
            </w:pPr>
            <w:r w:rsidRPr="004811C9">
              <w:rPr>
                <w:rFonts w:cs="Times New Roman"/>
                <w:b/>
                <w:bCs/>
                <w:sz w:val="20"/>
                <w:szCs w:val="20"/>
              </w:rPr>
              <w:t>LN(</w:t>
            </w:r>
            <w:r w:rsidR="00F4773F" w:rsidRPr="004811C9">
              <w:rPr>
                <w:rFonts w:cs="Times New Roman"/>
                <w:b/>
                <w:bCs/>
                <w:i/>
                <w:sz w:val="20"/>
                <w:szCs w:val="20"/>
              </w:rPr>
              <w:t>cVTTS</w:t>
            </w:r>
            <w:r w:rsidRPr="004811C9">
              <w:rPr>
                <w:rFonts w:cs="Times New Roman"/>
                <w:b/>
                <w:bCs/>
                <w:sz w:val="20"/>
                <w:szCs w:val="20"/>
              </w:rPr>
              <w:t>)</w:t>
            </w:r>
          </w:p>
        </w:tc>
      </w:tr>
      <w:tr w:rsidR="001B55DC" w:rsidRPr="004811C9" w14:paraId="115E929D" w14:textId="77777777" w:rsidTr="00494E95">
        <w:trPr>
          <w:trHeight w:val="20"/>
          <w:tblHeader/>
        </w:trPr>
        <w:tc>
          <w:tcPr>
            <w:tcW w:w="0" w:type="auto"/>
            <w:vMerge/>
            <w:tcBorders>
              <w:top w:val="single" w:sz="8" w:space="0" w:color="000000"/>
              <w:left w:val="single" w:sz="18" w:space="0" w:color="auto"/>
              <w:bottom w:val="single" w:sz="18" w:space="0" w:color="auto"/>
              <w:right w:val="single" w:sz="18" w:space="0" w:color="auto"/>
            </w:tcBorders>
            <w:vAlign w:val="center"/>
            <w:hideMark/>
          </w:tcPr>
          <w:p w14:paraId="6288E93D" w14:textId="77777777" w:rsidR="001B55DC" w:rsidRPr="004811C9" w:rsidRDefault="001B55DC" w:rsidP="001B55DC">
            <w:pPr>
              <w:spacing w:after="0" w:line="240" w:lineRule="auto"/>
              <w:rPr>
                <w:rFonts w:cs="Times New Roman"/>
                <w:sz w:val="20"/>
                <w:szCs w:val="20"/>
              </w:rPr>
            </w:pPr>
          </w:p>
        </w:tc>
        <w:tc>
          <w:tcPr>
            <w:tcW w:w="987" w:type="dxa"/>
            <w:tcBorders>
              <w:top w:val="single" w:sz="18" w:space="0" w:color="auto"/>
              <w:left w:val="single" w:sz="18" w:space="0" w:color="auto"/>
              <w:bottom w:val="single" w:sz="18" w:space="0" w:color="auto"/>
            </w:tcBorders>
            <w:tcMar>
              <w:top w:w="0" w:type="dxa"/>
              <w:left w:w="115" w:type="dxa"/>
              <w:bottom w:w="0" w:type="dxa"/>
              <w:right w:w="216" w:type="dxa"/>
            </w:tcMar>
            <w:vAlign w:val="center"/>
            <w:hideMark/>
          </w:tcPr>
          <w:p w14:paraId="3968C039" w14:textId="77777777" w:rsidR="001B55DC" w:rsidRPr="004811C9" w:rsidRDefault="001B55DC" w:rsidP="00494E95">
            <w:pPr>
              <w:spacing w:after="0" w:line="240" w:lineRule="auto"/>
              <w:jc w:val="center"/>
              <w:rPr>
                <w:rFonts w:cs="Times New Roman"/>
                <w:sz w:val="20"/>
                <w:szCs w:val="20"/>
              </w:rPr>
            </w:pPr>
            <w:r w:rsidRPr="004811C9">
              <w:rPr>
                <w:rFonts w:cs="Times New Roman"/>
                <w:sz w:val="20"/>
                <w:szCs w:val="20"/>
              </w:rPr>
              <w:t>Coeff.</w:t>
            </w:r>
          </w:p>
        </w:tc>
        <w:tc>
          <w:tcPr>
            <w:tcW w:w="990" w:type="dxa"/>
            <w:tcBorders>
              <w:top w:val="single" w:sz="18" w:space="0" w:color="auto"/>
              <w:bottom w:val="single" w:sz="18" w:space="0" w:color="auto"/>
              <w:right w:val="single" w:sz="6" w:space="0" w:color="auto"/>
            </w:tcBorders>
            <w:tcMar>
              <w:top w:w="0" w:type="dxa"/>
              <w:left w:w="115" w:type="dxa"/>
              <w:bottom w:w="0" w:type="dxa"/>
              <w:right w:w="216" w:type="dxa"/>
            </w:tcMar>
            <w:vAlign w:val="center"/>
            <w:hideMark/>
          </w:tcPr>
          <w:p w14:paraId="02A3163D" w14:textId="77777777" w:rsidR="001B55DC" w:rsidRPr="004811C9" w:rsidRDefault="001B55DC" w:rsidP="00494E95">
            <w:pPr>
              <w:spacing w:after="0" w:line="240" w:lineRule="auto"/>
              <w:jc w:val="center"/>
              <w:rPr>
                <w:rFonts w:cs="Times New Roman"/>
                <w:sz w:val="20"/>
                <w:szCs w:val="20"/>
              </w:rPr>
            </w:pPr>
            <w:r w:rsidRPr="004811C9">
              <w:rPr>
                <w:rFonts w:cs="Times New Roman"/>
                <w:sz w:val="20"/>
                <w:szCs w:val="20"/>
              </w:rPr>
              <w:t>t-stat</w:t>
            </w:r>
          </w:p>
        </w:tc>
        <w:tc>
          <w:tcPr>
            <w:tcW w:w="0" w:type="auto"/>
            <w:tcBorders>
              <w:top w:val="single" w:sz="18" w:space="0" w:color="auto"/>
              <w:left w:val="single" w:sz="6" w:space="0" w:color="auto"/>
              <w:bottom w:val="single" w:sz="18" w:space="0" w:color="auto"/>
            </w:tcBorders>
            <w:tcMar>
              <w:top w:w="0" w:type="dxa"/>
              <w:left w:w="115" w:type="dxa"/>
              <w:bottom w:w="0" w:type="dxa"/>
              <w:right w:w="216" w:type="dxa"/>
            </w:tcMar>
            <w:vAlign w:val="center"/>
            <w:hideMark/>
          </w:tcPr>
          <w:p w14:paraId="4598D93C" w14:textId="77777777" w:rsidR="001B55DC" w:rsidRPr="004811C9" w:rsidRDefault="001B55DC" w:rsidP="00494E95">
            <w:pPr>
              <w:spacing w:after="0" w:line="240" w:lineRule="auto"/>
              <w:jc w:val="center"/>
              <w:rPr>
                <w:rFonts w:cs="Times New Roman"/>
                <w:sz w:val="20"/>
                <w:szCs w:val="20"/>
              </w:rPr>
            </w:pPr>
            <w:r w:rsidRPr="004811C9">
              <w:rPr>
                <w:rFonts w:cs="Times New Roman"/>
                <w:sz w:val="20"/>
                <w:szCs w:val="20"/>
              </w:rPr>
              <w:t>Coeff.</w:t>
            </w:r>
          </w:p>
        </w:tc>
        <w:tc>
          <w:tcPr>
            <w:tcW w:w="0" w:type="auto"/>
            <w:tcBorders>
              <w:top w:val="single" w:sz="18" w:space="0" w:color="auto"/>
              <w:bottom w:val="single" w:sz="18" w:space="0" w:color="auto"/>
              <w:right w:val="single" w:sz="18" w:space="0" w:color="auto"/>
            </w:tcBorders>
            <w:tcMar>
              <w:top w:w="0" w:type="dxa"/>
              <w:left w:w="115" w:type="dxa"/>
              <w:bottom w:w="0" w:type="dxa"/>
              <w:right w:w="216" w:type="dxa"/>
            </w:tcMar>
            <w:vAlign w:val="center"/>
            <w:hideMark/>
          </w:tcPr>
          <w:p w14:paraId="13D299AF" w14:textId="77777777" w:rsidR="001B55DC" w:rsidRPr="004811C9" w:rsidRDefault="001B55DC" w:rsidP="00494E95">
            <w:pPr>
              <w:spacing w:after="0" w:line="240" w:lineRule="auto"/>
              <w:jc w:val="center"/>
              <w:rPr>
                <w:rFonts w:cs="Times New Roman"/>
                <w:sz w:val="20"/>
                <w:szCs w:val="20"/>
              </w:rPr>
            </w:pPr>
            <w:r w:rsidRPr="004811C9">
              <w:rPr>
                <w:rFonts w:cs="Times New Roman"/>
                <w:sz w:val="20"/>
                <w:szCs w:val="20"/>
              </w:rPr>
              <w:t>t-stat</w:t>
            </w:r>
          </w:p>
        </w:tc>
      </w:tr>
      <w:tr w:rsidR="000A4EDB" w:rsidRPr="004811C9" w14:paraId="3C12A34D" w14:textId="77777777" w:rsidTr="00494E95">
        <w:trPr>
          <w:trHeight w:val="20"/>
        </w:trPr>
        <w:tc>
          <w:tcPr>
            <w:tcW w:w="0" w:type="auto"/>
            <w:tcBorders>
              <w:top w:val="single" w:sz="4" w:space="0" w:color="auto"/>
              <w:left w:val="single" w:sz="18" w:space="0" w:color="auto"/>
              <w:right w:val="single" w:sz="18" w:space="0" w:color="auto"/>
            </w:tcBorders>
            <w:tcMar>
              <w:top w:w="0" w:type="dxa"/>
              <w:left w:w="115" w:type="dxa"/>
              <w:bottom w:w="0" w:type="dxa"/>
              <w:right w:w="216" w:type="dxa"/>
            </w:tcMar>
            <w:vAlign w:val="bottom"/>
          </w:tcPr>
          <w:p w14:paraId="63BAA288" w14:textId="429D5C6B" w:rsidR="000A4EDB" w:rsidRPr="004811C9" w:rsidRDefault="000A4EDB" w:rsidP="000A4EDB">
            <w:pPr>
              <w:spacing w:after="0" w:line="240" w:lineRule="auto"/>
              <w:rPr>
                <w:rFonts w:cs="Times New Roman"/>
                <w:b/>
                <w:bCs/>
                <w:i/>
                <w:iCs/>
                <w:sz w:val="20"/>
                <w:szCs w:val="20"/>
              </w:rPr>
            </w:pPr>
            <w:r w:rsidRPr="004811C9">
              <w:rPr>
                <w:rFonts w:cs="Times New Roman"/>
                <w:b/>
                <w:bCs/>
                <w:i/>
                <w:iCs/>
                <w:color w:val="000000"/>
                <w:sz w:val="20"/>
                <w:szCs w:val="20"/>
              </w:rPr>
              <w:t xml:space="preserve">Individual and Household Characteristics </w:t>
            </w:r>
          </w:p>
        </w:tc>
        <w:tc>
          <w:tcPr>
            <w:tcW w:w="987" w:type="dxa"/>
            <w:tcBorders>
              <w:top w:val="single" w:sz="4" w:space="0" w:color="auto"/>
              <w:left w:val="single" w:sz="18" w:space="0" w:color="auto"/>
            </w:tcBorders>
            <w:tcMar>
              <w:top w:w="0" w:type="dxa"/>
              <w:left w:w="115" w:type="dxa"/>
              <w:bottom w:w="0" w:type="dxa"/>
              <w:right w:w="216" w:type="dxa"/>
            </w:tcMar>
            <w:vAlign w:val="center"/>
          </w:tcPr>
          <w:p w14:paraId="09FA1E64" w14:textId="77777777" w:rsidR="000A4EDB" w:rsidRPr="004811C9" w:rsidRDefault="000A4EDB" w:rsidP="000A4EDB">
            <w:pPr>
              <w:tabs>
                <w:tab w:val="decimal" w:pos="198"/>
              </w:tabs>
              <w:spacing w:after="0" w:line="240" w:lineRule="auto"/>
              <w:jc w:val="center"/>
              <w:rPr>
                <w:rFonts w:cs="Times New Roman"/>
                <w:sz w:val="20"/>
                <w:szCs w:val="20"/>
              </w:rPr>
            </w:pPr>
          </w:p>
        </w:tc>
        <w:tc>
          <w:tcPr>
            <w:tcW w:w="990" w:type="dxa"/>
            <w:tcBorders>
              <w:top w:val="single" w:sz="4" w:space="0" w:color="auto"/>
              <w:right w:val="single" w:sz="6" w:space="0" w:color="auto"/>
            </w:tcBorders>
            <w:tcMar>
              <w:top w:w="0" w:type="dxa"/>
              <w:left w:w="115" w:type="dxa"/>
              <w:bottom w:w="0" w:type="dxa"/>
              <w:right w:w="216" w:type="dxa"/>
            </w:tcMar>
            <w:vAlign w:val="center"/>
          </w:tcPr>
          <w:p w14:paraId="5B6C93C8" w14:textId="77777777" w:rsidR="000A4EDB" w:rsidRPr="004811C9" w:rsidRDefault="000A4EDB" w:rsidP="000A4EDB">
            <w:pPr>
              <w:tabs>
                <w:tab w:val="decimal" w:pos="198"/>
              </w:tabs>
              <w:spacing w:after="0" w:line="240" w:lineRule="auto"/>
              <w:jc w:val="center"/>
              <w:rPr>
                <w:rFonts w:cs="Times New Roman"/>
                <w:sz w:val="20"/>
                <w:szCs w:val="20"/>
              </w:rPr>
            </w:pPr>
          </w:p>
        </w:tc>
        <w:tc>
          <w:tcPr>
            <w:tcW w:w="0" w:type="auto"/>
            <w:tcBorders>
              <w:top w:val="single" w:sz="4" w:space="0" w:color="auto"/>
              <w:left w:val="single" w:sz="6" w:space="0" w:color="auto"/>
            </w:tcBorders>
            <w:tcMar>
              <w:top w:w="0" w:type="dxa"/>
              <w:left w:w="115" w:type="dxa"/>
              <w:bottom w:w="0" w:type="dxa"/>
              <w:right w:w="216" w:type="dxa"/>
            </w:tcMar>
            <w:vAlign w:val="center"/>
          </w:tcPr>
          <w:p w14:paraId="6F6E34FF" w14:textId="77777777" w:rsidR="000A4EDB" w:rsidRPr="004811C9" w:rsidRDefault="000A4EDB" w:rsidP="000A4EDB">
            <w:pPr>
              <w:tabs>
                <w:tab w:val="decimal" w:pos="198"/>
              </w:tabs>
              <w:spacing w:after="0" w:line="240" w:lineRule="auto"/>
              <w:jc w:val="center"/>
              <w:rPr>
                <w:rFonts w:cs="Times New Roman"/>
                <w:sz w:val="20"/>
                <w:szCs w:val="20"/>
              </w:rPr>
            </w:pPr>
          </w:p>
        </w:tc>
        <w:tc>
          <w:tcPr>
            <w:tcW w:w="0" w:type="auto"/>
            <w:tcBorders>
              <w:top w:val="single" w:sz="4" w:space="0" w:color="auto"/>
              <w:right w:val="single" w:sz="18" w:space="0" w:color="auto"/>
            </w:tcBorders>
            <w:tcMar>
              <w:top w:w="0" w:type="dxa"/>
              <w:left w:w="115" w:type="dxa"/>
              <w:bottom w:w="0" w:type="dxa"/>
              <w:right w:w="216" w:type="dxa"/>
            </w:tcMar>
            <w:vAlign w:val="center"/>
          </w:tcPr>
          <w:p w14:paraId="71F41691" w14:textId="77777777" w:rsidR="000A4EDB" w:rsidRPr="004811C9" w:rsidRDefault="000A4EDB" w:rsidP="000A4EDB">
            <w:pPr>
              <w:tabs>
                <w:tab w:val="decimal" w:pos="198"/>
              </w:tabs>
              <w:spacing w:after="0" w:line="240" w:lineRule="auto"/>
              <w:jc w:val="center"/>
              <w:rPr>
                <w:rFonts w:cs="Times New Roman"/>
                <w:sz w:val="20"/>
                <w:szCs w:val="20"/>
              </w:rPr>
            </w:pPr>
          </w:p>
        </w:tc>
      </w:tr>
      <w:tr w:rsidR="000A4EDB" w:rsidRPr="004811C9" w14:paraId="4774D6B4"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661CD237" w14:textId="29EF512F" w:rsidR="000A4EDB" w:rsidRPr="004811C9" w:rsidRDefault="000A4EDB" w:rsidP="000A4EDB">
            <w:pPr>
              <w:spacing w:after="0" w:line="240" w:lineRule="auto"/>
              <w:rPr>
                <w:rFonts w:cs="Times New Roman"/>
                <w:sz w:val="20"/>
                <w:szCs w:val="20"/>
              </w:rPr>
            </w:pPr>
            <w:r w:rsidRPr="004811C9">
              <w:rPr>
                <w:rFonts w:cs="Times New Roman"/>
                <w:sz w:val="20"/>
                <w:szCs w:val="20"/>
              </w:rPr>
              <w:t>Gender (male)</w:t>
            </w:r>
          </w:p>
        </w:tc>
        <w:tc>
          <w:tcPr>
            <w:tcW w:w="987" w:type="dxa"/>
            <w:tcBorders>
              <w:left w:val="single" w:sz="18" w:space="0" w:color="auto"/>
            </w:tcBorders>
            <w:tcMar>
              <w:top w:w="0" w:type="dxa"/>
              <w:left w:w="115" w:type="dxa"/>
              <w:bottom w:w="0" w:type="dxa"/>
              <w:right w:w="216" w:type="dxa"/>
            </w:tcMar>
            <w:hideMark/>
          </w:tcPr>
          <w:p w14:paraId="7AB96DBB" w14:textId="22265A42" w:rsidR="000A4EDB" w:rsidRPr="004811C9" w:rsidRDefault="000A4EDB" w:rsidP="000A4EDB">
            <w:pPr>
              <w:tabs>
                <w:tab w:val="decimal" w:pos="198"/>
              </w:tabs>
              <w:spacing w:after="0" w:line="240" w:lineRule="auto"/>
              <w:jc w:val="center"/>
              <w:rPr>
                <w:rFonts w:cs="Times New Roman"/>
                <w:sz w:val="20"/>
                <w:szCs w:val="20"/>
              </w:rPr>
            </w:pPr>
          </w:p>
        </w:tc>
        <w:tc>
          <w:tcPr>
            <w:tcW w:w="990" w:type="dxa"/>
            <w:tcBorders>
              <w:right w:val="single" w:sz="6" w:space="0" w:color="auto"/>
            </w:tcBorders>
            <w:tcMar>
              <w:top w:w="0" w:type="dxa"/>
              <w:left w:w="115" w:type="dxa"/>
              <w:bottom w:w="0" w:type="dxa"/>
              <w:right w:w="216" w:type="dxa"/>
            </w:tcMar>
            <w:hideMark/>
          </w:tcPr>
          <w:p w14:paraId="36B39266" w14:textId="3461590A" w:rsidR="000A4EDB" w:rsidRPr="004811C9" w:rsidRDefault="000A4EDB" w:rsidP="000A4EDB">
            <w:pPr>
              <w:tabs>
                <w:tab w:val="decimal" w:pos="198"/>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hideMark/>
          </w:tcPr>
          <w:p w14:paraId="22042973" w14:textId="15A19DEA" w:rsidR="000A4EDB" w:rsidRPr="004811C9" w:rsidRDefault="000A4EDB" w:rsidP="000A4EDB">
            <w:pPr>
              <w:tabs>
                <w:tab w:val="decimal" w:pos="198"/>
              </w:tabs>
              <w:spacing w:after="0" w:line="240" w:lineRule="auto"/>
              <w:jc w:val="center"/>
              <w:rPr>
                <w:rFonts w:cs="Times New Roman"/>
                <w:sz w:val="20"/>
                <w:szCs w:val="20"/>
              </w:rPr>
            </w:pPr>
          </w:p>
        </w:tc>
        <w:tc>
          <w:tcPr>
            <w:tcW w:w="0" w:type="auto"/>
            <w:tcBorders>
              <w:right w:val="single" w:sz="18" w:space="0" w:color="auto"/>
            </w:tcBorders>
            <w:tcMar>
              <w:top w:w="0" w:type="dxa"/>
              <w:left w:w="115" w:type="dxa"/>
              <w:bottom w:w="0" w:type="dxa"/>
              <w:right w:w="216" w:type="dxa"/>
            </w:tcMar>
            <w:hideMark/>
          </w:tcPr>
          <w:p w14:paraId="14B6E4D1" w14:textId="7433E635" w:rsidR="000A4EDB" w:rsidRPr="004811C9" w:rsidRDefault="000A4EDB" w:rsidP="000A4EDB">
            <w:pPr>
              <w:tabs>
                <w:tab w:val="decimal" w:pos="198"/>
              </w:tabs>
              <w:spacing w:after="0" w:line="240" w:lineRule="auto"/>
              <w:jc w:val="center"/>
              <w:rPr>
                <w:rFonts w:cs="Times New Roman"/>
                <w:sz w:val="20"/>
                <w:szCs w:val="20"/>
              </w:rPr>
            </w:pPr>
          </w:p>
        </w:tc>
      </w:tr>
      <w:tr w:rsidR="000A4EDB" w:rsidRPr="004811C9" w14:paraId="29E5D5E7"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4A52B347" w14:textId="5D0A4985"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Female * Work or Education Trips</w:t>
            </w:r>
          </w:p>
        </w:tc>
        <w:tc>
          <w:tcPr>
            <w:tcW w:w="987" w:type="dxa"/>
            <w:tcBorders>
              <w:left w:val="single" w:sz="18" w:space="0" w:color="auto"/>
            </w:tcBorders>
            <w:tcMar>
              <w:top w:w="0" w:type="dxa"/>
              <w:left w:w="115" w:type="dxa"/>
              <w:bottom w:w="0" w:type="dxa"/>
              <w:right w:w="216" w:type="dxa"/>
            </w:tcMar>
          </w:tcPr>
          <w:p w14:paraId="61B491D1" w14:textId="6EB35E29"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0.19</w:t>
            </w:r>
          </w:p>
        </w:tc>
        <w:tc>
          <w:tcPr>
            <w:tcW w:w="990" w:type="dxa"/>
            <w:tcBorders>
              <w:right w:val="single" w:sz="6" w:space="0" w:color="auto"/>
            </w:tcBorders>
            <w:tcMar>
              <w:top w:w="0" w:type="dxa"/>
              <w:left w:w="115" w:type="dxa"/>
              <w:bottom w:w="0" w:type="dxa"/>
              <w:right w:w="216" w:type="dxa"/>
            </w:tcMar>
          </w:tcPr>
          <w:p w14:paraId="674AF5C3" w14:textId="72304BD8"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2.07</w:t>
            </w:r>
          </w:p>
        </w:tc>
        <w:tc>
          <w:tcPr>
            <w:tcW w:w="0" w:type="auto"/>
            <w:tcBorders>
              <w:left w:val="single" w:sz="6" w:space="0" w:color="auto"/>
            </w:tcBorders>
            <w:tcMar>
              <w:top w:w="0" w:type="dxa"/>
              <w:left w:w="115" w:type="dxa"/>
              <w:bottom w:w="0" w:type="dxa"/>
              <w:right w:w="216" w:type="dxa"/>
            </w:tcMar>
          </w:tcPr>
          <w:p w14:paraId="41C316D3" w14:textId="41DA8E89"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0.17</w:t>
            </w:r>
          </w:p>
        </w:tc>
        <w:tc>
          <w:tcPr>
            <w:tcW w:w="0" w:type="auto"/>
            <w:tcBorders>
              <w:right w:val="single" w:sz="18" w:space="0" w:color="auto"/>
            </w:tcBorders>
            <w:tcMar>
              <w:top w:w="0" w:type="dxa"/>
              <w:left w:w="115" w:type="dxa"/>
              <w:bottom w:w="0" w:type="dxa"/>
              <w:right w:w="216" w:type="dxa"/>
            </w:tcMar>
          </w:tcPr>
          <w:p w14:paraId="744F8673" w14:textId="789AFB5A"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2.49</w:t>
            </w:r>
          </w:p>
        </w:tc>
      </w:tr>
      <w:tr w:rsidR="000A4EDB" w:rsidRPr="004811C9" w14:paraId="24276191"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22DEABCD" w14:textId="6CA9A6E0"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Female * Maintenance or Leisure Trips</w:t>
            </w:r>
          </w:p>
        </w:tc>
        <w:tc>
          <w:tcPr>
            <w:tcW w:w="987" w:type="dxa"/>
            <w:tcBorders>
              <w:left w:val="single" w:sz="18" w:space="0" w:color="auto"/>
            </w:tcBorders>
            <w:tcMar>
              <w:top w:w="0" w:type="dxa"/>
              <w:left w:w="115" w:type="dxa"/>
              <w:bottom w:w="0" w:type="dxa"/>
              <w:right w:w="216" w:type="dxa"/>
            </w:tcMar>
          </w:tcPr>
          <w:p w14:paraId="5371AF5D" w14:textId="4373D0E4"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0.19</w:t>
            </w:r>
          </w:p>
        </w:tc>
        <w:tc>
          <w:tcPr>
            <w:tcW w:w="990" w:type="dxa"/>
            <w:tcBorders>
              <w:right w:val="single" w:sz="6" w:space="0" w:color="auto"/>
            </w:tcBorders>
            <w:tcMar>
              <w:top w:w="0" w:type="dxa"/>
              <w:left w:w="115" w:type="dxa"/>
              <w:bottom w:w="0" w:type="dxa"/>
              <w:right w:w="216" w:type="dxa"/>
            </w:tcMar>
          </w:tcPr>
          <w:p w14:paraId="4B615F19" w14:textId="4D219BDC"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2.07</w:t>
            </w:r>
          </w:p>
        </w:tc>
        <w:tc>
          <w:tcPr>
            <w:tcW w:w="0" w:type="auto"/>
            <w:tcBorders>
              <w:left w:val="single" w:sz="6" w:space="0" w:color="auto"/>
            </w:tcBorders>
            <w:tcMar>
              <w:top w:w="0" w:type="dxa"/>
              <w:left w:w="115" w:type="dxa"/>
              <w:bottom w:w="0" w:type="dxa"/>
              <w:right w:w="216" w:type="dxa"/>
            </w:tcMar>
          </w:tcPr>
          <w:p w14:paraId="718A1387" w14:textId="1D652961"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-0.12</w:t>
            </w:r>
          </w:p>
        </w:tc>
        <w:tc>
          <w:tcPr>
            <w:tcW w:w="0" w:type="auto"/>
            <w:tcBorders>
              <w:right w:val="single" w:sz="18" w:space="0" w:color="auto"/>
            </w:tcBorders>
            <w:tcMar>
              <w:top w:w="0" w:type="dxa"/>
              <w:left w:w="115" w:type="dxa"/>
              <w:bottom w:w="0" w:type="dxa"/>
              <w:right w:w="216" w:type="dxa"/>
            </w:tcMar>
          </w:tcPr>
          <w:p w14:paraId="591C0CE4" w14:textId="4CF13BA4"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-1.40</w:t>
            </w:r>
          </w:p>
        </w:tc>
      </w:tr>
      <w:tr w:rsidR="000A4EDB" w:rsidRPr="004811C9" w14:paraId="41816ABD"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18031BCA" w14:textId="5D89CE67" w:rsidR="000A4EDB" w:rsidRPr="004811C9" w:rsidRDefault="000A4EDB" w:rsidP="000A4EDB">
            <w:pPr>
              <w:spacing w:after="0" w:line="240" w:lineRule="auto"/>
              <w:rPr>
                <w:rFonts w:cs="Times New Roman"/>
                <w:sz w:val="20"/>
                <w:szCs w:val="20"/>
              </w:rPr>
            </w:pPr>
            <w:r w:rsidRPr="004811C9">
              <w:rPr>
                <w:rFonts w:cs="Times New Roman"/>
                <w:sz w:val="20"/>
                <w:szCs w:val="20"/>
              </w:rPr>
              <w:t>Age (less than 34)</w:t>
            </w:r>
          </w:p>
        </w:tc>
        <w:tc>
          <w:tcPr>
            <w:tcW w:w="987" w:type="dxa"/>
            <w:tcBorders>
              <w:left w:val="single" w:sz="18" w:space="0" w:color="auto"/>
            </w:tcBorders>
            <w:tcMar>
              <w:top w:w="0" w:type="dxa"/>
              <w:left w:w="115" w:type="dxa"/>
              <w:bottom w:w="0" w:type="dxa"/>
              <w:right w:w="216" w:type="dxa"/>
            </w:tcMar>
          </w:tcPr>
          <w:p w14:paraId="4A4DC277" w14:textId="77777777" w:rsidR="000A4EDB" w:rsidRPr="004811C9" w:rsidRDefault="000A4EDB" w:rsidP="00AC5410">
            <w:pPr>
              <w:tabs>
                <w:tab w:val="decimal" w:pos="271"/>
              </w:tabs>
              <w:spacing w:after="0" w:line="240" w:lineRule="auto"/>
              <w:jc w:val="center"/>
              <w:rPr>
                <w:rFonts w:cs="Times New Roman"/>
                <w:sz w:val="20"/>
                <w:szCs w:val="20"/>
              </w:rPr>
            </w:pPr>
          </w:p>
        </w:tc>
        <w:tc>
          <w:tcPr>
            <w:tcW w:w="990" w:type="dxa"/>
            <w:tcBorders>
              <w:right w:val="single" w:sz="6" w:space="0" w:color="auto"/>
            </w:tcBorders>
            <w:tcMar>
              <w:top w:w="0" w:type="dxa"/>
              <w:left w:w="115" w:type="dxa"/>
              <w:bottom w:w="0" w:type="dxa"/>
              <w:right w:w="216" w:type="dxa"/>
            </w:tcMar>
          </w:tcPr>
          <w:p w14:paraId="242A1DE8"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7ECA1C7A"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right w:val="single" w:sz="18" w:space="0" w:color="auto"/>
            </w:tcBorders>
            <w:tcMar>
              <w:top w:w="0" w:type="dxa"/>
              <w:left w:w="115" w:type="dxa"/>
              <w:bottom w:w="0" w:type="dxa"/>
              <w:right w:w="216" w:type="dxa"/>
            </w:tcMar>
          </w:tcPr>
          <w:p w14:paraId="2AB3744D" w14:textId="77777777" w:rsidR="000A4EDB" w:rsidRPr="004811C9" w:rsidRDefault="000A4EDB" w:rsidP="00AC5410">
            <w:pPr>
              <w:tabs>
                <w:tab w:val="decimal" w:pos="271"/>
              </w:tabs>
              <w:spacing w:after="0" w:line="240" w:lineRule="auto"/>
              <w:jc w:val="center"/>
              <w:rPr>
                <w:rFonts w:cs="Times New Roman"/>
                <w:sz w:val="20"/>
                <w:szCs w:val="20"/>
              </w:rPr>
            </w:pPr>
          </w:p>
        </w:tc>
      </w:tr>
      <w:tr w:rsidR="000A4EDB" w:rsidRPr="004811C9" w14:paraId="76BB37BA"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4B3C29FF" w14:textId="0AC03EBB"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35-44 * Work or Education Trips</w:t>
            </w:r>
          </w:p>
        </w:tc>
        <w:tc>
          <w:tcPr>
            <w:tcW w:w="987" w:type="dxa"/>
            <w:tcBorders>
              <w:left w:val="single" w:sz="18" w:space="0" w:color="auto"/>
            </w:tcBorders>
            <w:tcMar>
              <w:top w:w="0" w:type="dxa"/>
              <w:left w:w="115" w:type="dxa"/>
              <w:bottom w:w="0" w:type="dxa"/>
              <w:right w:w="216" w:type="dxa"/>
            </w:tcMar>
          </w:tcPr>
          <w:p w14:paraId="5E240463" w14:textId="0C334256"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-0.41</w:t>
            </w:r>
          </w:p>
        </w:tc>
        <w:tc>
          <w:tcPr>
            <w:tcW w:w="990" w:type="dxa"/>
            <w:tcBorders>
              <w:right w:val="single" w:sz="6" w:space="0" w:color="auto"/>
            </w:tcBorders>
            <w:tcMar>
              <w:top w:w="0" w:type="dxa"/>
              <w:left w:w="115" w:type="dxa"/>
              <w:bottom w:w="0" w:type="dxa"/>
              <w:right w:w="216" w:type="dxa"/>
            </w:tcMar>
          </w:tcPr>
          <w:p w14:paraId="26C92142" w14:textId="25848BC6"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-4.02</w:t>
            </w:r>
          </w:p>
        </w:tc>
        <w:tc>
          <w:tcPr>
            <w:tcW w:w="0" w:type="auto"/>
            <w:tcBorders>
              <w:left w:val="single" w:sz="6" w:space="0" w:color="auto"/>
            </w:tcBorders>
            <w:tcMar>
              <w:top w:w="0" w:type="dxa"/>
              <w:left w:w="115" w:type="dxa"/>
              <w:bottom w:w="0" w:type="dxa"/>
              <w:right w:w="216" w:type="dxa"/>
            </w:tcMar>
          </w:tcPr>
          <w:p w14:paraId="0D0DABE9" w14:textId="68F2FD0D"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-0.27</w:t>
            </w:r>
          </w:p>
        </w:tc>
        <w:tc>
          <w:tcPr>
            <w:tcW w:w="0" w:type="auto"/>
            <w:tcBorders>
              <w:right w:val="single" w:sz="18" w:space="0" w:color="auto"/>
            </w:tcBorders>
            <w:tcMar>
              <w:top w:w="0" w:type="dxa"/>
              <w:left w:w="115" w:type="dxa"/>
              <w:bottom w:w="0" w:type="dxa"/>
              <w:right w:w="216" w:type="dxa"/>
            </w:tcMar>
          </w:tcPr>
          <w:p w14:paraId="6088AF55" w14:textId="4CE2B88F"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-4.87</w:t>
            </w:r>
          </w:p>
        </w:tc>
      </w:tr>
      <w:tr w:rsidR="000A4EDB" w:rsidRPr="004811C9" w14:paraId="61DD6AD5"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2163D74E" w14:textId="30CF21D0"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45 or older * Work or Education Trips</w:t>
            </w:r>
          </w:p>
        </w:tc>
        <w:tc>
          <w:tcPr>
            <w:tcW w:w="987" w:type="dxa"/>
            <w:tcBorders>
              <w:left w:val="single" w:sz="18" w:space="0" w:color="auto"/>
            </w:tcBorders>
            <w:tcMar>
              <w:top w:w="0" w:type="dxa"/>
              <w:left w:w="115" w:type="dxa"/>
              <w:bottom w:w="0" w:type="dxa"/>
              <w:right w:w="216" w:type="dxa"/>
            </w:tcMar>
          </w:tcPr>
          <w:p w14:paraId="0E478D80" w14:textId="1550F691"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-0.70</w:t>
            </w:r>
          </w:p>
        </w:tc>
        <w:tc>
          <w:tcPr>
            <w:tcW w:w="990" w:type="dxa"/>
            <w:tcBorders>
              <w:right w:val="single" w:sz="6" w:space="0" w:color="auto"/>
            </w:tcBorders>
            <w:tcMar>
              <w:top w:w="0" w:type="dxa"/>
              <w:left w:w="115" w:type="dxa"/>
              <w:bottom w:w="0" w:type="dxa"/>
              <w:right w:w="216" w:type="dxa"/>
            </w:tcMar>
          </w:tcPr>
          <w:p w14:paraId="6A0C29E2" w14:textId="5E0FCF86"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-6.41</w:t>
            </w:r>
          </w:p>
        </w:tc>
        <w:tc>
          <w:tcPr>
            <w:tcW w:w="0" w:type="auto"/>
            <w:tcBorders>
              <w:left w:val="single" w:sz="6" w:space="0" w:color="auto"/>
            </w:tcBorders>
            <w:tcMar>
              <w:top w:w="0" w:type="dxa"/>
              <w:left w:w="115" w:type="dxa"/>
              <w:bottom w:w="0" w:type="dxa"/>
              <w:right w:w="216" w:type="dxa"/>
            </w:tcMar>
          </w:tcPr>
          <w:p w14:paraId="6FAFC0C1" w14:textId="1F992006"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-0.27</w:t>
            </w:r>
          </w:p>
        </w:tc>
        <w:tc>
          <w:tcPr>
            <w:tcW w:w="0" w:type="auto"/>
            <w:tcBorders>
              <w:right w:val="single" w:sz="18" w:space="0" w:color="auto"/>
            </w:tcBorders>
            <w:tcMar>
              <w:top w:w="0" w:type="dxa"/>
              <w:left w:w="115" w:type="dxa"/>
              <w:bottom w:w="0" w:type="dxa"/>
              <w:right w:w="216" w:type="dxa"/>
            </w:tcMar>
          </w:tcPr>
          <w:p w14:paraId="44829D68" w14:textId="506E3F93"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-4.87</w:t>
            </w:r>
          </w:p>
        </w:tc>
      </w:tr>
      <w:tr w:rsidR="000A4EDB" w:rsidRPr="004811C9" w14:paraId="495FC5E6"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71BC755C" w14:textId="3089C97D" w:rsidR="000A4EDB" w:rsidRPr="004811C9" w:rsidRDefault="000A4EDB" w:rsidP="000A4EDB">
            <w:pPr>
              <w:spacing w:after="0" w:line="240" w:lineRule="auto"/>
              <w:rPr>
                <w:rFonts w:cs="Times New Roman"/>
                <w:sz w:val="20"/>
                <w:szCs w:val="20"/>
              </w:rPr>
            </w:pPr>
            <w:r w:rsidRPr="004811C9">
              <w:rPr>
                <w:rFonts w:cs="Times New Roman"/>
                <w:sz w:val="20"/>
                <w:szCs w:val="20"/>
              </w:rPr>
              <w:t>Education (less than senior secondary)</w:t>
            </w:r>
          </w:p>
        </w:tc>
        <w:tc>
          <w:tcPr>
            <w:tcW w:w="987" w:type="dxa"/>
            <w:tcBorders>
              <w:left w:val="single" w:sz="18" w:space="0" w:color="auto"/>
            </w:tcBorders>
            <w:tcMar>
              <w:top w:w="0" w:type="dxa"/>
              <w:left w:w="115" w:type="dxa"/>
              <w:bottom w:w="0" w:type="dxa"/>
              <w:right w:w="216" w:type="dxa"/>
            </w:tcMar>
          </w:tcPr>
          <w:p w14:paraId="65EF3664" w14:textId="77777777" w:rsidR="000A4EDB" w:rsidRPr="004811C9" w:rsidRDefault="000A4EDB" w:rsidP="00AC5410">
            <w:pPr>
              <w:tabs>
                <w:tab w:val="decimal" w:pos="271"/>
              </w:tabs>
              <w:spacing w:after="0" w:line="240" w:lineRule="auto"/>
              <w:jc w:val="center"/>
              <w:rPr>
                <w:rFonts w:cs="Times New Roman"/>
                <w:sz w:val="20"/>
                <w:szCs w:val="20"/>
              </w:rPr>
            </w:pPr>
          </w:p>
        </w:tc>
        <w:tc>
          <w:tcPr>
            <w:tcW w:w="990" w:type="dxa"/>
            <w:tcBorders>
              <w:right w:val="single" w:sz="6" w:space="0" w:color="auto"/>
            </w:tcBorders>
            <w:tcMar>
              <w:top w:w="0" w:type="dxa"/>
              <w:left w:w="115" w:type="dxa"/>
              <w:bottom w:w="0" w:type="dxa"/>
              <w:right w:w="216" w:type="dxa"/>
            </w:tcMar>
          </w:tcPr>
          <w:p w14:paraId="250690CB"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07ED75E5"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right w:val="single" w:sz="18" w:space="0" w:color="auto"/>
            </w:tcBorders>
            <w:tcMar>
              <w:top w:w="0" w:type="dxa"/>
              <w:left w:w="115" w:type="dxa"/>
              <w:bottom w:w="0" w:type="dxa"/>
              <w:right w:w="216" w:type="dxa"/>
            </w:tcMar>
          </w:tcPr>
          <w:p w14:paraId="3BD083DF" w14:textId="77777777" w:rsidR="000A4EDB" w:rsidRPr="004811C9" w:rsidRDefault="000A4EDB" w:rsidP="00AC5410">
            <w:pPr>
              <w:tabs>
                <w:tab w:val="decimal" w:pos="271"/>
              </w:tabs>
              <w:spacing w:after="0" w:line="240" w:lineRule="auto"/>
              <w:jc w:val="center"/>
              <w:rPr>
                <w:rFonts w:cs="Times New Roman"/>
                <w:sz w:val="20"/>
                <w:szCs w:val="20"/>
              </w:rPr>
            </w:pPr>
          </w:p>
        </w:tc>
      </w:tr>
      <w:tr w:rsidR="000A4EDB" w:rsidRPr="004811C9" w14:paraId="50A2DA6C"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6CC0863F" w14:textId="31038725"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Senior Secondary passed</w:t>
            </w:r>
          </w:p>
        </w:tc>
        <w:tc>
          <w:tcPr>
            <w:tcW w:w="987" w:type="dxa"/>
            <w:tcBorders>
              <w:left w:val="single" w:sz="18" w:space="0" w:color="auto"/>
            </w:tcBorders>
            <w:tcMar>
              <w:top w:w="0" w:type="dxa"/>
              <w:left w:w="115" w:type="dxa"/>
              <w:bottom w:w="0" w:type="dxa"/>
              <w:right w:w="216" w:type="dxa"/>
            </w:tcMar>
          </w:tcPr>
          <w:p w14:paraId="30EB13A0" w14:textId="6F645BE6"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-0.40</w:t>
            </w:r>
          </w:p>
        </w:tc>
        <w:tc>
          <w:tcPr>
            <w:tcW w:w="990" w:type="dxa"/>
            <w:tcBorders>
              <w:right w:val="single" w:sz="6" w:space="0" w:color="auto"/>
            </w:tcBorders>
            <w:tcMar>
              <w:top w:w="0" w:type="dxa"/>
              <w:left w:w="115" w:type="dxa"/>
              <w:bottom w:w="0" w:type="dxa"/>
              <w:right w:w="216" w:type="dxa"/>
            </w:tcMar>
          </w:tcPr>
          <w:p w14:paraId="455CBAF7" w14:textId="78266F00"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-2.81</w:t>
            </w:r>
          </w:p>
        </w:tc>
        <w:tc>
          <w:tcPr>
            <w:tcW w:w="0" w:type="auto"/>
            <w:tcBorders>
              <w:left w:val="single" w:sz="6" w:space="0" w:color="auto"/>
            </w:tcBorders>
            <w:tcMar>
              <w:top w:w="0" w:type="dxa"/>
              <w:left w:w="115" w:type="dxa"/>
              <w:bottom w:w="0" w:type="dxa"/>
              <w:right w:w="216" w:type="dxa"/>
            </w:tcMar>
          </w:tcPr>
          <w:p w14:paraId="117D6768" w14:textId="757D5B4B"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-0.11</w:t>
            </w:r>
          </w:p>
        </w:tc>
        <w:tc>
          <w:tcPr>
            <w:tcW w:w="0" w:type="auto"/>
            <w:tcBorders>
              <w:right w:val="single" w:sz="18" w:space="0" w:color="auto"/>
            </w:tcBorders>
            <w:tcMar>
              <w:top w:w="0" w:type="dxa"/>
              <w:left w:w="115" w:type="dxa"/>
              <w:bottom w:w="0" w:type="dxa"/>
              <w:right w:w="216" w:type="dxa"/>
            </w:tcMar>
          </w:tcPr>
          <w:p w14:paraId="12F4B3CF" w14:textId="652435AB"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-1.68</w:t>
            </w:r>
          </w:p>
        </w:tc>
      </w:tr>
      <w:tr w:rsidR="000A4EDB" w:rsidRPr="004811C9" w14:paraId="1F8E9FB7"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43494DFB" w14:textId="392BD0D7"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Bachelor's degree or higher</w:t>
            </w:r>
          </w:p>
        </w:tc>
        <w:tc>
          <w:tcPr>
            <w:tcW w:w="987" w:type="dxa"/>
            <w:tcBorders>
              <w:left w:val="single" w:sz="18" w:space="0" w:color="auto"/>
            </w:tcBorders>
            <w:tcMar>
              <w:top w:w="0" w:type="dxa"/>
              <w:left w:w="115" w:type="dxa"/>
              <w:bottom w:w="0" w:type="dxa"/>
              <w:right w:w="216" w:type="dxa"/>
            </w:tcMar>
          </w:tcPr>
          <w:p w14:paraId="6E4171E5" w14:textId="60F79B46"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-0.47</w:t>
            </w:r>
          </w:p>
        </w:tc>
        <w:tc>
          <w:tcPr>
            <w:tcW w:w="990" w:type="dxa"/>
            <w:tcBorders>
              <w:right w:val="single" w:sz="6" w:space="0" w:color="auto"/>
            </w:tcBorders>
            <w:tcMar>
              <w:top w:w="0" w:type="dxa"/>
              <w:left w:w="115" w:type="dxa"/>
              <w:bottom w:w="0" w:type="dxa"/>
              <w:right w:w="216" w:type="dxa"/>
            </w:tcMar>
          </w:tcPr>
          <w:p w14:paraId="5FBB449E" w14:textId="160CBE19"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-3.26</w:t>
            </w:r>
          </w:p>
        </w:tc>
        <w:tc>
          <w:tcPr>
            <w:tcW w:w="0" w:type="auto"/>
            <w:tcBorders>
              <w:left w:val="single" w:sz="6" w:space="0" w:color="auto"/>
            </w:tcBorders>
            <w:tcMar>
              <w:top w:w="0" w:type="dxa"/>
              <w:left w:w="115" w:type="dxa"/>
              <w:bottom w:w="0" w:type="dxa"/>
              <w:right w:w="216" w:type="dxa"/>
            </w:tcMar>
          </w:tcPr>
          <w:p w14:paraId="2E4446ED" w14:textId="01E58D9E"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-0.38</w:t>
            </w:r>
          </w:p>
        </w:tc>
        <w:tc>
          <w:tcPr>
            <w:tcW w:w="0" w:type="auto"/>
            <w:tcBorders>
              <w:right w:val="single" w:sz="18" w:space="0" w:color="auto"/>
            </w:tcBorders>
            <w:tcMar>
              <w:top w:w="0" w:type="dxa"/>
              <w:left w:w="115" w:type="dxa"/>
              <w:bottom w:w="0" w:type="dxa"/>
              <w:right w:w="216" w:type="dxa"/>
            </w:tcMar>
          </w:tcPr>
          <w:p w14:paraId="0C61D0A9" w14:textId="5E769347"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-5.39</w:t>
            </w:r>
          </w:p>
        </w:tc>
      </w:tr>
      <w:tr w:rsidR="000A4EDB" w:rsidRPr="004811C9" w14:paraId="40EC34B9"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7EF41678" w14:textId="05FD036F" w:rsidR="000A4EDB" w:rsidRPr="004811C9" w:rsidRDefault="000A4EDB" w:rsidP="000A4EDB">
            <w:pPr>
              <w:spacing w:after="0" w:line="240" w:lineRule="auto"/>
              <w:rPr>
                <w:rFonts w:cs="Times New Roman"/>
                <w:sz w:val="20"/>
                <w:szCs w:val="20"/>
              </w:rPr>
            </w:pPr>
            <w:r w:rsidRPr="004811C9">
              <w:rPr>
                <w:rFonts w:cs="Times New Roman"/>
                <w:sz w:val="20"/>
                <w:szCs w:val="20"/>
              </w:rPr>
              <w:t>Income (less than Rs. 25 Lakh)</w:t>
            </w:r>
          </w:p>
        </w:tc>
        <w:tc>
          <w:tcPr>
            <w:tcW w:w="987" w:type="dxa"/>
            <w:tcBorders>
              <w:left w:val="single" w:sz="18" w:space="0" w:color="auto"/>
            </w:tcBorders>
            <w:tcMar>
              <w:top w:w="0" w:type="dxa"/>
              <w:left w:w="115" w:type="dxa"/>
              <w:bottom w:w="0" w:type="dxa"/>
              <w:right w:w="216" w:type="dxa"/>
            </w:tcMar>
          </w:tcPr>
          <w:p w14:paraId="750EF4FF" w14:textId="77777777" w:rsidR="000A4EDB" w:rsidRPr="004811C9" w:rsidRDefault="000A4EDB" w:rsidP="00AC5410">
            <w:pPr>
              <w:tabs>
                <w:tab w:val="decimal" w:pos="271"/>
              </w:tabs>
              <w:spacing w:after="0" w:line="240" w:lineRule="auto"/>
              <w:jc w:val="center"/>
              <w:rPr>
                <w:rFonts w:cs="Times New Roman"/>
                <w:sz w:val="20"/>
                <w:szCs w:val="20"/>
              </w:rPr>
            </w:pPr>
          </w:p>
        </w:tc>
        <w:tc>
          <w:tcPr>
            <w:tcW w:w="990" w:type="dxa"/>
            <w:tcBorders>
              <w:right w:val="single" w:sz="6" w:space="0" w:color="auto"/>
            </w:tcBorders>
            <w:tcMar>
              <w:top w:w="0" w:type="dxa"/>
              <w:left w:w="115" w:type="dxa"/>
              <w:bottom w:w="0" w:type="dxa"/>
              <w:right w:w="216" w:type="dxa"/>
            </w:tcMar>
          </w:tcPr>
          <w:p w14:paraId="59D9E122"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169EB0FE"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right w:val="single" w:sz="18" w:space="0" w:color="auto"/>
            </w:tcBorders>
            <w:tcMar>
              <w:top w:w="0" w:type="dxa"/>
              <w:left w:w="115" w:type="dxa"/>
              <w:bottom w:w="0" w:type="dxa"/>
              <w:right w:w="216" w:type="dxa"/>
            </w:tcMar>
          </w:tcPr>
          <w:p w14:paraId="60F8B95E" w14:textId="77777777" w:rsidR="000A4EDB" w:rsidRPr="004811C9" w:rsidRDefault="000A4EDB" w:rsidP="00AC5410">
            <w:pPr>
              <w:tabs>
                <w:tab w:val="decimal" w:pos="271"/>
              </w:tabs>
              <w:spacing w:after="0" w:line="240" w:lineRule="auto"/>
              <w:jc w:val="center"/>
              <w:rPr>
                <w:rFonts w:cs="Times New Roman"/>
                <w:sz w:val="20"/>
                <w:szCs w:val="20"/>
              </w:rPr>
            </w:pPr>
          </w:p>
        </w:tc>
      </w:tr>
      <w:tr w:rsidR="000A4EDB" w:rsidRPr="004811C9" w14:paraId="500B0A88"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58A5FE50" w14:textId="56796E5F"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25+ * Work or Education Trips</w:t>
            </w:r>
          </w:p>
        </w:tc>
        <w:tc>
          <w:tcPr>
            <w:tcW w:w="987" w:type="dxa"/>
            <w:tcBorders>
              <w:left w:val="single" w:sz="18" w:space="0" w:color="auto"/>
            </w:tcBorders>
            <w:tcMar>
              <w:top w:w="0" w:type="dxa"/>
              <w:left w:w="115" w:type="dxa"/>
              <w:bottom w:w="0" w:type="dxa"/>
              <w:right w:w="216" w:type="dxa"/>
            </w:tcMar>
          </w:tcPr>
          <w:p w14:paraId="731A3015" w14:textId="0B8C236F"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0.32</w:t>
            </w:r>
          </w:p>
        </w:tc>
        <w:tc>
          <w:tcPr>
            <w:tcW w:w="990" w:type="dxa"/>
            <w:tcBorders>
              <w:right w:val="single" w:sz="6" w:space="0" w:color="auto"/>
            </w:tcBorders>
            <w:tcMar>
              <w:top w:w="0" w:type="dxa"/>
              <w:left w:w="115" w:type="dxa"/>
              <w:bottom w:w="0" w:type="dxa"/>
              <w:right w:w="216" w:type="dxa"/>
            </w:tcMar>
          </w:tcPr>
          <w:p w14:paraId="4EB37A7B" w14:textId="1A38028A"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2.51</w:t>
            </w:r>
          </w:p>
        </w:tc>
        <w:tc>
          <w:tcPr>
            <w:tcW w:w="0" w:type="auto"/>
            <w:tcBorders>
              <w:left w:val="single" w:sz="6" w:space="0" w:color="auto"/>
            </w:tcBorders>
            <w:tcMar>
              <w:top w:w="0" w:type="dxa"/>
              <w:left w:w="115" w:type="dxa"/>
              <w:bottom w:w="0" w:type="dxa"/>
              <w:right w:w="216" w:type="dxa"/>
            </w:tcMar>
          </w:tcPr>
          <w:p w14:paraId="566EAD67" w14:textId="71C617DC"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-0.31</w:t>
            </w:r>
          </w:p>
        </w:tc>
        <w:tc>
          <w:tcPr>
            <w:tcW w:w="0" w:type="auto"/>
            <w:tcBorders>
              <w:right w:val="single" w:sz="18" w:space="0" w:color="auto"/>
            </w:tcBorders>
            <w:tcMar>
              <w:top w:w="0" w:type="dxa"/>
              <w:left w:w="115" w:type="dxa"/>
              <w:bottom w:w="0" w:type="dxa"/>
              <w:right w:w="216" w:type="dxa"/>
            </w:tcMar>
          </w:tcPr>
          <w:p w14:paraId="6EFF37C2" w14:textId="578E47CF"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-4.30</w:t>
            </w:r>
          </w:p>
        </w:tc>
      </w:tr>
      <w:tr w:rsidR="000A4EDB" w:rsidRPr="004811C9" w14:paraId="01985522"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0228F5DE" w14:textId="0865B7D4"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25+ * Maintenance or Leisure Trips</w:t>
            </w:r>
          </w:p>
        </w:tc>
        <w:tc>
          <w:tcPr>
            <w:tcW w:w="987" w:type="dxa"/>
            <w:tcBorders>
              <w:left w:val="single" w:sz="18" w:space="0" w:color="auto"/>
            </w:tcBorders>
            <w:tcMar>
              <w:top w:w="0" w:type="dxa"/>
              <w:left w:w="115" w:type="dxa"/>
              <w:bottom w:w="0" w:type="dxa"/>
              <w:right w:w="216" w:type="dxa"/>
            </w:tcMar>
          </w:tcPr>
          <w:p w14:paraId="786CEFFB" w14:textId="4149FB82"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0.32</w:t>
            </w:r>
          </w:p>
        </w:tc>
        <w:tc>
          <w:tcPr>
            <w:tcW w:w="990" w:type="dxa"/>
            <w:tcBorders>
              <w:right w:val="single" w:sz="6" w:space="0" w:color="auto"/>
            </w:tcBorders>
            <w:tcMar>
              <w:top w:w="0" w:type="dxa"/>
              <w:left w:w="115" w:type="dxa"/>
              <w:bottom w:w="0" w:type="dxa"/>
              <w:right w:w="216" w:type="dxa"/>
            </w:tcMar>
          </w:tcPr>
          <w:p w14:paraId="063F6215" w14:textId="4E428C9B"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2.51</w:t>
            </w:r>
          </w:p>
        </w:tc>
        <w:tc>
          <w:tcPr>
            <w:tcW w:w="0" w:type="auto"/>
            <w:tcBorders>
              <w:left w:val="single" w:sz="6" w:space="0" w:color="auto"/>
            </w:tcBorders>
            <w:tcMar>
              <w:top w:w="0" w:type="dxa"/>
              <w:left w:w="115" w:type="dxa"/>
              <w:bottom w:w="0" w:type="dxa"/>
              <w:right w:w="216" w:type="dxa"/>
            </w:tcMar>
          </w:tcPr>
          <w:p w14:paraId="48A2676A" w14:textId="6A19031A"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0.34</w:t>
            </w:r>
          </w:p>
        </w:tc>
        <w:tc>
          <w:tcPr>
            <w:tcW w:w="0" w:type="auto"/>
            <w:tcBorders>
              <w:right w:val="single" w:sz="18" w:space="0" w:color="auto"/>
            </w:tcBorders>
            <w:tcMar>
              <w:top w:w="0" w:type="dxa"/>
              <w:left w:w="115" w:type="dxa"/>
              <w:bottom w:w="0" w:type="dxa"/>
              <w:right w:w="216" w:type="dxa"/>
            </w:tcMar>
          </w:tcPr>
          <w:p w14:paraId="196638A8" w14:textId="5C98F2C1"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2.90</w:t>
            </w:r>
          </w:p>
        </w:tc>
      </w:tr>
      <w:tr w:rsidR="000A4EDB" w:rsidRPr="004811C9" w14:paraId="25F74F3E"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7096A615" w14:textId="6F0917C1" w:rsidR="000A4EDB" w:rsidRPr="004811C9" w:rsidRDefault="000A4EDB" w:rsidP="000A4EDB">
            <w:pPr>
              <w:spacing w:after="0" w:line="240" w:lineRule="auto"/>
              <w:rPr>
                <w:rFonts w:cs="Times New Roman"/>
                <w:sz w:val="20"/>
                <w:szCs w:val="20"/>
              </w:rPr>
            </w:pPr>
            <w:r w:rsidRPr="004811C9">
              <w:rPr>
                <w:rFonts w:cs="Times New Roman"/>
                <w:sz w:val="20"/>
                <w:szCs w:val="20"/>
              </w:rPr>
              <w:t>Household Composition</w:t>
            </w:r>
            <w:r w:rsidR="00472653">
              <w:rPr>
                <w:rFonts w:cs="Times New Roman"/>
                <w:sz w:val="20"/>
                <w:szCs w:val="20"/>
              </w:rPr>
              <w:t xml:space="preserve"> (multiple adults with no children)</w:t>
            </w:r>
          </w:p>
        </w:tc>
        <w:tc>
          <w:tcPr>
            <w:tcW w:w="987" w:type="dxa"/>
            <w:tcBorders>
              <w:left w:val="single" w:sz="18" w:space="0" w:color="auto"/>
            </w:tcBorders>
            <w:tcMar>
              <w:top w:w="0" w:type="dxa"/>
              <w:left w:w="115" w:type="dxa"/>
              <w:bottom w:w="0" w:type="dxa"/>
              <w:right w:w="216" w:type="dxa"/>
            </w:tcMar>
          </w:tcPr>
          <w:p w14:paraId="5E6E5B8E" w14:textId="77777777" w:rsidR="000A4EDB" w:rsidRPr="004811C9" w:rsidRDefault="000A4EDB" w:rsidP="00AC5410">
            <w:pPr>
              <w:tabs>
                <w:tab w:val="decimal" w:pos="271"/>
              </w:tabs>
              <w:spacing w:after="0" w:line="240" w:lineRule="auto"/>
              <w:jc w:val="center"/>
              <w:rPr>
                <w:rFonts w:cs="Times New Roman"/>
                <w:sz w:val="20"/>
                <w:szCs w:val="20"/>
              </w:rPr>
            </w:pPr>
          </w:p>
        </w:tc>
        <w:tc>
          <w:tcPr>
            <w:tcW w:w="990" w:type="dxa"/>
            <w:tcBorders>
              <w:right w:val="single" w:sz="6" w:space="0" w:color="auto"/>
            </w:tcBorders>
            <w:tcMar>
              <w:top w:w="0" w:type="dxa"/>
              <w:left w:w="115" w:type="dxa"/>
              <w:bottom w:w="0" w:type="dxa"/>
              <w:right w:w="216" w:type="dxa"/>
            </w:tcMar>
          </w:tcPr>
          <w:p w14:paraId="4ABB2E07"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09E19B69"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right w:val="single" w:sz="18" w:space="0" w:color="auto"/>
            </w:tcBorders>
            <w:tcMar>
              <w:top w:w="0" w:type="dxa"/>
              <w:left w:w="115" w:type="dxa"/>
              <w:bottom w:w="0" w:type="dxa"/>
              <w:right w:w="216" w:type="dxa"/>
            </w:tcMar>
          </w:tcPr>
          <w:p w14:paraId="2F13CEF5" w14:textId="77777777" w:rsidR="000A4EDB" w:rsidRPr="004811C9" w:rsidRDefault="000A4EDB" w:rsidP="00AC5410">
            <w:pPr>
              <w:tabs>
                <w:tab w:val="decimal" w:pos="271"/>
              </w:tabs>
              <w:spacing w:after="0" w:line="240" w:lineRule="auto"/>
              <w:jc w:val="center"/>
              <w:rPr>
                <w:rFonts w:cs="Times New Roman"/>
                <w:sz w:val="20"/>
                <w:szCs w:val="20"/>
              </w:rPr>
            </w:pPr>
          </w:p>
        </w:tc>
      </w:tr>
      <w:tr w:rsidR="000A4EDB" w:rsidRPr="004811C9" w14:paraId="2A9EC60F"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20ECB72D" w14:textId="5E04DFA4"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Presence of Children * Work or Education Trips</w:t>
            </w:r>
          </w:p>
        </w:tc>
        <w:tc>
          <w:tcPr>
            <w:tcW w:w="987" w:type="dxa"/>
            <w:tcBorders>
              <w:left w:val="single" w:sz="18" w:space="0" w:color="auto"/>
            </w:tcBorders>
            <w:tcMar>
              <w:top w:w="0" w:type="dxa"/>
              <w:left w:w="115" w:type="dxa"/>
              <w:bottom w:w="0" w:type="dxa"/>
              <w:right w:w="216" w:type="dxa"/>
            </w:tcMar>
          </w:tcPr>
          <w:p w14:paraId="343BFCB6" w14:textId="7C048026"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-0.57</w:t>
            </w:r>
          </w:p>
        </w:tc>
        <w:tc>
          <w:tcPr>
            <w:tcW w:w="990" w:type="dxa"/>
            <w:tcBorders>
              <w:right w:val="single" w:sz="6" w:space="0" w:color="auto"/>
            </w:tcBorders>
            <w:tcMar>
              <w:top w:w="0" w:type="dxa"/>
              <w:left w:w="115" w:type="dxa"/>
              <w:bottom w:w="0" w:type="dxa"/>
              <w:right w:w="216" w:type="dxa"/>
            </w:tcMar>
          </w:tcPr>
          <w:p w14:paraId="7C5A90E7" w14:textId="53B52F62"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-5.49</w:t>
            </w:r>
          </w:p>
        </w:tc>
        <w:tc>
          <w:tcPr>
            <w:tcW w:w="0" w:type="auto"/>
            <w:tcBorders>
              <w:left w:val="single" w:sz="6" w:space="0" w:color="auto"/>
            </w:tcBorders>
            <w:tcMar>
              <w:top w:w="0" w:type="dxa"/>
              <w:left w:w="115" w:type="dxa"/>
              <w:bottom w:w="0" w:type="dxa"/>
              <w:right w:w="216" w:type="dxa"/>
            </w:tcMar>
          </w:tcPr>
          <w:p w14:paraId="3975F65D" w14:textId="68E7ACEC"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0.58</w:t>
            </w:r>
          </w:p>
        </w:tc>
        <w:tc>
          <w:tcPr>
            <w:tcW w:w="0" w:type="auto"/>
            <w:tcBorders>
              <w:right w:val="single" w:sz="18" w:space="0" w:color="auto"/>
            </w:tcBorders>
            <w:tcMar>
              <w:top w:w="0" w:type="dxa"/>
              <w:left w:w="115" w:type="dxa"/>
              <w:bottom w:w="0" w:type="dxa"/>
              <w:right w:w="216" w:type="dxa"/>
            </w:tcMar>
          </w:tcPr>
          <w:p w14:paraId="7D791EC7" w14:textId="1AE1D046"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9.30</w:t>
            </w:r>
          </w:p>
        </w:tc>
      </w:tr>
      <w:tr w:rsidR="000A4EDB" w:rsidRPr="004811C9" w14:paraId="446C323B"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0D8EDF5F" w14:textId="63FFCE8A"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Presence of Children * Maintenance or Leisure Trips</w:t>
            </w:r>
          </w:p>
        </w:tc>
        <w:tc>
          <w:tcPr>
            <w:tcW w:w="987" w:type="dxa"/>
            <w:tcBorders>
              <w:left w:val="single" w:sz="18" w:space="0" w:color="auto"/>
            </w:tcBorders>
            <w:tcMar>
              <w:top w:w="0" w:type="dxa"/>
              <w:left w:w="115" w:type="dxa"/>
              <w:bottom w:w="0" w:type="dxa"/>
              <w:right w:w="216" w:type="dxa"/>
            </w:tcMar>
          </w:tcPr>
          <w:p w14:paraId="3D1C0139" w14:textId="67A37E6A"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0.23</w:t>
            </w:r>
          </w:p>
        </w:tc>
        <w:tc>
          <w:tcPr>
            <w:tcW w:w="990" w:type="dxa"/>
            <w:tcBorders>
              <w:right w:val="single" w:sz="6" w:space="0" w:color="auto"/>
            </w:tcBorders>
            <w:tcMar>
              <w:top w:w="0" w:type="dxa"/>
              <w:left w:w="115" w:type="dxa"/>
              <w:bottom w:w="0" w:type="dxa"/>
              <w:right w:w="216" w:type="dxa"/>
            </w:tcMar>
          </w:tcPr>
          <w:p w14:paraId="7667CD02" w14:textId="06359322"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1.68</w:t>
            </w:r>
          </w:p>
        </w:tc>
        <w:tc>
          <w:tcPr>
            <w:tcW w:w="0" w:type="auto"/>
            <w:tcBorders>
              <w:left w:val="single" w:sz="6" w:space="0" w:color="auto"/>
            </w:tcBorders>
            <w:tcMar>
              <w:top w:w="0" w:type="dxa"/>
              <w:left w:w="115" w:type="dxa"/>
              <w:bottom w:w="0" w:type="dxa"/>
              <w:right w:w="216" w:type="dxa"/>
            </w:tcMar>
          </w:tcPr>
          <w:p w14:paraId="0730B5C0" w14:textId="505A4509"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0.23</w:t>
            </w:r>
          </w:p>
        </w:tc>
        <w:tc>
          <w:tcPr>
            <w:tcW w:w="0" w:type="auto"/>
            <w:tcBorders>
              <w:right w:val="single" w:sz="18" w:space="0" w:color="auto"/>
            </w:tcBorders>
            <w:tcMar>
              <w:top w:w="0" w:type="dxa"/>
              <w:left w:w="115" w:type="dxa"/>
              <w:bottom w:w="0" w:type="dxa"/>
              <w:right w:w="216" w:type="dxa"/>
            </w:tcMar>
          </w:tcPr>
          <w:p w14:paraId="72B92924" w14:textId="32174143"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2.67</w:t>
            </w:r>
          </w:p>
        </w:tc>
      </w:tr>
      <w:tr w:rsidR="000A4EDB" w:rsidRPr="004811C9" w14:paraId="46E6B208"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2752D20B" w14:textId="412F7CC2"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Lives Alone</w:t>
            </w:r>
          </w:p>
        </w:tc>
        <w:tc>
          <w:tcPr>
            <w:tcW w:w="987" w:type="dxa"/>
            <w:tcBorders>
              <w:left w:val="single" w:sz="18" w:space="0" w:color="auto"/>
            </w:tcBorders>
            <w:tcMar>
              <w:top w:w="0" w:type="dxa"/>
              <w:left w:w="115" w:type="dxa"/>
              <w:bottom w:w="0" w:type="dxa"/>
              <w:right w:w="216" w:type="dxa"/>
            </w:tcMar>
          </w:tcPr>
          <w:p w14:paraId="2F50C20B" w14:textId="55D1FB03"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-0.33</w:t>
            </w:r>
          </w:p>
        </w:tc>
        <w:tc>
          <w:tcPr>
            <w:tcW w:w="990" w:type="dxa"/>
            <w:tcBorders>
              <w:right w:val="single" w:sz="6" w:space="0" w:color="auto"/>
            </w:tcBorders>
            <w:tcMar>
              <w:top w:w="0" w:type="dxa"/>
              <w:left w:w="115" w:type="dxa"/>
              <w:bottom w:w="0" w:type="dxa"/>
              <w:right w:w="216" w:type="dxa"/>
            </w:tcMar>
          </w:tcPr>
          <w:p w14:paraId="4830F5DD" w14:textId="73978870"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-2.05</w:t>
            </w:r>
          </w:p>
        </w:tc>
        <w:tc>
          <w:tcPr>
            <w:tcW w:w="0" w:type="auto"/>
            <w:tcBorders>
              <w:left w:val="single" w:sz="6" w:space="0" w:color="auto"/>
            </w:tcBorders>
            <w:tcMar>
              <w:top w:w="0" w:type="dxa"/>
              <w:left w:w="115" w:type="dxa"/>
              <w:bottom w:w="0" w:type="dxa"/>
              <w:right w:w="216" w:type="dxa"/>
            </w:tcMar>
          </w:tcPr>
          <w:p w14:paraId="1954FF45" w14:textId="175A358A"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-0.59</w:t>
            </w:r>
          </w:p>
        </w:tc>
        <w:tc>
          <w:tcPr>
            <w:tcW w:w="0" w:type="auto"/>
            <w:tcBorders>
              <w:right w:val="single" w:sz="18" w:space="0" w:color="auto"/>
            </w:tcBorders>
            <w:tcMar>
              <w:top w:w="0" w:type="dxa"/>
              <w:left w:w="115" w:type="dxa"/>
              <w:bottom w:w="0" w:type="dxa"/>
              <w:right w:w="216" w:type="dxa"/>
            </w:tcMar>
          </w:tcPr>
          <w:p w14:paraId="6CD1C7B1" w14:textId="7AC4A48E"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-5.71</w:t>
            </w:r>
          </w:p>
        </w:tc>
      </w:tr>
      <w:tr w:rsidR="000A4EDB" w:rsidRPr="004811C9" w14:paraId="4BC64BF0"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758933BC" w14:textId="64E9C8FB" w:rsidR="000A4EDB" w:rsidRPr="004811C9" w:rsidRDefault="000A4EDB" w:rsidP="000A4EDB">
            <w:pPr>
              <w:spacing w:after="0" w:line="240" w:lineRule="auto"/>
              <w:rPr>
                <w:rFonts w:cs="Times New Roman"/>
                <w:sz w:val="20"/>
                <w:szCs w:val="20"/>
              </w:rPr>
            </w:pPr>
            <w:r w:rsidRPr="004811C9">
              <w:rPr>
                <w:rFonts w:cs="Times New Roman"/>
                <w:sz w:val="20"/>
                <w:szCs w:val="20"/>
              </w:rPr>
              <w:t>Employment (not employed)</w:t>
            </w:r>
          </w:p>
        </w:tc>
        <w:tc>
          <w:tcPr>
            <w:tcW w:w="987" w:type="dxa"/>
            <w:tcBorders>
              <w:left w:val="single" w:sz="18" w:space="0" w:color="auto"/>
            </w:tcBorders>
            <w:tcMar>
              <w:top w:w="0" w:type="dxa"/>
              <w:left w:w="115" w:type="dxa"/>
              <w:bottom w:w="0" w:type="dxa"/>
              <w:right w:w="216" w:type="dxa"/>
            </w:tcMar>
          </w:tcPr>
          <w:p w14:paraId="2B92A052" w14:textId="77777777" w:rsidR="000A4EDB" w:rsidRPr="004811C9" w:rsidRDefault="000A4EDB" w:rsidP="00AC5410">
            <w:pPr>
              <w:tabs>
                <w:tab w:val="decimal" w:pos="271"/>
              </w:tabs>
              <w:spacing w:after="0" w:line="240" w:lineRule="auto"/>
              <w:jc w:val="center"/>
              <w:rPr>
                <w:rFonts w:cs="Times New Roman"/>
                <w:sz w:val="20"/>
                <w:szCs w:val="20"/>
              </w:rPr>
            </w:pPr>
          </w:p>
        </w:tc>
        <w:tc>
          <w:tcPr>
            <w:tcW w:w="990" w:type="dxa"/>
            <w:tcBorders>
              <w:right w:val="single" w:sz="6" w:space="0" w:color="auto"/>
            </w:tcBorders>
            <w:tcMar>
              <w:top w:w="0" w:type="dxa"/>
              <w:left w:w="115" w:type="dxa"/>
              <w:bottom w:w="0" w:type="dxa"/>
              <w:right w:w="216" w:type="dxa"/>
            </w:tcMar>
          </w:tcPr>
          <w:p w14:paraId="331D285B"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00A1F83D"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right w:val="single" w:sz="18" w:space="0" w:color="auto"/>
            </w:tcBorders>
            <w:tcMar>
              <w:top w:w="0" w:type="dxa"/>
              <w:left w:w="115" w:type="dxa"/>
              <w:bottom w:w="0" w:type="dxa"/>
              <w:right w:w="216" w:type="dxa"/>
            </w:tcMar>
          </w:tcPr>
          <w:p w14:paraId="60BCF315" w14:textId="77777777" w:rsidR="000A4EDB" w:rsidRPr="004811C9" w:rsidRDefault="000A4EDB" w:rsidP="00AC5410">
            <w:pPr>
              <w:tabs>
                <w:tab w:val="decimal" w:pos="271"/>
              </w:tabs>
              <w:spacing w:after="0" w:line="240" w:lineRule="auto"/>
              <w:jc w:val="center"/>
              <w:rPr>
                <w:rFonts w:cs="Times New Roman"/>
                <w:sz w:val="20"/>
                <w:szCs w:val="20"/>
              </w:rPr>
            </w:pPr>
          </w:p>
        </w:tc>
      </w:tr>
      <w:tr w:rsidR="000A4EDB" w:rsidRPr="004811C9" w14:paraId="40086526"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30E36BC4" w14:textId="77D02683"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Employed * Work or Education Trips</w:t>
            </w:r>
          </w:p>
        </w:tc>
        <w:tc>
          <w:tcPr>
            <w:tcW w:w="987" w:type="dxa"/>
            <w:tcBorders>
              <w:left w:val="single" w:sz="18" w:space="0" w:color="auto"/>
            </w:tcBorders>
            <w:tcMar>
              <w:top w:w="0" w:type="dxa"/>
              <w:left w:w="115" w:type="dxa"/>
              <w:bottom w:w="0" w:type="dxa"/>
              <w:right w:w="216" w:type="dxa"/>
            </w:tcMar>
          </w:tcPr>
          <w:p w14:paraId="1FAA1EA3" w14:textId="07626DEC"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0.23</w:t>
            </w:r>
          </w:p>
        </w:tc>
        <w:tc>
          <w:tcPr>
            <w:tcW w:w="990" w:type="dxa"/>
            <w:tcBorders>
              <w:right w:val="single" w:sz="6" w:space="0" w:color="auto"/>
            </w:tcBorders>
            <w:tcMar>
              <w:top w:w="0" w:type="dxa"/>
              <w:left w:w="115" w:type="dxa"/>
              <w:bottom w:w="0" w:type="dxa"/>
              <w:right w:w="216" w:type="dxa"/>
            </w:tcMar>
          </w:tcPr>
          <w:p w14:paraId="5C662449" w14:textId="661FB3CD"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2.10</w:t>
            </w:r>
          </w:p>
        </w:tc>
        <w:tc>
          <w:tcPr>
            <w:tcW w:w="0" w:type="auto"/>
            <w:tcBorders>
              <w:left w:val="single" w:sz="6" w:space="0" w:color="auto"/>
            </w:tcBorders>
            <w:tcMar>
              <w:top w:w="0" w:type="dxa"/>
              <w:left w:w="115" w:type="dxa"/>
              <w:bottom w:w="0" w:type="dxa"/>
              <w:right w:w="216" w:type="dxa"/>
            </w:tcMar>
          </w:tcPr>
          <w:p w14:paraId="558AF2E3" w14:textId="69419ABC"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0.25</w:t>
            </w:r>
          </w:p>
        </w:tc>
        <w:tc>
          <w:tcPr>
            <w:tcW w:w="0" w:type="auto"/>
            <w:tcBorders>
              <w:right w:val="single" w:sz="18" w:space="0" w:color="auto"/>
            </w:tcBorders>
            <w:tcMar>
              <w:top w:w="0" w:type="dxa"/>
              <w:left w:w="115" w:type="dxa"/>
              <w:bottom w:w="0" w:type="dxa"/>
              <w:right w:w="216" w:type="dxa"/>
            </w:tcMar>
          </w:tcPr>
          <w:p w14:paraId="4E94DDA8" w14:textId="14DA0148"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3.56</w:t>
            </w:r>
          </w:p>
        </w:tc>
      </w:tr>
      <w:tr w:rsidR="000A4EDB" w:rsidRPr="004811C9" w14:paraId="11D797C4"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7EF523AF" w14:textId="0A6FD89D" w:rsidR="000A4EDB" w:rsidRPr="004811C9" w:rsidRDefault="000A4EDB" w:rsidP="000A4EDB">
            <w:pPr>
              <w:spacing w:after="0" w:line="240" w:lineRule="auto"/>
              <w:rPr>
                <w:rFonts w:cs="Times New Roman"/>
                <w:sz w:val="20"/>
                <w:szCs w:val="20"/>
              </w:rPr>
            </w:pPr>
            <w:r w:rsidRPr="004811C9">
              <w:rPr>
                <w:rFonts w:cs="Times New Roman"/>
                <w:sz w:val="20"/>
                <w:szCs w:val="20"/>
              </w:rPr>
              <w:t>Population density (low or medium)</w:t>
            </w:r>
          </w:p>
        </w:tc>
        <w:tc>
          <w:tcPr>
            <w:tcW w:w="987" w:type="dxa"/>
            <w:tcBorders>
              <w:left w:val="single" w:sz="18" w:space="0" w:color="auto"/>
            </w:tcBorders>
            <w:tcMar>
              <w:top w:w="0" w:type="dxa"/>
              <w:left w:w="115" w:type="dxa"/>
              <w:bottom w:w="0" w:type="dxa"/>
              <w:right w:w="216" w:type="dxa"/>
            </w:tcMar>
          </w:tcPr>
          <w:p w14:paraId="1D66DC2C" w14:textId="77777777" w:rsidR="000A4EDB" w:rsidRPr="004811C9" w:rsidRDefault="000A4EDB" w:rsidP="00AC5410">
            <w:pPr>
              <w:tabs>
                <w:tab w:val="decimal" w:pos="271"/>
              </w:tabs>
              <w:spacing w:after="0" w:line="240" w:lineRule="auto"/>
              <w:jc w:val="center"/>
              <w:rPr>
                <w:rFonts w:cs="Times New Roman"/>
                <w:sz w:val="20"/>
                <w:szCs w:val="20"/>
              </w:rPr>
            </w:pPr>
          </w:p>
        </w:tc>
        <w:tc>
          <w:tcPr>
            <w:tcW w:w="990" w:type="dxa"/>
            <w:tcBorders>
              <w:right w:val="single" w:sz="6" w:space="0" w:color="auto"/>
            </w:tcBorders>
            <w:tcMar>
              <w:top w:w="0" w:type="dxa"/>
              <w:left w:w="115" w:type="dxa"/>
              <w:bottom w:w="0" w:type="dxa"/>
              <w:right w:w="216" w:type="dxa"/>
            </w:tcMar>
          </w:tcPr>
          <w:p w14:paraId="0E195788"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7D3FC42F" w14:textId="77777777"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right w:val="single" w:sz="18" w:space="0" w:color="auto"/>
            </w:tcBorders>
            <w:tcMar>
              <w:top w:w="0" w:type="dxa"/>
              <w:left w:w="115" w:type="dxa"/>
              <w:bottom w:w="0" w:type="dxa"/>
              <w:right w:w="216" w:type="dxa"/>
            </w:tcMar>
          </w:tcPr>
          <w:p w14:paraId="12563FBB" w14:textId="77777777" w:rsidR="000A4EDB" w:rsidRPr="004811C9" w:rsidRDefault="000A4EDB" w:rsidP="00AC5410">
            <w:pPr>
              <w:tabs>
                <w:tab w:val="decimal" w:pos="271"/>
              </w:tabs>
              <w:spacing w:after="0" w:line="240" w:lineRule="auto"/>
              <w:jc w:val="center"/>
              <w:rPr>
                <w:rFonts w:cs="Times New Roman"/>
                <w:sz w:val="20"/>
                <w:szCs w:val="20"/>
              </w:rPr>
            </w:pPr>
          </w:p>
        </w:tc>
      </w:tr>
      <w:tr w:rsidR="000A4EDB" w:rsidRPr="004811C9" w14:paraId="01208AF0"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6F861D21" w14:textId="7FD5AE03"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High</w:t>
            </w:r>
          </w:p>
        </w:tc>
        <w:tc>
          <w:tcPr>
            <w:tcW w:w="987" w:type="dxa"/>
            <w:tcBorders>
              <w:left w:val="single" w:sz="18" w:space="0" w:color="auto"/>
            </w:tcBorders>
            <w:tcMar>
              <w:top w:w="0" w:type="dxa"/>
              <w:left w:w="115" w:type="dxa"/>
              <w:bottom w:w="0" w:type="dxa"/>
              <w:right w:w="216" w:type="dxa"/>
            </w:tcMar>
          </w:tcPr>
          <w:p w14:paraId="07187174" w14:textId="4381A505"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-0.46</w:t>
            </w:r>
          </w:p>
        </w:tc>
        <w:tc>
          <w:tcPr>
            <w:tcW w:w="990" w:type="dxa"/>
            <w:tcBorders>
              <w:right w:val="single" w:sz="6" w:space="0" w:color="auto"/>
            </w:tcBorders>
            <w:tcMar>
              <w:top w:w="0" w:type="dxa"/>
              <w:left w:w="115" w:type="dxa"/>
              <w:bottom w:w="0" w:type="dxa"/>
              <w:right w:w="216" w:type="dxa"/>
            </w:tcMar>
          </w:tcPr>
          <w:p w14:paraId="4FC5295C" w14:textId="5FA49B70"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-5.64</w:t>
            </w:r>
          </w:p>
        </w:tc>
        <w:tc>
          <w:tcPr>
            <w:tcW w:w="0" w:type="auto"/>
            <w:tcBorders>
              <w:left w:val="single" w:sz="6" w:space="0" w:color="auto"/>
            </w:tcBorders>
            <w:tcMar>
              <w:top w:w="0" w:type="dxa"/>
              <w:left w:w="115" w:type="dxa"/>
              <w:bottom w:w="0" w:type="dxa"/>
              <w:right w:w="216" w:type="dxa"/>
            </w:tcMar>
          </w:tcPr>
          <w:p w14:paraId="59D08D6E" w14:textId="48EC03BC"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0.19</w:t>
            </w:r>
          </w:p>
        </w:tc>
        <w:tc>
          <w:tcPr>
            <w:tcW w:w="0" w:type="auto"/>
            <w:tcBorders>
              <w:right w:val="single" w:sz="18" w:space="0" w:color="auto"/>
            </w:tcBorders>
            <w:tcMar>
              <w:top w:w="0" w:type="dxa"/>
              <w:left w:w="115" w:type="dxa"/>
              <w:bottom w:w="0" w:type="dxa"/>
              <w:right w:w="216" w:type="dxa"/>
            </w:tcMar>
          </w:tcPr>
          <w:p w14:paraId="30CE9B17" w14:textId="21581A4A"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3.36</w:t>
            </w:r>
          </w:p>
        </w:tc>
      </w:tr>
      <w:tr w:rsidR="000A4EDB" w:rsidRPr="004811C9" w14:paraId="2F0F61A2" w14:textId="77777777" w:rsidTr="00494E95">
        <w:trPr>
          <w:trHeight w:val="20"/>
        </w:trPr>
        <w:tc>
          <w:tcPr>
            <w:tcW w:w="0" w:type="auto"/>
            <w:tcBorders>
              <w:top w:val="single" w:sz="4" w:space="0" w:color="auto"/>
              <w:left w:val="single" w:sz="18" w:space="0" w:color="auto"/>
              <w:right w:val="single" w:sz="18" w:space="0" w:color="auto"/>
            </w:tcBorders>
            <w:tcMar>
              <w:top w:w="0" w:type="dxa"/>
              <w:left w:w="115" w:type="dxa"/>
              <w:bottom w:w="0" w:type="dxa"/>
              <w:right w:w="216" w:type="dxa"/>
            </w:tcMar>
            <w:vAlign w:val="center"/>
          </w:tcPr>
          <w:p w14:paraId="2C176174" w14:textId="76755D66" w:rsidR="000A4EDB" w:rsidRPr="004811C9" w:rsidRDefault="000A4EDB" w:rsidP="000A4EDB">
            <w:pPr>
              <w:spacing w:after="0" w:line="240" w:lineRule="auto"/>
              <w:rPr>
                <w:rFonts w:cs="Times New Roman"/>
                <w:b/>
                <w:bCs/>
                <w:i/>
                <w:iCs/>
                <w:color w:val="000000"/>
                <w:sz w:val="20"/>
                <w:szCs w:val="20"/>
              </w:rPr>
            </w:pPr>
            <w:r w:rsidRPr="004811C9">
              <w:rPr>
                <w:rFonts w:cs="Times New Roman"/>
                <w:b/>
                <w:bCs/>
                <w:i/>
                <w:iCs/>
                <w:sz w:val="20"/>
                <w:szCs w:val="20"/>
              </w:rPr>
              <w:t xml:space="preserve">Trip Characteristics </w:t>
            </w:r>
          </w:p>
        </w:tc>
        <w:tc>
          <w:tcPr>
            <w:tcW w:w="987" w:type="dxa"/>
            <w:tcBorders>
              <w:top w:val="single" w:sz="4" w:space="0" w:color="auto"/>
              <w:left w:val="single" w:sz="18" w:space="0" w:color="auto"/>
            </w:tcBorders>
            <w:tcMar>
              <w:top w:w="0" w:type="dxa"/>
              <w:left w:w="115" w:type="dxa"/>
              <w:bottom w:w="0" w:type="dxa"/>
              <w:right w:w="216" w:type="dxa"/>
            </w:tcMar>
          </w:tcPr>
          <w:p w14:paraId="1802741D" w14:textId="77777777" w:rsidR="000A4EDB" w:rsidRPr="004811C9" w:rsidRDefault="000A4EDB" w:rsidP="00AC5410">
            <w:pPr>
              <w:tabs>
                <w:tab w:val="decimal" w:pos="271"/>
              </w:tabs>
              <w:spacing w:after="0" w:line="240" w:lineRule="auto"/>
              <w:jc w:val="center"/>
              <w:rPr>
                <w:rFonts w:cs="Times New Roman"/>
                <w:color w:val="000000"/>
                <w:sz w:val="20"/>
                <w:szCs w:val="20"/>
              </w:rPr>
            </w:pPr>
          </w:p>
        </w:tc>
        <w:tc>
          <w:tcPr>
            <w:tcW w:w="990" w:type="dxa"/>
            <w:tcBorders>
              <w:top w:val="single" w:sz="4" w:space="0" w:color="auto"/>
              <w:right w:val="single" w:sz="6" w:space="0" w:color="auto"/>
            </w:tcBorders>
            <w:tcMar>
              <w:top w:w="0" w:type="dxa"/>
              <w:left w:w="115" w:type="dxa"/>
              <w:bottom w:w="0" w:type="dxa"/>
              <w:right w:w="216" w:type="dxa"/>
            </w:tcMar>
          </w:tcPr>
          <w:p w14:paraId="312D2F43" w14:textId="77777777" w:rsidR="000A4EDB" w:rsidRPr="004811C9" w:rsidRDefault="000A4EDB" w:rsidP="00AC5410">
            <w:pPr>
              <w:tabs>
                <w:tab w:val="decimal" w:pos="271"/>
              </w:tabs>
              <w:spacing w:after="0" w:line="240" w:lineRule="auto"/>
              <w:jc w:val="center"/>
              <w:rPr>
                <w:rFonts w:cs="Times New Roman"/>
                <w:color w:val="000000"/>
                <w:sz w:val="20"/>
                <w:szCs w:val="20"/>
              </w:rPr>
            </w:pPr>
          </w:p>
        </w:tc>
        <w:tc>
          <w:tcPr>
            <w:tcW w:w="0" w:type="auto"/>
            <w:tcBorders>
              <w:top w:val="single" w:sz="4" w:space="0" w:color="auto"/>
              <w:left w:val="single" w:sz="6" w:space="0" w:color="auto"/>
            </w:tcBorders>
            <w:tcMar>
              <w:top w:w="0" w:type="dxa"/>
              <w:left w:w="115" w:type="dxa"/>
              <w:bottom w:w="0" w:type="dxa"/>
              <w:right w:w="216" w:type="dxa"/>
            </w:tcMar>
          </w:tcPr>
          <w:p w14:paraId="2D7AF60E" w14:textId="77777777" w:rsidR="000A4EDB" w:rsidRPr="004811C9" w:rsidRDefault="000A4EDB" w:rsidP="00AC5410">
            <w:pPr>
              <w:tabs>
                <w:tab w:val="decimal" w:pos="271"/>
              </w:tabs>
              <w:spacing w:after="0" w:line="240" w:lineRule="auto"/>
              <w:jc w:val="center"/>
              <w:rPr>
                <w:rFonts w:cs="Times New Roman"/>
                <w:color w:val="000000"/>
                <w:sz w:val="20"/>
                <w:szCs w:val="20"/>
              </w:rPr>
            </w:pPr>
          </w:p>
        </w:tc>
        <w:tc>
          <w:tcPr>
            <w:tcW w:w="0" w:type="auto"/>
            <w:tcBorders>
              <w:top w:val="single" w:sz="4" w:space="0" w:color="auto"/>
              <w:right w:val="single" w:sz="18" w:space="0" w:color="auto"/>
            </w:tcBorders>
            <w:tcMar>
              <w:top w:w="0" w:type="dxa"/>
              <w:left w:w="115" w:type="dxa"/>
              <w:bottom w:w="0" w:type="dxa"/>
              <w:right w:w="216" w:type="dxa"/>
            </w:tcMar>
          </w:tcPr>
          <w:p w14:paraId="613E5352" w14:textId="77777777" w:rsidR="000A4EDB" w:rsidRPr="004811C9" w:rsidRDefault="000A4EDB" w:rsidP="00AC5410">
            <w:pPr>
              <w:tabs>
                <w:tab w:val="decimal" w:pos="271"/>
              </w:tabs>
              <w:spacing w:after="0" w:line="240" w:lineRule="auto"/>
              <w:jc w:val="center"/>
              <w:rPr>
                <w:rFonts w:cs="Times New Roman"/>
                <w:color w:val="000000"/>
                <w:sz w:val="20"/>
                <w:szCs w:val="20"/>
              </w:rPr>
            </w:pPr>
          </w:p>
        </w:tc>
      </w:tr>
      <w:tr w:rsidR="000A4EDB" w:rsidRPr="004811C9" w14:paraId="773084E6"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37342C6C" w14:textId="0F8D0692" w:rsidR="000A4EDB" w:rsidRPr="004811C9" w:rsidRDefault="000A4EDB" w:rsidP="000A4EDB">
            <w:pPr>
              <w:spacing w:after="0" w:line="240" w:lineRule="auto"/>
              <w:rPr>
                <w:rFonts w:cs="Times New Roman"/>
                <w:sz w:val="20"/>
                <w:szCs w:val="20"/>
              </w:rPr>
            </w:pPr>
            <w:r w:rsidRPr="004811C9">
              <w:rPr>
                <w:rFonts w:cs="Times New Roman"/>
                <w:sz w:val="20"/>
                <w:szCs w:val="20"/>
              </w:rPr>
              <w:t>Trip Type (Maintenance or Leisure by Car after 9:30 am)</w:t>
            </w:r>
          </w:p>
        </w:tc>
        <w:tc>
          <w:tcPr>
            <w:tcW w:w="987" w:type="dxa"/>
            <w:tcBorders>
              <w:left w:val="single" w:sz="18" w:space="0" w:color="auto"/>
            </w:tcBorders>
            <w:tcMar>
              <w:top w:w="0" w:type="dxa"/>
              <w:left w:w="115" w:type="dxa"/>
              <w:bottom w:w="0" w:type="dxa"/>
              <w:right w:w="216" w:type="dxa"/>
            </w:tcMar>
          </w:tcPr>
          <w:p w14:paraId="6798F184" w14:textId="25E11DF4" w:rsidR="000A4EDB" w:rsidRPr="004811C9" w:rsidRDefault="000A4EDB" w:rsidP="00AC5410">
            <w:pPr>
              <w:tabs>
                <w:tab w:val="decimal" w:pos="271"/>
              </w:tabs>
              <w:spacing w:after="0" w:line="240" w:lineRule="auto"/>
              <w:jc w:val="center"/>
              <w:rPr>
                <w:rFonts w:cs="Times New Roman"/>
                <w:sz w:val="20"/>
                <w:szCs w:val="20"/>
              </w:rPr>
            </w:pPr>
          </w:p>
        </w:tc>
        <w:tc>
          <w:tcPr>
            <w:tcW w:w="990" w:type="dxa"/>
            <w:tcBorders>
              <w:right w:val="single" w:sz="6" w:space="0" w:color="auto"/>
            </w:tcBorders>
            <w:tcMar>
              <w:top w:w="0" w:type="dxa"/>
              <w:left w:w="115" w:type="dxa"/>
              <w:bottom w:w="0" w:type="dxa"/>
              <w:right w:w="216" w:type="dxa"/>
            </w:tcMar>
          </w:tcPr>
          <w:p w14:paraId="71763D53" w14:textId="4846E638"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601B9A54" w14:textId="62FABE3F"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right w:val="single" w:sz="18" w:space="0" w:color="auto"/>
            </w:tcBorders>
            <w:tcMar>
              <w:top w:w="0" w:type="dxa"/>
              <w:left w:w="115" w:type="dxa"/>
              <w:bottom w:w="0" w:type="dxa"/>
              <w:right w:w="216" w:type="dxa"/>
            </w:tcMar>
          </w:tcPr>
          <w:p w14:paraId="1DFC680D" w14:textId="486150CD" w:rsidR="000A4EDB" w:rsidRPr="004811C9" w:rsidRDefault="000A4EDB" w:rsidP="00AC5410">
            <w:pPr>
              <w:tabs>
                <w:tab w:val="decimal" w:pos="271"/>
              </w:tabs>
              <w:spacing w:after="0" w:line="240" w:lineRule="auto"/>
              <w:jc w:val="center"/>
              <w:rPr>
                <w:rFonts w:cs="Times New Roman"/>
                <w:sz w:val="20"/>
                <w:szCs w:val="20"/>
              </w:rPr>
            </w:pPr>
          </w:p>
        </w:tc>
      </w:tr>
      <w:tr w:rsidR="000A4EDB" w:rsidRPr="004811C9" w14:paraId="41C68165"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1B676504" w14:textId="3041D3E6"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Work or Education by Car before 9:30 am</w:t>
            </w:r>
          </w:p>
        </w:tc>
        <w:tc>
          <w:tcPr>
            <w:tcW w:w="987" w:type="dxa"/>
            <w:tcBorders>
              <w:left w:val="single" w:sz="18" w:space="0" w:color="auto"/>
            </w:tcBorders>
            <w:tcMar>
              <w:top w:w="0" w:type="dxa"/>
              <w:left w:w="115" w:type="dxa"/>
              <w:bottom w:w="0" w:type="dxa"/>
              <w:right w:w="216" w:type="dxa"/>
            </w:tcMar>
          </w:tcPr>
          <w:p w14:paraId="689B0EDC" w14:textId="686AF59F"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1.43</w:t>
            </w:r>
          </w:p>
        </w:tc>
        <w:tc>
          <w:tcPr>
            <w:tcW w:w="990" w:type="dxa"/>
            <w:tcBorders>
              <w:right w:val="single" w:sz="6" w:space="0" w:color="auto"/>
            </w:tcBorders>
            <w:tcMar>
              <w:top w:w="0" w:type="dxa"/>
              <w:left w:w="115" w:type="dxa"/>
              <w:bottom w:w="0" w:type="dxa"/>
              <w:right w:w="216" w:type="dxa"/>
            </w:tcMar>
          </w:tcPr>
          <w:p w14:paraId="1F9607E8" w14:textId="6A5DB125"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9.60</w:t>
            </w:r>
          </w:p>
        </w:tc>
        <w:tc>
          <w:tcPr>
            <w:tcW w:w="0" w:type="auto"/>
            <w:tcBorders>
              <w:left w:val="single" w:sz="6" w:space="0" w:color="auto"/>
            </w:tcBorders>
            <w:tcMar>
              <w:top w:w="0" w:type="dxa"/>
              <w:left w:w="115" w:type="dxa"/>
              <w:bottom w:w="0" w:type="dxa"/>
              <w:right w:w="216" w:type="dxa"/>
            </w:tcMar>
          </w:tcPr>
          <w:p w14:paraId="59BA1E08" w14:textId="2761D739"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0.96</w:t>
            </w:r>
          </w:p>
        </w:tc>
        <w:tc>
          <w:tcPr>
            <w:tcW w:w="0" w:type="auto"/>
            <w:tcBorders>
              <w:right w:val="single" w:sz="18" w:space="0" w:color="auto"/>
            </w:tcBorders>
            <w:tcMar>
              <w:top w:w="0" w:type="dxa"/>
              <w:left w:w="115" w:type="dxa"/>
              <w:bottom w:w="0" w:type="dxa"/>
              <w:right w:w="216" w:type="dxa"/>
            </w:tcMar>
          </w:tcPr>
          <w:p w14:paraId="541EEF13" w14:textId="6F8A6611"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6.61</w:t>
            </w:r>
          </w:p>
        </w:tc>
      </w:tr>
      <w:tr w:rsidR="000A4EDB" w:rsidRPr="004811C9" w14:paraId="692F3F0B"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775EE331" w14:textId="2B7A9B81"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Work or Education by Car after 9:30 am</w:t>
            </w:r>
          </w:p>
        </w:tc>
        <w:tc>
          <w:tcPr>
            <w:tcW w:w="987" w:type="dxa"/>
            <w:tcBorders>
              <w:left w:val="single" w:sz="18" w:space="0" w:color="auto"/>
            </w:tcBorders>
            <w:tcMar>
              <w:top w:w="0" w:type="dxa"/>
              <w:left w:w="115" w:type="dxa"/>
              <w:bottom w:w="0" w:type="dxa"/>
              <w:right w:w="216" w:type="dxa"/>
            </w:tcMar>
          </w:tcPr>
          <w:p w14:paraId="0E3ED766" w14:textId="19AC6B1F"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w:t>
            </w:r>
          </w:p>
        </w:tc>
        <w:tc>
          <w:tcPr>
            <w:tcW w:w="990" w:type="dxa"/>
            <w:tcBorders>
              <w:right w:val="single" w:sz="6" w:space="0" w:color="auto"/>
            </w:tcBorders>
            <w:tcMar>
              <w:top w:w="0" w:type="dxa"/>
              <w:left w:w="115" w:type="dxa"/>
              <w:bottom w:w="0" w:type="dxa"/>
              <w:right w:w="216" w:type="dxa"/>
            </w:tcMar>
          </w:tcPr>
          <w:p w14:paraId="1BDA1CA1" w14:textId="62F52868"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19890549" w14:textId="06965424"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0.58</w:t>
            </w:r>
          </w:p>
        </w:tc>
        <w:tc>
          <w:tcPr>
            <w:tcW w:w="0" w:type="auto"/>
            <w:tcBorders>
              <w:right w:val="single" w:sz="18" w:space="0" w:color="auto"/>
            </w:tcBorders>
            <w:tcMar>
              <w:top w:w="0" w:type="dxa"/>
              <w:left w:w="115" w:type="dxa"/>
              <w:bottom w:w="0" w:type="dxa"/>
              <w:right w:w="216" w:type="dxa"/>
            </w:tcMar>
          </w:tcPr>
          <w:p w14:paraId="389C8F39" w14:textId="50268E51"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4.15</w:t>
            </w:r>
          </w:p>
        </w:tc>
      </w:tr>
      <w:tr w:rsidR="000A4EDB" w:rsidRPr="004811C9" w14:paraId="3CCEE27C"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549271D2" w14:textId="722E9DD4"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Work or Education by non-Car before 9:30 am</w:t>
            </w:r>
          </w:p>
        </w:tc>
        <w:tc>
          <w:tcPr>
            <w:tcW w:w="987" w:type="dxa"/>
            <w:tcBorders>
              <w:left w:val="single" w:sz="18" w:space="0" w:color="auto"/>
            </w:tcBorders>
            <w:tcMar>
              <w:top w:w="0" w:type="dxa"/>
              <w:left w:w="115" w:type="dxa"/>
              <w:bottom w:w="0" w:type="dxa"/>
              <w:right w:w="216" w:type="dxa"/>
            </w:tcMar>
          </w:tcPr>
          <w:p w14:paraId="1125638D" w14:textId="0169B725"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0.86</w:t>
            </w:r>
          </w:p>
        </w:tc>
        <w:tc>
          <w:tcPr>
            <w:tcW w:w="990" w:type="dxa"/>
            <w:tcBorders>
              <w:right w:val="single" w:sz="6" w:space="0" w:color="auto"/>
            </w:tcBorders>
            <w:tcMar>
              <w:top w:w="0" w:type="dxa"/>
              <w:left w:w="115" w:type="dxa"/>
              <w:bottom w:w="0" w:type="dxa"/>
              <w:right w:w="216" w:type="dxa"/>
            </w:tcMar>
          </w:tcPr>
          <w:p w14:paraId="6268DF07" w14:textId="4FA3B3EC"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7.51</w:t>
            </w:r>
          </w:p>
        </w:tc>
        <w:tc>
          <w:tcPr>
            <w:tcW w:w="0" w:type="auto"/>
            <w:tcBorders>
              <w:left w:val="single" w:sz="6" w:space="0" w:color="auto"/>
            </w:tcBorders>
            <w:tcMar>
              <w:top w:w="0" w:type="dxa"/>
              <w:left w:w="115" w:type="dxa"/>
              <w:bottom w:w="0" w:type="dxa"/>
              <w:right w:w="216" w:type="dxa"/>
            </w:tcMar>
          </w:tcPr>
          <w:p w14:paraId="6C410255" w14:textId="563A4864"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0.44</w:t>
            </w:r>
          </w:p>
        </w:tc>
        <w:tc>
          <w:tcPr>
            <w:tcW w:w="0" w:type="auto"/>
            <w:tcBorders>
              <w:right w:val="single" w:sz="18" w:space="0" w:color="auto"/>
            </w:tcBorders>
            <w:tcMar>
              <w:top w:w="0" w:type="dxa"/>
              <w:left w:w="115" w:type="dxa"/>
              <w:bottom w:w="0" w:type="dxa"/>
              <w:right w:w="216" w:type="dxa"/>
            </w:tcMar>
          </w:tcPr>
          <w:p w14:paraId="15035B36" w14:textId="14F7F999"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3.17</w:t>
            </w:r>
          </w:p>
        </w:tc>
      </w:tr>
      <w:tr w:rsidR="000A4EDB" w:rsidRPr="004811C9" w14:paraId="74C8C5D5"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67D38DE7" w14:textId="082F312F"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Work or Education by non-Car after 9:30 am</w:t>
            </w:r>
          </w:p>
        </w:tc>
        <w:tc>
          <w:tcPr>
            <w:tcW w:w="987" w:type="dxa"/>
            <w:tcBorders>
              <w:left w:val="single" w:sz="18" w:space="0" w:color="auto"/>
            </w:tcBorders>
            <w:tcMar>
              <w:top w:w="0" w:type="dxa"/>
              <w:left w:w="115" w:type="dxa"/>
              <w:bottom w:w="0" w:type="dxa"/>
              <w:right w:w="216" w:type="dxa"/>
            </w:tcMar>
          </w:tcPr>
          <w:p w14:paraId="39F7D579" w14:textId="157EA04F"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w:t>
            </w:r>
          </w:p>
        </w:tc>
        <w:tc>
          <w:tcPr>
            <w:tcW w:w="990" w:type="dxa"/>
            <w:tcBorders>
              <w:right w:val="single" w:sz="6" w:space="0" w:color="auto"/>
            </w:tcBorders>
            <w:tcMar>
              <w:top w:w="0" w:type="dxa"/>
              <w:left w:w="115" w:type="dxa"/>
              <w:bottom w:w="0" w:type="dxa"/>
              <w:right w:w="216" w:type="dxa"/>
            </w:tcMar>
          </w:tcPr>
          <w:p w14:paraId="73C554C7" w14:textId="38EC9988"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74523D9E" w14:textId="35D8AE12"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0.44</w:t>
            </w:r>
          </w:p>
        </w:tc>
        <w:tc>
          <w:tcPr>
            <w:tcW w:w="0" w:type="auto"/>
            <w:tcBorders>
              <w:right w:val="single" w:sz="18" w:space="0" w:color="auto"/>
            </w:tcBorders>
            <w:tcMar>
              <w:top w:w="0" w:type="dxa"/>
              <w:left w:w="115" w:type="dxa"/>
              <w:bottom w:w="0" w:type="dxa"/>
              <w:right w:w="216" w:type="dxa"/>
            </w:tcMar>
          </w:tcPr>
          <w:p w14:paraId="1212C2D3" w14:textId="549ACB4B"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3.17</w:t>
            </w:r>
          </w:p>
        </w:tc>
      </w:tr>
      <w:tr w:rsidR="000A4EDB" w:rsidRPr="004811C9" w14:paraId="3CE1693B"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555A6A86" w14:textId="5175E585"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Maintenance or Leisure by Car before 9:30 am</w:t>
            </w:r>
          </w:p>
        </w:tc>
        <w:tc>
          <w:tcPr>
            <w:tcW w:w="987" w:type="dxa"/>
            <w:tcBorders>
              <w:left w:val="single" w:sz="18" w:space="0" w:color="auto"/>
            </w:tcBorders>
            <w:tcMar>
              <w:top w:w="0" w:type="dxa"/>
              <w:left w:w="115" w:type="dxa"/>
              <w:bottom w:w="0" w:type="dxa"/>
              <w:right w:w="216" w:type="dxa"/>
            </w:tcMar>
          </w:tcPr>
          <w:p w14:paraId="08B5711F" w14:textId="32F30106"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0.49</w:t>
            </w:r>
          </w:p>
        </w:tc>
        <w:tc>
          <w:tcPr>
            <w:tcW w:w="990" w:type="dxa"/>
            <w:tcBorders>
              <w:right w:val="single" w:sz="6" w:space="0" w:color="auto"/>
            </w:tcBorders>
            <w:tcMar>
              <w:top w:w="0" w:type="dxa"/>
              <w:left w:w="115" w:type="dxa"/>
              <w:bottom w:w="0" w:type="dxa"/>
              <w:right w:w="216" w:type="dxa"/>
            </w:tcMar>
          </w:tcPr>
          <w:p w14:paraId="33C16EF4" w14:textId="2F7B17A0"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1.84</w:t>
            </w:r>
          </w:p>
        </w:tc>
        <w:tc>
          <w:tcPr>
            <w:tcW w:w="0" w:type="auto"/>
            <w:tcBorders>
              <w:left w:val="single" w:sz="6" w:space="0" w:color="auto"/>
            </w:tcBorders>
            <w:tcMar>
              <w:top w:w="0" w:type="dxa"/>
              <w:left w:w="115" w:type="dxa"/>
              <w:bottom w:w="0" w:type="dxa"/>
              <w:right w:w="216" w:type="dxa"/>
            </w:tcMar>
          </w:tcPr>
          <w:p w14:paraId="1ECA656D" w14:textId="204623CD"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w:t>
            </w:r>
          </w:p>
        </w:tc>
        <w:tc>
          <w:tcPr>
            <w:tcW w:w="0" w:type="auto"/>
            <w:tcBorders>
              <w:right w:val="single" w:sz="18" w:space="0" w:color="auto"/>
            </w:tcBorders>
            <w:tcMar>
              <w:top w:w="0" w:type="dxa"/>
              <w:left w:w="115" w:type="dxa"/>
              <w:bottom w:w="0" w:type="dxa"/>
              <w:right w:w="216" w:type="dxa"/>
            </w:tcMar>
          </w:tcPr>
          <w:p w14:paraId="55A1D7D2" w14:textId="4B5DD97E" w:rsidR="000A4EDB" w:rsidRPr="004811C9" w:rsidRDefault="000A4EDB" w:rsidP="00AC5410">
            <w:pPr>
              <w:tabs>
                <w:tab w:val="decimal" w:pos="271"/>
              </w:tabs>
              <w:spacing w:after="0" w:line="240" w:lineRule="auto"/>
              <w:jc w:val="center"/>
              <w:rPr>
                <w:rFonts w:cs="Times New Roman"/>
                <w:sz w:val="20"/>
                <w:szCs w:val="20"/>
              </w:rPr>
            </w:pPr>
          </w:p>
        </w:tc>
      </w:tr>
      <w:tr w:rsidR="000A4EDB" w:rsidRPr="004811C9" w14:paraId="44725862"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2E8EE363" w14:textId="3DD83EAC"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Maintenance or Leisure by non-Car before 9:30 am</w:t>
            </w:r>
          </w:p>
        </w:tc>
        <w:tc>
          <w:tcPr>
            <w:tcW w:w="987" w:type="dxa"/>
            <w:tcBorders>
              <w:left w:val="single" w:sz="18" w:space="0" w:color="auto"/>
            </w:tcBorders>
            <w:tcMar>
              <w:top w:w="0" w:type="dxa"/>
              <w:left w:w="115" w:type="dxa"/>
              <w:bottom w:w="0" w:type="dxa"/>
              <w:right w:w="216" w:type="dxa"/>
            </w:tcMar>
          </w:tcPr>
          <w:p w14:paraId="3AB61678" w14:textId="2BE9261A"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0.49</w:t>
            </w:r>
          </w:p>
        </w:tc>
        <w:tc>
          <w:tcPr>
            <w:tcW w:w="990" w:type="dxa"/>
            <w:tcBorders>
              <w:right w:val="single" w:sz="6" w:space="0" w:color="auto"/>
            </w:tcBorders>
            <w:tcMar>
              <w:top w:w="0" w:type="dxa"/>
              <w:left w:w="115" w:type="dxa"/>
              <w:bottom w:w="0" w:type="dxa"/>
              <w:right w:w="216" w:type="dxa"/>
            </w:tcMar>
          </w:tcPr>
          <w:p w14:paraId="7688DAB3" w14:textId="2A677037"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1.84</w:t>
            </w:r>
          </w:p>
        </w:tc>
        <w:tc>
          <w:tcPr>
            <w:tcW w:w="0" w:type="auto"/>
            <w:tcBorders>
              <w:left w:val="single" w:sz="6" w:space="0" w:color="auto"/>
            </w:tcBorders>
            <w:tcMar>
              <w:top w:w="0" w:type="dxa"/>
              <w:left w:w="115" w:type="dxa"/>
              <w:bottom w:w="0" w:type="dxa"/>
              <w:right w:w="216" w:type="dxa"/>
            </w:tcMar>
          </w:tcPr>
          <w:p w14:paraId="7B3AEE73" w14:textId="5D48AD5E"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0.63</w:t>
            </w:r>
          </w:p>
        </w:tc>
        <w:tc>
          <w:tcPr>
            <w:tcW w:w="0" w:type="auto"/>
            <w:tcBorders>
              <w:right w:val="single" w:sz="18" w:space="0" w:color="auto"/>
            </w:tcBorders>
            <w:tcMar>
              <w:top w:w="0" w:type="dxa"/>
              <w:left w:w="115" w:type="dxa"/>
              <w:bottom w:w="0" w:type="dxa"/>
              <w:right w:w="216" w:type="dxa"/>
            </w:tcMar>
          </w:tcPr>
          <w:p w14:paraId="1EDAA17F" w14:textId="482FE29D"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6.28</w:t>
            </w:r>
          </w:p>
        </w:tc>
      </w:tr>
      <w:tr w:rsidR="000A4EDB" w:rsidRPr="004811C9" w14:paraId="0C35B146"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71B579DF" w14:textId="7015775A"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Maintenance or Leisure by non-Car after 9:30 am</w:t>
            </w:r>
          </w:p>
        </w:tc>
        <w:tc>
          <w:tcPr>
            <w:tcW w:w="987" w:type="dxa"/>
            <w:tcBorders>
              <w:left w:val="single" w:sz="18" w:space="0" w:color="auto"/>
            </w:tcBorders>
            <w:tcMar>
              <w:top w:w="0" w:type="dxa"/>
              <w:left w:w="115" w:type="dxa"/>
              <w:bottom w:w="0" w:type="dxa"/>
              <w:right w:w="216" w:type="dxa"/>
            </w:tcMar>
          </w:tcPr>
          <w:p w14:paraId="5A114AC9" w14:textId="02909B21"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w:t>
            </w:r>
          </w:p>
        </w:tc>
        <w:tc>
          <w:tcPr>
            <w:tcW w:w="990" w:type="dxa"/>
            <w:tcBorders>
              <w:right w:val="single" w:sz="6" w:space="0" w:color="auto"/>
            </w:tcBorders>
            <w:tcMar>
              <w:top w:w="0" w:type="dxa"/>
              <w:left w:w="115" w:type="dxa"/>
              <w:bottom w:w="0" w:type="dxa"/>
              <w:right w:w="216" w:type="dxa"/>
            </w:tcMar>
          </w:tcPr>
          <w:p w14:paraId="646ED4B6" w14:textId="4F474B71"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0AE34634" w14:textId="009BF5F7"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0.63</w:t>
            </w:r>
          </w:p>
        </w:tc>
        <w:tc>
          <w:tcPr>
            <w:tcW w:w="0" w:type="auto"/>
            <w:tcBorders>
              <w:right w:val="single" w:sz="18" w:space="0" w:color="auto"/>
            </w:tcBorders>
            <w:tcMar>
              <w:top w:w="0" w:type="dxa"/>
              <w:left w:w="115" w:type="dxa"/>
              <w:bottom w:w="0" w:type="dxa"/>
              <w:right w:w="216" w:type="dxa"/>
            </w:tcMar>
          </w:tcPr>
          <w:p w14:paraId="4C08E493" w14:textId="7A37C851"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6.28</w:t>
            </w:r>
          </w:p>
        </w:tc>
      </w:tr>
      <w:tr w:rsidR="000A4EDB" w:rsidRPr="004811C9" w14:paraId="54AF4F8C"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02DE840E" w14:textId="490CB61E" w:rsidR="000A4EDB" w:rsidRPr="004811C9" w:rsidRDefault="000A4EDB" w:rsidP="000A4EDB">
            <w:pPr>
              <w:spacing w:after="0" w:line="240" w:lineRule="auto"/>
              <w:rPr>
                <w:rFonts w:cs="Times New Roman"/>
                <w:sz w:val="20"/>
                <w:szCs w:val="20"/>
              </w:rPr>
            </w:pPr>
            <w:r w:rsidRPr="004811C9">
              <w:rPr>
                <w:rFonts w:cs="Times New Roman"/>
                <w:sz w:val="20"/>
                <w:szCs w:val="20"/>
              </w:rPr>
              <w:t>Shared Trip (not shared)</w:t>
            </w:r>
          </w:p>
        </w:tc>
        <w:tc>
          <w:tcPr>
            <w:tcW w:w="987" w:type="dxa"/>
            <w:tcBorders>
              <w:left w:val="single" w:sz="18" w:space="0" w:color="auto"/>
            </w:tcBorders>
            <w:tcMar>
              <w:top w:w="0" w:type="dxa"/>
              <w:left w:w="115" w:type="dxa"/>
              <w:bottom w:w="0" w:type="dxa"/>
              <w:right w:w="216" w:type="dxa"/>
            </w:tcMar>
          </w:tcPr>
          <w:p w14:paraId="2D7CB45A" w14:textId="76511CEA" w:rsidR="000A4EDB" w:rsidRPr="004811C9" w:rsidRDefault="000A4EDB" w:rsidP="00AC5410">
            <w:pPr>
              <w:tabs>
                <w:tab w:val="decimal" w:pos="271"/>
              </w:tabs>
              <w:spacing w:after="0" w:line="240" w:lineRule="auto"/>
              <w:jc w:val="center"/>
              <w:rPr>
                <w:rFonts w:cs="Times New Roman"/>
                <w:sz w:val="20"/>
                <w:szCs w:val="20"/>
              </w:rPr>
            </w:pPr>
          </w:p>
        </w:tc>
        <w:tc>
          <w:tcPr>
            <w:tcW w:w="990" w:type="dxa"/>
            <w:tcBorders>
              <w:right w:val="single" w:sz="6" w:space="0" w:color="auto"/>
            </w:tcBorders>
            <w:tcMar>
              <w:top w:w="0" w:type="dxa"/>
              <w:left w:w="115" w:type="dxa"/>
              <w:bottom w:w="0" w:type="dxa"/>
              <w:right w:w="216" w:type="dxa"/>
            </w:tcMar>
          </w:tcPr>
          <w:p w14:paraId="241F9B12" w14:textId="32620B1D"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6B8CB8C2" w14:textId="59B93CE5"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right w:val="single" w:sz="18" w:space="0" w:color="auto"/>
            </w:tcBorders>
            <w:tcMar>
              <w:top w:w="0" w:type="dxa"/>
              <w:left w:w="115" w:type="dxa"/>
              <w:bottom w:w="0" w:type="dxa"/>
              <w:right w:w="216" w:type="dxa"/>
            </w:tcMar>
          </w:tcPr>
          <w:p w14:paraId="1098E5A9" w14:textId="2E8FB255" w:rsidR="000A4EDB" w:rsidRPr="004811C9" w:rsidRDefault="000A4EDB" w:rsidP="00AC5410">
            <w:pPr>
              <w:tabs>
                <w:tab w:val="decimal" w:pos="271"/>
              </w:tabs>
              <w:spacing w:after="0" w:line="240" w:lineRule="auto"/>
              <w:jc w:val="center"/>
              <w:rPr>
                <w:rFonts w:cs="Times New Roman"/>
                <w:sz w:val="20"/>
                <w:szCs w:val="20"/>
              </w:rPr>
            </w:pPr>
          </w:p>
        </w:tc>
      </w:tr>
      <w:tr w:rsidR="000A4EDB" w:rsidRPr="004811C9" w14:paraId="76CFBDB3"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648B8ED1" w14:textId="07B37CE3"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Shared</w:t>
            </w:r>
          </w:p>
        </w:tc>
        <w:tc>
          <w:tcPr>
            <w:tcW w:w="987" w:type="dxa"/>
            <w:tcBorders>
              <w:left w:val="single" w:sz="18" w:space="0" w:color="auto"/>
            </w:tcBorders>
            <w:tcMar>
              <w:top w:w="0" w:type="dxa"/>
              <w:left w:w="115" w:type="dxa"/>
              <w:bottom w:w="0" w:type="dxa"/>
              <w:right w:w="216" w:type="dxa"/>
            </w:tcMar>
          </w:tcPr>
          <w:p w14:paraId="58F2C369" w14:textId="0BCAB7BB"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0.21</w:t>
            </w:r>
          </w:p>
        </w:tc>
        <w:tc>
          <w:tcPr>
            <w:tcW w:w="990" w:type="dxa"/>
            <w:tcBorders>
              <w:right w:val="single" w:sz="6" w:space="0" w:color="auto"/>
            </w:tcBorders>
            <w:tcMar>
              <w:top w:w="0" w:type="dxa"/>
              <w:left w:w="115" w:type="dxa"/>
              <w:bottom w:w="0" w:type="dxa"/>
              <w:right w:w="216" w:type="dxa"/>
            </w:tcMar>
          </w:tcPr>
          <w:p w14:paraId="743F8B07" w14:textId="7AF73B4D"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2.13</w:t>
            </w:r>
          </w:p>
        </w:tc>
        <w:tc>
          <w:tcPr>
            <w:tcW w:w="0" w:type="auto"/>
            <w:tcBorders>
              <w:left w:val="single" w:sz="6" w:space="0" w:color="auto"/>
            </w:tcBorders>
            <w:tcMar>
              <w:top w:w="0" w:type="dxa"/>
              <w:left w:w="115" w:type="dxa"/>
              <w:bottom w:w="0" w:type="dxa"/>
              <w:right w:w="216" w:type="dxa"/>
            </w:tcMar>
          </w:tcPr>
          <w:p w14:paraId="44C57D5C" w14:textId="79AAE5EA"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-0.39</w:t>
            </w:r>
          </w:p>
        </w:tc>
        <w:tc>
          <w:tcPr>
            <w:tcW w:w="0" w:type="auto"/>
            <w:tcBorders>
              <w:right w:val="single" w:sz="18" w:space="0" w:color="auto"/>
            </w:tcBorders>
            <w:tcMar>
              <w:top w:w="0" w:type="dxa"/>
              <w:left w:w="115" w:type="dxa"/>
              <w:bottom w:w="0" w:type="dxa"/>
              <w:right w:w="216" w:type="dxa"/>
            </w:tcMar>
          </w:tcPr>
          <w:p w14:paraId="676708F6" w14:textId="2C434668"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-8.16</w:t>
            </w:r>
          </w:p>
        </w:tc>
      </w:tr>
      <w:tr w:rsidR="000A4EDB" w:rsidRPr="004811C9" w14:paraId="1E9BFAA8"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1AAD714B" w14:textId="2BF0DC20" w:rsidR="000A4EDB" w:rsidRPr="004811C9" w:rsidRDefault="000A4EDB" w:rsidP="000A4EDB">
            <w:pPr>
              <w:spacing w:after="0" w:line="240" w:lineRule="auto"/>
              <w:rPr>
                <w:rFonts w:cs="Times New Roman"/>
                <w:sz w:val="20"/>
                <w:szCs w:val="20"/>
              </w:rPr>
            </w:pPr>
            <w:r w:rsidRPr="004811C9">
              <w:rPr>
                <w:rFonts w:cs="Times New Roman"/>
                <w:sz w:val="20"/>
                <w:szCs w:val="20"/>
              </w:rPr>
              <w:t>Trip Frequency (1 day per week)</w:t>
            </w:r>
          </w:p>
        </w:tc>
        <w:tc>
          <w:tcPr>
            <w:tcW w:w="987" w:type="dxa"/>
            <w:tcBorders>
              <w:left w:val="single" w:sz="18" w:space="0" w:color="auto"/>
            </w:tcBorders>
            <w:tcMar>
              <w:top w:w="0" w:type="dxa"/>
              <w:left w:w="115" w:type="dxa"/>
              <w:bottom w:w="0" w:type="dxa"/>
              <w:right w:w="216" w:type="dxa"/>
            </w:tcMar>
          </w:tcPr>
          <w:p w14:paraId="0AE00811" w14:textId="1E3EC7D3" w:rsidR="000A4EDB" w:rsidRPr="004811C9" w:rsidRDefault="000A4EDB" w:rsidP="00AC5410">
            <w:pPr>
              <w:tabs>
                <w:tab w:val="decimal" w:pos="271"/>
              </w:tabs>
              <w:spacing w:after="0" w:line="240" w:lineRule="auto"/>
              <w:jc w:val="center"/>
              <w:rPr>
                <w:rFonts w:cs="Times New Roman"/>
                <w:sz w:val="20"/>
                <w:szCs w:val="20"/>
              </w:rPr>
            </w:pPr>
          </w:p>
        </w:tc>
        <w:tc>
          <w:tcPr>
            <w:tcW w:w="990" w:type="dxa"/>
            <w:tcBorders>
              <w:right w:val="single" w:sz="6" w:space="0" w:color="auto"/>
            </w:tcBorders>
            <w:tcMar>
              <w:top w:w="0" w:type="dxa"/>
              <w:left w:w="115" w:type="dxa"/>
              <w:bottom w:w="0" w:type="dxa"/>
              <w:right w:w="216" w:type="dxa"/>
            </w:tcMar>
          </w:tcPr>
          <w:p w14:paraId="4FA22208" w14:textId="444821A0"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left w:val="single" w:sz="6" w:space="0" w:color="auto"/>
            </w:tcBorders>
            <w:tcMar>
              <w:top w:w="0" w:type="dxa"/>
              <w:left w:w="115" w:type="dxa"/>
              <w:bottom w:w="0" w:type="dxa"/>
              <w:right w:w="216" w:type="dxa"/>
            </w:tcMar>
          </w:tcPr>
          <w:p w14:paraId="1A006D0B" w14:textId="1C3BFC3B" w:rsidR="000A4EDB" w:rsidRPr="004811C9" w:rsidRDefault="000A4EDB" w:rsidP="00AC5410">
            <w:pPr>
              <w:tabs>
                <w:tab w:val="decimal" w:pos="271"/>
              </w:tabs>
              <w:spacing w:after="0" w:line="240" w:lineRule="auto"/>
              <w:jc w:val="center"/>
              <w:rPr>
                <w:rFonts w:cs="Times New Roman"/>
                <w:sz w:val="20"/>
                <w:szCs w:val="20"/>
              </w:rPr>
            </w:pPr>
          </w:p>
        </w:tc>
        <w:tc>
          <w:tcPr>
            <w:tcW w:w="0" w:type="auto"/>
            <w:tcBorders>
              <w:right w:val="single" w:sz="18" w:space="0" w:color="auto"/>
            </w:tcBorders>
            <w:tcMar>
              <w:top w:w="0" w:type="dxa"/>
              <w:left w:w="115" w:type="dxa"/>
              <w:bottom w:w="0" w:type="dxa"/>
              <w:right w:w="216" w:type="dxa"/>
            </w:tcMar>
          </w:tcPr>
          <w:p w14:paraId="1D63F433" w14:textId="42178AFE" w:rsidR="000A4EDB" w:rsidRPr="004811C9" w:rsidRDefault="000A4EDB" w:rsidP="00AC5410">
            <w:pPr>
              <w:tabs>
                <w:tab w:val="decimal" w:pos="271"/>
              </w:tabs>
              <w:spacing w:after="0" w:line="240" w:lineRule="auto"/>
              <w:jc w:val="center"/>
              <w:rPr>
                <w:rFonts w:cs="Times New Roman"/>
                <w:sz w:val="20"/>
                <w:szCs w:val="20"/>
              </w:rPr>
            </w:pPr>
          </w:p>
        </w:tc>
      </w:tr>
      <w:tr w:rsidR="000A4EDB" w:rsidRPr="004811C9" w14:paraId="76DEF190"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60EBC65C" w14:textId="52397105" w:rsidR="000A4EDB" w:rsidRPr="004811C9" w:rsidRDefault="000A4EDB" w:rsidP="000A4EDB">
            <w:pPr>
              <w:spacing w:after="0" w:line="240" w:lineRule="auto"/>
              <w:rPr>
                <w:rFonts w:cs="Times New Roman"/>
                <w:sz w:val="20"/>
                <w:szCs w:val="20"/>
              </w:rPr>
            </w:pPr>
            <w:r w:rsidRPr="004811C9">
              <w:rPr>
                <w:rFonts w:cs="Times New Roman"/>
                <w:sz w:val="20"/>
                <w:szCs w:val="20"/>
              </w:rPr>
              <w:t xml:space="preserve">    2+ days per week</w:t>
            </w:r>
          </w:p>
        </w:tc>
        <w:tc>
          <w:tcPr>
            <w:tcW w:w="987" w:type="dxa"/>
            <w:tcBorders>
              <w:left w:val="single" w:sz="18" w:space="0" w:color="auto"/>
            </w:tcBorders>
            <w:tcMar>
              <w:top w:w="0" w:type="dxa"/>
              <w:left w:w="115" w:type="dxa"/>
              <w:bottom w:w="0" w:type="dxa"/>
              <w:right w:w="216" w:type="dxa"/>
            </w:tcMar>
          </w:tcPr>
          <w:p w14:paraId="5025B4A0" w14:textId="00B1ABE8"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-0.66</w:t>
            </w:r>
          </w:p>
        </w:tc>
        <w:tc>
          <w:tcPr>
            <w:tcW w:w="990" w:type="dxa"/>
            <w:tcBorders>
              <w:right w:val="single" w:sz="6" w:space="0" w:color="auto"/>
            </w:tcBorders>
            <w:tcMar>
              <w:top w:w="0" w:type="dxa"/>
              <w:left w:w="115" w:type="dxa"/>
              <w:bottom w:w="0" w:type="dxa"/>
              <w:right w:w="216" w:type="dxa"/>
            </w:tcMar>
          </w:tcPr>
          <w:p w14:paraId="518F4BF8" w14:textId="3B1C83A7"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-5.87</w:t>
            </w:r>
          </w:p>
        </w:tc>
        <w:tc>
          <w:tcPr>
            <w:tcW w:w="0" w:type="auto"/>
            <w:tcBorders>
              <w:left w:val="single" w:sz="6" w:space="0" w:color="auto"/>
            </w:tcBorders>
            <w:tcMar>
              <w:top w:w="0" w:type="dxa"/>
              <w:left w:w="115" w:type="dxa"/>
              <w:bottom w:w="0" w:type="dxa"/>
              <w:right w:w="216" w:type="dxa"/>
            </w:tcMar>
          </w:tcPr>
          <w:p w14:paraId="01624DE0" w14:textId="4FF36321"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-0.33</w:t>
            </w:r>
          </w:p>
        </w:tc>
        <w:tc>
          <w:tcPr>
            <w:tcW w:w="0" w:type="auto"/>
            <w:tcBorders>
              <w:right w:val="single" w:sz="18" w:space="0" w:color="auto"/>
            </w:tcBorders>
            <w:tcMar>
              <w:top w:w="0" w:type="dxa"/>
              <w:left w:w="115" w:type="dxa"/>
              <w:bottom w:w="0" w:type="dxa"/>
              <w:right w:w="216" w:type="dxa"/>
            </w:tcMar>
          </w:tcPr>
          <w:p w14:paraId="3352499E" w14:textId="472EB68A"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-5.50</w:t>
            </w:r>
          </w:p>
        </w:tc>
      </w:tr>
      <w:tr w:rsidR="000A4EDB" w:rsidRPr="004811C9" w14:paraId="3D041D0B"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61E60B5F" w14:textId="661DA5E5" w:rsidR="000A4EDB" w:rsidRPr="004811C9" w:rsidRDefault="000A4EDB" w:rsidP="000A4EDB">
            <w:pPr>
              <w:spacing w:after="0" w:line="240" w:lineRule="auto"/>
              <w:rPr>
                <w:rFonts w:cs="Times New Roman"/>
                <w:sz w:val="20"/>
                <w:szCs w:val="20"/>
              </w:rPr>
            </w:pPr>
            <w:r w:rsidRPr="004811C9">
              <w:rPr>
                <w:rFonts w:cs="Times New Roman"/>
                <w:sz w:val="20"/>
                <w:szCs w:val="20"/>
              </w:rPr>
              <w:t>Cost (thousand Rs.)</w:t>
            </w:r>
          </w:p>
        </w:tc>
        <w:tc>
          <w:tcPr>
            <w:tcW w:w="987" w:type="dxa"/>
            <w:tcBorders>
              <w:left w:val="single" w:sz="18" w:space="0" w:color="auto"/>
            </w:tcBorders>
            <w:tcMar>
              <w:top w:w="0" w:type="dxa"/>
              <w:left w:w="115" w:type="dxa"/>
              <w:bottom w:w="0" w:type="dxa"/>
              <w:right w:w="216" w:type="dxa"/>
            </w:tcMar>
          </w:tcPr>
          <w:p w14:paraId="514F2CE1" w14:textId="1A723343"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-0.73</w:t>
            </w:r>
          </w:p>
        </w:tc>
        <w:tc>
          <w:tcPr>
            <w:tcW w:w="990" w:type="dxa"/>
            <w:tcBorders>
              <w:right w:val="single" w:sz="6" w:space="0" w:color="auto"/>
            </w:tcBorders>
            <w:tcMar>
              <w:top w:w="0" w:type="dxa"/>
              <w:left w:w="115" w:type="dxa"/>
              <w:bottom w:w="0" w:type="dxa"/>
              <w:right w:w="216" w:type="dxa"/>
            </w:tcMar>
          </w:tcPr>
          <w:p w14:paraId="657986C2" w14:textId="2A25487D"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-1.80</w:t>
            </w:r>
          </w:p>
        </w:tc>
        <w:tc>
          <w:tcPr>
            <w:tcW w:w="0" w:type="auto"/>
            <w:tcBorders>
              <w:left w:val="single" w:sz="6" w:space="0" w:color="auto"/>
            </w:tcBorders>
            <w:tcMar>
              <w:top w:w="0" w:type="dxa"/>
              <w:left w:w="115" w:type="dxa"/>
              <w:bottom w:w="0" w:type="dxa"/>
              <w:right w:w="216" w:type="dxa"/>
            </w:tcMar>
          </w:tcPr>
          <w:p w14:paraId="0233A436" w14:textId="735AB142"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-0.72</w:t>
            </w:r>
          </w:p>
        </w:tc>
        <w:tc>
          <w:tcPr>
            <w:tcW w:w="0" w:type="auto"/>
            <w:tcBorders>
              <w:right w:val="single" w:sz="18" w:space="0" w:color="auto"/>
            </w:tcBorders>
            <w:tcMar>
              <w:top w:w="0" w:type="dxa"/>
              <w:left w:w="115" w:type="dxa"/>
              <w:bottom w:w="0" w:type="dxa"/>
              <w:right w:w="216" w:type="dxa"/>
            </w:tcMar>
          </w:tcPr>
          <w:p w14:paraId="122F5608" w14:textId="794F269C"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-2.34</w:t>
            </w:r>
          </w:p>
        </w:tc>
      </w:tr>
      <w:tr w:rsidR="000A4EDB" w:rsidRPr="004811C9" w14:paraId="3264E308"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61DAF8F3" w14:textId="6C8935C4" w:rsidR="000A4EDB" w:rsidRPr="004811C9" w:rsidRDefault="000A4EDB" w:rsidP="000A4EDB">
            <w:pPr>
              <w:spacing w:after="0" w:line="240" w:lineRule="auto"/>
              <w:rPr>
                <w:rFonts w:cs="Times New Roman"/>
                <w:sz w:val="20"/>
                <w:szCs w:val="20"/>
              </w:rPr>
            </w:pPr>
            <w:r w:rsidRPr="004811C9">
              <w:rPr>
                <w:rFonts w:cs="Times New Roman"/>
                <w:sz w:val="20"/>
                <w:szCs w:val="20"/>
              </w:rPr>
              <w:t>Time (hours)</w:t>
            </w:r>
          </w:p>
        </w:tc>
        <w:tc>
          <w:tcPr>
            <w:tcW w:w="987" w:type="dxa"/>
            <w:tcBorders>
              <w:left w:val="single" w:sz="18" w:space="0" w:color="auto"/>
            </w:tcBorders>
            <w:tcMar>
              <w:top w:w="0" w:type="dxa"/>
              <w:left w:w="115" w:type="dxa"/>
              <w:bottom w:w="0" w:type="dxa"/>
              <w:right w:w="216" w:type="dxa"/>
            </w:tcMar>
          </w:tcPr>
          <w:p w14:paraId="288D66D5" w14:textId="66E08D39"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0.39</w:t>
            </w:r>
          </w:p>
        </w:tc>
        <w:tc>
          <w:tcPr>
            <w:tcW w:w="990" w:type="dxa"/>
            <w:tcBorders>
              <w:right w:val="single" w:sz="6" w:space="0" w:color="auto"/>
            </w:tcBorders>
            <w:tcMar>
              <w:top w:w="0" w:type="dxa"/>
              <w:left w:w="115" w:type="dxa"/>
              <w:bottom w:w="0" w:type="dxa"/>
              <w:right w:w="216" w:type="dxa"/>
            </w:tcMar>
          </w:tcPr>
          <w:p w14:paraId="53AECA13" w14:textId="4F96A8A3"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2.40</w:t>
            </w:r>
          </w:p>
        </w:tc>
        <w:tc>
          <w:tcPr>
            <w:tcW w:w="0" w:type="auto"/>
            <w:tcBorders>
              <w:left w:val="single" w:sz="6" w:space="0" w:color="auto"/>
            </w:tcBorders>
            <w:tcMar>
              <w:top w:w="0" w:type="dxa"/>
              <w:left w:w="115" w:type="dxa"/>
              <w:bottom w:w="0" w:type="dxa"/>
              <w:right w:w="216" w:type="dxa"/>
            </w:tcMar>
          </w:tcPr>
          <w:p w14:paraId="738B2CCA" w14:textId="61D04264"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-1.35</w:t>
            </w:r>
          </w:p>
        </w:tc>
        <w:tc>
          <w:tcPr>
            <w:tcW w:w="0" w:type="auto"/>
            <w:tcBorders>
              <w:right w:val="single" w:sz="18" w:space="0" w:color="auto"/>
            </w:tcBorders>
            <w:tcMar>
              <w:top w:w="0" w:type="dxa"/>
              <w:left w:w="115" w:type="dxa"/>
              <w:bottom w:w="0" w:type="dxa"/>
              <w:right w:w="216" w:type="dxa"/>
            </w:tcMar>
          </w:tcPr>
          <w:p w14:paraId="3D42452F" w14:textId="0D8FD39E"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-16.33</w:t>
            </w:r>
          </w:p>
        </w:tc>
      </w:tr>
      <w:tr w:rsidR="000A4EDB" w:rsidRPr="004811C9" w14:paraId="31A20553"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63668445" w14:textId="61B60D58" w:rsidR="000A4EDB" w:rsidRPr="004811C9" w:rsidRDefault="000A4EDB" w:rsidP="000A4EDB">
            <w:pPr>
              <w:spacing w:after="0" w:line="240" w:lineRule="auto"/>
              <w:rPr>
                <w:rFonts w:cs="Times New Roman"/>
                <w:sz w:val="20"/>
                <w:szCs w:val="20"/>
              </w:rPr>
            </w:pPr>
            <w:r w:rsidRPr="004811C9">
              <w:rPr>
                <w:rFonts w:cs="Times New Roman"/>
                <w:sz w:val="20"/>
                <w:szCs w:val="20"/>
              </w:rPr>
              <w:t>Portion of Travel Time Saved</w:t>
            </w:r>
          </w:p>
        </w:tc>
        <w:tc>
          <w:tcPr>
            <w:tcW w:w="987" w:type="dxa"/>
            <w:tcBorders>
              <w:left w:val="single" w:sz="18" w:space="0" w:color="auto"/>
            </w:tcBorders>
            <w:tcMar>
              <w:top w:w="0" w:type="dxa"/>
              <w:left w:w="115" w:type="dxa"/>
              <w:bottom w:w="0" w:type="dxa"/>
              <w:right w:w="216" w:type="dxa"/>
            </w:tcMar>
          </w:tcPr>
          <w:p w14:paraId="6EED2727" w14:textId="202AC49C"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1.61</w:t>
            </w:r>
          </w:p>
        </w:tc>
        <w:tc>
          <w:tcPr>
            <w:tcW w:w="990" w:type="dxa"/>
            <w:tcBorders>
              <w:right w:val="single" w:sz="6" w:space="0" w:color="auto"/>
            </w:tcBorders>
            <w:tcMar>
              <w:top w:w="0" w:type="dxa"/>
              <w:left w:w="115" w:type="dxa"/>
              <w:bottom w:w="0" w:type="dxa"/>
              <w:right w:w="216" w:type="dxa"/>
            </w:tcMar>
          </w:tcPr>
          <w:p w14:paraId="1B03E613" w14:textId="23C54DC5"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5.56</w:t>
            </w:r>
          </w:p>
        </w:tc>
        <w:tc>
          <w:tcPr>
            <w:tcW w:w="0" w:type="auto"/>
            <w:tcBorders>
              <w:left w:val="single" w:sz="6" w:space="0" w:color="auto"/>
            </w:tcBorders>
            <w:tcMar>
              <w:top w:w="0" w:type="dxa"/>
              <w:left w:w="115" w:type="dxa"/>
              <w:bottom w:w="0" w:type="dxa"/>
              <w:right w:w="216" w:type="dxa"/>
            </w:tcMar>
          </w:tcPr>
          <w:p w14:paraId="7F9E37BF" w14:textId="634541C6"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-0.96</w:t>
            </w:r>
          </w:p>
        </w:tc>
        <w:tc>
          <w:tcPr>
            <w:tcW w:w="0" w:type="auto"/>
            <w:tcBorders>
              <w:right w:val="single" w:sz="18" w:space="0" w:color="auto"/>
            </w:tcBorders>
            <w:tcMar>
              <w:top w:w="0" w:type="dxa"/>
              <w:left w:w="115" w:type="dxa"/>
              <w:bottom w:w="0" w:type="dxa"/>
              <w:right w:w="216" w:type="dxa"/>
            </w:tcMar>
          </w:tcPr>
          <w:p w14:paraId="73CD9A36" w14:textId="72F94682"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-5.24</w:t>
            </w:r>
          </w:p>
        </w:tc>
      </w:tr>
      <w:tr w:rsidR="000A4EDB" w:rsidRPr="004811C9" w14:paraId="0E43D765"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2FB316CC" w14:textId="6012D38C" w:rsidR="000A4EDB" w:rsidRPr="004811C9" w:rsidRDefault="000A4EDB" w:rsidP="000A4EDB">
            <w:pPr>
              <w:spacing w:after="0" w:line="240" w:lineRule="auto"/>
              <w:rPr>
                <w:rFonts w:cs="Times New Roman"/>
                <w:sz w:val="20"/>
                <w:szCs w:val="20"/>
              </w:rPr>
            </w:pPr>
            <w:r w:rsidRPr="004811C9">
              <w:rPr>
                <w:rFonts w:cs="Times New Roman"/>
                <w:sz w:val="20"/>
                <w:szCs w:val="20"/>
              </w:rPr>
              <w:t>Portion of Maximum Delay Expected to be Saved</w:t>
            </w:r>
          </w:p>
        </w:tc>
        <w:tc>
          <w:tcPr>
            <w:tcW w:w="987" w:type="dxa"/>
            <w:tcBorders>
              <w:left w:val="single" w:sz="18" w:space="0" w:color="auto"/>
            </w:tcBorders>
            <w:tcMar>
              <w:top w:w="0" w:type="dxa"/>
              <w:left w:w="115" w:type="dxa"/>
              <w:bottom w:w="0" w:type="dxa"/>
              <w:right w:w="216" w:type="dxa"/>
            </w:tcMar>
          </w:tcPr>
          <w:p w14:paraId="047E5B31" w14:textId="4D4A9878"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-2.03</w:t>
            </w:r>
          </w:p>
        </w:tc>
        <w:tc>
          <w:tcPr>
            <w:tcW w:w="990" w:type="dxa"/>
            <w:tcBorders>
              <w:right w:val="single" w:sz="6" w:space="0" w:color="auto"/>
            </w:tcBorders>
            <w:tcMar>
              <w:top w:w="0" w:type="dxa"/>
              <w:left w:w="115" w:type="dxa"/>
              <w:bottom w:w="0" w:type="dxa"/>
              <w:right w:w="216" w:type="dxa"/>
            </w:tcMar>
          </w:tcPr>
          <w:p w14:paraId="7E7D1A6C" w14:textId="41C8220A"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-6.20</w:t>
            </w:r>
          </w:p>
        </w:tc>
        <w:tc>
          <w:tcPr>
            <w:tcW w:w="0" w:type="auto"/>
            <w:tcBorders>
              <w:left w:val="single" w:sz="6" w:space="0" w:color="auto"/>
            </w:tcBorders>
            <w:tcMar>
              <w:top w:w="0" w:type="dxa"/>
              <w:left w:w="115" w:type="dxa"/>
              <w:bottom w:w="0" w:type="dxa"/>
              <w:right w:w="216" w:type="dxa"/>
            </w:tcMar>
          </w:tcPr>
          <w:p w14:paraId="206BA735" w14:textId="35CEA96F"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-1.09</w:t>
            </w:r>
          </w:p>
        </w:tc>
        <w:tc>
          <w:tcPr>
            <w:tcW w:w="0" w:type="auto"/>
            <w:tcBorders>
              <w:right w:val="single" w:sz="18" w:space="0" w:color="auto"/>
            </w:tcBorders>
            <w:tcMar>
              <w:top w:w="0" w:type="dxa"/>
              <w:left w:w="115" w:type="dxa"/>
              <w:bottom w:w="0" w:type="dxa"/>
              <w:right w:w="216" w:type="dxa"/>
            </w:tcMar>
          </w:tcPr>
          <w:p w14:paraId="5CFA6D66" w14:textId="5446CBF5" w:rsidR="000A4EDB" w:rsidRPr="004811C9" w:rsidRDefault="000A4EDB" w:rsidP="00AC5410">
            <w:pPr>
              <w:tabs>
                <w:tab w:val="decimal" w:pos="271"/>
              </w:tabs>
              <w:spacing w:after="0" w:line="240" w:lineRule="auto"/>
              <w:jc w:val="center"/>
              <w:rPr>
                <w:rFonts w:cs="Times New Roman"/>
                <w:sz w:val="20"/>
                <w:szCs w:val="20"/>
              </w:rPr>
            </w:pPr>
            <w:r w:rsidRPr="004811C9">
              <w:rPr>
                <w:rFonts w:cs="Times New Roman"/>
                <w:sz w:val="20"/>
                <w:szCs w:val="20"/>
              </w:rPr>
              <w:t>-5.38</w:t>
            </w:r>
          </w:p>
        </w:tc>
      </w:tr>
      <w:tr w:rsidR="000A4EDB" w:rsidRPr="004811C9" w14:paraId="24A1BB4E" w14:textId="77777777" w:rsidTr="00494E95">
        <w:trPr>
          <w:trHeight w:val="20"/>
        </w:trPr>
        <w:tc>
          <w:tcPr>
            <w:tcW w:w="0" w:type="auto"/>
            <w:tcBorders>
              <w:top w:val="single" w:sz="4" w:space="0" w:color="auto"/>
              <w:left w:val="single" w:sz="18" w:space="0" w:color="auto"/>
              <w:bottom w:val="single" w:sz="4" w:space="0" w:color="auto"/>
              <w:right w:val="single" w:sz="18" w:space="0" w:color="auto"/>
            </w:tcBorders>
            <w:tcMar>
              <w:top w:w="0" w:type="dxa"/>
              <w:left w:w="115" w:type="dxa"/>
              <w:bottom w:w="0" w:type="dxa"/>
              <w:right w:w="216" w:type="dxa"/>
            </w:tcMar>
          </w:tcPr>
          <w:p w14:paraId="763545C6" w14:textId="0F67C8F8" w:rsidR="000A4EDB" w:rsidRPr="004811C9" w:rsidRDefault="000A4EDB" w:rsidP="000A4EDB">
            <w:pPr>
              <w:spacing w:after="0" w:line="240" w:lineRule="auto"/>
              <w:rPr>
                <w:rFonts w:cs="Times New Roman"/>
                <w:b/>
                <w:bCs/>
                <w:i/>
                <w:iCs/>
                <w:color w:val="000000"/>
                <w:sz w:val="20"/>
                <w:szCs w:val="20"/>
              </w:rPr>
            </w:pPr>
            <w:r w:rsidRPr="004811C9">
              <w:rPr>
                <w:rFonts w:cs="Times New Roman"/>
                <w:b/>
                <w:bCs/>
                <w:i/>
                <w:iCs/>
                <w:sz w:val="20"/>
                <w:szCs w:val="20"/>
              </w:rPr>
              <w:t>Constant</w:t>
            </w:r>
          </w:p>
        </w:tc>
        <w:tc>
          <w:tcPr>
            <w:tcW w:w="987" w:type="dxa"/>
            <w:tcBorders>
              <w:top w:val="single" w:sz="4" w:space="0" w:color="auto"/>
              <w:left w:val="single" w:sz="18" w:space="0" w:color="auto"/>
              <w:bottom w:val="single" w:sz="4" w:space="0" w:color="auto"/>
            </w:tcBorders>
            <w:tcMar>
              <w:top w:w="0" w:type="dxa"/>
              <w:left w:w="115" w:type="dxa"/>
              <w:bottom w:w="0" w:type="dxa"/>
              <w:right w:w="216" w:type="dxa"/>
            </w:tcMar>
          </w:tcPr>
          <w:p w14:paraId="74C2A4B4" w14:textId="51140072"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sz w:val="20"/>
                <w:szCs w:val="20"/>
              </w:rPr>
              <w:t>1.58</w:t>
            </w:r>
          </w:p>
        </w:tc>
        <w:tc>
          <w:tcPr>
            <w:tcW w:w="990" w:type="dxa"/>
            <w:tcBorders>
              <w:top w:val="single" w:sz="4" w:space="0" w:color="auto"/>
              <w:bottom w:val="single" w:sz="4" w:space="0" w:color="auto"/>
              <w:right w:val="single" w:sz="6" w:space="0" w:color="auto"/>
            </w:tcBorders>
            <w:tcMar>
              <w:top w:w="0" w:type="dxa"/>
              <w:left w:w="115" w:type="dxa"/>
              <w:bottom w:w="0" w:type="dxa"/>
              <w:right w:w="216" w:type="dxa"/>
            </w:tcMar>
          </w:tcPr>
          <w:p w14:paraId="6A35942F" w14:textId="53D3BA65"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sz w:val="20"/>
                <w:szCs w:val="20"/>
              </w:rPr>
              <w:t>6.69</w:t>
            </w:r>
          </w:p>
        </w:tc>
        <w:tc>
          <w:tcPr>
            <w:tcW w:w="0" w:type="auto"/>
            <w:tcBorders>
              <w:top w:val="single" w:sz="4" w:space="0" w:color="auto"/>
              <w:left w:val="single" w:sz="6" w:space="0" w:color="auto"/>
              <w:bottom w:val="single" w:sz="4" w:space="0" w:color="auto"/>
            </w:tcBorders>
            <w:tcMar>
              <w:top w:w="0" w:type="dxa"/>
              <w:left w:w="115" w:type="dxa"/>
              <w:bottom w:w="0" w:type="dxa"/>
              <w:right w:w="216" w:type="dxa"/>
            </w:tcMar>
          </w:tcPr>
          <w:p w14:paraId="2482C696" w14:textId="05C3CC3E"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sz w:val="20"/>
                <w:szCs w:val="20"/>
              </w:rPr>
              <w:t>7.87</w:t>
            </w:r>
          </w:p>
        </w:tc>
        <w:tc>
          <w:tcPr>
            <w:tcW w:w="0" w:type="auto"/>
            <w:tcBorders>
              <w:top w:val="single" w:sz="4" w:space="0" w:color="auto"/>
              <w:bottom w:val="single" w:sz="4" w:space="0" w:color="auto"/>
              <w:right w:val="single" w:sz="18" w:space="0" w:color="auto"/>
            </w:tcBorders>
            <w:tcMar>
              <w:top w:w="0" w:type="dxa"/>
              <w:left w:w="115" w:type="dxa"/>
              <w:bottom w:w="0" w:type="dxa"/>
              <w:right w:w="216" w:type="dxa"/>
            </w:tcMar>
          </w:tcPr>
          <w:p w14:paraId="48093777" w14:textId="7E490157"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sz w:val="20"/>
                <w:szCs w:val="20"/>
              </w:rPr>
              <w:t>57.80</w:t>
            </w:r>
          </w:p>
        </w:tc>
      </w:tr>
      <w:tr w:rsidR="000A4EDB" w:rsidRPr="004811C9" w14:paraId="271F1672" w14:textId="77777777" w:rsidTr="00494E95">
        <w:trPr>
          <w:trHeight w:val="20"/>
        </w:trPr>
        <w:tc>
          <w:tcPr>
            <w:tcW w:w="0" w:type="auto"/>
            <w:tcBorders>
              <w:top w:val="single" w:sz="4" w:space="0" w:color="auto"/>
              <w:left w:val="single" w:sz="18" w:space="0" w:color="auto"/>
              <w:right w:val="single" w:sz="18" w:space="0" w:color="auto"/>
            </w:tcBorders>
            <w:tcMar>
              <w:top w:w="0" w:type="dxa"/>
              <w:left w:w="115" w:type="dxa"/>
              <w:bottom w:w="0" w:type="dxa"/>
              <w:right w:w="216" w:type="dxa"/>
            </w:tcMar>
            <w:vAlign w:val="bottom"/>
          </w:tcPr>
          <w:p w14:paraId="1205768C" w14:textId="3B742A17" w:rsidR="000A4EDB" w:rsidRPr="004811C9" w:rsidRDefault="000A4EDB" w:rsidP="000A4EDB">
            <w:pPr>
              <w:spacing w:after="0" w:line="240" w:lineRule="auto"/>
              <w:rPr>
                <w:rFonts w:cs="Times New Roman"/>
                <w:b/>
                <w:bCs/>
                <w:i/>
                <w:iCs/>
                <w:color w:val="000000"/>
                <w:sz w:val="20"/>
                <w:szCs w:val="20"/>
              </w:rPr>
            </w:pPr>
            <w:r w:rsidRPr="004811C9">
              <w:rPr>
                <w:rFonts w:cs="Times New Roman"/>
                <w:b/>
                <w:bCs/>
                <w:i/>
                <w:iCs/>
                <w:color w:val="000000"/>
                <w:sz w:val="20"/>
                <w:szCs w:val="20"/>
              </w:rPr>
              <w:t>Correlation and Scale (standard deviation)</w:t>
            </w:r>
          </w:p>
        </w:tc>
        <w:tc>
          <w:tcPr>
            <w:tcW w:w="987" w:type="dxa"/>
            <w:tcBorders>
              <w:top w:val="single" w:sz="4" w:space="0" w:color="auto"/>
              <w:left w:val="single" w:sz="18" w:space="0" w:color="auto"/>
            </w:tcBorders>
            <w:tcMar>
              <w:top w:w="0" w:type="dxa"/>
              <w:left w:w="115" w:type="dxa"/>
              <w:bottom w:w="0" w:type="dxa"/>
              <w:right w:w="216" w:type="dxa"/>
            </w:tcMar>
            <w:vAlign w:val="center"/>
          </w:tcPr>
          <w:p w14:paraId="76A1A1C3" w14:textId="03658474"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color w:val="000000"/>
                <w:sz w:val="20"/>
                <w:szCs w:val="20"/>
              </w:rPr>
              <w:t> </w:t>
            </w:r>
          </w:p>
        </w:tc>
        <w:tc>
          <w:tcPr>
            <w:tcW w:w="990" w:type="dxa"/>
            <w:tcBorders>
              <w:top w:val="single" w:sz="4" w:space="0" w:color="auto"/>
              <w:right w:val="single" w:sz="6" w:space="0" w:color="auto"/>
            </w:tcBorders>
            <w:tcMar>
              <w:top w:w="0" w:type="dxa"/>
              <w:left w:w="115" w:type="dxa"/>
              <w:bottom w:w="0" w:type="dxa"/>
              <w:right w:w="216" w:type="dxa"/>
            </w:tcMar>
            <w:vAlign w:val="center"/>
          </w:tcPr>
          <w:p w14:paraId="31C7ABEE" w14:textId="689713C4"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color w:val="000000"/>
                <w:sz w:val="20"/>
                <w:szCs w:val="20"/>
              </w:rPr>
              <w:t> </w:t>
            </w:r>
          </w:p>
        </w:tc>
        <w:tc>
          <w:tcPr>
            <w:tcW w:w="0" w:type="auto"/>
            <w:tcBorders>
              <w:top w:val="single" w:sz="4" w:space="0" w:color="auto"/>
              <w:left w:val="single" w:sz="6" w:space="0" w:color="auto"/>
            </w:tcBorders>
            <w:tcMar>
              <w:top w:w="0" w:type="dxa"/>
              <w:left w:w="115" w:type="dxa"/>
              <w:bottom w:w="0" w:type="dxa"/>
              <w:right w:w="216" w:type="dxa"/>
            </w:tcMar>
            <w:vAlign w:val="center"/>
          </w:tcPr>
          <w:p w14:paraId="541B8720" w14:textId="06DE428D"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color w:val="000000"/>
                <w:sz w:val="20"/>
                <w:szCs w:val="20"/>
              </w:rPr>
              <w:t> </w:t>
            </w:r>
          </w:p>
        </w:tc>
        <w:tc>
          <w:tcPr>
            <w:tcW w:w="0" w:type="auto"/>
            <w:tcBorders>
              <w:top w:val="single" w:sz="4" w:space="0" w:color="auto"/>
              <w:right w:val="single" w:sz="18" w:space="0" w:color="auto"/>
            </w:tcBorders>
            <w:tcMar>
              <w:top w:w="0" w:type="dxa"/>
              <w:left w:w="115" w:type="dxa"/>
              <w:bottom w:w="0" w:type="dxa"/>
              <w:right w:w="216" w:type="dxa"/>
            </w:tcMar>
            <w:vAlign w:val="center"/>
          </w:tcPr>
          <w:p w14:paraId="3F1BC345" w14:textId="17ABCC14"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color w:val="000000"/>
                <w:sz w:val="20"/>
                <w:szCs w:val="20"/>
              </w:rPr>
              <w:t> </w:t>
            </w:r>
          </w:p>
        </w:tc>
      </w:tr>
      <w:tr w:rsidR="000A4EDB" w:rsidRPr="004811C9" w14:paraId="3F58D5E6"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vAlign w:val="bottom"/>
          </w:tcPr>
          <w:p w14:paraId="03984785" w14:textId="7D8345F6" w:rsidR="000A4EDB" w:rsidRPr="004811C9" w:rsidRDefault="000A4EDB" w:rsidP="000A4EDB">
            <w:pPr>
              <w:spacing w:after="0" w:line="240" w:lineRule="auto"/>
              <w:rPr>
                <w:rFonts w:cs="Times New Roman"/>
                <w:color w:val="000000"/>
                <w:sz w:val="20"/>
                <w:szCs w:val="20"/>
              </w:rPr>
            </w:pPr>
            <w:r w:rsidRPr="004811C9">
              <w:rPr>
                <w:rFonts w:cs="Times New Roman"/>
                <w:color w:val="000000"/>
                <w:sz w:val="20"/>
                <w:szCs w:val="20"/>
              </w:rPr>
              <w:t xml:space="preserve">    WTP</w:t>
            </w:r>
          </w:p>
        </w:tc>
        <w:tc>
          <w:tcPr>
            <w:tcW w:w="987" w:type="dxa"/>
            <w:tcBorders>
              <w:left w:val="single" w:sz="18" w:space="0" w:color="auto"/>
            </w:tcBorders>
            <w:tcMar>
              <w:top w:w="0" w:type="dxa"/>
              <w:left w:w="115" w:type="dxa"/>
              <w:bottom w:w="0" w:type="dxa"/>
              <w:right w:w="216" w:type="dxa"/>
            </w:tcMar>
          </w:tcPr>
          <w:p w14:paraId="03FC7364" w14:textId="570CD8FA"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sz w:val="20"/>
                <w:szCs w:val="20"/>
              </w:rPr>
              <w:t>1.00</w:t>
            </w:r>
          </w:p>
        </w:tc>
        <w:tc>
          <w:tcPr>
            <w:tcW w:w="990" w:type="dxa"/>
            <w:tcBorders>
              <w:right w:val="single" w:sz="6" w:space="0" w:color="auto"/>
            </w:tcBorders>
            <w:tcMar>
              <w:top w:w="0" w:type="dxa"/>
              <w:left w:w="115" w:type="dxa"/>
              <w:bottom w:w="0" w:type="dxa"/>
              <w:right w:w="216" w:type="dxa"/>
            </w:tcMar>
          </w:tcPr>
          <w:p w14:paraId="06E36E0B" w14:textId="701D1599"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sz w:val="20"/>
                <w:szCs w:val="20"/>
              </w:rPr>
              <w:t>--</w:t>
            </w:r>
          </w:p>
        </w:tc>
        <w:tc>
          <w:tcPr>
            <w:tcW w:w="0" w:type="auto"/>
            <w:tcBorders>
              <w:left w:val="single" w:sz="6" w:space="0" w:color="auto"/>
            </w:tcBorders>
            <w:tcMar>
              <w:top w:w="0" w:type="dxa"/>
              <w:left w:w="115" w:type="dxa"/>
              <w:bottom w:w="0" w:type="dxa"/>
              <w:right w:w="216" w:type="dxa"/>
            </w:tcMar>
          </w:tcPr>
          <w:p w14:paraId="5E013DA3" w14:textId="772F8197"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sz w:val="20"/>
                <w:szCs w:val="20"/>
              </w:rPr>
              <w:t>--</w:t>
            </w:r>
          </w:p>
        </w:tc>
        <w:tc>
          <w:tcPr>
            <w:tcW w:w="0" w:type="auto"/>
            <w:tcBorders>
              <w:right w:val="single" w:sz="18" w:space="0" w:color="auto"/>
            </w:tcBorders>
            <w:tcMar>
              <w:top w:w="0" w:type="dxa"/>
              <w:left w:w="115" w:type="dxa"/>
              <w:bottom w:w="0" w:type="dxa"/>
              <w:right w:w="216" w:type="dxa"/>
            </w:tcMar>
          </w:tcPr>
          <w:p w14:paraId="70A68568" w14:textId="748B792F" w:rsidR="000A4EDB" w:rsidRPr="004811C9" w:rsidRDefault="000A4EDB" w:rsidP="00AC5410">
            <w:pPr>
              <w:tabs>
                <w:tab w:val="decimal" w:pos="271"/>
              </w:tabs>
              <w:spacing w:after="0" w:line="240" w:lineRule="auto"/>
              <w:jc w:val="center"/>
              <w:rPr>
                <w:rFonts w:cs="Times New Roman"/>
                <w:color w:val="000000"/>
                <w:sz w:val="20"/>
                <w:szCs w:val="20"/>
              </w:rPr>
            </w:pPr>
          </w:p>
        </w:tc>
      </w:tr>
      <w:tr w:rsidR="000A4EDB" w:rsidRPr="004811C9" w14:paraId="5ADF2AFF" w14:textId="77777777" w:rsidTr="00494E95">
        <w:trPr>
          <w:trHeight w:val="20"/>
        </w:trPr>
        <w:tc>
          <w:tcPr>
            <w:tcW w:w="0" w:type="auto"/>
            <w:tcBorders>
              <w:left w:val="single" w:sz="18" w:space="0" w:color="auto"/>
              <w:bottom w:val="single" w:sz="18" w:space="0" w:color="auto"/>
              <w:right w:val="single" w:sz="18" w:space="0" w:color="auto"/>
            </w:tcBorders>
            <w:tcMar>
              <w:top w:w="0" w:type="dxa"/>
              <w:left w:w="115" w:type="dxa"/>
              <w:bottom w:w="0" w:type="dxa"/>
              <w:right w:w="216" w:type="dxa"/>
            </w:tcMar>
            <w:vAlign w:val="bottom"/>
          </w:tcPr>
          <w:p w14:paraId="6073215C" w14:textId="3D657815" w:rsidR="000A4EDB" w:rsidRPr="004811C9" w:rsidRDefault="000A4EDB" w:rsidP="000A4EDB">
            <w:pPr>
              <w:spacing w:after="0" w:line="240" w:lineRule="auto"/>
              <w:rPr>
                <w:rFonts w:cs="Times New Roman"/>
                <w:color w:val="000000"/>
                <w:sz w:val="20"/>
                <w:szCs w:val="20"/>
              </w:rPr>
            </w:pPr>
            <w:r w:rsidRPr="004811C9">
              <w:rPr>
                <w:rFonts w:cs="Times New Roman"/>
                <w:color w:val="000000"/>
                <w:sz w:val="20"/>
                <w:szCs w:val="20"/>
              </w:rPr>
              <w:t xml:space="preserve">    LN(</w:t>
            </w:r>
            <w:r w:rsidRPr="004811C9">
              <w:rPr>
                <w:rFonts w:cs="Times New Roman"/>
                <w:i/>
                <w:color w:val="000000"/>
                <w:sz w:val="20"/>
                <w:szCs w:val="20"/>
              </w:rPr>
              <w:t>cVTTS</w:t>
            </w:r>
            <w:r w:rsidRPr="004811C9">
              <w:rPr>
                <w:rFonts w:cs="Times New Roman"/>
                <w:color w:val="000000"/>
                <w:sz w:val="20"/>
                <w:szCs w:val="20"/>
              </w:rPr>
              <w:t>)</w:t>
            </w:r>
          </w:p>
        </w:tc>
        <w:tc>
          <w:tcPr>
            <w:tcW w:w="987" w:type="dxa"/>
            <w:tcBorders>
              <w:left w:val="single" w:sz="18" w:space="0" w:color="auto"/>
              <w:bottom w:val="single" w:sz="18" w:space="0" w:color="auto"/>
            </w:tcBorders>
            <w:tcMar>
              <w:top w:w="0" w:type="dxa"/>
              <w:left w:w="115" w:type="dxa"/>
              <w:bottom w:w="0" w:type="dxa"/>
              <w:right w:w="216" w:type="dxa"/>
            </w:tcMar>
          </w:tcPr>
          <w:p w14:paraId="3BD3A402" w14:textId="1C694AD3"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sz w:val="20"/>
                <w:szCs w:val="20"/>
              </w:rPr>
              <w:t>0.31</w:t>
            </w:r>
          </w:p>
        </w:tc>
        <w:tc>
          <w:tcPr>
            <w:tcW w:w="990" w:type="dxa"/>
            <w:tcBorders>
              <w:bottom w:val="single" w:sz="18" w:space="0" w:color="auto"/>
              <w:right w:val="single" w:sz="6" w:space="0" w:color="auto"/>
            </w:tcBorders>
            <w:tcMar>
              <w:top w:w="0" w:type="dxa"/>
              <w:left w:w="115" w:type="dxa"/>
              <w:bottom w:w="0" w:type="dxa"/>
              <w:right w:w="216" w:type="dxa"/>
            </w:tcMar>
          </w:tcPr>
          <w:p w14:paraId="4147B58C" w14:textId="723F454A"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sz w:val="20"/>
                <w:szCs w:val="20"/>
              </w:rPr>
              <w:t>11.14</w:t>
            </w:r>
          </w:p>
        </w:tc>
        <w:tc>
          <w:tcPr>
            <w:tcW w:w="0" w:type="auto"/>
            <w:tcBorders>
              <w:left w:val="single" w:sz="6" w:space="0" w:color="auto"/>
              <w:bottom w:val="single" w:sz="18" w:space="0" w:color="auto"/>
            </w:tcBorders>
            <w:tcMar>
              <w:top w:w="0" w:type="dxa"/>
              <w:left w:w="115" w:type="dxa"/>
              <w:bottom w:w="0" w:type="dxa"/>
              <w:right w:w="216" w:type="dxa"/>
            </w:tcMar>
          </w:tcPr>
          <w:p w14:paraId="770C8702" w14:textId="2CD21ADB"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sz w:val="20"/>
                <w:szCs w:val="20"/>
              </w:rPr>
              <w:t>0.79</w:t>
            </w:r>
          </w:p>
        </w:tc>
        <w:tc>
          <w:tcPr>
            <w:tcW w:w="0" w:type="auto"/>
            <w:tcBorders>
              <w:bottom w:val="single" w:sz="18" w:space="0" w:color="auto"/>
              <w:right w:val="single" w:sz="18" w:space="0" w:color="auto"/>
            </w:tcBorders>
            <w:tcMar>
              <w:top w:w="0" w:type="dxa"/>
              <w:left w:w="115" w:type="dxa"/>
              <w:bottom w:w="0" w:type="dxa"/>
              <w:right w:w="216" w:type="dxa"/>
            </w:tcMar>
          </w:tcPr>
          <w:p w14:paraId="36A45F0C" w14:textId="71F674FF" w:rsidR="000A4EDB" w:rsidRPr="004811C9" w:rsidRDefault="000A4EDB" w:rsidP="00AC5410">
            <w:pPr>
              <w:tabs>
                <w:tab w:val="decimal" w:pos="271"/>
              </w:tabs>
              <w:spacing w:after="0" w:line="240" w:lineRule="auto"/>
              <w:jc w:val="center"/>
              <w:rPr>
                <w:rFonts w:cs="Times New Roman"/>
                <w:color w:val="000000"/>
                <w:sz w:val="20"/>
                <w:szCs w:val="20"/>
              </w:rPr>
            </w:pPr>
            <w:r w:rsidRPr="004811C9">
              <w:rPr>
                <w:rFonts w:cs="Times New Roman"/>
                <w:sz w:val="20"/>
                <w:szCs w:val="20"/>
              </w:rPr>
              <w:t>35.29</w:t>
            </w:r>
          </w:p>
        </w:tc>
      </w:tr>
      <w:tr w:rsidR="000A4EDB" w:rsidRPr="004811C9" w14:paraId="35A5F0F5" w14:textId="77777777" w:rsidTr="00494E95">
        <w:trPr>
          <w:trHeight w:val="20"/>
        </w:trPr>
        <w:tc>
          <w:tcPr>
            <w:tcW w:w="0" w:type="auto"/>
            <w:tcBorders>
              <w:top w:val="single" w:sz="18" w:space="0" w:color="auto"/>
              <w:left w:val="single" w:sz="18" w:space="0" w:color="auto"/>
              <w:bottom w:val="single" w:sz="4" w:space="0" w:color="auto"/>
              <w:right w:val="single" w:sz="18" w:space="0" w:color="auto"/>
            </w:tcBorders>
            <w:tcMar>
              <w:top w:w="0" w:type="dxa"/>
              <w:left w:w="115" w:type="dxa"/>
              <w:bottom w:w="0" w:type="dxa"/>
              <w:right w:w="216" w:type="dxa"/>
            </w:tcMar>
            <w:vAlign w:val="bottom"/>
          </w:tcPr>
          <w:p w14:paraId="7F1EB8E9" w14:textId="21CE98FD" w:rsidR="000A4EDB" w:rsidRPr="004811C9" w:rsidRDefault="000A4EDB" w:rsidP="000A4EDB">
            <w:pPr>
              <w:spacing w:after="0" w:line="240" w:lineRule="auto"/>
              <w:rPr>
                <w:rFonts w:cs="Times New Roman"/>
                <w:b/>
                <w:bCs/>
                <w:color w:val="000000"/>
                <w:sz w:val="20"/>
                <w:szCs w:val="20"/>
              </w:rPr>
            </w:pPr>
            <w:r w:rsidRPr="004811C9">
              <w:rPr>
                <w:rFonts w:cs="Times New Roman"/>
                <w:b/>
                <w:bCs/>
                <w:color w:val="000000"/>
                <w:sz w:val="20"/>
                <w:szCs w:val="20"/>
              </w:rPr>
              <w:t>Measures of Fit</w:t>
            </w:r>
          </w:p>
        </w:tc>
        <w:tc>
          <w:tcPr>
            <w:tcW w:w="1977" w:type="dxa"/>
            <w:gridSpan w:val="2"/>
            <w:tcBorders>
              <w:top w:val="single" w:sz="18" w:space="0" w:color="auto"/>
              <w:left w:val="single" w:sz="18" w:space="0" w:color="auto"/>
              <w:bottom w:val="single" w:sz="4" w:space="0" w:color="auto"/>
              <w:right w:val="single" w:sz="6" w:space="0" w:color="auto"/>
            </w:tcBorders>
            <w:tcMar>
              <w:top w:w="0" w:type="dxa"/>
              <w:left w:w="115" w:type="dxa"/>
              <w:bottom w:w="0" w:type="dxa"/>
              <w:right w:w="216" w:type="dxa"/>
            </w:tcMar>
            <w:vAlign w:val="bottom"/>
          </w:tcPr>
          <w:p w14:paraId="5F89A4E5" w14:textId="7D10F259"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b/>
                <w:bCs/>
                <w:color w:val="000000"/>
                <w:sz w:val="20"/>
                <w:szCs w:val="20"/>
              </w:rPr>
              <w:t>Proposed Model</w:t>
            </w:r>
          </w:p>
        </w:tc>
        <w:tc>
          <w:tcPr>
            <w:tcW w:w="0" w:type="auto"/>
            <w:gridSpan w:val="2"/>
            <w:tcBorders>
              <w:top w:val="single" w:sz="18" w:space="0" w:color="auto"/>
              <w:left w:val="single" w:sz="6" w:space="0" w:color="auto"/>
              <w:bottom w:val="single" w:sz="4" w:space="0" w:color="auto"/>
              <w:right w:val="single" w:sz="18" w:space="0" w:color="auto"/>
            </w:tcBorders>
            <w:tcMar>
              <w:top w:w="0" w:type="dxa"/>
              <w:left w:w="115" w:type="dxa"/>
              <w:bottom w:w="0" w:type="dxa"/>
              <w:right w:w="216" w:type="dxa"/>
            </w:tcMar>
            <w:vAlign w:val="bottom"/>
          </w:tcPr>
          <w:p w14:paraId="7A47F599" w14:textId="0E2E2B68"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b/>
                <w:bCs/>
                <w:color w:val="000000"/>
                <w:sz w:val="20"/>
                <w:szCs w:val="20"/>
              </w:rPr>
              <w:t>Independent Model</w:t>
            </w:r>
          </w:p>
        </w:tc>
      </w:tr>
      <w:tr w:rsidR="000A4EDB" w:rsidRPr="004811C9" w14:paraId="423639D9" w14:textId="77777777" w:rsidTr="00494E95">
        <w:trPr>
          <w:trHeight w:val="20"/>
        </w:trPr>
        <w:tc>
          <w:tcPr>
            <w:tcW w:w="0" w:type="auto"/>
            <w:tcBorders>
              <w:top w:val="single" w:sz="4" w:space="0" w:color="auto"/>
              <w:left w:val="single" w:sz="18" w:space="0" w:color="auto"/>
              <w:right w:val="single" w:sz="18" w:space="0" w:color="auto"/>
            </w:tcBorders>
            <w:tcMar>
              <w:top w:w="0" w:type="dxa"/>
              <w:left w:w="115" w:type="dxa"/>
              <w:bottom w:w="0" w:type="dxa"/>
              <w:right w:w="216" w:type="dxa"/>
            </w:tcMar>
          </w:tcPr>
          <w:p w14:paraId="2891BBB5" w14:textId="5BE9A27F" w:rsidR="000A4EDB" w:rsidRPr="004811C9" w:rsidRDefault="000A4EDB" w:rsidP="000A4EDB">
            <w:pPr>
              <w:spacing w:after="0" w:line="240" w:lineRule="auto"/>
              <w:rPr>
                <w:rFonts w:cs="Times New Roman"/>
                <w:color w:val="000000"/>
                <w:sz w:val="20"/>
                <w:szCs w:val="20"/>
              </w:rPr>
            </w:pPr>
            <w:r w:rsidRPr="004811C9">
              <w:rPr>
                <w:rFonts w:cs="Times New Roman"/>
                <w:sz w:val="20"/>
                <w:szCs w:val="20"/>
              </w:rPr>
              <w:t>Log-Likelihood at Convergence</w:t>
            </w:r>
          </w:p>
        </w:tc>
        <w:tc>
          <w:tcPr>
            <w:tcW w:w="1977" w:type="dxa"/>
            <w:gridSpan w:val="2"/>
            <w:tcBorders>
              <w:top w:val="single" w:sz="4" w:space="0" w:color="auto"/>
              <w:left w:val="single" w:sz="18" w:space="0" w:color="auto"/>
              <w:right w:val="single" w:sz="6" w:space="0" w:color="auto"/>
            </w:tcBorders>
            <w:tcMar>
              <w:top w:w="0" w:type="dxa"/>
              <w:left w:w="115" w:type="dxa"/>
              <w:bottom w:w="0" w:type="dxa"/>
              <w:right w:w="216" w:type="dxa"/>
            </w:tcMar>
          </w:tcPr>
          <w:p w14:paraId="5C289743" w14:textId="377955D6"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sz w:val="20"/>
                <w:szCs w:val="20"/>
              </w:rPr>
              <w:t>-2750.51</w:t>
            </w:r>
          </w:p>
        </w:tc>
        <w:tc>
          <w:tcPr>
            <w:tcW w:w="0" w:type="auto"/>
            <w:gridSpan w:val="2"/>
            <w:tcBorders>
              <w:top w:val="single" w:sz="4" w:space="0" w:color="auto"/>
              <w:left w:val="single" w:sz="6" w:space="0" w:color="auto"/>
              <w:right w:val="single" w:sz="18" w:space="0" w:color="auto"/>
            </w:tcBorders>
            <w:tcMar>
              <w:top w:w="0" w:type="dxa"/>
              <w:left w:w="115" w:type="dxa"/>
              <w:bottom w:w="0" w:type="dxa"/>
              <w:right w:w="216" w:type="dxa"/>
            </w:tcMar>
          </w:tcPr>
          <w:p w14:paraId="57E3335C" w14:textId="76EBDD36"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sz w:val="20"/>
                <w:szCs w:val="20"/>
              </w:rPr>
              <w:t>-2766.03</w:t>
            </w:r>
          </w:p>
        </w:tc>
      </w:tr>
      <w:tr w:rsidR="000A4EDB" w:rsidRPr="004811C9" w14:paraId="6ABC1379"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7BC303ED" w14:textId="2D0BCB30" w:rsidR="000A4EDB" w:rsidRPr="004811C9" w:rsidRDefault="000A4EDB" w:rsidP="000A4EDB">
            <w:pPr>
              <w:spacing w:after="0" w:line="240" w:lineRule="auto"/>
              <w:rPr>
                <w:rFonts w:cs="Times New Roman"/>
                <w:color w:val="000000"/>
                <w:sz w:val="20"/>
                <w:szCs w:val="20"/>
              </w:rPr>
            </w:pPr>
            <w:r w:rsidRPr="004811C9">
              <w:rPr>
                <w:rFonts w:cs="Times New Roman"/>
                <w:sz w:val="20"/>
                <w:szCs w:val="20"/>
              </w:rPr>
              <w:t>Log-Likelihood at Constants</w:t>
            </w:r>
          </w:p>
        </w:tc>
        <w:tc>
          <w:tcPr>
            <w:tcW w:w="1977" w:type="dxa"/>
            <w:gridSpan w:val="2"/>
            <w:tcBorders>
              <w:left w:val="single" w:sz="18" w:space="0" w:color="auto"/>
              <w:right w:val="single" w:sz="6" w:space="0" w:color="auto"/>
            </w:tcBorders>
            <w:tcMar>
              <w:top w:w="0" w:type="dxa"/>
              <w:left w:w="115" w:type="dxa"/>
              <w:bottom w:w="0" w:type="dxa"/>
              <w:right w:w="216" w:type="dxa"/>
            </w:tcMar>
          </w:tcPr>
          <w:p w14:paraId="1027CBE5" w14:textId="335276AE"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sz w:val="20"/>
                <w:szCs w:val="20"/>
              </w:rPr>
              <w:t>-3630.35</w:t>
            </w:r>
          </w:p>
        </w:tc>
        <w:tc>
          <w:tcPr>
            <w:tcW w:w="0" w:type="auto"/>
            <w:gridSpan w:val="2"/>
            <w:tcBorders>
              <w:left w:val="single" w:sz="6" w:space="0" w:color="auto"/>
              <w:right w:val="single" w:sz="18" w:space="0" w:color="auto"/>
            </w:tcBorders>
            <w:tcMar>
              <w:top w:w="0" w:type="dxa"/>
              <w:left w:w="115" w:type="dxa"/>
              <w:bottom w:w="0" w:type="dxa"/>
              <w:right w:w="216" w:type="dxa"/>
            </w:tcMar>
          </w:tcPr>
          <w:p w14:paraId="7DC78812" w14:textId="772BEEF2"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sz w:val="20"/>
                <w:szCs w:val="20"/>
              </w:rPr>
              <w:t>-3630.35</w:t>
            </w:r>
          </w:p>
        </w:tc>
      </w:tr>
      <w:tr w:rsidR="000A4EDB" w:rsidRPr="004811C9" w14:paraId="4681332C"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1C876FFC" w14:textId="387EBD3D" w:rsidR="000A4EDB" w:rsidRPr="004811C9" w:rsidRDefault="000A4EDB" w:rsidP="000A4EDB">
            <w:pPr>
              <w:spacing w:after="0" w:line="240" w:lineRule="auto"/>
              <w:rPr>
                <w:rFonts w:cs="Times New Roman"/>
                <w:color w:val="000000"/>
                <w:sz w:val="20"/>
                <w:szCs w:val="20"/>
              </w:rPr>
            </w:pPr>
            <w:r w:rsidRPr="004811C9">
              <w:rPr>
                <w:rFonts w:cs="Times New Roman"/>
                <w:sz w:val="20"/>
                <w:szCs w:val="20"/>
              </w:rPr>
              <w:t>Number of Parameters</w:t>
            </w:r>
          </w:p>
        </w:tc>
        <w:tc>
          <w:tcPr>
            <w:tcW w:w="1977" w:type="dxa"/>
            <w:gridSpan w:val="2"/>
            <w:tcBorders>
              <w:left w:val="single" w:sz="18" w:space="0" w:color="auto"/>
              <w:right w:val="single" w:sz="6" w:space="0" w:color="auto"/>
            </w:tcBorders>
            <w:tcMar>
              <w:top w:w="0" w:type="dxa"/>
              <w:left w:w="115" w:type="dxa"/>
              <w:bottom w:w="0" w:type="dxa"/>
              <w:right w:w="216" w:type="dxa"/>
            </w:tcMar>
          </w:tcPr>
          <w:p w14:paraId="3266AB09" w14:textId="74CD93F2"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sz w:val="20"/>
                <w:szCs w:val="20"/>
              </w:rPr>
              <w:t>52</w:t>
            </w:r>
          </w:p>
        </w:tc>
        <w:tc>
          <w:tcPr>
            <w:tcW w:w="0" w:type="auto"/>
            <w:gridSpan w:val="2"/>
            <w:tcBorders>
              <w:left w:val="single" w:sz="6" w:space="0" w:color="auto"/>
              <w:right w:val="single" w:sz="18" w:space="0" w:color="auto"/>
            </w:tcBorders>
            <w:tcMar>
              <w:top w:w="0" w:type="dxa"/>
              <w:left w:w="115" w:type="dxa"/>
              <w:bottom w:w="0" w:type="dxa"/>
              <w:right w:w="216" w:type="dxa"/>
            </w:tcMar>
          </w:tcPr>
          <w:p w14:paraId="7F3C471E" w14:textId="5FB5B1E3"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sz w:val="20"/>
                <w:szCs w:val="20"/>
              </w:rPr>
              <w:t>51</w:t>
            </w:r>
          </w:p>
        </w:tc>
      </w:tr>
      <w:tr w:rsidR="000A4EDB" w:rsidRPr="004811C9" w14:paraId="68FB73FB" w14:textId="77777777" w:rsidTr="00494E95">
        <w:trPr>
          <w:trHeight w:val="20"/>
        </w:trPr>
        <w:tc>
          <w:tcPr>
            <w:tcW w:w="0" w:type="auto"/>
            <w:tcBorders>
              <w:left w:val="single" w:sz="18" w:space="0" w:color="auto"/>
              <w:right w:val="single" w:sz="18" w:space="0" w:color="auto"/>
            </w:tcBorders>
            <w:tcMar>
              <w:top w:w="0" w:type="dxa"/>
              <w:left w:w="115" w:type="dxa"/>
              <w:bottom w:w="0" w:type="dxa"/>
              <w:right w:w="216" w:type="dxa"/>
            </w:tcMar>
          </w:tcPr>
          <w:p w14:paraId="0B0A86BF" w14:textId="712EADF7" w:rsidR="000A4EDB" w:rsidRPr="004811C9" w:rsidRDefault="000A4EDB" w:rsidP="000A4EDB">
            <w:pPr>
              <w:spacing w:after="0" w:line="240" w:lineRule="auto"/>
              <w:rPr>
                <w:rFonts w:cs="Times New Roman"/>
                <w:color w:val="000000"/>
                <w:sz w:val="20"/>
                <w:szCs w:val="20"/>
              </w:rPr>
            </w:pPr>
            <w:r w:rsidRPr="004811C9">
              <w:rPr>
                <w:rFonts w:cs="Times New Roman"/>
                <w:sz w:val="20"/>
                <w:szCs w:val="20"/>
              </w:rPr>
              <w:t>Adjusted Likelihood Ratio Index</w:t>
            </w:r>
          </w:p>
        </w:tc>
        <w:tc>
          <w:tcPr>
            <w:tcW w:w="1977" w:type="dxa"/>
            <w:gridSpan w:val="2"/>
            <w:tcBorders>
              <w:left w:val="single" w:sz="18" w:space="0" w:color="auto"/>
              <w:right w:val="single" w:sz="6" w:space="0" w:color="auto"/>
            </w:tcBorders>
            <w:tcMar>
              <w:top w:w="0" w:type="dxa"/>
              <w:left w:w="115" w:type="dxa"/>
              <w:bottom w:w="0" w:type="dxa"/>
              <w:right w:w="216" w:type="dxa"/>
            </w:tcMar>
          </w:tcPr>
          <w:p w14:paraId="04E177B8" w14:textId="728300B7"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sz w:val="20"/>
                <w:szCs w:val="20"/>
              </w:rPr>
              <w:t>0.229</w:t>
            </w:r>
          </w:p>
        </w:tc>
        <w:tc>
          <w:tcPr>
            <w:tcW w:w="0" w:type="auto"/>
            <w:gridSpan w:val="2"/>
            <w:tcBorders>
              <w:left w:val="single" w:sz="6" w:space="0" w:color="auto"/>
              <w:right w:val="single" w:sz="18" w:space="0" w:color="auto"/>
            </w:tcBorders>
            <w:tcMar>
              <w:top w:w="0" w:type="dxa"/>
              <w:left w:w="115" w:type="dxa"/>
              <w:bottom w:w="0" w:type="dxa"/>
              <w:right w:w="216" w:type="dxa"/>
            </w:tcMar>
          </w:tcPr>
          <w:p w14:paraId="087E1BC1" w14:textId="492B9837"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sz w:val="20"/>
                <w:szCs w:val="20"/>
              </w:rPr>
              <w:t>0.225</w:t>
            </w:r>
          </w:p>
        </w:tc>
      </w:tr>
      <w:tr w:rsidR="000A4EDB" w:rsidRPr="004811C9" w14:paraId="0033C97E" w14:textId="77777777" w:rsidTr="00494E95">
        <w:trPr>
          <w:trHeight w:val="20"/>
        </w:trPr>
        <w:tc>
          <w:tcPr>
            <w:tcW w:w="0" w:type="auto"/>
            <w:tcBorders>
              <w:left w:val="single" w:sz="18" w:space="0" w:color="auto"/>
              <w:bottom w:val="single" w:sz="4" w:space="0" w:color="auto"/>
              <w:right w:val="single" w:sz="18" w:space="0" w:color="auto"/>
            </w:tcBorders>
            <w:tcMar>
              <w:top w:w="0" w:type="dxa"/>
              <w:left w:w="115" w:type="dxa"/>
              <w:bottom w:w="0" w:type="dxa"/>
              <w:right w:w="216" w:type="dxa"/>
            </w:tcMar>
          </w:tcPr>
          <w:p w14:paraId="06FEF22B" w14:textId="26D4D0A5" w:rsidR="000A4EDB" w:rsidRPr="004811C9" w:rsidRDefault="000A4EDB" w:rsidP="000A4EDB">
            <w:pPr>
              <w:spacing w:after="0" w:line="240" w:lineRule="auto"/>
              <w:rPr>
                <w:rFonts w:cs="Times New Roman"/>
                <w:color w:val="000000"/>
                <w:sz w:val="20"/>
                <w:szCs w:val="20"/>
              </w:rPr>
            </w:pPr>
            <w:r w:rsidRPr="004811C9">
              <w:rPr>
                <w:rFonts w:cs="Times New Roman"/>
                <w:sz w:val="20"/>
                <w:szCs w:val="20"/>
              </w:rPr>
              <w:t>Bayesian Information Criterion</w:t>
            </w:r>
          </w:p>
        </w:tc>
        <w:tc>
          <w:tcPr>
            <w:tcW w:w="1977" w:type="dxa"/>
            <w:gridSpan w:val="2"/>
            <w:tcBorders>
              <w:left w:val="single" w:sz="18" w:space="0" w:color="auto"/>
              <w:bottom w:val="single" w:sz="4" w:space="0" w:color="auto"/>
              <w:right w:val="single" w:sz="6" w:space="0" w:color="auto"/>
            </w:tcBorders>
            <w:tcMar>
              <w:top w:w="0" w:type="dxa"/>
              <w:left w:w="115" w:type="dxa"/>
              <w:bottom w:w="0" w:type="dxa"/>
              <w:right w:w="216" w:type="dxa"/>
            </w:tcMar>
          </w:tcPr>
          <w:p w14:paraId="0CA9ABA5" w14:textId="14FC1277"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sz w:val="20"/>
                <w:szCs w:val="20"/>
              </w:rPr>
              <w:t>2836.87</w:t>
            </w:r>
          </w:p>
        </w:tc>
        <w:tc>
          <w:tcPr>
            <w:tcW w:w="0" w:type="auto"/>
            <w:gridSpan w:val="2"/>
            <w:tcBorders>
              <w:left w:val="single" w:sz="6" w:space="0" w:color="auto"/>
              <w:bottom w:val="single" w:sz="4" w:space="0" w:color="auto"/>
              <w:right w:val="single" w:sz="18" w:space="0" w:color="auto"/>
            </w:tcBorders>
            <w:tcMar>
              <w:top w:w="0" w:type="dxa"/>
              <w:left w:w="115" w:type="dxa"/>
              <w:bottom w:w="0" w:type="dxa"/>
              <w:right w:w="216" w:type="dxa"/>
            </w:tcMar>
          </w:tcPr>
          <w:p w14:paraId="5278D297" w14:textId="1BE051EA"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sz w:val="20"/>
                <w:szCs w:val="20"/>
              </w:rPr>
              <w:t>2850.73</w:t>
            </w:r>
          </w:p>
        </w:tc>
      </w:tr>
      <w:tr w:rsidR="000A4EDB" w:rsidRPr="004811C9" w14:paraId="661DF15F" w14:textId="77777777" w:rsidTr="00494E95">
        <w:trPr>
          <w:trHeight w:val="20"/>
        </w:trPr>
        <w:tc>
          <w:tcPr>
            <w:tcW w:w="0" w:type="auto"/>
            <w:tcBorders>
              <w:top w:val="single" w:sz="4" w:space="0" w:color="auto"/>
              <w:left w:val="single" w:sz="18" w:space="0" w:color="auto"/>
              <w:bottom w:val="single" w:sz="18" w:space="0" w:color="auto"/>
              <w:right w:val="single" w:sz="18" w:space="0" w:color="auto"/>
            </w:tcBorders>
            <w:tcMar>
              <w:top w:w="0" w:type="dxa"/>
              <w:left w:w="115" w:type="dxa"/>
              <w:bottom w:w="0" w:type="dxa"/>
              <w:right w:w="216" w:type="dxa"/>
            </w:tcMar>
          </w:tcPr>
          <w:p w14:paraId="50751DF2" w14:textId="4D5523C8" w:rsidR="000A4EDB" w:rsidRPr="004811C9" w:rsidRDefault="000A4EDB" w:rsidP="000A4EDB">
            <w:pPr>
              <w:spacing w:after="0" w:line="240" w:lineRule="auto"/>
              <w:rPr>
                <w:rFonts w:cs="Times New Roman"/>
                <w:color w:val="000000"/>
                <w:sz w:val="20"/>
                <w:szCs w:val="20"/>
              </w:rPr>
            </w:pPr>
            <w:r w:rsidRPr="004811C9">
              <w:rPr>
                <w:rFonts w:cs="Times New Roman"/>
                <w:sz w:val="20"/>
                <w:szCs w:val="20"/>
              </w:rPr>
              <w:t>Likelihood Ratio Test</w:t>
            </w:r>
          </w:p>
        </w:tc>
        <w:tc>
          <w:tcPr>
            <w:tcW w:w="3983" w:type="dxa"/>
            <w:gridSpan w:val="4"/>
            <w:tcBorders>
              <w:top w:val="single" w:sz="4" w:space="0" w:color="auto"/>
              <w:left w:val="single" w:sz="18" w:space="0" w:color="auto"/>
              <w:bottom w:val="single" w:sz="18" w:space="0" w:color="auto"/>
              <w:right w:val="single" w:sz="18" w:space="0" w:color="auto"/>
            </w:tcBorders>
            <w:tcMar>
              <w:top w:w="0" w:type="dxa"/>
              <w:left w:w="115" w:type="dxa"/>
              <w:bottom w:w="0" w:type="dxa"/>
              <w:right w:w="216" w:type="dxa"/>
            </w:tcMar>
            <w:vAlign w:val="center"/>
          </w:tcPr>
          <w:p w14:paraId="305FCBE6" w14:textId="358EF57C" w:rsidR="000A4EDB" w:rsidRPr="004811C9" w:rsidRDefault="000A4EDB" w:rsidP="000A4EDB">
            <w:pPr>
              <w:tabs>
                <w:tab w:val="decimal" w:pos="198"/>
              </w:tabs>
              <w:spacing w:after="0" w:line="240" w:lineRule="auto"/>
              <w:jc w:val="center"/>
              <w:rPr>
                <w:rFonts w:cs="Times New Roman"/>
                <w:color w:val="000000"/>
                <w:sz w:val="20"/>
                <w:szCs w:val="20"/>
              </w:rPr>
            </w:pPr>
            <w:r w:rsidRPr="004811C9">
              <w:rPr>
                <w:rFonts w:cs="Times New Roman"/>
                <w:color w:val="000000"/>
                <w:sz w:val="20"/>
                <w:szCs w:val="20"/>
              </w:rPr>
              <w:t>31.04</w:t>
            </w:r>
          </w:p>
        </w:tc>
      </w:tr>
      <w:bookmarkEnd w:id="2"/>
    </w:tbl>
    <w:p w14:paraId="02979595" w14:textId="77777777" w:rsidR="007D56F0" w:rsidRPr="004811C9" w:rsidRDefault="007D56F0">
      <w:pPr>
        <w:rPr>
          <w:rFonts w:cs="Times New Roman"/>
          <w:b/>
          <w:bCs/>
        </w:rPr>
      </w:pPr>
    </w:p>
    <w:p w14:paraId="3937D0AA" w14:textId="77777777" w:rsidR="0015339F" w:rsidRPr="004811C9" w:rsidRDefault="0015339F" w:rsidP="00027FE5">
      <w:pPr>
        <w:spacing w:after="0" w:line="240" w:lineRule="auto"/>
        <w:rPr>
          <w:rFonts w:cs="Times New Roman"/>
          <w:b/>
          <w:bCs/>
        </w:rPr>
        <w:sectPr w:rsidR="0015339F" w:rsidRPr="004811C9" w:rsidSect="00F8453A">
          <w:footerReference w:type="default" r:id="rId84"/>
          <w:pgSz w:w="12240" w:h="15840" w:code="1"/>
          <w:pgMar w:top="1440" w:right="1440" w:bottom="1440" w:left="1440" w:header="720" w:footer="720" w:gutter="0"/>
          <w:pgNumType w:start="1"/>
          <w:cols w:space="720"/>
          <w:docGrid w:linePitch="360"/>
        </w:sectPr>
      </w:pPr>
    </w:p>
    <w:p w14:paraId="78294DC6" w14:textId="1BBD7C0A" w:rsidR="00027FE5" w:rsidRPr="004811C9" w:rsidRDefault="00027FE5" w:rsidP="00027FE5">
      <w:pPr>
        <w:spacing w:after="0" w:line="240" w:lineRule="auto"/>
        <w:rPr>
          <w:rFonts w:cs="Times New Roman"/>
          <w:b/>
          <w:bCs/>
        </w:rPr>
      </w:pPr>
      <w:r w:rsidRPr="004811C9">
        <w:rPr>
          <w:rFonts w:cs="Times New Roman"/>
          <w:b/>
          <w:bCs/>
        </w:rPr>
        <w:lastRenderedPageBreak/>
        <w:t xml:space="preserve">Table 3: Variation in Value of </w:t>
      </w:r>
      <w:r w:rsidR="00664FFB" w:rsidRPr="004811C9">
        <w:rPr>
          <w:rFonts w:cs="Times New Roman"/>
          <w:b/>
          <w:bCs/>
        </w:rPr>
        <w:t>Travel Time Savings</w:t>
      </w:r>
      <w:r w:rsidRPr="004811C9">
        <w:rPr>
          <w:rFonts w:cs="Times New Roman"/>
          <w:b/>
          <w:bCs/>
        </w:rPr>
        <w:t xml:space="preserve"> by Exogenous Characteristics </w:t>
      </w:r>
    </w:p>
    <w:p w14:paraId="6399A847" w14:textId="77777777" w:rsidR="00027FE5" w:rsidRPr="004811C9" w:rsidRDefault="00027FE5" w:rsidP="00027FE5">
      <w:pPr>
        <w:spacing w:after="0" w:line="240" w:lineRule="auto"/>
        <w:rPr>
          <w:rFonts w:cs="Times New Roman"/>
        </w:rPr>
      </w:pPr>
    </w:p>
    <w:tbl>
      <w:tblPr>
        <w:tblW w:w="931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37"/>
        <w:gridCol w:w="3060"/>
        <w:gridCol w:w="868"/>
        <w:gridCol w:w="801"/>
        <w:gridCol w:w="1051"/>
        <w:gridCol w:w="1402"/>
      </w:tblGrid>
      <w:tr w:rsidR="00EC71A1" w:rsidRPr="00DC3F94" w14:paraId="06C0DBBA" w14:textId="4E477B6F" w:rsidTr="00494E95">
        <w:trPr>
          <w:trHeight w:val="144"/>
        </w:trPr>
        <w:tc>
          <w:tcPr>
            <w:tcW w:w="5197" w:type="dxa"/>
            <w:gridSpan w:val="2"/>
            <w:vMerge w:val="restart"/>
            <w:tcBorders>
              <w:top w:val="single" w:sz="18" w:space="0" w:color="auto"/>
              <w:right w:val="single" w:sz="18" w:space="0" w:color="auto"/>
            </w:tcBorders>
            <w:noWrap/>
            <w:vAlign w:val="center"/>
            <w:hideMark/>
          </w:tcPr>
          <w:p w14:paraId="6E4F8DD8" w14:textId="77777777" w:rsidR="00EC71A1" w:rsidRPr="00DC3F94" w:rsidRDefault="00EC71A1" w:rsidP="000A4EDB">
            <w:pPr>
              <w:spacing w:after="0" w:line="240" w:lineRule="auto"/>
              <w:jc w:val="center"/>
              <w:rPr>
                <w:rFonts w:eastAsia="Times New Roman" w:cs="Times New Roman"/>
                <w:kern w:val="0"/>
                <w:sz w:val="20"/>
                <w:szCs w:val="20"/>
                <w14:ligatures w14:val="none"/>
              </w:rPr>
            </w:pPr>
          </w:p>
        </w:tc>
        <w:tc>
          <w:tcPr>
            <w:tcW w:w="2720" w:type="dxa"/>
            <w:gridSpan w:val="3"/>
            <w:tcBorders>
              <w:top w:val="single" w:sz="18" w:space="0" w:color="auto"/>
              <w:left w:val="single" w:sz="18" w:space="0" w:color="auto"/>
              <w:bottom w:val="single" w:sz="18" w:space="0" w:color="auto"/>
              <w:right w:val="single" w:sz="18" w:space="0" w:color="auto"/>
            </w:tcBorders>
            <w:vAlign w:val="center"/>
          </w:tcPr>
          <w:p w14:paraId="2E657EDE" w14:textId="33CC54D3" w:rsidR="00EC71A1" w:rsidRPr="00DC3F94" w:rsidRDefault="00EC71A1" w:rsidP="000A4EDB">
            <w:pPr>
              <w:spacing w:after="0" w:line="240" w:lineRule="auto"/>
              <w:jc w:val="center"/>
              <w:rPr>
                <w:rFonts w:eastAsia="Times New Roman" w:cs="Times New Roman"/>
                <w:b/>
                <w:bCs/>
                <w:color w:val="000000"/>
                <w:kern w:val="0"/>
                <w:sz w:val="20"/>
                <w:szCs w:val="20"/>
                <w14:ligatures w14:val="none"/>
              </w:rPr>
            </w:pPr>
            <w:r w:rsidRPr="00DC3F94">
              <w:rPr>
                <w:rFonts w:eastAsia="Times New Roman" w:cs="Times New Roman"/>
                <w:b/>
                <w:bCs/>
                <w:color w:val="000000"/>
                <w:kern w:val="0"/>
                <w:sz w:val="20"/>
                <w:szCs w:val="20"/>
                <w14:ligatures w14:val="none"/>
              </w:rPr>
              <w:t>Proposed Model</w:t>
            </w:r>
          </w:p>
        </w:tc>
        <w:tc>
          <w:tcPr>
            <w:tcW w:w="1402" w:type="dxa"/>
            <w:vMerge w:val="restart"/>
            <w:tcBorders>
              <w:top w:val="single" w:sz="18" w:space="0" w:color="auto"/>
              <w:left w:val="single" w:sz="18" w:space="0" w:color="auto"/>
              <w:bottom w:val="single" w:sz="18" w:space="0" w:color="auto"/>
            </w:tcBorders>
          </w:tcPr>
          <w:p w14:paraId="275727B8" w14:textId="7B0898AE" w:rsidR="00EC71A1" w:rsidRPr="00DC3F94" w:rsidRDefault="00EC71A1" w:rsidP="000A4EDB">
            <w:pPr>
              <w:spacing w:after="0" w:line="240" w:lineRule="auto"/>
              <w:jc w:val="center"/>
              <w:rPr>
                <w:rFonts w:eastAsia="Times New Roman" w:cs="Times New Roman"/>
                <w:b/>
                <w:bCs/>
                <w:color w:val="000000"/>
                <w:kern w:val="0"/>
                <w:sz w:val="20"/>
                <w:szCs w:val="20"/>
                <w14:ligatures w14:val="none"/>
              </w:rPr>
            </w:pPr>
            <w:r w:rsidRPr="00DC3F94">
              <w:rPr>
                <w:rFonts w:eastAsia="Times New Roman" w:cs="Times New Roman"/>
                <w:b/>
                <w:bCs/>
                <w:color w:val="000000"/>
                <w:kern w:val="0"/>
                <w:sz w:val="20"/>
                <w:szCs w:val="20"/>
                <w14:ligatures w14:val="none"/>
              </w:rPr>
              <w:t>Independent Model VTTS</w:t>
            </w:r>
          </w:p>
        </w:tc>
      </w:tr>
      <w:tr w:rsidR="00EC71A1" w:rsidRPr="00DC3F94" w14:paraId="4D7B2AE0" w14:textId="77777777" w:rsidTr="00494E95">
        <w:trPr>
          <w:trHeight w:val="144"/>
        </w:trPr>
        <w:tc>
          <w:tcPr>
            <w:tcW w:w="5197" w:type="dxa"/>
            <w:gridSpan w:val="2"/>
            <w:vMerge/>
            <w:tcBorders>
              <w:bottom w:val="single" w:sz="18" w:space="0" w:color="auto"/>
              <w:right w:val="single" w:sz="18" w:space="0" w:color="auto"/>
            </w:tcBorders>
            <w:noWrap/>
            <w:vAlign w:val="center"/>
          </w:tcPr>
          <w:p w14:paraId="79249DAD" w14:textId="77777777" w:rsidR="00EC71A1" w:rsidRPr="00DC3F94" w:rsidRDefault="00EC71A1" w:rsidP="005E5BFC">
            <w:pPr>
              <w:spacing w:after="0" w:line="240" w:lineRule="auto"/>
              <w:jc w:val="center"/>
              <w:rPr>
                <w:rFonts w:eastAsia="Times New Roman" w:cs="Times New Roman"/>
                <w:kern w:val="0"/>
                <w:sz w:val="20"/>
                <w:szCs w:val="20"/>
                <w14:ligatures w14:val="none"/>
              </w:rPr>
            </w:pPr>
          </w:p>
        </w:tc>
        <w:tc>
          <w:tcPr>
            <w:tcW w:w="868" w:type="dxa"/>
            <w:tcBorders>
              <w:top w:val="single" w:sz="18" w:space="0" w:color="auto"/>
              <w:left w:val="single" w:sz="18" w:space="0" w:color="auto"/>
              <w:bottom w:val="single" w:sz="18" w:space="0" w:color="auto"/>
            </w:tcBorders>
            <w:vAlign w:val="center"/>
          </w:tcPr>
          <w:p w14:paraId="0CC1EF63" w14:textId="5B4D2324" w:rsidR="00EC71A1" w:rsidRPr="00DC3F94" w:rsidRDefault="00EC71A1" w:rsidP="005E5BFC">
            <w:pPr>
              <w:spacing w:after="0" w:line="240" w:lineRule="auto"/>
              <w:jc w:val="center"/>
              <w:rPr>
                <w:rFonts w:eastAsia="Times New Roman" w:cs="Times New Roman"/>
                <w:b/>
                <w:bCs/>
                <w:color w:val="000000"/>
                <w:kern w:val="0"/>
                <w:sz w:val="20"/>
                <w:szCs w:val="20"/>
                <w14:ligatures w14:val="none"/>
              </w:rPr>
            </w:pPr>
            <w:r w:rsidRPr="00DC3F94">
              <w:rPr>
                <w:rFonts w:eastAsia="Times New Roman" w:cs="Times New Roman"/>
                <w:b/>
                <w:bCs/>
                <w:color w:val="000000"/>
                <w:kern w:val="0"/>
                <w:sz w:val="20"/>
                <w:szCs w:val="20"/>
                <w14:ligatures w14:val="none"/>
              </w:rPr>
              <w:t>WTP</w:t>
            </w:r>
          </w:p>
        </w:tc>
        <w:tc>
          <w:tcPr>
            <w:tcW w:w="801" w:type="dxa"/>
            <w:tcBorders>
              <w:top w:val="single" w:sz="18" w:space="0" w:color="auto"/>
              <w:bottom w:val="single" w:sz="18" w:space="0" w:color="auto"/>
            </w:tcBorders>
            <w:noWrap/>
            <w:vAlign w:val="center"/>
          </w:tcPr>
          <w:p w14:paraId="07094E0F" w14:textId="394A01E8" w:rsidR="00EC71A1" w:rsidRPr="00DC3F94" w:rsidRDefault="00EC71A1" w:rsidP="005E5BFC">
            <w:pPr>
              <w:spacing w:after="0" w:line="240" w:lineRule="auto"/>
              <w:jc w:val="center"/>
              <w:rPr>
                <w:rFonts w:eastAsia="Times New Roman" w:cs="Times New Roman"/>
                <w:b/>
                <w:bCs/>
                <w:i/>
                <w:color w:val="000000"/>
                <w:kern w:val="0"/>
                <w:sz w:val="20"/>
                <w:szCs w:val="20"/>
                <w14:ligatures w14:val="none"/>
              </w:rPr>
            </w:pPr>
            <w:r w:rsidRPr="00DC3F94">
              <w:rPr>
                <w:rFonts w:eastAsia="Times New Roman" w:cs="Times New Roman"/>
                <w:b/>
                <w:bCs/>
                <w:i/>
                <w:color w:val="000000"/>
                <w:kern w:val="0"/>
                <w:sz w:val="20"/>
                <w:szCs w:val="20"/>
                <w14:ligatures w14:val="none"/>
              </w:rPr>
              <w:t>cVTTS</w:t>
            </w:r>
          </w:p>
        </w:tc>
        <w:tc>
          <w:tcPr>
            <w:tcW w:w="1051" w:type="dxa"/>
            <w:tcBorders>
              <w:top w:val="single" w:sz="18" w:space="0" w:color="auto"/>
              <w:bottom w:val="single" w:sz="18" w:space="0" w:color="auto"/>
              <w:right w:val="single" w:sz="18" w:space="0" w:color="auto"/>
            </w:tcBorders>
            <w:noWrap/>
            <w:vAlign w:val="center"/>
          </w:tcPr>
          <w:p w14:paraId="0B04458F" w14:textId="6737F559" w:rsidR="00EC71A1" w:rsidRPr="00DC3F94" w:rsidRDefault="00EC71A1" w:rsidP="005E5BFC">
            <w:pPr>
              <w:spacing w:after="0" w:line="240" w:lineRule="auto"/>
              <w:jc w:val="center"/>
              <w:rPr>
                <w:rFonts w:eastAsia="Times New Roman" w:cs="Times New Roman"/>
                <w:b/>
                <w:bCs/>
                <w:color w:val="000000"/>
                <w:kern w:val="0"/>
                <w:sz w:val="20"/>
                <w:szCs w:val="20"/>
                <w14:ligatures w14:val="none"/>
              </w:rPr>
            </w:pPr>
            <w:r w:rsidRPr="00DC3F94">
              <w:rPr>
                <w:rFonts w:eastAsia="Times New Roman" w:cs="Times New Roman"/>
                <w:b/>
                <w:bCs/>
                <w:color w:val="000000"/>
                <w:kern w:val="0"/>
                <w:sz w:val="20"/>
                <w:szCs w:val="20"/>
                <w14:ligatures w14:val="none"/>
              </w:rPr>
              <w:t>VTTS</w:t>
            </w:r>
          </w:p>
        </w:tc>
        <w:tc>
          <w:tcPr>
            <w:tcW w:w="1402" w:type="dxa"/>
            <w:vMerge/>
            <w:tcBorders>
              <w:top w:val="nil"/>
              <w:left w:val="single" w:sz="18" w:space="0" w:color="auto"/>
              <w:bottom w:val="single" w:sz="18" w:space="0" w:color="auto"/>
            </w:tcBorders>
          </w:tcPr>
          <w:p w14:paraId="3DED2397" w14:textId="77777777" w:rsidR="00EC71A1" w:rsidRPr="00DC3F94" w:rsidRDefault="00EC71A1" w:rsidP="005E5BFC">
            <w:pPr>
              <w:spacing w:after="0" w:line="240" w:lineRule="auto"/>
              <w:jc w:val="center"/>
              <w:rPr>
                <w:rFonts w:eastAsia="Times New Roman" w:cs="Times New Roman"/>
                <w:b/>
                <w:bCs/>
                <w:color w:val="000000"/>
                <w:kern w:val="0"/>
                <w:sz w:val="20"/>
                <w:szCs w:val="20"/>
                <w14:ligatures w14:val="none"/>
              </w:rPr>
            </w:pPr>
          </w:p>
        </w:tc>
      </w:tr>
      <w:tr w:rsidR="0033462C" w:rsidRPr="00DC3F94" w14:paraId="1EC41662" w14:textId="28817A18" w:rsidTr="00494E95">
        <w:trPr>
          <w:trHeight w:val="144"/>
        </w:trPr>
        <w:tc>
          <w:tcPr>
            <w:tcW w:w="2137" w:type="dxa"/>
            <w:tcBorders>
              <w:top w:val="single" w:sz="18" w:space="0" w:color="auto"/>
              <w:bottom w:val="single" w:sz="18" w:space="0" w:color="auto"/>
            </w:tcBorders>
            <w:noWrap/>
            <w:vAlign w:val="center"/>
            <w:hideMark/>
          </w:tcPr>
          <w:p w14:paraId="2FBA1037" w14:textId="77777777" w:rsidR="005E5BFC" w:rsidRPr="00DC3F94" w:rsidRDefault="005E5BFC" w:rsidP="005E5BFC">
            <w:pPr>
              <w:spacing w:after="0" w:line="240" w:lineRule="auto"/>
              <w:rPr>
                <w:rFonts w:eastAsia="Times New Roman" w:cs="Times New Roman"/>
                <w:b/>
                <w:bCs/>
                <w:color w:val="000000"/>
                <w:kern w:val="0"/>
                <w:sz w:val="20"/>
                <w:szCs w:val="20"/>
                <w14:ligatures w14:val="none"/>
              </w:rPr>
            </w:pPr>
            <w:r w:rsidRPr="00DC3F94">
              <w:rPr>
                <w:rFonts w:eastAsia="Times New Roman" w:cs="Times New Roman"/>
                <w:b/>
                <w:bCs/>
                <w:color w:val="000000"/>
                <w:kern w:val="0"/>
                <w:sz w:val="20"/>
                <w:szCs w:val="20"/>
                <w14:ligatures w14:val="none"/>
              </w:rPr>
              <w:t>Baseline</w:t>
            </w:r>
          </w:p>
        </w:tc>
        <w:tc>
          <w:tcPr>
            <w:tcW w:w="3060" w:type="dxa"/>
            <w:tcBorders>
              <w:top w:val="single" w:sz="18" w:space="0" w:color="auto"/>
              <w:bottom w:val="single" w:sz="18" w:space="0" w:color="auto"/>
              <w:right w:val="single" w:sz="18" w:space="0" w:color="auto"/>
            </w:tcBorders>
            <w:noWrap/>
            <w:vAlign w:val="center"/>
            <w:hideMark/>
          </w:tcPr>
          <w:p w14:paraId="100CD6D0" w14:textId="77777777" w:rsidR="005E5BFC" w:rsidRPr="00DC3F94" w:rsidRDefault="005E5BFC" w:rsidP="005E5BFC">
            <w:pPr>
              <w:spacing w:after="0" w:line="240" w:lineRule="auto"/>
              <w:jc w:val="center"/>
              <w:rPr>
                <w:rFonts w:eastAsia="Times New Roman" w:cs="Times New Roman"/>
                <w:b/>
                <w:bCs/>
                <w:color w:val="000000"/>
                <w:kern w:val="0"/>
                <w:sz w:val="20"/>
                <w:szCs w:val="20"/>
                <w14:ligatures w14:val="none"/>
              </w:rPr>
            </w:pPr>
          </w:p>
        </w:tc>
        <w:tc>
          <w:tcPr>
            <w:tcW w:w="868" w:type="dxa"/>
            <w:tcBorders>
              <w:top w:val="single" w:sz="18" w:space="0" w:color="auto"/>
              <w:bottom w:val="single" w:sz="18" w:space="0" w:color="auto"/>
            </w:tcBorders>
          </w:tcPr>
          <w:p w14:paraId="1DD2E3C1" w14:textId="4F2EE52C" w:rsidR="005E5BFC" w:rsidRPr="00DC3F94" w:rsidRDefault="005E5BFC" w:rsidP="005E5BFC">
            <w:pPr>
              <w:tabs>
                <w:tab w:val="decimal" w:pos="66"/>
              </w:tabs>
              <w:spacing w:after="0" w:line="240" w:lineRule="auto"/>
              <w:jc w:val="center"/>
              <w:rPr>
                <w:rFonts w:cs="Times New Roman"/>
                <w:sz w:val="20"/>
                <w:szCs w:val="20"/>
              </w:rPr>
            </w:pPr>
            <w:r w:rsidRPr="00DC3F94">
              <w:rPr>
                <w:rFonts w:cs="Times New Roman"/>
                <w:sz w:val="20"/>
                <w:szCs w:val="20"/>
              </w:rPr>
              <w:t>0.834</w:t>
            </w:r>
          </w:p>
        </w:tc>
        <w:tc>
          <w:tcPr>
            <w:tcW w:w="801" w:type="dxa"/>
            <w:tcBorders>
              <w:top w:val="single" w:sz="18" w:space="0" w:color="auto"/>
              <w:bottom w:val="single" w:sz="18" w:space="0" w:color="auto"/>
            </w:tcBorders>
            <w:noWrap/>
          </w:tcPr>
          <w:p w14:paraId="3E5AB594" w14:textId="72B3B720" w:rsidR="005E5BFC" w:rsidRPr="00DC3F94" w:rsidRDefault="005E5BFC" w:rsidP="005E5BFC">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1061.2</w:t>
            </w:r>
          </w:p>
        </w:tc>
        <w:tc>
          <w:tcPr>
            <w:tcW w:w="1051" w:type="dxa"/>
            <w:tcBorders>
              <w:top w:val="single" w:sz="18" w:space="0" w:color="auto"/>
              <w:bottom w:val="single" w:sz="18" w:space="0" w:color="auto"/>
              <w:right w:val="single" w:sz="18" w:space="0" w:color="auto"/>
            </w:tcBorders>
            <w:noWrap/>
            <w:hideMark/>
          </w:tcPr>
          <w:p w14:paraId="38F4B4AD" w14:textId="39C803C8" w:rsidR="005E5BFC" w:rsidRPr="00DC3F94" w:rsidRDefault="005E5BFC" w:rsidP="005E5BFC">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885.0</w:t>
            </w:r>
          </w:p>
        </w:tc>
        <w:tc>
          <w:tcPr>
            <w:tcW w:w="1402" w:type="dxa"/>
            <w:tcBorders>
              <w:top w:val="single" w:sz="18" w:space="0" w:color="auto"/>
              <w:left w:val="single" w:sz="18" w:space="0" w:color="auto"/>
              <w:bottom w:val="single" w:sz="18" w:space="0" w:color="auto"/>
            </w:tcBorders>
          </w:tcPr>
          <w:p w14:paraId="0A35BF04" w14:textId="3DC579B5" w:rsidR="005E5BFC" w:rsidRPr="00DC3F94" w:rsidRDefault="0033462C" w:rsidP="005E5BFC">
            <w:pPr>
              <w:tabs>
                <w:tab w:val="decimal" w:pos="451"/>
              </w:tabs>
              <w:spacing w:after="0" w:line="240" w:lineRule="auto"/>
              <w:jc w:val="center"/>
              <w:rPr>
                <w:rFonts w:cs="Times New Roman"/>
                <w:sz w:val="20"/>
                <w:szCs w:val="20"/>
              </w:rPr>
            </w:pPr>
            <w:r w:rsidRPr="00DC3F94">
              <w:rPr>
                <w:rFonts w:cs="Times New Roman"/>
                <w:sz w:val="20"/>
                <w:szCs w:val="20"/>
              </w:rPr>
              <w:t>887.2</w:t>
            </w:r>
          </w:p>
        </w:tc>
      </w:tr>
      <w:tr w:rsidR="00494E95" w:rsidRPr="00DC3F94" w14:paraId="02FAA169" w14:textId="4C979B63" w:rsidTr="00494E95">
        <w:trPr>
          <w:trHeight w:val="144"/>
        </w:trPr>
        <w:tc>
          <w:tcPr>
            <w:tcW w:w="9314" w:type="dxa"/>
            <w:gridSpan w:val="6"/>
            <w:tcBorders>
              <w:top w:val="single" w:sz="18" w:space="0" w:color="auto"/>
              <w:left w:val="single" w:sz="18" w:space="0" w:color="auto"/>
              <w:bottom w:val="single" w:sz="18" w:space="0" w:color="auto"/>
              <w:right w:val="single" w:sz="18" w:space="0" w:color="auto"/>
            </w:tcBorders>
          </w:tcPr>
          <w:p w14:paraId="6F310F23" w14:textId="52A6FF8A" w:rsidR="00494E95" w:rsidRPr="00DC3F94" w:rsidRDefault="00494E95" w:rsidP="005E5BFC">
            <w:pPr>
              <w:spacing w:after="0" w:line="240" w:lineRule="auto"/>
              <w:jc w:val="center"/>
              <w:rPr>
                <w:rFonts w:eastAsia="Times New Roman" w:cs="Times New Roman"/>
                <w:b/>
                <w:bCs/>
                <w:i/>
                <w:iCs/>
                <w:color w:val="000000"/>
                <w:kern w:val="0"/>
                <w:sz w:val="20"/>
                <w:szCs w:val="20"/>
                <w14:ligatures w14:val="none"/>
              </w:rPr>
            </w:pPr>
            <w:r w:rsidRPr="00DC3F94">
              <w:rPr>
                <w:rFonts w:eastAsia="Times New Roman" w:cs="Times New Roman"/>
                <w:b/>
                <w:bCs/>
                <w:i/>
                <w:iCs/>
                <w:color w:val="000000"/>
                <w:kern w:val="0"/>
                <w:sz w:val="20"/>
                <w:szCs w:val="20"/>
                <w14:ligatures w14:val="none"/>
              </w:rPr>
              <w:t>Individual and Household Characteristics</w:t>
            </w:r>
          </w:p>
        </w:tc>
      </w:tr>
      <w:tr w:rsidR="008125AB" w:rsidRPr="00DC3F94" w14:paraId="46E81626" w14:textId="43F971D4" w:rsidTr="00494E95">
        <w:trPr>
          <w:trHeight w:val="144"/>
        </w:trPr>
        <w:tc>
          <w:tcPr>
            <w:tcW w:w="2137" w:type="dxa"/>
            <w:vMerge w:val="restart"/>
            <w:tcBorders>
              <w:top w:val="single" w:sz="18" w:space="0" w:color="auto"/>
              <w:bottom w:val="nil"/>
            </w:tcBorders>
            <w:noWrap/>
            <w:vAlign w:val="center"/>
            <w:hideMark/>
          </w:tcPr>
          <w:p w14:paraId="640EF190"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Gender</w:t>
            </w:r>
          </w:p>
        </w:tc>
        <w:tc>
          <w:tcPr>
            <w:tcW w:w="3060" w:type="dxa"/>
            <w:tcBorders>
              <w:top w:val="single" w:sz="18" w:space="0" w:color="auto"/>
              <w:bottom w:val="nil"/>
              <w:right w:val="single" w:sz="18" w:space="0" w:color="auto"/>
            </w:tcBorders>
            <w:noWrap/>
            <w:vAlign w:val="center"/>
            <w:hideMark/>
          </w:tcPr>
          <w:p w14:paraId="2C5618E7"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Male</w:t>
            </w:r>
          </w:p>
        </w:tc>
        <w:tc>
          <w:tcPr>
            <w:tcW w:w="868" w:type="dxa"/>
            <w:tcBorders>
              <w:top w:val="single" w:sz="18" w:space="0" w:color="auto"/>
              <w:bottom w:val="nil"/>
            </w:tcBorders>
          </w:tcPr>
          <w:p w14:paraId="6FCA1E7F" w14:textId="61616119"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0.812</w:t>
            </w:r>
          </w:p>
        </w:tc>
        <w:tc>
          <w:tcPr>
            <w:tcW w:w="801" w:type="dxa"/>
            <w:tcBorders>
              <w:top w:val="single" w:sz="18" w:space="0" w:color="auto"/>
              <w:bottom w:val="nil"/>
            </w:tcBorders>
            <w:noWrap/>
          </w:tcPr>
          <w:p w14:paraId="4B803863" w14:textId="7B459795"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972.3</w:t>
            </w:r>
          </w:p>
        </w:tc>
        <w:tc>
          <w:tcPr>
            <w:tcW w:w="1051" w:type="dxa"/>
            <w:tcBorders>
              <w:top w:val="single" w:sz="18" w:space="0" w:color="auto"/>
              <w:bottom w:val="nil"/>
              <w:right w:val="single" w:sz="18" w:space="0" w:color="auto"/>
            </w:tcBorders>
            <w:noWrap/>
            <w:hideMark/>
          </w:tcPr>
          <w:p w14:paraId="10FFF85F" w14:textId="55E88EF9"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789.5</w:t>
            </w:r>
          </w:p>
        </w:tc>
        <w:tc>
          <w:tcPr>
            <w:tcW w:w="1402" w:type="dxa"/>
            <w:tcBorders>
              <w:top w:val="single" w:sz="18" w:space="0" w:color="auto"/>
              <w:left w:val="single" w:sz="18" w:space="0" w:color="auto"/>
              <w:bottom w:val="nil"/>
            </w:tcBorders>
          </w:tcPr>
          <w:p w14:paraId="53909D51" w14:textId="70F8887A"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839.4</w:t>
            </w:r>
          </w:p>
        </w:tc>
      </w:tr>
      <w:tr w:rsidR="008125AB" w:rsidRPr="00DC3F94" w14:paraId="3FBC3D38" w14:textId="67EFE79D" w:rsidTr="00494E95">
        <w:trPr>
          <w:trHeight w:val="144"/>
        </w:trPr>
        <w:tc>
          <w:tcPr>
            <w:tcW w:w="2137" w:type="dxa"/>
            <w:vMerge/>
            <w:tcBorders>
              <w:top w:val="nil"/>
              <w:bottom w:val="single" w:sz="4" w:space="0" w:color="auto"/>
            </w:tcBorders>
            <w:noWrap/>
            <w:vAlign w:val="center"/>
            <w:hideMark/>
          </w:tcPr>
          <w:p w14:paraId="50A68E24" w14:textId="77777777" w:rsidR="008125AB" w:rsidRPr="00DC3F94" w:rsidRDefault="008125AB" w:rsidP="008125AB">
            <w:pPr>
              <w:spacing w:after="0" w:line="240" w:lineRule="auto"/>
              <w:rPr>
                <w:rFonts w:eastAsia="Times New Roman" w:cs="Times New Roman"/>
                <w:color w:val="000000"/>
                <w:kern w:val="0"/>
                <w:sz w:val="20"/>
                <w:szCs w:val="20"/>
                <w14:ligatures w14:val="none"/>
              </w:rPr>
            </w:pPr>
          </w:p>
        </w:tc>
        <w:tc>
          <w:tcPr>
            <w:tcW w:w="3060" w:type="dxa"/>
            <w:tcBorders>
              <w:top w:val="nil"/>
              <w:bottom w:val="single" w:sz="4" w:space="0" w:color="auto"/>
              <w:right w:val="single" w:sz="18" w:space="0" w:color="auto"/>
            </w:tcBorders>
            <w:noWrap/>
            <w:vAlign w:val="center"/>
            <w:hideMark/>
          </w:tcPr>
          <w:p w14:paraId="20A7C8DB"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Female</w:t>
            </w:r>
          </w:p>
        </w:tc>
        <w:tc>
          <w:tcPr>
            <w:tcW w:w="868" w:type="dxa"/>
            <w:tcBorders>
              <w:top w:val="nil"/>
              <w:bottom w:val="single" w:sz="4" w:space="0" w:color="auto"/>
            </w:tcBorders>
          </w:tcPr>
          <w:p w14:paraId="1483CA40" w14:textId="6FD6D4F2"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0.847</w:t>
            </w:r>
          </w:p>
        </w:tc>
        <w:tc>
          <w:tcPr>
            <w:tcW w:w="801" w:type="dxa"/>
            <w:tcBorders>
              <w:top w:val="nil"/>
              <w:bottom w:val="single" w:sz="4" w:space="0" w:color="auto"/>
            </w:tcBorders>
            <w:noWrap/>
          </w:tcPr>
          <w:p w14:paraId="79D89FFC" w14:textId="37D52BBC"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1051.9</w:t>
            </w:r>
          </w:p>
        </w:tc>
        <w:tc>
          <w:tcPr>
            <w:tcW w:w="1051" w:type="dxa"/>
            <w:tcBorders>
              <w:top w:val="nil"/>
              <w:bottom w:val="single" w:sz="4" w:space="0" w:color="auto"/>
              <w:right w:val="single" w:sz="18" w:space="0" w:color="auto"/>
            </w:tcBorders>
            <w:noWrap/>
            <w:hideMark/>
          </w:tcPr>
          <w:p w14:paraId="067E8B8C" w14:textId="2F4FBF46"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890.9</w:t>
            </w:r>
          </w:p>
        </w:tc>
        <w:tc>
          <w:tcPr>
            <w:tcW w:w="1402" w:type="dxa"/>
            <w:tcBorders>
              <w:top w:val="nil"/>
              <w:left w:val="single" w:sz="18" w:space="0" w:color="auto"/>
              <w:bottom w:val="single" w:sz="4" w:space="0" w:color="auto"/>
            </w:tcBorders>
          </w:tcPr>
          <w:p w14:paraId="799563C6" w14:textId="0998A1D7"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843.3</w:t>
            </w:r>
          </w:p>
        </w:tc>
      </w:tr>
      <w:tr w:rsidR="008125AB" w:rsidRPr="00DC3F94" w14:paraId="4CE67663" w14:textId="7F19879A" w:rsidTr="00494E95">
        <w:trPr>
          <w:trHeight w:val="144"/>
        </w:trPr>
        <w:tc>
          <w:tcPr>
            <w:tcW w:w="2137" w:type="dxa"/>
            <w:vMerge w:val="restart"/>
            <w:tcBorders>
              <w:top w:val="single" w:sz="4" w:space="0" w:color="auto"/>
              <w:bottom w:val="nil"/>
            </w:tcBorders>
            <w:noWrap/>
            <w:vAlign w:val="center"/>
            <w:hideMark/>
          </w:tcPr>
          <w:p w14:paraId="3385727F"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Age</w:t>
            </w:r>
          </w:p>
        </w:tc>
        <w:tc>
          <w:tcPr>
            <w:tcW w:w="3060" w:type="dxa"/>
            <w:tcBorders>
              <w:top w:val="single" w:sz="4" w:space="0" w:color="auto"/>
              <w:bottom w:val="nil"/>
              <w:right w:val="single" w:sz="18" w:space="0" w:color="auto"/>
            </w:tcBorders>
            <w:noWrap/>
            <w:vAlign w:val="center"/>
            <w:hideMark/>
          </w:tcPr>
          <w:p w14:paraId="21865438"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Less than 25</w:t>
            </w:r>
          </w:p>
        </w:tc>
        <w:tc>
          <w:tcPr>
            <w:tcW w:w="868" w:type="dxa"/>
            <w:tcBorders>
              <w:top w:val="single" w:sz="4" w:space="0" w:color="auto"/>
              <w:bottom w:val="nil"/>
            </w:tcBorders>
          </w:tcPr>
          <w:p w14:paraId="0B157915" w14:textId="1FB43217"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0.873</w:t>
            </w:r>
          </w:p>
        </w:tc>
        <w:tc>
          <w:tcPr>
            <w:tcW w:w="801" w:type="dxa"/>
            <w:tcBorders>
              <w:top w:val="single" w:sz="4" w:space="0" w:color="auto"/>
              <w:bottom w:val="nil"/>
            </w:tcBorders>
            <w:noWrap/>
          </w:tcPr>
          <w:p w14:paraId="42254623" w14:textId="07FBA7D6"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1143.2</w:t>
            </w:r>
          </w:p>
        </w:tc>
        <w:tc>
          <w:tcPr>
            <w:tcW w:w="1051" w:type="dxa"/>
            <w:tcBorders>
              <w:top w:val="single" w:sz="4" w:space="0" w:color="auto"/>
              <w:bottom w:val="nil"/>
              <w:right w:val="single" w:sz="18" w:space="0" w:color="auto"/>
            </w:tcBorders>
            <w:noWrap/>
            <w:hideMark/>
          </w:tcPr>
          <w:p w14:paraId="2B007DCA" w14:textId="79B88ECB"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998.0</w:t>
            </w:r>
          </w:p>
        </w:tc>
        <w:tc>
          <w:tcPr>
            <w:tcW w:w="1402" w:type="dxa"/>
            <w:tcBorders>
              <w:top w:val="single" w:sz="4" w:space="0" w:color="auto"/>
              <w:left w:val="single" w:sz="18" w:space="0" w:color="auto"/>
              <w:bottom w:val="nil"/>
            </w:tcBorders>
          </w:tcPr>
          <w:p w14:paraId="1174091F" w14:textId="3F856FC6"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985.0</w:t>
            </w:r>
          </w:p>
        </w:tc>
      </w:tr>
      <w:tr w:rsidR="008125AB" w:rsidRPr="00DC3F94" w14:paraId="4157010D" w14:textId="7EBBD59E" w:rsidTr="00494E95">
        <w:trPr>
          <w:trHeight w:val="144"/>
        </w:trPr>
        <w:tc>
          <w:tcPr>
            <w:tcW w:w="2137" w:type="dxa"/>
            <w:vMerge/>
            <w:tcBorders>
              <w:top w:val="nil"/>
              <w:bottom w:val="single" w:sz="4" w:space="0" w:color="auto"/>
            </w:tcBorders>
            <w:noWrap/>
            <w:vAlign w:val="center"/>
            <w:hideMark/>
          </w:tcPr>
          <w:p w14:paraId="4058A329" w14:textId="77777777" w:rsidR="008125AB" w:rsidRPr="00DC3F94" w:rsidRDefault="008125AB" w:rsidP="008125AB">
            <w:pPr>
              <w:spacing w:after="0" w:line="240" w:lineRule="auto"/>
              <w:rPr>
                <w:rFonts w:eastAsia="Times New Roman" w:cs="Times New Roman"/>
                <w:color w:val="000000"/>
                <w:kern w:val="0"/>
                <w:sz w:val="20"/>
                <w:szCs w:val="20"/>
                <w14:ligatures w14:val="none"/>
              </w:rPr>
            </w:pPr>
          </w:p>
        </w:tc>
        <w:tc>
          <w:tcPr>
            <w:tcW w:w="3060" w:type="dxa"/>
            <w:tcBorders>
              <w:top w:val="nil"/>
              <w:bottom w:val="single" w:sz="4" w:space="0" w:color="auto"/>
              <w:right w:val="single" w:sz="18" w:space="0" w:color="auto"/>
            </w:tcBorders>
            <w:noWrap/>
            <w:vAlign w:val="center"/>
            <w:hideMark/>
          </w:tcPr>
          <w:p w14:paraId="237824A7"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55 or older</w:t>
            </w:r>
          </w:p>
        </w:tc>
        <w:tc>
          <w:tcPr>
            <w:tcW w:w="868" w:type="dxa"/>
            <w:tcBorders>
              <w:top w:val="nil"/>
              <w:bottom w:val="single" w:sz="4" w:space="0" w:color="auto"/>
            </w:tcBorders>
          </w:tcPr>
          <w:p w14:paraId="5BD2C435" w14:textId="5EF25EAA"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0.771</w:t>
            </w:r>
          </w:p>
        </w:tc>
        <w:tc>
          <w:tcPr>
            <w:tcW w:w="801" w:type="dxa"/>
            <w:tcBorders>
              <w:top w:val="nil"/>
              <w:bottom w:val="single" w:sz="4" w:space="0" w:color="auto"/>
            </w:tcBorders>
            <w:noWrap/>
          </w:tcPr>
          <w:p w14:paraId="7B703A69" w14:textId="5C627CBB"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974.6</w:t>
            </w:r>
          </w:p>
        </w:tc>
        <w:tc>
          <w:tcPr>
            <w:tcW w:w="1051" w:type="dxa"/>
            <w:tcBorders>
              <w:top w:val="nil"/>
              <w:bottom w:val="single" w:sz="4" w:space="0" w:color="auto"/>
              <w:right w:val="single" w:sz="18" w:space="0" w:color="auto"/>
            </w:tcBorders>
            <w:noWrap/>
            <w:hideMark/>
          </w:tcPr>
          <w:p w14:paraId="1B7DBA0B" w14:textId="0A10FA3B"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751.4</w:t>
            </w:r>
          </w:p>
        </w:tc>
        <w:tc>
          <w:tcPr>
            <w:tcW w:w="1402" w:type="dxa"/>
            <w:tcBorders>
              <w:top w:val="nil"/>
              <w:left w:val="single" w:sz="18" w:space="0" w:color="auto"/>
              <w:bottom w:val="single" w:sz="4" w:space="0" w:color="auto"/>
            </w:tcBorders>
          </w:tcPr>
          <w:p w14:paraId="06FF0071" w14:textId="7D1DE162"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776.1</w:t>
            </w:r>
          </w:p>
        </w:tc>
      </w:tr>
      <w:tr w:rsidR="008125AB" w:rsidRPr="00DC3F94" w14:paraId="65DA636A" w14:textId="6AB47237" w:rsidTr="00494E95">
        <w:trPr>
          <w:trHeight w:val="144"/>
        </w:trPr>
        <w:tc>
          <w:tcPr>
            <w:tcW w:w="2137" w:type="dxa"/>
            <w:vMerge w:val="restart"/>
            <w:tcBorders>
              <w:top w:val="single" w:sz="4" w:space="0" w:color="auto"/>
            </w:tcBorders>
            <w:noWrap/>
            <w:vAlign w:val="center"/>
            <w:hideMark/>
          </w:tcPr>
          <w:p w14:paraId="41D02D62"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Educational Attainment</w:t>
            </w:r>
          </w:p>
        </w:tc>
        <w:tc>
          <w:tcPr>
            <w:tcW w:w="3060" w:type="dxa"/>
            <w:tcBorders>
              <w:top w:val="single" w:sz="4" w:space="0" w:color="auto"/>
              <w:right w:val="single" w:sz="18" w:space="0" w:color="auto"/>
            </w:tcBorders>
            <w:noWrap/>
            <w:vAlign w:val="center"/>
            <w:hideMark/>
          </w:tcPr>
          <w:p w14:paraId="6A69E463"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Less than senior secondary</w:t>
            </w:r>
          </w:p>
        </w:tc>
        <w:tc>
          <w:tcPr>
            <w:tcW w:w="868" w:type="dxa"/>
            <w:tcBorders>
              <w:top w:val="single" w:sz="4" w:space="0" w:color="auto"/>
            </w:tcBorders>
          </w:tcPr>
          <w:p w14:paraId="2D2E6A48" w14:textId="13269673"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0.894</w:t>
            </w:r>
          </w:p>
        </w:tc>
        <w:tc>
          <w:tcPr>
            <w:tcW w:w="801" w:type="dxa"/>
            <w:tcBorders>
              <w:top w:val="single" w:sz="4" w:space="0" w:color="auto"/>
            </w:tcBorders>
            <w:noWrap/>
          </w:tcPr>
          <w:p w14:paraId="699A85C0" w14:textId="4957F06B"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1311.4</w:t>
            </w:r>
          </w:p>
        </w:tc>
        <w:tc>
          <w:tcPr>
            <w:tcW w:w="1051" w:type="dxa"/>
            <w:tcBorders>
              <w:top w:val="single" w:sz="4" w:space="0" w:color="auto"/>
              <w:right w:val="single" w:sz="18" w:space="0" w:color="auto"/>
            </w:tcBorders>
            <w:noWrap/>
            <w:hideMark/>
          </w:tcPr>
          <w:p w14:paraId="680A1527" w14:textId="2AEC97EA"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1172.4</w:t>
            </w:r>
          </w:p>
        </w:tc>
        <w:tc>
          <w:tcPr>
            <w:tcW w:w="1402" w:type="dxa"/>
            <w:tcBorders>
              <w:top w:val="single" w:sz="4" w:space="0" w:color="auto"/>
              <w:left w:val="single" w:sz="18" w:space="0" w:color="auto"/>
              <w:bottom w:val="nil"/>
            </w:tcBorders>
          </w:tcPr>
          <w:p w14:paraId="278E8FD5" w14:textId="7E5C605D"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1170.9</w:t>
            </w:r>
          </w:p>
        </w:tc>
      </w:tr>
      <w:tr w:rsidR="008125AB" w:rsidRPr="00DC3F94" w14:paraId="04612545" w14:textId="32366A9F" w:rsidTr="00494E95">
        <w:trPr>
          <w:trHeight w:val="144"/>
        </w:trPr>
        <w:tc>
          <w:tcPr>
            <w:tcW w:w="2137" w:type="dxa"/>
            <w:vMerge/>
            <w:tcBorders>
              <w:bottom w:val="single" w:sz="4" w:space="0" w:color="auto"/>
            </w:tcBorders>
            <w:noWrap/>
            <w:vAlign w:val="center"/>
            <w:hideMark/>
          </w:tcPr>
          <w:p w14:paraId="0624C914" w14:textId="77777777" w:rsidR="008125AB" w:rsidRPr="00DC3F94" w:rsidRDefault="008125AB" w:rsidP="008125AB">
            <w:pPr>
              <w:spacing w:after="0" w:line="240" w:lineRule="auto"/>
              <w:rPr>
                <w:rFonts w:eastAsia="Times New Roman" w:cs="Times New Roman"/>
                <w:color w:val="000000"/>
                <w:kern w:val="0"/>
                <w:sz w:val="20"/>
                <w:szCs w:val="20"/>
                <w14:ligatures w14:val="none"/>
              </w:rPr>
            </w:pPr>
          </w:p>
        </w:tc>
        <w:tc>
          <w:tcPr>
            <w:tcW w:w="3060" w:type="dxa"/>
            <w:tcBorders>
              <w:bottom w:val="single" w:sz="4" w:space="0" w:color="auto"/>
              <w:right w:val="single" w:sz="18" w:space="0" w:color="auto"/>
            </w:tcBorders>
            <w:noWrap/>
            <w:vAlign w:val="center"/>
            <w:hideMark/>
          </w:tcPr>
          <w:p w14:paraId="4C42C980"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Graduate degree</w:t>
            </w:r>
          </w:p>
        </w:tc>
        <w:tc>
          <w:tcPr>
            <w:tcW w:w="868" w:type="dxa"/>
            <w:tcBorders>
              <w:bottom w:val="single" w:sz="4" w:space="0" w:color="auto"/>
            </w:tcBorders>
          </w:tcPr>
          <w:p w14:paraId="57FA4C37" w14:textId="4A666277"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0.819</w:t>
            </w:r>
          </w:p>
        </w:tc>
        <w:tc>
          <w:tcPr>
            <w:tcW w:w="801" w:type="dxa"/>
            <w:tcBorders>
              <w:bottom w:val="single" w:sz="4" w:space="0" w:color="auto"/>
            </w:tcBorders>
            <w:noWrap/>
          </w:tcPr>
          <w:p w14:paraId="5BD01F24" w14:textId="4DAF1495"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918.5</w:t>
            </w:r>
          </w:p>
        </w:tc>
        <w:tc>
          <w:tcPr>
            <w:tcW w:w="1051" w:type="dxa"/>
            <w:tcBorders>
              <w:bottom w:val="single" w:sz="4" w:space="0" w:color="auto"/>
              <w:right w:val="single" w:sz="18" w:space="0" w:color="auto"/>
            </w:tcBorders>
            <w:noWrap/>
            <w:hideMark/>
          </w:tcPr>
          <w:p w14:paraId="5A47825E" w14:textId="45809EF1"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752.2</w:t>
            </w:r>
          </w:p>
        </w:tc>
        <w:tc>
          <w:tcPr>
            <w:tcW w:w="1402" w:type="dxa"/>
            <w:tcBorders>
              <w:top w:val="nil"/>
              <w:left w:val="single" w:sz="18" w:space="0" w:color="auto"/>
              <w:bottom w:val="single" w:sz="4" w:space="0" w:color="auto"/>
            </w:tcBorders>
          </w:tcPr>
          <w:p w14:paraId="6CA51B25" w14:textId="38E9C20D"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757.3</w:t>
            </w:r>
          </w:p>
        </w:tc>
      </w:tr>
      <w:tr w:rsidR="008125AB" w:rsidRPr="00DC3F94" w14:paraId="2DC36839" w14:textId="7226D21F" w:rsidTr="00494E95">
        <w:trPr>
          <w:trHeight w:val="144"/>
        </w:trPr>
        <w:tc>
          <w:tcPr>
            <w:tcW w:w="2137" w:type="dxa"/>
            <w:vMerge w:val="restart"/>
            <w:tcBorders>
              <w:top w:val="single" w:sz="4" w:space="0" w:color="auto"/>
            </w:tcBorders>
            <w:noWrap/>
            <w:vAlign w:val="center"/>
            <w:hideMark/>
          </w:tcPr>
          <w:p w14:paraId="1DDF88BB"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Household Income</w:t>
            </w:r>
          </w:p>
        </w:tc>
        <w:tc>
          <w:tcPr>
            <w:tcW w:w="3060" w:type="dxa"/>
            <w:tcBorders>
              <w:top w:val="single" w:sz="4" w:space="0" w:color="auto"/>
              <w:right w:val="single" w:sz="18" w:space="0" w:color="auto"/>
            </w:tcBorders>
            <w:noWrap/>
            <w:vAlign w:val="center"/>
            <w:hideMark/>
          </w:tcPr>
          <w:p w14:paraId="238D3E69" w14:textId="063FFE9F"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Less than 2.5 million rupees</w:t>
            </w:r>
          </w:p>
        </w:tc>
        <w:tc>
          <w:tcPr>
            <w:tcW w:w="868" w:type="dxa"/>
            <w:tcBorders>
              <w:top w:val="single" w:sz="4" w:space="0" w:color="auto"/>
            </w:tcBorders>
          </w:tcPr>
          <w:p w14:paraId="31D59BB3" w14:textId="54DC3AE8"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0.823</w:t>
            </w:r>
          </w:p>
        </w:tc>
        <w:tc>
          <w:tcPr>
            <w:tcW w:w="801" w:type="dxa"/>
            <w:tcBorders>
              <w:top w:val="single" w:sz="4" w:space="0" w:color="auto"/>
            </w:tcBorders>
            <w:noWrap/>
          </w:tcPr>
          <w:p w14:paraId="20176101" w14:textId="50B57E8E"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1105.1</w:t>
            </w:r>
          </w:p>
        </w:tc>
        <w:tc>
          <w:tcPr>
            <w:tcW w:w="1051" w:type="dxa"/>
            <w:tcBorders>
              <w:top w:val="single" w:sz="4" w:space="0" w:color="auto"/>
              <w:right w:val="single" w:sz="18" w:space="0" w:color="auto"/>
            </w:tcBorders>
            <w:noWrap/>
            <w:hideMark/>
          </w:tcPr>
          <w:p w14:paraId="3BF1291F" w14:textId="339802ED"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909.5</w:t>
            </w:r>
          </w:p>
        </w:tc>
        <w:tc>
          <w:tcPr>
            <w:tcW w:w="1402" w:type="dxa"/>
            <w:tcBorders>
              <w:top w:val="single" w:sz="4" w:space="0" w:color="auto"/>
              <w:left w:val="single" w:sz="18" w:space="0" w:color="auto"/>
              <w:bottom w:val="nil"/>
            </w:tcBorders>
          </w:tcPr>
          <w:p w14:paraId="5657DF94" w14:textId="7AC646B5"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879.8</w:t>
            </w:r>
          </w:p>
        </w:tc>
      </w:tr>
      <w:tr w:rsidR="008125AB" w:rsidRPr="00DC3F94" w14:paraId="10343748" w14:textId="5F22DFD4" w:rsidTr="00494E95">
        <w:trPr>
          <w:trHeight w:val="144"/>
        </w:trPr>
        <w:tc>
          <w:tcPr>
            <w:tcW w:w="2137" w:type="dxa"/>
            <w:vMerge/>
            <w:tcBorders>
              <w:bottom w:val="single" w:sz="4" w:space="0" w:color="auto"/>
            </w:tcBorders>
            <w:noWrap/>
            <w:vAlign w:val="center"/>
            <w:hideMark/>
          </w:tcPr>
          <w:p w14:paraId="3C822401" w14:textId="77777777" w:rsidR="008125AB" w:rsidRPr="00DC3F94" w:rsidRDefault="008125AB" w:rsidP="008125AB">
            <w:pPr>
              <w:spacing w:after="0" w:line="240" w:lineRule="auto"/>
              <w:rPr>
                <w:rFonts w:eastAsia="Times New Roman" w:cs="Times New Roman"/>
                <w:color w:val="000000"/>
                <w:kern w:val="0"/>
                <w:sz w:val="20"/>
                <w:szCs w:val="20"/>
                <w14:ligatures w14:val="none"/>
              </w:rPr>
            </w:pPr>
          </w:p>
        </w:tc>
        <w:tc>
          <w:tcPr>
            <w:tcW w:w="3060" w:type="dxa"/>
            <w:tcBorders>
              <w:bottom w:val="single" w:sz="4" w:space="0" w:color="auto"/>
              <w:right w:val="single" w:sz="18" w:space="0" w:color="auto"/>
            </w:tcBorders>
            <w:noWrap/>
            <w:vAlign w:val="center"/>
            <w:hideMark/>
          </w:tcPr>
          <w:p w14:paraId="67AC1746"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2.5 million rupees or more</w:t>
            </w:r>
          </w:p>
        </w:tc>
        <w:tc>
          <w:tcPr>
            <w:tcW w:w="868" w:type="dxa"/>
            <w:tcBorders>
              <w:bottom w:val="single" w:sz="4" w:space="0" w:color="auto"/>
            </w:tcBorders>
          </w:tcPr>
          <w:p w14:paraId="7E5053A2" w14:textId="1FCCC1A8"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0.876</w:t>
            </w:r>
          </w:p>
        </w:tc>
        <w:tc>
          <w:tcPr>
            <w:tcW w:w="801" w:type="dxa"/>
            <w:tcBorders>
              <w:bottom w:val="single" w:sz="4" w:space="0" w:color="auto"/>
            </w:tcBorders>
            <w:noWrap/>
          </w:tcPr>
          <w:p w14:paraId="06EDC339" w14:textId="5DC4F30A"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874.9</w:t>
            </w:r>
          </w:p>
        </w:tc>
        <w:tc>
          <w:tcPr>
            <w:tcW w:w="1051" w:type="dxa"/>
            <w:tcBorders>
              <w:bottom w:val="single" w:sz="4" w:space="0" w:color="auto"/>
              <w:right w:val="single" w:sz="18" w:space="0" w:color="auto"/>
            </w:tcBorders>
            <w:noWrap/>
            <w:hideMark/>
          </w:tcPr>
          <w:p w14:paraId="6A6718ED" w14:textId="601B5F20"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766.4</w:t>
            </w:r>
          </w:p>
        </w:tc>
        <w:tc>
          <w:tcPr>
            <w:tcW w:w="1402" w:type="dxa"/>
            <w:tcBorders>
              <w:top w:val="nil"/>
              <w:left w:val="single" w:sz="18" w:space="0" w:color="auto"/>
              <w:bottom w:val="single" w:sz="4" w:space="0" w:color="auto"/>
            </w:tcBorders>
          </w:tcPr>
          <w:p w14:paraId="57F1A5D3" w14:textId="239393BA"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928.7</w:t>
            </w:r>
          </w:p>
        </w:tc>
      </w:tr>
      <w:tr w:rsidR="008125AB" w:rsidRPr="00DC3F94" w14:paraId="2B7E316B" w14:textId="2EA617C6" w:rsidTr="00494E95">
        <w:trPr>
          <w:trHeight w:val="144"/>
        </w:trPr>
        <w:tc>
          <w:tcPr>
            <w:tcW w:w="2137" w:type="dxa"/>
            <w:vMerge w:val="restart"/>
            <w:tcBorders>
              <w:top w:val="single" w:sz="4" w:space="0" w:color="auto"/>
            </w:tcBorders>
            <w:noWrap/>
            <w:vAlign w:val="center"/>
            <w:hideMark/>
          </w:tcPr>
          <w:p w14:paraId="3E39904F"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Presence of Children</w:t>
            </w:r>
          </w:p>
        </w:tc>
        <w:tc>
          <w:tcPr>
            <w:tcW w:w="3060" w:type="dxa"/>
            <w:tcBorders>
              <w:top w:val="single" w:sz="4" w:space="0" w:color="auto"/>
              <w:right w:val="single" w:sz="18" w:space="0" w:color="auto"/>
            </w:tcBorders>
            <w:noWrap/>
            <w:vAlign w:val="center"/>
            <w:hideMark/>
          </w:tcPr>
          <w:p w14:paraId="416207A8"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Yes</w:t>
            </w:r>
          </w:p>
        </w:tc>
        <w:tc>
          <w:tcPr>
            <w:tcW w:w="868" w:type="dxa"/>
            <w:tcBorders>
              <w:top w:val="single" w:sz="4" w:space="0" w:color="auto"/>
            </w:tcBorders>
          </w:tcPr>
          <w:p w14:paraId="72B746DA" w14:textId="0D2E08AD"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0.807</w:t>
            </w:r>
          </w:p>
        </w:tc>
        <w:tc>
          <w:tcPr>
            <w:tcW w:w="801" w:type="dxa"/>
            <w:tcBorders>
              <w:top w:val="single" w:sz="4" w:space="0" w:color="auto"/>
            </w:tcBorders>
            <w:noWrap/>
          </w:tcPr>
          <w:p w14:paraId="0B4426D8" w14:textId="67AC9E39"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1232.4</w:t>
            </w:r>
          </w:p>
        </w:tc>
        <w:tc>
          <w:tcPr>
            <w:tcW w:w="1051" w:type="dxa"/>
            <w:tcBorders>
              <w:top w:val="single" w:sz="4" w:space="0" w:color="auto"/>
              <w:right w:val="single" w:sz="18" w:space="0" w:color="auto"/>
            </w:tcBorders>
            <w:noWrap/>
            <w:hideMark/>
          </w:tcPr>
          <w:p w14:paraId="5092D18F" w14:textId="7A27496E"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994.6</w:t>
            </w:r>
          </w:p>
        </w:tc>
        <w:tc>
          <w:tcPr>
            <w:tcW w:w="1402" w:type="dxa"/>
            <w:tcBorders>
              <w:top w:val="single" w:sz="4" w:space="0" w:color="auto"/>
              <w:left w:val="single" w:sz="18" w:space="0" w:color="auto"/>
              <w:bottom w:val="nil"/>
            </w:tcBorders>
          </w:tcPr>
          <w:p w14:paraId="34EAE5CA" w14:textId="6F9717B7"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956.9</w:t>
            </w:r>
          </w:p>
        </w:tc>
      </w:tr>
      <w:tr w:rsidR="008125AB" w:rsidRPr="00DC3F94" w14:paraId="38568906" w14:textId="39B58509" w:rsidTr="00494E95">
        <w:trPr>
          <w:trHeight w:val="144"/>
        </w:trPr>
        <w:tc>
          <w:tcPr>
            <w:tcW w:w="2137" w:type="dxa"/>
            <w:vMerge/>
            <w:tcBorders>
              <w:bottom w:val="single" w:sz="4" w:space="0" w:color="auto"/>
            </w:tcBorders>
            <w:noWrap/>
            <w:vAlign w:val="center"/>
            <w:hideMark/>
          </w:tcPr>
          <w:p w14:paraId="233AA0E0" w14:textId="77777777" w:rsidR="008125AB" w:rsidRPr="00DC3F94" w:rsidRDefault="008125AB" w:rsidP="008125AB">
            <w:pPr>
              <w:spacing w:after="0" w:line="240" w:lineRule="auto"/>
              <w:rPr>
                <w:rFonts w:eastAsia="Times New Roman" w:cs="Times New Roman"/>
                <w:color w:val="000000"/>
                <w:kern w:val="0"/>
                <w:sz w:val="20"/>
                <w:szCs w:val="20"/>
                <w14:ligatures w14:val="none"/>
              </w:rPr>
            </w:pPr>
          </w:p>
        </w:tc>
        <w:tc>
          <w:tcPr>
            <w:tcW w:w="3060" w:type="dxa"/>
            <w:tcBorders>
              <w:bottom w:val="single" w:sz="4" w:space="0" w:color="auto"/>
              <w:right w:val="single" w:sz="18" w:space="0" w:color="auto"/>
            </w:tcBorders>
            <w:noWrap/>
            <w:vAlign w:val="center"/>
            <w:hideMark/>
          </w:tcPr>
          <w:p w14:paraId="1B3A8466"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No</w:t>
            </w:r>
          </w:p>
        </w:tc>
        <w:tc>
          <w:tcPr>
            <w:tcW w:w="868" w:type="dxa"/>
            <w:tcBorders>
              <w:bottom w:val="single" w:sz="4" w:space="0" w:color="auto"/>
            </w:tcBorders>
          </w:tcPr>
          <w:p w14:paraId="7A2C9758" w14:textId="3A0F82A1"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0.871</w:t>
            </w:r>
          </w:p>
        </w:tc>
        <w:tc>
          <w:tcPr>
            <w:tcW w:w="801" w:type="dxa"/>
            <w:tcBorders>
              <w:bottom w:val="single" w:sz="4" w:space="0" w:color="auto"/>
            </w:tcBorders>
            <w:noWrap/>
          </w:tcPr>
          <w:p w14:paraId="2D94D202" w14:textId="643ED782"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741.3</w:t>
            </w:r>
          </w:p>
        </w:tc>
        <w:tc>
          <w:tcPr>
            <w:tcW w:w="1051" w:type="dxa"/>
            <w:tcBorders>
              <w:bottom w:val="single" w:sz="4" w:space="0" w:color="auto"/>
              <w:right w:val="single" w:sz="18" w:space="0" w:color="auto"/>
            </w:tcBorders>
            <w:noWrap/>
            <w:hideMark/>
          </w:tcPr>
          <w:p w14:paraId="41496939" w14:textId="0149C959"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645.7</w:t>
            </w:r>
          </w:p>
        </w:tc>
        <w:tc>
          <w:tcPr>
            <w:tcW w:w="1402" w:type="dxa"/>
            <w:tcBorders>
              <w:top w:val="nil"/>
              <w:left w:val="single" w:sz="18" w:space="0" w:color="auto"/>
              <w:bottom w:val="single" w:sz="4" w:space="0" w:color="auto"/>
            </w:tcBorders>
          </w:tcPr>
          <w:p w14:paraId="03BD7042" w14:textId="1275BCD2"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726.3</w:t>
            </w:r>
          </w:p>
        </w:tc>
      </w:tr>
      <w:tr w:rsidR="008125AB" w:rsidRPr="00DC3F94" w14:paraId="2ACB963E" w14:textId="412BAA6A" w:rsidTr="00494E95">
        <w:trPr>
          <w:trHeight w:val="144"/>
        </w:trPr>
        <w:tc>
          <w:tcPr>
            <w:tcW w:w="2137" w:type="dxa"/>
            <w:vMerge w:val="restart"/>
            <w:tcBorders>
              <w:top w:val="single" w:sz="4" w:space="0" w:color="auto"/>
            </w:tcBorders>
            <w:noWrap/>
            <w:vAlign w:val="center"/>
            <w:hideMark/>
          </w:tcPr>
          <w:p w14:paraId="6AD3726F"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Lives Alone</w:t>
            </w:r>
          </w:p>
        </w:tc>
        <w:tc>
          <w:tcPr>
            <w:tcW w:w="3060" w:type="dxa"/>
            <w:tcBorders>
              <w:top w:val="single" w:sz="4" w:space="0" w:color="auto"/>
              <w:right w:val="single" w:sz="18" w:space="0" w:color="auto"/>
            </w:tcBorders>
            <w:noWrap/>
            <w:vAlign w:val="center"/>
            <w:hideMark/>
          </w:tcPr>
          <w:p w14:paraId="4CDA0290"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Yes</w:t>
            </w:r>
          </w:p>
        </w:tc>
        <w:tc>
          <w:tcPr>
            <w:tcW w:w="868" w:type="dxa"/>
            <w:tcBorders>
              <w:top w:val="single" w:sz="4" w:space="0" w:color="auto"/>
            </w:tcBorders>
          </w:tcPr>
          <w:p w14:paraId="7D4ED405" w14:textId="001333A8"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0.772</w:t>
            </w:r>
          </w:p>
        </w:tc>
        <w:tc>
          <w:tcPr>
            <w:tcW w:w="801" w:type="dxa"/>
            <w:tcBorders>
              <w:top w:val="single" w:sz="4" w:space="0" w:color="auto"/>
            </w:tcBorders>
            <w:noWrap/>
          </w:tcPr>
          <w:p w14:paraId="5971CA27" w14:textId="59DE7828"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614.2</w:t>
            </w:r>
          </w:p>
        </w:tc>
        <w:tc>
          <w:tcPr>
            <w:tcW w:w="1051" w:type="dxa"/>
            <w:tcBorders>
              <w:top w:val="single" w:sz="4" w:space="0" w:color="auto"/>
              <w:right w:val="single" w:sz="18" w:space="0" w:color="auto"/>
            </w:tcBorders>
            <w:noWrap/>
            <w:hideMark/>
          </w:tcPr>
          <w:p w14:paraId="7D651B0C" w14:textId="07B20D65"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474.2</w:t>
            </w:r>
          </w:p>
        </w:tc>
        <w:tc>
          <w:tcPr>
            <w:tcW w:w="1402" w:type="dxa"/>
            <w:tcBorders>
              <w:top w:val="single" w:sz="4" w:space="0" w:color="auto"/>
              <w:left w:val="single" w:sz="18" w:space="0" w:color="auto"/>
              <w:bottom w:val="nil"/>
            </w:tcBorders>
          </w:tcPr>
          <w:p w14:paraId="43357CC6" w14:textId="49D98926"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579.1</w:t>
            </w:r>
          </w:p>
        </w:tc>
      </w:tr>
      <w:tr w:rsidR="008125AB" w:rsidRPr="00DC3F94" w14:paraId="3728EE58" w14:textId="7B06A714" w:rsidTr="00494E95">
        <w:trPr>
          <w:trHeight w:val="144"/>
        </w:trPr>
        <w:tc>
          <w:tcPr>
            <w:tcW w:w="2137" w:type="dxa"/>
            <w:vMerge/>
            <w:tcBorders>
              <w:bottom w:val="single" w:sz="4" w:space="0" w:color="auto"/>
            </w:tcBorders>
            <w:noWrap/>
            <w:vAlign w:val="center"/>
            <w:hideMark/>
          </w:tcPr>
          <w:p w14:paraId="5F4F9E2A" w14:textId="77777777" w:rsidR="008125AB" w:rsidRPr="00DC3F94" w:rsidRDefault="008125AB" w:rsidP="008125AB">
            <w:pPr>
              <w:spacing w:after="0" w:line="240" w:lineRule="auto"/>
              <w:rPr>
                <w:rFonts w:eastAsia="Times New Roman" w:cs="Times New Roman"/>
                <w:color w:val="000000"/>
                <w:kern w:val="0"/>
                <w:sz w:val="20"/>
                <w:szCs w:val="20"/>
                <w14:ligatures w14:val="none"/>
              </w:rPr>
            </w:pPr>
          </w:p>
        </w:tc>
        <w:tc>
          <w:tcPr>
            <w:tcW w:w="3060" w:type="dxa"/>
            <w:tcBorders>
              <w:bottom w:val="single" w:sz="4" w:space="0" w:color="auto"/>
              <w:right w:val="single" w:sz="18" w:space="0" w:color="auto"/>
            </w:tcBorders>
            <w:noWrap/>
            <w:vAlign w:val="center"/>
            <w:hideMark/>
          </w:tcPr>
          <w:p w14:paraId="0C73A2B4"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No</w:t>
            </w:r>
          </w:p>
        </w:tc>
        <w:tc>
          <w:tcPr>
            <w:tcW w:w="868" w:type="dxa"/>
            <w:tcBorders>
              <w:bottom w:val="single" w:sz="4" w:space="0" w:color="auto"/>
            </w:tcBorders>
          </w:tcPr>
          <w:p w14:paraId="19372D7E" w14:textId="7BB16D59"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0.837</w:t>
            </w:r>
          </w:p>
        </w:tc>
        <w:tc>
          <w:tcPr>
            <w:tcW w:w="801" w:type="dxa"/>
            <w:tcBorders>
              <w:bottom w:val="single" w:sz="4" w:space="0" w:color="auto"/>
            </w:tcBorders>
            <w:noWrap/>
          </w:tcPr>
          <w:p w14:paraId="5F89840F" w14:textId="46B47FE1"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1084.2</w:t>
            </w:r>
          </w:p>
        </w:tc>
        <w:tc>
          <w:tcPr>
            <w:tcW w:w="1051" w:type="dxa"/>
            <w:tcBorders>
              <w:bottom w:val="single" w:sz="4" w:space="0" w:color="auto"/>
              <w:right w:val="single" w:sz="18" w:space="0" w:color="auto"/>
            </w:tcBorders>
            <w:noWrap/>
            <w:hideMark/>
          </w:tcPr>
          <w:p w14:paraId="399C2AF6" w14:textId="347765A9"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907.5</w:t>
            </w:r>
          </w:p>
        </w:tc>
        <w:tc>
          <w:tcPr>
            <w:tcW w:w="1402" w:type="dxa"/>
            <w:tcBorders>
              <w:top w:val="nil"/>
              <w:left w:val="single" w:sz="18" w:space="0" w:color="auto"/>
              <w:bottom w:val="single" w:sz="4" w:space="0" w:color="auto"/>
            </w:tcBorders>
          </w:tcPr>
          <w:p w14:paraId="4944999C" w14:textId="396F4DDF"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903.7</w:t>
            </w:r>
          </w:p>
        </w:tc>
      </w:tr>
      <w:tr w:rsidR="008125AB" w:rsidRPr="00DC3F94" w14:paraId="571C57C4" w14:textId="0114A61B" w:rsidTr="00494E95">
        <w:trPr>
          <w:trHeight w:val="144"/>
        </w:trPr>
        <w:tc>
          <w:tcPr>
            <w:tcW w:w="2137" w:type="dxa"/>
            <w:vMerge w:val="restart"/>
            <w:tcBorders>
              <w:top w:val="single" w:sz="4" w:space="0" w:color="auto"/>
            </w:tcBorders>
            <w:noWrap/>
            <w:vAlign w:val="center"/>
            <w:hideMark/>
          </w:tcPr>
          <w:p w14:paraId="384C6AAE"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Employment</w:t>
            </w:r>
          </w:p>
        </w:tc>
        <w:tc>
          <w:tcPr>
            <w:tcW w:w="3060" w:type="dxa"/>
            <w:tcBorders>
              <w:top w:val="single" w:sz="4" w:space="0" w:color="auto"/>
              <w:right w:val="single" w:sz="18" w:space="0" w:color="auto"/>
            </w:tcBorders>
            <w:noWrap/>
            <w:vAlign w:val="center"/>
            <w:hideMark/>
          </w:tcPr>
          <w:p w14:paraId="66A55E57"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Employed</w:t>
            </w:r>
          </w:p>
        </w:tc>
        <w:tc>
          <w:tcPr>
            <w:tcW w:w="868" w:type="dxa"/>
            <w:tcBorders>
              <w:top w:val="single" w:sz="4" w:space="0" w:color="auto"/>
            </w:tcBorders>
          </w:tcPr>
          <w:p w14:paraId="6038914D" w14:textId="60BCEDD0"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0.841</w:t>
            </w:r>
          </w:p>
        </w:tc>
        <w:tc>
          <w:tcPr>
            <w:tcW w:w="801" w:type="dxa"/>
            <w:tcBorders>
              <w:top w:val="single" w:sz="4" w:space="0" w:color="auto"/>
            </w:tcBorders>
            <w:noWrap/>
          </w:tcPr>
          <w:p w14:paraId="1D121977" w14:textId="159AC36B"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1092.5</w:t>
            </w:r>
          </w:p>
        </w:tc>
        <w:tc>
          <w:tcPr>
            <w:tcW w:w="1051" w:type="dxa"/>
            <w:tcBorders>
              <w:top w:val="single" w:sz="4" w:space="0" w:color="auto"/>
              <w:right w:val="single" w:sz="18" w:space="0" w:color="auto"/>
            </w:tcBorders>
            <w:noWrap/>
            <w:hideMark/>
          </w:tcPr>
          <w:p w14:paraId="5A67B1C9" w14:textId="65A3029C"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918.8</w:t>
            </w:r>
          </w:p>
        </w:tc>
        <w:tc>
          <w:tcPr>
            <w:tcW w:w="1402" w:type="dxa"/>
            <w:tcBorders>
              <w:top w:val="single" w:sz="4" w:space="0" w:color="auto"/>
              <w:left w:val="single" w:sz="18" w:space="0" w:color="auto"/>
              <w:bottom w:val="nil"/>
            </w:tcBorders>
          </w:tcPr>
          <w:p w14:paraId="1035190D" w14:textId="7E0B4065"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926.7</w:t>
            </w:r>
          </w:p>
        </w:tc>
      </w:tr>
      <w:tr w:rsidR="008125AB" w:rsidRPr="00DC3F94" w14:paraId="184A698A" w14:textId="0048F1FA" w:rsidTr="00494E95">
        <w:trPr>
          <w:trHeight w:val="144"/>
        </w:trPr>
        <w:tc>
          <w:tcPr>
            <w:tcW w:w="2137" w:type="dxa"/>
            <w:vMerge/>
            <w:tcBorders>
              <w:bottom w:val="single" w:sz="4" w:space="0" w:color="auto"/>
            </w:tcBorders>
            <w:noWrap/>
            <w:vAlign w:val="center"/>
            <w:hideMark/>
          </w:tcPr>
          <w:p w14:paraId="755FDBAF" w14:textId="77777777" w:rsidR="008125AB" w:rsidRPr="00DC3F94" w:rsidRDefault="008125AB" w:rsidP="008125AB">
            <w:pPr>
              <w:spacing w:after="0" w:line="240" w:lineRule="auto"/>
              <w:rPr>
                <w:rFonts w:eastAsia="Times New Roman" w:cs="Times New Roman"/>
                <w:color w:val="000000"/>
                <w:kern w:val="0"/>
                <w:sz w:val="20"/>
                <w:szCs w:val="20"/>
                <w14:ligatures w14:val="none"/>
              </w:rPr>
            </w:pPr>
          </w:p>
        </w:tc>
        <w:tc>
          <w:tcPr>
            <w:tcW w:w="3060" w:type="dxa"/>
            <w:tcBorders>
              <w:bottom w:val="single" w:sz="4" w:space="0" w:color="auto"/>
              <w:right w:val="single" w:sz="18" w:space="0" w:color="auto"/>
            </w:tcBorders>
            <w:noWrap/>
            <w:vAlign w:val="center"/>
            <w:hideMark/>
          </w:tcPr>
          <w:p w14:paraId="797BAE79"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Not currently employed</w:t>
            </w:r>
          </w:p>
        </w:tc>
        <w:tc>
          <w:tcPr>
            <w:tcW w:w="868" w:type="dxa"/>
            <w:tcBorders>
              <w:bottom w:val="single" w:sz="4" w:space="0" w:color="auto"/>
            </w:tcBorders>
          </w:tcPr>
          <w:p w14:paraId="7C3A0119" w14:textId="4AFC1D34"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0.809</w:t>
            </w:r>
          </w:p>
        </w:tc>
        <w:tc>
          <w:tcPr>
            <w:tcW w:w="801" w:type="dxa"/>
            <w:tcBorders>
              <w:bottom w:val="single" w:sz="4" w:space="0" w:color="auto"/>
            </w:tcBorders>
            <w:noWrap/>
          </w:tcPr>
          <w:p w14:paraId="182DEC93" w14:textId="6D4789D4"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919.6</w:t>
            </w:r>
          </w:p>
        </w:tc>
        <w:tc>
          <w:tcPr>
            <w:tcW w:w="1051" w:type="dxa"/>
            <w:tcBorders>
              <w:bottom w:val="single" w:sz="4" w:space="0" w:color="auto"/>
              <w:right w:val="single" w:sz="18" w:space="0" w:color="auto"/>
            </w:tcBorders>
            <w:noWrap/>
            <w:hideMark/>
          </w:tcPr>
          <w:p w14:paraId="34D98830" w14:textId="1ACDA0D8"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743.9</w:t>
            </w:r>
          </w:p>
        </w:tc>
        <w:tc>
          <w:tcPr>
            <w:tcW w:w="1402" w:type="dxa"/>
            <w:tcBorders>
              <w:top w:val="nil"/>
              <w:left w:val="single" w:sz="18" w:space="0" w:color="auto"/>
              <w:bottom w:val="single" w:sz="4" w:space="0" w:color="auto"/>
            </w:tcBorders>
          </w:tcPr>
          <w:p w14:paraId="0977A983" w14:textId="10B26179"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724.0</w:t>
            </w:r>
          </w:p>
        </w:tc>
      </w:tr>
      <w:tr w:rsidR="008125AB" w:rsidRPr="00DC3F94" w14:paraId="0367B64E" w14:textId="53A915EF" w:rsidTr="00494E95">
        <w:trPr>
          <w:trHeight w:val="144"/>
        </w:trPr>
        <w:tc>
          <w:tcPr>
            <w:tcW w:w="2137" w:type="dxa"/>
            <w:vMerge w:val="restart"/>
            <w:tcBorders>
              <w:top w:val="single" w:sz="4" w:space="0" w:color="auto"/>
            </w:tcBorders>
            <w:noWrap/>
            <w:vAlign w:val="center"/>
            <w:hideMark/>
          </w:tcPr>
          <w:p w14:paraId="79BF8D46"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Population Density</w:t>
            </w:r>
          </w:p>
        </w:tc>
        <w:tc>
          <w:tcPr>
            <w:tcW w:w="3060" w:type="dxa"/>
            <w:tcBorders>
              <w:top w:val="single" w:sz="4" w:space="0" w:color="auto"/>
              <w:right w:val="single" w:sz="18" w:space="0" w:color="auto"/>
            </w:tcBorders>
            <w:noWrap/>
            <w:vAlign w:val="center"/>
            <w:hideMark/>
          </w:tcPr>
          <w:p w14:paraId="449BB4D5"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Low</w:t>
            </w:r>
          </w:p>
        </w:tc>
        <w:tc>
          <w:tcPr>
            <w:tcW w:w="868" w:type="dxa"/>
            <w:tcBorders>
              <w:top w:val="single" w:sz="4" w:space="0" w:color="auto"/>
            </w:tcBorders>
          </w:tcPr>
          <w:p w14:paraId="1E333FC0" w14:textId="44F92929"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0.868</w:t>
            </w:r>
          </w:p>
        </w:tc>
        <w:tc>
          <w:tcPr>
            <w:tcW w:w="801" w:type="dxa"/>
            <w:tcBorders>
              <w:top w:val="single" w:sz="4" w:space="0" w:color="auto"/>
            </w:tcBorders>
            <w:noWrap/>
          </w:tcPr>
          <w:p w14:paraId="40337E90" w14:textId="6C7F7F6D"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1014.0</w:t>
            </w:r>
          </w:p>
        </w:tc>
        <w:tc>
          <w:tcPr>
            <w:tcW w:w="1051" w:type="dxa"/>
            <w:tcBorders>
              <w:top w:val="single" w:sz="4" w:space="0" w:color="auto"/>
              <w:right w:val="single" w:sz="18" w:space="0" w:color="auto"/>
            </w:tcBorders>
            <w:noWrap/>
            <w:hideMark/>
          </w:tcPr>
          <w:p w14:paraId="128B41CB" w14:textId="5BC60CB0"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880.1</w:t>
            </w:r>
          </w:p>
        </w:tc>
        <w:tc>
          <w:tcPr>
            <w:tcW w:w="1402" w:type="dxa"/>
            <w:tcBorders>
              <w:top w:val="single" w:sz="4" w:space="0" w:color="auto"/>
              <w:left w:val="single" w:sz="18" w:space="0" w:color="auto"/>
              <w:bottom w:val="nil"/>
            </w:tcBorders>
          </w:tcPr>
          <w:p w14:paraId="18BB45AC" w14:textId="26521F53"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889.8</w:t>
            </w:r>
          </w:p>
        </w:tc>
      </w:tr>
      <w:tr w:rsidR="008125AB" w:rsidRPr="00DC3F94" w14:paraId="04186D9D" w14:textId="723775B2" w:rsidTr="00494E95">
        <w:trPr>
          <w:trHeight w:val="144"/>
        </w:trPr>
        <w:tc>
          <w:tcPr>
            <w:tcW w:w="2137" w:type="dxa"/>
            <w:vMerge/>
            <w:tcBorders>
              <w:bottom w:val="single" w:sz="18" w:space="0" w:color="auto"/>
            </w:tcBorders>
            <w:noWrap/>
            <w:vAlign w:val="center"/>
            <w:hideMark/>
          </w:tcPr>
          <w:p w14:paraId="3CC99299" w14:textId="77777777" w:rsidR="008125AB" w:rsidRPr="00DC3F94" w:rsidRDefault="008125AB" w:rsidP="008125AB">
            <w:pPr>
              <w:spacing w:after="0" w:line="240" w:lineRule="auto"/>
              <w:rPr>
                <w:rFonts w:eastAsia="Times New Roman" w:cs="Times New Roman"/>
                <w:color w:val="000000"/>
                <w:kern w:val="0"/>
                <w:sz w:val="20"/>
                <w:szCs w:val="20"/>
                <w14:ligatures w14:val="none"/>
              </w:rPr>
            </w:pPr>
          </w:p>
        </w:tc>
        <w:tc>
          <w:tcPr>
            <w:tcW w:w="3060" w:type="dxa"/>
            <w:tcBorders>
              <w:bottom w:val="single" w:sz="18" w:space="0" w:color="auto"/>
              <w:right w:val="single" w:sz="18" w:space="0" w:color="auto"/>
            </w:tcBorders>
            <w:noWrap/>
            <w:vAlign w:val="center"/>
            <w:hideMark/>
          </w:tcPr>
          <w:p w14:paraId="1C09BD45" w14:textId="77777777" w:rsidR="008125AB" w:rsidRPr="00DC3F94" w:rsidRDefault="008125AB" w:rsidP="008125AB">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High</w:t>
            </w:r>
          </w:p>
        </w:tc>
        <w:tc>
          <w:tcPr>
            <w:tcW w:w="868" w:type="dxa"/>
            <w:tcBorders>
              <w:bottom w:val="single" w:sz="18" w:space="0" w:color="auto"/>
            </w:tcBorders>
          </w:tcPr>
          <w:p w14:paraId="3156930F" w14:textId="25ACD87F" w:rsidR="008125AB" w:rsidRPr="00DC3F94" w:rsidRDefault="008125AB" w:rsidP="008125AB">
            <w:pPr>
              <w:tabs>
                <w:tab w:val="decimal" w:pos="66"/>
              </w:tabs>
              <w:spacing w:after="0" w:line="240" w:lineRule="auto"/>
              <w:jc w:val="center"/>
              <w:rPr>
                <w:rFonts w:cs="Times New Roman"/>
                <w:sz w:val="20"/>
                <w:szCs w:val="20"/>
              </w:rPr>
            </w:pPr>
            <w:r w:rsidRPr="00DC3F94">
              <w:rPr>
                <w:rFonts w:cs="Times New Roman"/>
                <w:sz w:val="20"/>
                <w:szCs w:val="20"/>
              </w:rPr>
              <w:t>0.781</w:t>
            </w:r>
          </w:p>
        </w:tc>
        <w:tc>
          <w:tcPr>
            <w:tcW w:w="801" w:type="dxa"/>
            <w:tcBorders>
              <w:bottom w:val="single" w:sz="18" w:space="0" w:color="auto"/>
            </w:tcBorders>
            <w:noWrap/>
          </w:tcPr>
          <w:p w14:paraId="14BD7216" w14:textId="72486AB6" w:rsidR="008125AB" w:rsidRPr="00DC3F94" w:rsidRDefault="008125AB" w:rsidP="008125AB">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1140.7</w:t>
            </w:r>
          </w:p>
        </w:tc>
        <w:tc>
          <w:tcPr>
            <w:tcW w:w="1051" w:type="dxa"/>
            <w:tcBorders>
              <w:bottom w:val="single" w:sz="18" w:space="0" w:color="auto"/>
              <w:right w:val="single" w:sz="18" w:space="0" w:color="auto"/>
            </w:tcBorders>
            <w:noWrap/>
            <w:hideMark/>
          </w:tcPr>
          <w:p w14:paraId="42CE6C2A" w14:textId="47EAEB56" w:rsidR="008125AB" w:rsidRPr="00DC3F94" w:rsidRDefault="008125AB" w:rsidP="008125AB">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890.9</w:t>
            </w:r>
          </w:p>
        </w:tc>
        <w:tc>
          <w:tcPr>
            <w:tcW w:w="1402" w:type="dxa"/>
            <w:tcBorders>
              <w:top w:val="nil"/>
              <w:left w:val="single" w:sz="18" w:space="0" w:color="auto"/>
              <w:bottom w:val="single" w:sz="18" w:space="0" w:color="auto"/>
            </w:tcBorders>
          </w:tcPr>
          <w:p w14:paraId="54AB2CF7" w14:textId="378867C1" w:rsidR="008125AB" w:rsidRPr="00DC3F94" w:rsidRDefault="008125AB" w:rsidP="008125AB">
            <w:pPr>
              <w:tabs>
                <w:tab w:val="decimal" w:pos="451"/>
              </w:tabs>
              <w:spacing w:after="0" w:line="240" w:lineRule="auto"/>
              <w:jc w:val="center"/>
              <w:rPr>
                <w:rFonts w:cs="Times New Roman"/>
                <w:sz w:val="20"/>
                <w:szCs w:val="20"/>
              </w:rPr>
            </w:pPr>
            <w:r w:rsidRPr="00EC71A1">
              <w:rPr>
                <w:rFonts w:cs="Times New Roman"/>
                <w:sz w:val="20"/>
                <w:szCs w:val="20"/>
              </w:rPr>
              <w:t>893.1</w:t>
            </w:r>
          </w:p>
        </w:tc>
      </w:tr>
      <w:tr w:rsidR="00494E95" w:rsidRPr="00DC3F94" w14:paraId="54AB8331" w14:textId="36073865" w:rsidTr="00494E95">
        <w:trPr>
          <w:trHeight w:val="144"/>
        </w:trPr>
        <w:tc>
          <w:tcPr>
            <w:tcW w:w="9314" w:type="dxa"/>
            <w:gridSpan w:val="6"/>
            <w:tcBorders>
              <w:top w:val="single" w:sz="18" w:space="0" w:color="auto"/>
              <w:bottom w:val="single" w:sz="18" w:space="0" w:color="auto"/>
            </w:tcBorders>
          </w:tcPr>
          <w:p w14:paraId="4E0B4AB7" w14:textId="5CACEDA8" w:rsidR="00494E95" w:rsidRPr="00DC3F94" w:rsidRDefault="00494E95" w:rsidP="005E5BFC">
            <w:pPr>
              <w:spacing w:after="0" w:line="240" w:lineRule="auto"/>
              <w:jc w:val="center"/>
              <w:rPr>
                <w:rFonts w:eastAsia="Times New Roman" w:cs="Times New Roman"/>
                <w:b/>
                <w:bCs/>
                <w:i/>
                <w:iCs/>
                <w:color w:val="000000"/>
                <w:kern w:val="0"/>
                <w:sz w:val="20"/>
                <w:szCs w:val="20"/>
                <w14:ligatures w14:val="none"/>
              </w:rPr>
            </w:pPr>
            <w:r w:rsidRPr="00DC3F94">
              <w:rPr>
                <w:rFonts w:eastAsia="Times New Roman" w:cs="Times New Roman"/>
                <w:b/>
                <w:bCs/>
                <w:i/>
                <w:iCs/>
                <w:color w:val="000000"/>
                <w:kern w:val="0"/>
                <w:sz w:val="20"/>
                <w:szCs w:val="20"/>
                <w14:ligatures w14:val="none"/>
              </w:rPr>
              <w:t>Trip Characteristics</w:t>
            </w:r>
          </w:p>
        </w:tc>
      </w:tr>
      <w:tr w:rsidR="00DC3F94" w:rsidRPr="00DC3F94" w14:paraId="269C63A9" w14:textId="127B17B2" w:rsidTr="00494E95">
        <w:trPr>
          <w:trHeight w:val="144"/>
        </w:trPr>
        <w:tc>
          <w:tcPr>
            <w:tcW w:w="2137" w:type="dxa"/>
            <w:vMerge w:val="restart"/>
            <w:tcBorders>
              <w:top w:val="single" w:sz="18" w:space="0" w:color="auto"/>
            </w:tcBorders>
            <w:noWrap/>
            <w:vAlign w:val="center"/>
            <w:hideMark/>
          </w:tcPr>
          <w:p w14:paraId="52D4CA4A" w14:textId="77777777" w:rsidR="00DC3F94" w:rsidRPr="00DC3F94" w:rsidRDefault="00DC3F94" w:rsidP="00DC3F94">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Trip Type</w:t>
            </w:r>
          </w:p>
          <w:p w14:paraId="48614A68" w14:textId="77777777" w:rsidR="00DC3F94" w:rsidRPr="00DC3F94" w:rsidRDefault="00DC3F94" w:rsidP="00DC3F94">
            <w:pPr>
              <w:spacing w:after="0" w:line="240" w:lineRule="auto"/>
              <w:rPr>
                <w:rFonts w:eastAsia="Times New Roman" w:cs="Times New Roman"/>
                <w:color w:val="000000"/>
                <w:kern w:val="0"/>
                <w:sz w:val="20"/>
                <w:szCs w:val="20"/>
                <w14:ligatures w14:val="none"/>
              </w:rPr>
            </w:pPr>
          </w:p>
        </w:tc>
        <w:tc>
          <w:tcPr>
            <w:tcW w:w="3060" w:type="dxa"/>
            <w:tcBorders>
              <w:top w:val="single" w:sz="18" w:space="0" w:color="auto"/>
              <w:bottom w:val="nil"/>
              <w:right w:val="single" w:sz="18" w:space="0" w:color="auto"/>
            </w:tcBorders>
            <w:noWrap/>
            <w:vAlign w:val="center"/>
            <w:hideMark/>
          </w:tcPr>
          <w:p w14:paraId="5770433C" w14:textId="77777777" w:rsidR="00DC3F94" w:rsidRPr="00DC3F94" w:rsidRDefault="00DC3F94" w:rsidP="00DC3F94">
            <w:pPr>
              <w:spacing w:after="0" w:line="240" w:lineRule="auto"/>
              <w:ind w:left="288" w:hanging="288"/>
              <w:rPr>
                <w:rFonts w:eastAsia="Times New Roman" w:cs="Times New Roman"/>
                <w:color w:val="000000"/>
                <w:kern w:val="0"/>
                <w:sz w:val="20"/>
                <w:szCs w:val="20"/>
                <w14:ligatures w14:val="none"/>
              </w:rPr>
            </w:pPr>
            <w:r w:rsidRPr="00DC3F94">
              <w:rPr>
                <w:rFonts w:cs="Times New Roman"/>
                <w:sz w:val="20"/>
                <w:szCs w:val="20"/>
              </w:rPr>
              <w:t>Work or Education by Car before 9:30 am</w:t>
            </w:r>
          </w:p>
        </w:tc>
        <w:tc>
          <w:tcPr>
            <w:tcW w:w="868" w:type="dxa"/>
            <w:tcBorders>
              <w:top w:val="single" w:sz="18" w:space="0" w:color="auto"/>
              <w:bottom w:val="nil"/>
            </w:tcBorders>
          </w:tcPr>
          <w:p w14:paraId="08D02B45"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0.948</w:t>
            </w:r>
          </w:p>
        </w:tc>
        <w:tc>
          <w:tcPr>
            <w:tcW w:w="801" w:type="dxa"/>
            <w:tcBorders>
              <w:top w:val="single" w:sz="18" w:space="0" w:color="auto"/>
              <w:bottom w:val="nil"/>
            </w:tcBorders>
            <w:noWrap/>
          </w:tcPr>
          <w:p w14:paraId="35189AB5"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2466.6</w:t>
            </w:r>
          </w:p>
        </w:tc>
        <w:tc>
          <w:tcPr>
            <w:tcW w:w="1051" w:type="dxa"/>
            <w:tcBorders>
              <w:top w:val="single" w:sz="18" w:space="0" w:color="auto"/>
              <w:bottom w:val="nil"/>
              <w:right w:val="single" w:sz="18" w:space="0" w:color="auto"/>
            </w:tcBorders>
            <w:noWrap/>
            <w:hideMark/>
          </w:tcPr>
          <w:p w14:paraId="0BF3E4C7"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2338.3</w:t>
            </w:r>
          </w:p>
        </w:tc>
        <w:tc>
          <w:tcPr>
            <w:tcW w:w="1402" w:type="dxa"/>
            <w:tcBorders>
              <w:top w:val="single" w:sz="18" w:space="0" w:color="auto"/>
              <w:left w:val="single" w:sz="18" w:space="0" w:color="auto"/>
              <w:bottom w:val="nil"/>
            </w:tcBorders>
          </w:tcPr>
          <w:p w14:paraId="1748D465" w14:textId="453F2380"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1817.7</w:t>
            </w:r>
          </w:p>
        </w:tc>
      </w:tr>
      <w:tr w:rsidR="00DC3F94" w:rsidRPr="00DC3F94" w14:paraId="1013F0E0" w14:textId="62EE97A2" w:rsidTr="00494E95">
        <w:trPr>
          <w:trHeight w:val="144"/>
        </w:trPr>
        <w:tc>
          <w:tcPr>
            <w:tcW w:w="2137" w:type="dxa"/>
            <w:vMerge/>
            <w:noWrap/>
            <w:vAlign w:val="center"/>
            <w:hideMark/>
          </w:tcPr>
          <w:p w14:paraId="58A81B2B" w14:textId="77777777" w:rsidR="00DC3F94" w:rsidRPr="00DC3F94" w:rsidRDefault="00DC3F94" w:rsidP="00DC3F94">
            <w:pPr>
              <w:spacing w:after="0" w:line="240" w:lineRule="auto"/>
              <w:rPr>
                <w:rFonts w:eastAsia="Times New Roman" w:cs="Times New Roman"/>
                <w:color w:val="000000"/>
                <w:kern w:val="0"/>
                <w:sz w:val="20"/>
                <w:szCs w:val="20"/>
                <w14:ligatures w14:val="none"/>
              </w:rPr>
            </w:pPr>
          </w:p>
        </w:tc>
        <w:tc>
          <w:tcPr>
            <w:tcW w:w="3060" w:type="dxa"/>
            <w:tcBorders>
              <w:top w:val="nil"/>
              <w:bottom w:val="nil"/>
              <w:right w:val="single" w:sz="18" w:space="0" w:color="auto"/>
            </w:tcBorders>
            <w:noWrap/>
            <w:vAlign w:val="center"/>
            <w:hideMark/>
          </w:tcPr>
          <w:p w14:paraId="4427131E" w14:textId="77777777" w:rsidR="00DC3F94" w:rsidRPr="00DC3F94" w:rsidRDefault="00DC3F94" w:rsidP="00DC3F94">
            <w:pPr>
              <w:spacing w:after="0" w:line="240" w:lineRule="auto"/>
              <w:ind w:left="288" w:hanging="288"/>
              <w:rPr>
                <w:rFonts w:eastAsia="Times New Roman" w:cs="Times New Roman"/>
                <w:color w:val="000000"/>
                <w:kern w:val="0"/>
                <w:sz w:val="20"/>
                <w:szCs w:val="20"/>
                <w14:ligatures w14:val="none"/>
              </w:rPr>
            </w:pPr>
            <w:r w:rsidRPr="00DC3F94">
              <w:rPr>
                <w:rFonts w:cs="Times New Roman"/>
                <w:sz w:val="20"/>
                <w:szCs w:val="20"/>
              </w:rPr>
              <w:t>Work or Education by Car after 9:30 am</w:t>
            </w:r>
          </w:p>
        </w:tc>
        <w:tc>
          <w:tcPr>
            <w:tcW w:w="868" w:type="dxa"/>
            <w:tcBorders>
              <w:top w:val="nil"/>
              <w:bottom w:val="nil"/>
            </w:tcBorders>
          </w:tcPr>
          <w:p w14:paraId="2A153F37"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0.666</w:t>
            </w:r>
          </w:p>
        </w:tc>
        <w:tc>
          <w:tcPr>
            <w:tcW w:w="801" w:type="dxa"/>
            <w:tcBorders>
              <w:top w:val="nil"/>
              <w:bottom w:val="nil"/>
            </w:tcBorders>
            <w:noWrap/>
          </w:tcPr>
          <w:p w14:paraId="0C26E83E"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699.3</w:t>
            </w:r>
          </w:p>
        </w:tc>
        <w:tc>
          <w:tcPr>
            <w:tcW w:w="1051" w:type="dxa"/>
            <w:tcBorders>
              <w:top w:val="nil"/>
              <w:bottom w:val="nil"/>
              <w:right w:val="single" w:sz="18" w:space="0" w:color="auto"/>
            </w:tcBorders>
            <w:noWrap/>
            <w:hideMark/>
          </w:tcPr>
          <w:p w14:paraId="4BA83C09"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465.7</w:t>
            </w:r>
          </w:p>
        </w:tc>
        <w:tc>
          <w:tcPr>
            <w:tcW w:w="1402" w:type="dxa"/>
            <w:tcBorders>
              <w:top w:val="nil"/>
              <w:left w:val="single" w:sz="18" w:space="0" w:color="auto"/>
              <w:bottom w:val="nil"/>
            </w:tcBorders>
          </w:tcPr>
          <w:p w14:paraId="763C1670" w14:textId="4D25B77F"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590.6</w:t>
            </w:r>
          </w:p>
        </w:tc>
      </w:tr>
      <w:tr w:rsidR="00DC3F94" w:rsidRPr="00DC3F94" w14:paraId="7D3314A1" w14:textId="5A4D2664" w:rsidTr="00494E95">
        <w:trPr>
          <w:trHeight w:val="144"/>
        </w:trPr>
        <w:tc>
          <w:tcPr>
            <w:tcW w:w="2137" w:type="dxa"/>
            <w:vMerge/>
            <w:noWrap/>
            <w:vAlign w:val="center"/>
            <w:hideMark/>
          </w:tcPr>
          <w:p w14:paraId="680C7F6A" w14:textId="77777777" w:rsidR="00DC3F94" w:rsidRPr="00DC3F94" w:rsidRDefault="00DC3F94" w:rsidP="00DC3F94">
            <w:pPr>
              <w:spacing w:after="0" w:line="240" w:lineRule="auto"/>
              <w:rPr>
                <w:rFonts w:eastAsia="Times New Roman" w:cs="Times New Roman"/>
                <w:color w:val="000000"/>
                <w:kern w:val="0"/>
                <w:sz w:val="20"/>
                <w:szCs w:val="20"/>
                <w14:ligatures w14:val="none"/>
              </w:rPr>
            </w:pPr>
          </w:p>
        </w:tc>
        <w:tc>
          <w:tcPr>
            <w:tcW w:w="3060" w:type="dxa"/>
            <w:tcBorders>
              <w:top w:val="nil"/>
              <w:bottom w:val="nil"/>
              <w:right w:val="single" w:sz="18" w:space="0" w:color="auto"/>
            </w:tcBorders>
            <w:noWrap/>
            <w:vAlign w:val="center"/>
            <w:hideMark/>
          </w:tcPr>
          <w:p w14:paraId="4280EEA2" w14:textId="77777777" w:rsidR="00DC3F94" w:rsidRPr="00DC3F94" w:rsidRDefault="00DC3F94" w:rsidP="00DC3F94">
            <w:pPr>
              <w:spacing w:after="0" w:line="240" w:lineRule="auto"/>
              <w:ind w:left="288" w:hanging="288"/>
              <w:rPr>
                <w:rFonts w:eastAsia="Times New Roman" w:cs="Times New Roman"/>
                <w:color w:val="000000"/>
                <w:kern w:val="0"/>
                <w:sz w:val="20"/>
                <w:szCs w:val="20"/>
                <w14:ligatures w14:val="none"/>
              </w:rPr>
            </w:pPr>
            <w:r w:rsidRPr="00DC3F94">
              <w:rPr>
                <w:rFonts w:cs="Times New Roman"/>
                <w:sz w:val="20"/>
                <w:szCs w:val="20"/>
              </w:rPr>
              <w:t>Work or Education by non-Car before 9:30 am</w:t>
            </w:r>
          </w:p>
        </w:tc>
        <w:tc>
          <w:tcPr>
            <w:tcW w:w="868" w:type="dxa"/>
            <w:tcBorders>
              <w:top w:val="nil"/>
              <w:bottom w:val="nil"/>
            </w:tcBorders>
          </w:tcPr>
          <w:p w14:paraId="674F909F"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0.874</w:t>
            </w:r>
          </w:p>
        </w:tc>
        <w:tc>
          <w:tcPr>
            <w:tcW w:w="801" w:type="dxa"/>
            <w:tcBorders>
              <w:top w:val="nil"/>
              <w:bottom w:val="nil"/>
            </w:tcBorders>
            <w:noWrap/>
          </w:tcPr>
          <w:p w14:paraId="726C0072"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925.7</w:t>
            </w:r>
          </w:p>
        </w:tc>
        <w:tc>
          <w:tcPr>
            <w:tcW w:w="1051" w:type="dxa"/>
            <w:tcBorders>
              <w:top w:val="nil"/>
              <w:bottom w:val="nil"/>
              <w:right w:val="single" w:sz="18" w:space="0" w:color="auto"/>
            </w:tcBorders>
            <w:noWrap/>
            <w:hideMark/>
          </w:tcPr>
          <w:p w14:paraId="345A09B4"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809.0</w:t>
            </w:r>
          </w:p>
        </w:tc>
        <w:tc>
          <w:tcPr>
            <w:tcW w:w="1402" w:type="dxa"/>
            <w:tcBorders>
              <w:top w:val="nil"/>
              <w:left w:val="single" w:sz="18" w:space="0" w:color="auto"/>
              <w:bottom w:val="nil"/>
            </w:tcBorders>
          </w:tcPr>
          <w:p w14:paraId="5CC6A1C5" w14:textId="2485D8C3"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965.6</w:t>
            </w:r>
          </w:p>
        </w:tc>
      </w:tr>
      <w:tr w:rsidR="00DC3F94" w:rsidRPr="00DC3F94" w14:paraId="7D84FD54" w14:textId="403701F4" w:rsidTr="00494E95">
        <w:trPr>
          <w:trHeight w:val="144"/>
        </w:trPr>
        <w:tc>
          <w:tcPr>
            <w:tcW w:w="2137" w:type="dxa"/>
            <w:vMerge/>
            <w:noWrap/>
            <w:vAlign w:val="center"/>
            <w:hideMark/>
          </w:tcPr>
          <w:p w14:paraId="2BAB6751" w14:textId="77777777" w:rsidR="00DC3F94" w:rsidRPr="00DC3F94" w:rsidRDefault="00DC3F94" w:rsidP="00DC3F94">
            <w:pPr>
              <w:spacing w:after="0" w:line="240" w:lineRule="auto"/>
              <w:rPr>
                <w:rFonts w:eastAsia="Times New Roman" w:cs="Times New Roman"/>
                <w:color w:val="000000"/>
                <w:kern w:val="0"/>
                <w:sz w:val="20"/>
                <w:szCs w:val="20"/>
                <w14:ligatures w14:val="none"/>
              </w:rPr>
            </w:pPr>
          </w:p>
        </w:tc>
        <w:tc>
          <w:tcPr>
            <w:tcW w:w="3060" w:type="dxa"/>
            <w:tcBorders>
              <w:top w:val="nil"/>
              <w:bottom w:val="nil"/>
              <w:right w:val="single" w:sz="18" w:space="0" w:color="auto"/>
            </w:tcBorders>
            <w:noWrap/>
            <w:vAlign w:val="center"/>
            <w:hideMark/>
          </w:tcPr>
          <w:p w14:paraId="69A74798" w14:textId="77777777" w:rsidR="00DC3F94" w:rsidRPr="00DC3F94" w:rsidRDefault="00DC3F94" w:rsidP="00DC3F94">
            <w:pPr>
              <w:spacing w:after="0" w:line="240" w:lineRule="auto"/>
              <w:ind w:left="288" w:hanging="288"/>
              <w:rPr>
                <w:rFonts w:eastAsia="Times New Roman" w:cs="Times New Roman"/>
                <w:color w:val="000000"/>
                <w:kern w:val="0"/>
                <w:sz w:val="20"/>
                <w:szCs w:val="20"/>
                <w14:ligatures w14:val="none"/>
              </w:rPr>
            </w:pPr>
            <w:r w:rsidRPr="00DC3F94">
              <w:rPr>
                <w:rFonts w:cs="Times New Roman"/>
                <w:sz w:val="20"/>
                <w:szCs w:val="20"/>
              </w:rPr>
              <w:t>Work or Education by non-Car after 9:30 am</w:t>
            </w:r>
          </w:p>
        </w:tc>
        <w:tc>
          <w:tcPr>
            <w:tcW w:w="868" w:type="dxa"/>
            <w:tcBorders>
              <w:top w:val="nil"/>
              <w:bottom w:val="nil"/>
            </w:tcBorders>
          </w:tcPr>
          <w:p w14:paraId="517282C3"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0.666</w:t>
            </w:r>
          </w:p>
        </w:tc>
        <w:tc>
          <w:tcPr>
            <w:tcW w:w="801" w:type="dxa"/>
            <w:tcBorders>
              <w:top w:val="nil"/>
              <w:bottom w:val="nil"/>
            </w:tcBorders>
            <w:noWrap/>
          </w:tcPr>
          <w:p w14:paraId="310F45F0"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991.4</w:t>
            </w:r>
          </w:p>
        </w:tc>
        <w:tc>
          <w:tcPr>
            <w:tcW w:w="1051" w:type="dxa"/>
            <w:tcBorders>
              <w:top w:val="nil"/>
              <w:bottom w:val="nil"/>
              <w:right w:val="single" w:sz="18" w:space="0" w:color="auto"/>
            </w:tcBorders>
            <w:noWrap/>
            <w:hideMark/>
          </w:tcPr>
          <w:p w14:paraId="31FACC86"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660.3</w:t>
            </w:r>
          </w:p>
        </w:tc>
        <w:tc>
          <w:tcPr>
            <w:tcW w:w="1402" w:type="dxa"/>
            <w:tcBorders>
              <w:top w:val="nil"/>
              <w:left w:val="single" w:sz="18" w:space="0" w:color="auto"/>
              <w:bottom w:val="nil"/>
            </w:tcBorders>
          </w:tcPr>
          <w:p w14:paraId="1952B700" w14:textId="5AFB05CA"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750.5</w:t>
            </w:r>
          </w:p>
        </w:tc>
      </w:tr>
      <w:tr w:rsidR="00DC3F94" w:rsidRPr="00DC3F94" w14:paraId="6BC00310" w14:textId="596F4C65" w:rsidTr="00494E95">
        <w:trPr>
          <w:trHeight w:val="144"/>
        </w:trPr>
        <w:tc>
          <w:tcPr>
            <w:tcW w:w="2137" w:type="dxa"/>
            <w:vMerge/>
            <w:noWrap/>
            <w:vAlign w:val="center"/>
            <w:hideMark/>
          </w:tcPr>
          <w:p w14:paraId="71F778BF" w14:textId="77777777" w:rsidR="00DC3F94" w:rsidRPr="00DC3F94" w:rsidRDefault="00DC3F94" w:rsidP="00DC3F94">
            <w:pPr>
              <w:spacing w:after="0" w:line="240" w:lineRule="auto"/>
              <w:rPr>
                <w:rFonts w:eastAsia="Times New Roman" w:cs="Times New Roman"/>
                <w:color w:val="000000"/>
                <w:kern w:val="0"/>
                <w:sz w:val="20"/>
                <w:szCs w:val="20"/>
                <w14:ligatures w14:val="none"/>
              </w:rPr>
            </w:pPr>
          </w:p>
        </w:tc>
        <w:tc>
          <w:tcPr>
            <w:tcW w:w="3060" w:type="dxa"/>
            <w:tcBorders>
              <w:top w:val="nil"/>
              <w:right w:val="single" w:sz="18" w:space="0" w:color="auto"/>
            </w:tcBorders>
            <w:noWrap/>
            <w:vAlign w:val="center"/>
            <w:hideMark/>
          </w:tcPr>
          <w:p w14:paraId="3DE033B1" w14:textId="77777777" w:rsidR="00DC3F94" w:rsidRPr="00DC3F94" w:rsidRDefault="00DC3F94" w:rsidP="00DC3F94">
            <w:pPr>
              <w:spacing w:after="0" w:line="240" w:lineRule="auto"/>
              <w:ind w:left="288" w:hanging="288"/>
              <w:rPr>
                <w:rFonts w:eastAsia="Times New Roman" w:cs="Times New Roman"/>
                <w:color w:val="000000"/>
                <w:kern w:val="0"/>
                <w:sz w:val="20"/>
                <w:szCs w:val="20"/>
                <w14:ligatures w14:val="none"/>
              </w:rPr>
            </w:pPr>
            <w:r w:rsidRPr="00DC3F94">
              <w:rPr>
                <w:rFonts w:cs="Times New Roman"/>
                <w:sz w:val="20"/>
                <w:szCs w:val="20"/>
              </w:rPr>
              <w:t>Maintenance or Leisure by Car before 9:30 am</w:t>
            </w:r>
          </w:p>
        </w:tc>
        <w:tc>
          <w:tcPr>
            <w:tcW w:w="868" w:type="dxa"/>
            <w:tcBorders>
              <w:top w:val="nil"/>
            </w:tcBorders>
          </w:tcPr>
          <w:p w14:paraId="5D2BF453"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0.921</w:t>
            </w:r>
          </w:p>
        </w:tc>
        <w:tc>
          <w:tcPr>
            <w:tcW w:w="801" w:type="dxa"/>
            <w:tcBorders>
              <w:top w:val="nil"/>
            </w:tcBorders>
            <w:noWrap/>
          </w:tcPr>
          <w:p w14:paraId="7A490AFC"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422.1</w:t>
            </w:r>
          </w:p>
        </w:tc>
        <w:tc>
          <w:tcPr>
            <w:tcW w:w="1051" w:type="dxa"/>
            <w:tcBorders>
              <w:top w:val="nil"/>
              <w:right w:val="single" w:sz="18" w:space="0" w:color="auto"/>
            </w:tcBorders>
            <w:noWrap/>
            <w:hideMark/>
          </w:tcPr>
          <w:p w14:paraId="5F3768E5"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388.7</w:t>
            </w:r>
          </w:p>
        </w:tc>
        <w:tc>
          <w:tcPr>
            <w:tcW w:w="1402" w:type="dxa"/>
            <w:tcBorders>
              <w:top w:val="nil"/>
              <w:left w:val="single" w:sz="18" w:space="0" w:color="auto"/>
              <w:bottom w:val="nil"/>
            </w:tcBorders>
          </w:tcPr>
          <w:p w14:paraId="1DD291F0" w14:textId="60F00089"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493.1</w:t>
            </w:r>
          </w:p>
        </w:tc>
      </w:tr>
      <w:tr w:rsidR="00DC3F94" w:rsidRPr="00DC3F94" w14:paraId="2D88E516" w14:textId="6850E469" w:rsidTr="00494E95">
        <w:trPr>
          <w:trHeight w:val="144"/>
        </w:trPr>
        <w:tc>
          <w:tcPr>
            <w:tcW w:w="2137" w:type="dxa"/>
            <w:vMerge/>
            <w:noWrap/>
            <w:vAlign w:val="center"/>
            <w:hideMark/>
          </w:tcPr>
          <w:p w14:paraId="40426FE7" w14:textId="77777777" w:rsidR="00DC3F94" w:rsidRPr="00DC3F94" w:rsidRDefault="00DC3F94" w:rsidP="00DC3F94">
            <w:pPr>
              <w:spacing w:after="0" w:line="240" w:lineRule="auto"/>
              <w:rPr>
                <w:rFonts w:eastAsia="Times New Roman" w:cs="Times New Roman"/>
                <w:color w:val="000000"/>
                <w:kern w:val="0"/>
                <w:sz w:val="20"/>
                <w:szCs w:val="20"/>
                <w14:ligatures w14:val="none"/>
              </w:rPr>
            </w:pPr>
          </w:p>
        </w:tc>
        <w:tc>
          <w:tcPr>
            <w:tcW w:w="3060" w:type="dxa"/>
            <w:tcBorders>
              <w:bottom w:val="nil"/>
              <w:right w:val="single" w:sz="18" w:space="0" w:color="auto"/>
            </w:tcBorders>
            <w:noWrap/>
            <w:vAlign w:val="center"/>
            <w:hideMark/>
          </w:tcPr>
          <w:p w14:paraId="4FCBCAC2" w14:textId="77777777" w:rsidR="00DC3F94" w:rsidRPr="00DC3F94" w:rsidRDefault="00DC3F94" w:rsidP="00DC3F94">
            <w:pPr>
              <w:spacing w:after="0" w:line="240" w:lineRule="auto"/>
              <w:ind w:left="288" w:hanging="288"/>
              <w:rPr>
                <w:rFonts w:eastAsia="Times New Roman" w:cs="Times New Roman"/>
                <w:color w:val="000000"/>
                <w:kern w:val="0"/>
                <w:sz w:val="20"/>
                <w:szCs w:val="20"/>
                <w14:ligatures w14:val="none"/>
              </w:rPr>
            </w:pPr>
            <w:r w:rsidRPr="00DC3F94">
              <w:rPr>
                <w:rFonts w:cs="Times New Roman"/>
                <w:sz w:val="20"/>
                <w:szCs w:val="20"/>
              </w:rPr>
              <w:t>Maintenance or Leisure by Car after 9:30 am</w:t>
            </w:r>
          </w:p>
        </w:tc>
        <w:tc>
          <w:tcPr>
            <w:tcW w:w="868" w:type="dxa"/>
            <w:tcBorders>
              <w:bottom w:val="nil"/>
            </w:tcBorders>
          </w:tcPr>
          <w:p w14:paraId="582E4626"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0.837</w:t>
            </w:r>
          </w:p>
        </w:tc>
        <w:tc>
          <w:tcPr>
            <w:tcW w:w="801" w:type="dxa"/>
            <w:tcBorders>
              <w:bottom w:val="nil"/>
            </w:tcBorders>
            <w:noWrap/>
          </w:tcPr>
          <w:p w14:paraId="0245F933"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432.5</w:t>
            </w:r>
          </w:p>
        </w:tc>
        <w:tc>
          <w:tcPr>
            <w:tcW w:w="1051" w:type="dxa"/>
            <w:tcBorders>
              <w:bottom w:val="nil"/>
              <w:right w:val="single" w:sz="18" w:space="0" w:color="auto"/>
            </w:tcBorders>
            <w:noWrap/>
            <w:hideMark/>
          </w:tcPr>
          <w:p w14:paraId="5175C163"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362.0</w:t>
            </w:r>
          </w:p>
        </w:tc>
        <w:tc>
          <w:tcPr>
            <w:tcW w:w="1402" w:type="dxa"/>
            <w:tcBorders>
              <w:top w:val="nil"/>
              <w:left w:val="single" w:sz="18" w:space="0" w:color="auto"/>
              <w:bottom w:val="nil"/>
            </w:tcBorders>
          </w:tcPr>
          <w:p w14:paraId="02578543" w14:textId="3A678953"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462.8</w:t>
            </w:r>
          </w:p>
        </w:tc>
      </w:tr>
      <w:tr w:rsidR="00DC3F94" w:rsidRPr="00DC3F94" w14:paraId="5ACB2072" w14:textId="07E54E56" w:rsidTr="00494E95">
        <w:trPr>
          <w:trHeight w:val="144"/>
        </w:trPr>
        <w:tc>
          <w:tcPr>
            <w:tcW w:w="2137" w:type="dxa"/>
            <w:vMerge/>
            <w:noWrap/>
            <w:vAlign w:val="center"/>
            <w:hideMark/>
          </w:tcPr>
          <w:p w14:paraId="77C9399B" w14:textId="77777777" w:rsidR="00DC3F94" w:rsidRPr="00DC3F94" w:rsidRDefault="00DC3F94" w:rsidP="00DC3F94">
            <w:pPr>
              <w:spacing w:after="0" w:line="240" w:lineRule="auto"/>
              <w:rPr>
                <w:rFonts w:eastAsia="Times New Roman" w:cs="Times New Roman"/>
                <w:color w:val="000000"/>
                <w:kern w:val="0"/>
                <w:sz w:val="20"/>
                <w:szCs w:val="20"/>
                <w14:ligatures w14:val="none"/>
              </w:rPr>
            </w:pPr>
          </w:p>
        </w:tc>
        <w:tc>
          <w:tcPr>
            <w:tcW w:w="3060" w:type="dxa"/>
            <w:tcBorders>
              <w:top w:val="nil"/>
              <w:bottom w:val="nil"/>
              <w:right w:val="single" w:sz="18" w:space="0" w:color="auto"/>
            </w:tcBorders>
            <w:noWrap/>
            <w:vAlign w:val="center"/>
            <w:hideMark/>
          </w:tcPr>
          <w:p w14:paraId="7DB3ED7C" w14:textId="77777777" w:rsidR="00DC3F94" w:rsidRPr="00DC3F94" w:rsidRDefault="00DC3F94" w:rsidP="00DC3F94">
            <w:pPr>
              <w:spacing w:after="0" w:line="240" w:lineRule="auto"/>
              <w:ind w:left="288" w:hanging="288"/>
              <w:rPr>
                <w:rFonts w:eastAsia="Times New Roman" w:cs="Times New Roman"/>
                <w:color w:val="000000"/>
                <w:kern w:val="0"/>
                <w:sz w:val="20"/>
                <w:szCs w:val="20"/>
                <w14:ligatures w14:val="none"/>
              </w:rPr>
            </w:pPr>
            <w:r w:rsidRPr="00DC3F94">
              <w:rPr>
                <w:rFonts w:cs="Times New Roman"/>
                <w:sz w:val="20"/>
                <w:szCs w:val="20"/>
              </w:rPr>
              <w:t>Maintenance or Leisure by non-Car before 9:30 am</w:t>
            </w:r>
          </w:p>
        </w:tc>
        <w:tc>
          <w:tcPr>
            <w:tcW w:w="868" w:type="dxa"/>
            <w:tcBorders>
              <w:top w:val="nil"/>
              <w:bottom w:val="nil"/>
            </w:tcBorders>
          </w:tcPr>
          <w:p w14:paraId="7AAAA9C0"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0.921</w:t>
            </w:r>
          </w:p>
        </w:tc>
        <w:tc>
          <w:tcPr>
            <w:tcW w:w="801" w:type="dxa"/>
            <w:tcBorders>
              <w:top w:val="nil"/>
              <w:bottom w:val="nil"/>
            </w:tcBorders>
            <w:noWrap/>
          </w:tcPr>
          <w:p w14:paraId="003F26C3"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727.7</w:t>
            </w:r>
          </w:p>
        </w:tc>
        <w:tc>
          <w:tcPr>
            <w:tcW w:w="1051" w:type="dxa"/>
            <w:tcBorders>
              <w:top w:val="nil"/>
              <w:bottom w:val="nil"/>
              <w:right w:val="single" w:sz="18" w:space="0" w:color="auto"/>
            </w:tcBorders>
            <w:noWrap/>
            <w:hideMark/>
          </w:tcPr>
          <w:p w14:paraId="11BEABA2"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670.2</w:t>
            </w:r>
          </w:p>
        </w:tc>
        <w:tc>
          <w:tcPr>
            <w:tcW w:w="1402" w:type="dxa"/>
            <w:tcBorders>
              <w:top w:val="nil"/>
              <w:left w:val="single" w:sz="18" w:space="0" w:color="auto"/>
              <w:bottom w:val="nil"/>
            </w:tcBorders>
          </w:tcPr>
          <w:p w14:paraId="02FAEC0C" w14:textId="333E1F43"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768.4</w:t>
            </w:r>
          </w:p>
        </w:tc>
      </w:tr>
      <w:tr w:rsidR="00DC3F94" w:rsidRPr="00DC3F94" w14:paraId="0FD4E347" w14:textId="2B355EB4" w:rsidTr="00494E95">
        <w:trPr>
          <w:trHeight w:val="144"/>
        </w:trPr>
        <w:tc>
          <w:tcPr>
            <w:tcW w:w="2137" w:type="dxa"/>
            <w:vMerge/>
            <w:noWrap/>
            <w:vAlign w:val="center"/>
            <w:hideMark/>
          </w:tcPr>
          <w:p w14:paraId="3DA89F45" w14:textId="77777777" w:rsidR="00DC3F94" w:rsidRPr="00DC3F94" w:rsidRDefault="00DC3F94" w:rsidP="00DC3F94">
            <w:pPr>
              <w:spacing w:after="0" w:line="240" w:lineRule="auto"/>
              <w:rPr>
                <w:rFonts w:eastAsia="Times New Roman" w:cs="Times New Roman"/>
                <w:color w:val="000000"/>
                <w:kern w:val="0"/>
                <w:sz w:val="20"/>
                <w:szCs w:val="20"/>
                <w14:ligatures w14:val="none"/>
              </w:rPr>
            </w:pPr>
          </w:p>
        </w:tc>
        <w:tc>
          <w:tcPr>
            <w:tcW w:w="3060" w:type="dxa"/>
            <w:tcBorders>
              <w:top w:val="nil"/>
              <w:bottom w:val="single" w:sz="4" w:space="0" w:color="auto"/>
              <w:right w:val="single" w:sz="18" w:space="0" w:color="auto"/>
            </w:tcBorders>
            <w:noWrap/>
            <w:vAlign w:val="center"/>
            <w:hideMark/>
          </w:tcPr>
          <w:p w14:paraId="08F2EEAA" w14:textId="77777777" w:rsidR="00DC3F94" w:rsidRPr="00DC3F94" w:rsidRDefault="00DC3F94" w:rsidP="00DC3F94">
            <w:pPr>
              <w:spacing w:after="0" w:line="240" w:lineRule="auto"/>
              <w:ind w:left="288" w:hanging="288"/>
              <w:rPr>
                <w:rFonts w:eastAsia="Times New Roman" w:cs="Times New Roman"/>
                <w:color w:val="000000"/>
                <w:kern w:val="0"/>
                <w:sz w:val="20"/>
                <w:szCs w:val="20"/>
                <w14:ligatures w14:val="none"/>
              </w:rPr>
            </w:pPr>
            <w:r w:rsidRPr="00DC3F94">
              <w:rPr>
                <w:rFonts w:cs="Times New Roman"/>
                <w:sz w:val="20"/>
                <w:szCs w:val="20"/>
              </w:rPr>
              <w:t>Maintenance or Leisure by non-Car after 9:30 am</w:t>
            </w:r>
          </w:p>
        </w:tc>
        <w:tc>
          <w:tcPr>
            <w:tcW w:w="868" w:type="dxa"/>
            <w:tcBorders>
              <w:top w:val="nil"/>
              <w:bottom w:val="single" w:sz="4" w:space="0" w:color="auto"/>
            </w:tcBorders>
          </w:tcPr>
          <w:p w14:paraId="6ABAA601"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0.837</w:t>
            </w:r>
          </w:p>
        </w:tc>
        <w:tc>
          <w:tcPr>
            <w:tcW w:w="801" w:type="dxa"/>
            <w:tcBorders>
              <w:top w:val="nil"/>
              <w:bottom w:val="single" w:sz="4" w:space="0" w:color="auto"/>
            </w:tcBorders>
            <w:noWrap/>
          </w:tcPr>
          <w:p w14:paraId="157F61B0"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745.2</w:t>
            </w:r>
          </w:p>
        </w:tc>
        <w:tc>
          <w:tcPr>
            <w:tcW w:w="1051" w:type="dxa"/>
            <w:tcBorders>
              <w:top w:val="nil"/>
              <w:bottom w:val="single" w:sz="4" w:space="0" w:color="auto"/>
              <w:right w:val="single" w:sz="18" w:space="0" w:color="auto"/>
            </w:tcBorders>
            <w:noWrap/>
            <w:hideMark/>
          </w:tcPr>
          <w:p w14:paraId="52D350F0"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623.7</w:t>
            </w:r>
          </w:p>
        </w:tc>
        <w:tc>
          <w:tcPr>
            <w:tcW w:w="1402" w:type="dxa"/>
            <w:tcBorders>
              <w:top w:val="nil"/>
              <w:left w:val="single" w:sz="18" w:space="0" w:color="auto"/>
              <w:bottom w:val="single" w:sz="4" w:space="0" w:color="auto"/>
            </w:tcBorders>
          </w:tcPr>
          <w:p w14:paraId="397EE5D3" w14:textId="0FDAB8EC"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719.4</w:t>
            </w:r>
          </w:p>
        </w:tc>
      </w:tr>
      <w:tr w:rsidR="00DC3F94" w:rsidRPr="00DC3F94" w14:paraId="1AD086C5" w14:textId="01CA0D3D" w:rsidTr="00494E95">
        <w:trPr>
          <w:trHeight w:val="144"/>
        </w:trPr>
        <w:tc>
          <w:tcPr>
            <w:tcW w:w="2137" w:type="dxa"/>
            <w:vMerge w:val="restart"/>
            <w:tcBorders>
              <w:top w:val="single" w:sz="4" w:space="0" w:color="auto"/>
            </w:tcBorders>
            <w:noWrap/>
            <w:vAlign w:val="center"/>
            <w:hideMark/>
          </w:tcPr>
          <w:p w14:paraId="751FD755" w14:textId="77777777" w:rsidR="00DC3F94" w:rsidRPr="00DC3F94" w:rsidRDefault="00DC3F94" w:rsidP="00DC3F94">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Shared Trip</w:t>
            </w:r>
          </w:p>
        </w:tc>
        <w:tc>
          <w:tcPr>
            <w:tcW w:w="3060" w:type="dxa"/>
            <w:tcBorders>
              <w:top w:val="single" w:sz="4" w:space="0" w:color="auto"/>
              <w:bottom w:val="nil"/>
              <w:right w:val="single" w:sz="18" w:space="0" w:color="auto"/>
            </w:tcBorders>
            <w:noWrap/>
            <w:vAlign w:val="center"/>
            <w:hideMark/>
          </w:tcPr>
          <w:p w14:paraId="6194CF17" w14:textId="77777777" w:rsidR="00DC3F94" w:rsidRPr="00DC3F94" w:rsidRDefault="00DC3F94" w:rsidP="00DC3F94">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Shared</w:t>
            </w:r>
          </w:p>
        </w:tc>
        <w:tc>
          <w:tcPr>
            <w:tcW w:w="868" w:type="dxa"/>
            <w:tcBorders>
              <w:top w:val="single" w:sz="4" w:space="0" w:color="auto"/>
              <w:bottom w:val="nil"/>
            </w:tcBorders>
          </w:tcPr>
          <w:p w14:paraId="24D97EE6"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0.855</w:t>
            </w:r>
          </w:p>
        </w:tc>
        <w:tc>
          <w:tcPr>
            <w:tcW w:w="801" w:type="dxa"/>
            <w:tcBorders>
              <w:top w:val="single" w:sz="4" w:space="0" w:color="auto"/>
              <w:bottom w:val="nil"/>
            </w:tcBorders>
            <w:noWrap/>
          </w:tcPr>
          <w:p w14:paraId="46E5F35A"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816.0</w:t>
            </w:r>
          </w:p>
        </w:tc>
        <w:tc>
          <w:tcPr>
            <w:tcW w:w="1051" w:type="dxa"/>
            <w:tcBorders>
              <w:top w:val="single" w:sz="4" w:space="0" w:color="auto"/>
              <w:bottom w:val="nil"/>
              <w:right w:val="single" w:sz="18" w:space="0" w:color="auto"/>
            </w:tcBorders>
            <w:noWrap/>
            <w:hideMark/>
          </w:tcPr>
          <w:p w14:paraId="7EB5AD91"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697.7</w:t>
            </w:r>
          </w:p>
        </w:tc>
        <w:tc>
          <w:tcPr>
            <w:tcW w:w="1402" w:type="dxa"/>
            <w:tcBorders>
              <w:top w:val="single" w:sz="4" w:space="0" w:color="auto"/>
              <w:left w:val="single" w:sz="18" w:space="0" w:color="auto"/>
              <w:bottom w:val="nil"/>
            </w:tcBorders>
          </w:tcPr>
          <w:p w14:paraId="3F6AA04C" w14:textId="55BCEA98"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823.9</w:t>
            </w:r>
          </w:p>
        </w:tc>
      </w:tr>
      <w:tr w:rsidR="00DC3F94" w:rsidRPr="00DC3F94" w14:paraId="3F0DEE43" w14:textId="635A5988" w:rsidTr="00494E95">
        <w:trPr>
          <w:trHeight w:val="144"/>
        </w:trPr>
        <w:tc>
          <w:tcPr>
            <w:tcW w:w="2137" w:type="dxa"/>
            <w:vMerge/>
            <w:tcBorders>
              <w:bottom w:val="single" w:sz="4" w:space="0" w:color="auto"/>
            </w:tcBorders>
            <w:noWrap/>
            <w:vAlign w:val="center"/>
            <w:hideMark/>
          </w:tcPr>
          <w:p w14:paraId="4CCEE70B" w14:textId="77777777" w:rsidR="00DC3F94" w:rsidRPr="00DC3F94" w:rsidRDefault="00DC3F94" w:rsidP="00DC3F94">
            <w:pPr>
              <w:spacing w:after="0" w:line="240" w:lineRule="auto"/>
              <w:rPr>
                <w:rFonts w:eastAsia="Times New Roman" w:cs="Times New Roman"/>
                <w:color w:val="000000"/>
                <w:kern w:val="0"/>
                <w:sz w:val="20"/>
                <w:szCs w:val="20"/>
                <w14:ligatures w14:val="none"/>
              </w:rPr>
            </w:pPr>
          </w:p>
        </w:tc>
        <w:tc>
          <w:tcPr>
            <w:tcW w:w="3060" w:type="dxa"/>
            <w:tcBorders>
              <w:top w:val="nil"/>
              <w:bottom w:val="single" w:sz="4" w:space="0" w:color="auto"/>
              <w:right w:val="single" w:sz="18" w:space="0" w:color="auto"/>
            </w:tcBorders>
            <w:noWrap/>
            <w:vAlign w:val="center"/>
            <w:hideMark/>
          </w:tcPr>
          <w:p w14:paraId="388262AB" w14:textId="77777777" w:rsidR="00DC3F94" w:rsidRPr="00DC3F94" w:rsidRDefault="00DC3F94" w:rsidP="00DC3F94">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Not Shared</w:t>
            </w:r>
          </w:p>
        </w:tc>
        <w:tc>
          <w:tcPr>
            <w:tcW w:w="868" w:type="dxa"/>
            <w:tcBorders>
              <w:top w:val="nil"/>
              <w:bottom w:val="single" w:sz="4" w:space="0" w:color="auto"/>
            </w:tcBorders>
          </w:tcPr>
          <w:p w14:paraId="7D101382"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0.818</w:t>
            </w:r>
          </w:p>
        </w:tc>
        <w:tc>
          <w:tcPr>
            <w:tcW w:w="801" w:type="dxa"/>
            <w:tcBorders>
              <w:top w:val="nil"/>
              <w:bottom w:val="single" w:sz="4" w:space="0" w:color="auto"/>
            </w:tcBorders>
            <w:noWrap/>
          </w:tcPr>
          <w:p w14:paraId="6CC956D0"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1217.4</w:t>
            </w:r>
          </w:p>
        </w:tc>
        <w:tc>
          <w:tcPr>
            <w:tcW w:w="1051" w:type="dxa"/>
            <w:tcBorders>
              <w:top w:val="nil"/>
              <w:bottom w:val="single" w:sz="4" w:space="0" w:color="auto"/>
              <w:right w:val="single" w:sz="18" w:space="0" w:color="auto"/>
            </w:tcBorders>
            <w:noWrap/>
            <w:hideMark/>
          </w:tcPr>
          <w:p w14:paraId="03145BAF"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995.8</w:t>
            </w:r>
          </w:p>
        </w:tc>
        <w:tc>
          <w:tcPr>
            <w:tcW w:w="1402" w:type="dxa"/>
            <w:tcBorders>
              <w:top w:val="nil"/>
              <w:left w:val="single" w:sz="18" w:space="0" w:color="auto"/>
              <w:bottom w:val="single" w:sz="4" w:space="0" w:color="auto"/>
            </w:tcBorders>
          </w:tcPr>
          <w:p w14:paraId="1C29A946" w14:textId="22F0719F"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923.3</w:t>
            </w:r>
          </w:p>
        </w:tc>
      </w:tr>
      <w:tr w:rsidR="00DC3F94" w:rsidRPr="00DC3F94" w14:paraId="7BBA1F31" w14:textId="012BE88F" w:rsidTr="00494E95">
        <w:trPr>
          <w:trHeight w:val="144"/>
        </w:trPr>
        <w:tc>
          <w:tcPr>
            <w:tcW w:w="2137" w:type="dxa"/>
            <w:vMerge w:val="restart"/>
            <w:tcBorders>
              <w:top w:val="single" w:sz="4" w:space="0" w:color="auto"/>
            </w:tcBorders>
            <w:noWrap/>
            <w:vAlign w:val="center"/>
            <w:hideMark/>
          </w:tcPr>
          <w:p w14:paraId="147A6832" w14:textId="77777777" w:rsidR="00DC3F94" w:rsidRPr="00DC3F94" w:rsidRDefault="00DC3F94" w:rsidP="00DC3F94">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Frequency</w:t>
            </w:r>
          </w:p>
        </w:tc>
        <w:tc>
          <w:tcPr>
            <w:tcW w:w="3060" w:type="dxa"/>
            <w:tcBorders>
              <w:top w:val="single" w:sz="4" w:space="0" w:color="auto"/>
              <w:bottom w:val="nil"/>
              <w:right w:val="single" w:sz="18" w:space="0" w:color="auto"/>
            </w:tcBorders>
            <w:noWrap/>
            <w:vAlign w:val="center"/>
            <w:hideMark/>
          </w:tcPr>
          <w:p w14:paraId="36FC0734" w14:textId="77777777" w:rsidR="00DC3F94" w:rsidRPr="00DC3F94" w:rsidRDefault="00DC3F94" w:rsidP="00DC3F94">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1 day per week</w:t>
            </w:r>
          </w:p>
        </w:tc>
        <w:tc>
          <w:tcPr>
            <w:tcW w:w="868" w:type="dxa"/>
            <w:tcBorders>
              <w:top w:val="single" w:sz="4" w:space="0" w:color="auto"/>
              <w:bottom w:val="nil"/>
            </w:tcBorders>
          </w:tcPr>
          <w:p w14:paraId="7DAD22D7"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0.912</w:t>
            </w:r>
          </w:p>
        </w:tc>
        <w:tc>
          <w:tcPr>
            <w:tcW w:w="801" w:type="dxa"/>
            <w:tcBorders>
              <w:top w:val="single" w:sz="4" w:space="0" w:color="auto"/>
              <w:bottom w:val="nil"/>
            </w:tcBorders>
            <w:noWrap/>
          </w:tcPr>
          <w:p w14:paraId="761E80D9"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1310.6</w:t>
            </w:r>
          </w:p>
        </w:tc>
        <w:tc>
          <w:tcPr>
            <w:tcW w:w="1051" w:type="dxa"/>
            <w:tcBorders>
              <w:top w:val="single" w:sz="4" w:space="0" w:color="auto"/>
              <w:bottom w:val="nil"/>
              <w:right w:val="single" w:sz="18" w:space="0" w:color="auto"/>
            </w:tcBorders>
            <w:noWrap/>
            <w:hideMark/>
          </w:tcPr>
          <w:p w14:paraId="0B41F0A8"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1195.3</w:t>
            </w:r>
          </w:p>
        </w:tc>
        <w:tc>
          <w:tcPr>
            <w:tcW w:w="1402" w:type="dxa"/>
            <w:tcBorders>
              <w:top w:val="single" w:sz="4" w:space="0" w:color="auto"/>
              <w:left w:val="single" w:sz="18" w:space="0" w:color="auto"/>
              <w:bottom w:val="nil"/>
            </w:tcBorders>
          </w:tcPr>
          <w:p w14:paraId="0C856861" w14:textId="264FA62D"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1071.1</w:t>
            </w:r>
          </w:p>
        </w:tc>
      </w:tr>
      <w:tr w:rsidR="00DC3F94" w:rsidRPr="00DC3F94" w14:paraId="631711F3" w14:textId="23894C27" w:rsidTr="00494E95">
        <w:trPr>
          <w:trHeight w:val="144"/>
        </w:trPr>
        <w:tc>
          <w:tcPr>
            <w:tcW w:w="2137" w:type="dxa"/>
            <w:vMerge/>
            <w:tcBorders>
              <w:bottom w:val="single" w:sz="18" w:space="0" w:color="auto"/>
            </w:tcBorders>
            <w:noWrap/>
            <w:vAlign w:val="center"/>
            <w:hideMark/>
          </w:tcPr>
          <w:p w14:paraId="2E4B838D" w14:textId="77777777" w:rsidR="00DC3F94" w:rsidRPr="00DC3F94" w:rsidRDefault="00DC3F94" w:rsidP="00DC3F94">
            <w:pPr>
              <w:spacing w:after="0" w:line="240" w:lineRule="auto"/>
              <w:rPr>
                <w:rFonts w:eastAsia="Times New Roman" w:cs="Times New Roman"/>
                <w:color w:val="000000"/>
                <w:kern w:val="0"/>
                <w:sz w:val="20"/>
                <w:szCs w:val="20"/>
                <w14:ligatures w14:val="none"/>
              </w:rPr>
            </w:pPr>
          </w:p>
        </w:tc>
        <w:tc>
          <w:tcPr>
            <w:tcW w:w="3060" w:type="dxa"/>
            <w:tcBorders>
              <w:top w:val="nil"/>
              <w:bottom w:val="single" w:sz="18" w:space="0" w:color="auto"/>
              <w:right w:val="single" w:sz="18" w:space="0" w:color="auto"/>
            </w:tcBorders>
            <w:noWrap/>
            <w:vAlign w:val="center"/>
            <w:hideMark/>
          </w:tcPr>
          <w:p w14:paraId="22028FAB" w14:textId="77777777" w:rsidR="00DC3F94" w:rsidRPr="00DC3F94" w:rsidRDefault="00DC3F94" w:rsidP="00DC3F94">
            <w:pPr>
              <w:spacing w:after="0" w:line="240" w:lineRule="auto"/>
              <w:rPr>
                <w:rFonts w:eastAsia="Times New Roman" w:cs="Times New Roman"/>
                <w:color w:val="000000"/>
                <w:kern w:val="0"/>
                <w:sz w:val="20"/>
                <w:szCs w:val="20"/>
                <w14:ligatures w14:val="none"/>
              </w:rPr>
            </w:pPr>
            <w:r w:rsidRPr="00DC3F94">
              <w:rPr>
                <w:rFonts w:eastAsia="Times New Roman" w:cs="Times New Roman"/>
                <w:color w:val="000000"/>
                <w:kern w:val="0"/>
                <w:sz w:val="20"/>
                <w:szCs w:val="20"/>
                <w14:ligatures w14:val="none"/>
              </w:rPr>
              <w:t>5+ days per week</w:t>
            </w:r>
          </w:p>
        </w:tc>
        <w:tc>
          <w:tcPr>
            <w:tcW w:w="868" w:type="dxa"/>
            <w:tcBorders>
              <w:top w:val="nil"/>
              <w:bottom w:val="single" w:sz="18" w:space="0" w:color="auto"/>
            </w:tcBorders>
          </w:tcPr>
          <w:p w14:paraId="574E459F" w14:textId="77777777" w:rsidR="00DC3F94" w:rsidRPr="00DC3F94" w:rsidRDefault="00DC3F94" w:rsidP="00DC3F94">
            <w:pPr>
              <w:tabs>
                <w:tab w:val="decimal" w:pos="66"/>
              </w:tabs>
              <w:spacing w:after="0" w:line="240" w:lineRule="auto"/>
              <w:jc w:val="center"/>
              <w:rPr>
                <w:rFonts w:cs="Times New Roman"/>
                <w:sz w:val="20"/>
                <w:szCs w:val="20"/>
              </w:rPr>
            </w:pPr>
            <w:r w:rsidRPr="00DC3F94">
              <w:rPr>
                <w:rFonts w:cs="Times New Roman"/>
                <w:sz w:val="20"/>
                <w:szCs w:val="20"/>
              </w:rPr>
              <w:t>0.803</w:t>
            </w:r>
          </w:p>
        </w:tc>
        <w:tc>
          <w:tcPr>
            <w:tcW w:w="801" w:type="dxa"/>
            <w:tcBorders>
              <w:top w:val="nil"/>
              <w:bottom w:val="single" w:sz="18" w:space="0" w:color="auto"/>
            </w:tcBorders>
            <w:noWrap/>
          </w:tcPr>
          <w:p w14:paraId="70D1CEEF" w14:textId="77777777" w:rsidR="00DC3F94" w:rsidRPr="00DC3F94" w:rsidRDefault="00DC3F94" w:rsidP="00DC3F94">
            <w:pPr>
              <w:tabs>
                <w:tab w:val="decimal" w:pos="435"/>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979.6</w:t>
            </w:r>
          </w:p>
        </w:tc>
        <w:tc>
          <w:tcPr>
            <w:tcW w:w="1051" w:type="dxa"/>
            <w:tcBorders>
              <w:top w:val="nil"/>
              <w:bottom w:val="single" w:sz="18" w:space="0" w:color="auto"/>
              <w:right w:val="single" w:sz="18" w:space="0" w:color="auto"/>
            </w:tcBorders>
            <w:noWrap/>
            <w:hideMark/>
          </w:tcPr>
          <w:p w14:paraId="3BFC8F6D" w14:textId="77777777" w:rsidR="00DC3F94" w:rsidRPr="00DC3F94" w:rsidRDefault="00DC3F94" w:rsidP="00DC3F94">
            <w:pPr>
              <w:tabs>
                <w:tab w:val="decimal" w:pos="451"/>
              </w:tabs>
              <w:spacing w:after="0" w:line="240" w:lineRule="auto"/>
              <w:jc w:val="center"/>
              <w:rPr>
                <w:rFonts w:eastAsia="Times New Roman" w:cs="Times New Roman"/>
                <w:color w:val="000000"/>
                <w:kern w:val="0"/>
                <w:sz w:val="20"/>
                <w:szCs w:val="20"/>
                <w14:ligatures w14:val="none"/>
              </w:rPr>
            </w:pPr>
            <w:r w:rsidRPr="00DC3F94">
              <w:rPr>
                <w:rFonts w:cs="Times New Roman"/>
                <w:sz w:val="20"/>
                <w:szCs w:val="20"/>
              </w:rPr>
              <w:t>786.6</w:t>
            </w:r>
          </w:p>
        </w:tc>
        <w:tc>
          <w:tcPr>
            <w:tcW w:w="1402" w:type="dxa"/>
            <w:tcBorders>
              <w:top w:val="nil"/>
              <w:left w:val="single" w:sz="18" w:space="0" w:color="auto"/>
              <w:bottom w:val="single" w:sz="18" w:space="0" w:color="auto"/>
            </w:tcBorders>
          </w:tcPr>
          <w:p w14:paraId="653B429E" w14:textId="13EB275B" w:rsidR="00DC3F94" w:rsidRPr="00DC3F94" w:rsidRDefault="00DC3F94" w:rsidP="00DC3F94">
            <w:pPr>
              <w:tabs>
                <w:tab w:val="decimal" w:pos="451"/>
              </w:tabs>
              <w:spacing w:after="0" w:line="240" w:lineRule="auto"/>
              <w:jc w:val="center"/>
              <w:rPr>
                <w:rFonts w:cs="Times New Roman"/>
                <w:sz w:val="20"/>
                <w:szCs w:val="20"/>
              </w:rPr>
            </w:pPr>
            <w:r w:rsidRPr="00EC71A1">
              <w:rPr>
                <w:rFonts w:cs="Times New Roman"/>
                <w:sz w:val="20"/>
                <w:szCs w:val="20"/>
              </w:rPr>
              <w:t>812.1</w:t>
            </w:r>
          </w:p>
        </w:tc>
      </w:tr>
    </w:tbl>
    <w:p w14:paraId="1C62C8C4" w14:textId="30F8C539" w:rsidR="00027FE5" w:rsidRPr="004811C9" w:rsidRDefault="00027FE5">
      <w:pPr>
        <w:rPr>
          <w:rFonts w:cs="Times New Roman"/>
          <w:b/>
          <w:bCs/>
        </w:rPr>
        <w:sectPr w:rsidR="00027FE5" w:rsidRPr="004811C9" w:rsidSect="00DD61AB">
          <w:pgSz w:w="12240" w:h="15840"/>
          <w:pgMar w:top="1152" w:right="1440" w:bottom="1152" w:left="1440" w:header="720" w:footer="720" w:gutter="0"/>
          <w:cols w:space="720"/>
          <w:docGrid w:linePitch="360"/>
        </w:sectPr>
      </w:pPr>
    </w:p>
    <w:p w14:paraId="5869126F" w14:textId="77777777" w:rsidR="00F87047" w:rsidRPr="004811C9" w:rsidRDefault="00F87047" w:rsidP="009227CD">
      <w:pPr>
        <w:spacing w:after="0" w:line="240" w:lineRule="auto"/>
        <w:rPr>
          <w:rFonts w:cs="Times New Roman"/>
          <w:b/>
          <w:bCs/>
        </w:rPr>
      </w:pPr>
    </w:p>
    <w:p w14:paraId="41A0D7EB" w14:textId="023080E7" w:rsidR="00F87047" w:rsidRPr="004811C9" w:rsidRDefault="00D05875" w:rsidP="009227CD">
      <w:pPr>
        <w:spacing w:after="0" w:line="240" w:lineRule="auto"/>
        <w:rPr>
          <w:rFonts w:cs="Times New Roman"/>
          <w:b/>
          <w:bCs/>
        </w:rPr>
      </w:pPr>
      <w:r>
        <w:rPr>
          <w:rFonts w:cs="Times New Roman"/>
          <w:b/>
          <w:bCs/>
          <w:noProof/>
        </w:rPr>
        <w:drawing>
          <wp:inline distT="0" distB="0" distL="0" distR="0" wp14:anchorId="3FA64FE2" wp14:editId="52566BE2">
            <wp:extent cx="8328025" cy="2960018"/>
            <wp:effectExtent l="0" t="0" r="0" b="0"/>
            <wp:docPr id="1717803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3182" name="Picture 1"/>
                    <pic:cNvPicPr>
                      <a:picLocks noChangeAspect="1" noChangeArrowheads="1"/>
                    </pic:cNvPicPr>
                  </pic:nvPicPr>
                  <pic:blipFill>
                    <a:blip r:embed="rId85">
                      <a:extLst>
                        <a:ext uri="{96DAC541-7B7A-43D3-8B79-37D633B846F1}">
                          <asvg:svgBlip xmlns:asvg="http://schemas.microsoft.com/office/drawing/2016/SVG/main" r:embed="rId86"/>
                        </a:ext>
                      </a:extLst>
                    </a:blip>
                    <a:stretch>
                      <a:fillRect/>
                    </a:stretch>
                  </pic:blipFill>
                  <pic:spPr bwMode="auto">
                    <a:xfrm>
                      <a:off x="0" y="0"/>
                      <a:ext cx="8328025" cy="2960018"/>
                    </a:xfrm>
                    <a:prstGeom prst="rect">
                      <a:avLst/>
                    </a:prstGeom>
                  </pic:spPr>
                </pic:pic>
              </a:graphicData>
            </a:graphic>
          </wp:inline>
        </w:drawing>
      </w:r>
    </w:p>
    <w:p w14:paraId="25696B1E" w14:textId="77777777" w:rsidR="00F87047" w:rsidRPr="004811C9" w:rsidRDefault="00F87047" w:rsidP="009227CD">
      <w:pPr>
        <w:spacing w:after="0" w:line="240" w:lineRule="auto"/>
        <w:rPr>
          <w:rFonts w:cs="Times New Roman"/>
          <w:b/>
          <w:bCs/>
        </w:rPr>
      </w:pPr>
    </w:p>
    <w:p w14:paraId="19A27305" w14:textId="7E8718E6" w:rsidR="002B3977" w:rsidRPr="00273229" w:rsidRDefault="00F87047" w:rsidP="00494E95">
      <w:pPr>
        <w:spacing w:after="0" w:line="240" w:lineRule="auto"/>
        <w:jc w:val="center"/>
        <w:rPr>
          <w:rFonts w:cs="Times New Roman"/>
          <w:b/>
          <w:bCs/>
        </w:rPr>
      </w:pPr>
      <w:r w:rsidRPr="004811C9">
        <w:rPr>
          <w:rFonts w:cs="Times New Roman"/>
          <w:b/>
          <w:bCs/>
        </w:rPr>
        <w:t>Figure 1:</w:t>
      </w:r>
      <w:r w:rsidR="00003F0F" w:rsidRPr="004811C9">
        <w:rPr>
          <w:rFonts w:cs="Times New Roman"/>
          <w:b/>
          <w:bCs/>
        </w:rPr>
        <w:t xml:space="preserve"> Distribution of</w:t>
      </w:r>
      <w:r w:rsidR="005702FF" w:rsidRPr="004811C9">
        <w:rPr>
          <w:rFonts w:cs="Times New Roman"/>
          <w:b/>
          <w:bCs/>
        </w:rPr>
        <w:t xml:space="preserve"> </w:t>
      </w:r>
      <w:r w:rsidR="00421618">
        <w:rPr>
          <w:rFonts w:cs="Times New Roman"/>
          <w:b/>
          <w:bCs/>
        </w:rPr>
        <w:t>Willingness to Pay and</w:t>
      </w:r>
      <w:r w:rsidR="005702FF" w:rsidRPr="004811C9">
        <w:rPr>
          <w:rFonts w:cs="Times New Roman"/>
          <w:b/>
          <w:bCs/>
        </w:rPr>
        <w:t xml:space="preserve"> </w:t>
      </w:r>
      <w:r w:rsidR="00003F0F" w:rsidRPr="004811C9">
        <w:rPr>
          <w:rFonts w:cs="Times New Roman"/>
          <w:b/>
          <w:bCs/>
        </w:rPr>
        <w:t>Values of Travel Time Savings</w:t>
      </w:r>
    </w:p>
    <w:sectPr w:rsidR="002B3977" w:rsidRPr="00273229" w:rsidSect="00D11A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5CC4" w14:textId="77777777" w:rsidR="002A489E" w:rsidRPr="00273229" w:rsidRDefault="002A489E" w:rsidP="00DD61AB">
      <w:pPr>
        <w:spacing w:after="0" w:line="240" w:lineRule="auto"/>
      </w:pPr>
      <w:r w:rsidRPr="00273229">
        <w:separator/>
      </w:r>
    </w:p>
  </w:endnote>
  <w:endnote w:type="continuationSeparator" w:id="0">
    <w:p w14:paraId="638A63DE" w14:textId="77777777" w:rsidR="002A489E" w:rsidRPr="00273229" w:rsidRDefault="002A489E" w:rsidP="00DD61AB">
      <w:pPr>
        <w:spacing w:after="0" w:line="240" w:lineRule="auto"/>
      </w:pPr>
      <w:r w:rsidRPr="00273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317036"/>
      <w:docPartObj>
        <w:docPartGallery w:val="Page Numbers (Bottom of Page)"/>
        <w:docPartUnique/>
      </w:docPartObj>
    </w:sdtPr>
    <w:sdtEndPr>
      <w:rPr>
        <w:rFonts w:cs="Times New Roman"/>
      </w:rPr>
    </w:sdtEndPr>
    <w:sdtContent>
      <w:p w14:paraId="34AB9055" w14:textId="773471A7" w:rsidR="00DD61AB" w:rsidRPr="00273229" w:rsidRDefault="00DD61AB" w:rsidP="00F8453A">
        <w:pPr>
          <w:pStyle w:val="Footer"/>
          <w:jc w:val="center"/>
          <w:rPr>
            <w:rFonts w:cs="Times New Roman"/>
          </w:rPr>
        </w:pPr>
        <w:r w:rsidRPr="00273229">
          <w:rPr>
            <w:rFonts w:cs="Times New Roman"/>
          </w:rPr>
          <w:fldChar w:fldCharType="begin"/>
        </w:r>
        <w:r w:rsidRPr="00273229">
          <w:rPr>
            <w:rFonts w:cs="Times New Roman"/>
          </w:rPr>
          <w:instrText xml:space="preserve"> PAGE   \* MERGEFORMAT </w:instrText>
        </w:r>
        <w:r w:rsidRPr="00273229">
          <w:rPr>
            <w:rFonts w:cs="Times New Roman"/>
          </w:rPr>
          <w:fldChar w:fldCharType="separate"/>
        </w:r>
        <w:r w:rsidRPr="00273229">
          <w:rPr>
            <w:rFonts w:cs="Times New Roman"/>
          </w:rPr>
          <w:t>2</w:t>
        </w:r>
        <w:r w:rsidRPr="00273229">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2421" w14:textId="77777777" w:rsidR="002A489E" w:rsidRPr="00273229" w:rsidRDefault="002A489E" w:rsidP="00DD61AB">
      <w:pPr>
        <w:spacing w:after="0" w:line="240" w:lineRule="auto"/>
      </w:pPr>
      <w:r w:rsidRPr="00273229">
        <w:separator/>
      </w:r>
    </w:p>
  </w:footnote>
  <w:footnote w:type="continuationSeparator" w:id="0">
    <w:p w14:paraId="76750142" w14:textId="77777777" w:rsidR="002A489E" w:rsidRPr="00273229" w:rsidRDefault="002A489E" w:rsidP="00DD61AB">
      <w:pPr>
        <w:spacing w:after="0" w:line="240" w:lineRule="auto"/>
      </w:pPr>
      <w:r w:rsidRPr="00273229">
        <w:continuationSeparator/>
      </w:r>
    </w:p>
  </w:footnote>
  <w:footnote w:id="1">
    <w:p w14:paraId="42DAAA1D" w14:textId="3A3A6714" w:rsidR="00A84ADF" w:rsidRDefault="00A84ADF" w:rsidP="00EC71A1">
      <w:pPr>
        <w:pStyle w:val="FootnoteText"/>
        <w:jc w:val="both"/>
      </w:pPr>
      <w:r w:rsidRPr="003613DA">
        <w:rPr>
          <w:rStyle w:val="FootnoteReference"/>
        </w:rPr>
        <w:footnoteRef/>
      </w:r>
      <w:r w:rsidR="00F8453A">
        <w:rPr>
          <w:rFonts w:eastAsia="Times New Roman" w:cs="Times New Roman"/>
          <w:kern w:val="0"/>
          <w14:ligatures w14:val="none"/>
        </w:rPr>
        <w:t xml:space="preserve"> </w:t>
      </w:r>
      <w:r>
        <w:rPr>
          <w:rFonts w:eastAsia="Times New Roman" w:cs="Times New Roman"/>
          <w:kern w:val="0"/>
          <w14:ligatures w14:val="none"/>
        </w:rPr>
        <w:t xml:space="preserve">Our CV approach </w:t>
      </w:r>
      <w:r w:rsidRPr="003562E7">
        <w:rPr>
          <w:rFonts w:eastAsia="Times New Roman" w:cs="Times New Roman"/>
          <w:kern w:val="0"/>
          <w14:ligatures w14:val="none"/>
        </w:rPr>
        <w:t xml:space="preserve">with a fixed time change and varying cost bids </w:t>
      </w:r>
      <w:r>
        <w:rPr>
          <w:rFonts w:eastAsia="Times New Roman" w:cs="Times New Roman"/>
          <w:kern w:val="0"/>
          <w14:ligatures w14:val="none"/>
        </w:rPr>
        <w:t xml:space="preserve">is a close counterpart to </w:t>
      </w:r>
      <w:r w:rsidRPr="003562E7">
        <w:rPr>
          <w:rFonts w:eastAsia="Times New Roman" w:cs="Times New Roman"/>
          <w:kern w:val="0"/>
          <w14:ligatures w14:val="none"/>
        </w:rPr>
        <w:t>a two-alternative SP design in which the non-monetary attribute is held constant.</w:t>
      </w:r>
      <w:r>
        <w:rPr>
          <w:rFonts w:eastAsia="Times New Roman" w:cs="Times New Roman"/>
          <w:kern w:val="0"/>
          <w14:ligatures w14:val="none"/>
        </w:rPr>
        <w:t xml:space="preserve"> </w:t>
      </w:r>
      <w:r w:rsidRPr="003562E7">
        <w:rPr>
          <w:rFonts w:eastAsia="Times New Roman" w:cs="Times New Roman"/>
          <w:kern w:val="0"/>
          <w14:ligatures w14:val="none"/>
        </w:rPr>
        <w:t xml:space="preserve">The key distinction </w:t>
      </w:r>
      <w:r>
        <w:rPr>
          <w:rFonts w:eastAsia="Times New Roman" w:cs="Times New Roman"/>
          <w:kern w:val="0"/>
          <w14:ligatures w14:val="none"/>
        </w:rPr>
        <w:t xml:space="preserve">we see is that </w:t>
      </w:r>
      <w:r w:rsidRPr="003562E7">
        <w:rPr>
          <w:rFonts w:eastAsia="Times New Roman" w:cs="Times New Roman"/>
          <w:kern w:val="0"/>
          <w14:ligatures w14:val="none"/>
        </w:rPr>
        <w:t xml:space="preserve">CV typically fixes the improvement and directly elicits the willingness to pay for that specific change, emphasizing welfare measurement. In contrast, </w:t>
      </w:r>
      <w:r>
        <w:rPr>
          <w:rFonts w:eastAsia="Times New Roman" w:cs="Times New Roman"/>
          <w:kern w:val="0"/>
          <w14:ligatures w14:val="none"/>
        </w:rPr>
        <w:t xml:space="preserve">a simple </w:t>
      </w:r>
      <w:r w:rsidRPr="003562E7">
        <w:rPr>
          <w:rFonts w:eastAsia="Times New Roman" w:cs="Times New Roman"/>
          <w:kern w:val="0"/>
          <w14:ligatures w14:val="none"/>
        </w:rPr>
        <w:t xml:space="preserve">SP experiment </w:t>
      </w:r>
      <w:r>
        <w:rPr>
          <w:rFonts w:eastAsia="Times New Roman" w:cs="Times New Roman"/>
          <w:kern w:val="0"/>
          <w14:ligatures w14:val="none"/>
        </w:rPr>
        <w:t xml:space="preserve">trading off time and money </w:t>
      </w:r>
      <w:r w:rsidRPr="003562E7">
        <w:rPr>
          <w:rFonts w:eastAsia="Times New Roman" w:cs="Times New Roman"/>
          <w:kern w:val="0"/>
          <w14:ligatures w14:val="none"/>
        </w:rPr>
        <w:t>allow</w:t>
      </w:r>
      <w:r>
        <w:rPr>
          <w:rFonts w:eastAsia="Times New Roman" w:cs="Times New Roman"/>
          <w:kern w:val="0"/>
          <w14:ligatures w14:val="none"/>
        </w:rPr>
        <w:t>s</w:t>
      </w:r>
      <w:r w:rsidRPr="003562E7">
        <w:rPr>
          <w:rFonts w:eastAsia="Times New Roman" w:cs="Times New Roman"/>
          <w:kern w:val="0"/>
          <w14:ligatures w14:val="none"/>
        </w:rPr>
        <w:t xml:space="preserve"> both attributes to vary across repeated choice tasks and estimate</w:t>
      </w:r>
      <w:r>
        <w:rPr>
          <w:rFonts w:eastAsia="Times New Roman" w:cs="Times New Roman"/>
          <w:kern w:val="0"/>
          <w14:ligatures w14:val="none"/>
        </w:rPr>
        <w:t>s</w:t>
      </w:r>
      <w:r w:rsidRPr="003562E7">
        <w:rPr>
          <w:rFonts w:eastAsia="Times New Roman" w:cs="Times New Roman"/>
          <w:kern w:val="0"/>
          <w14:ligatures w14:val="none"/>
        </w:rPr>
        <w:t xml:space="preserve"> VTTS indirectly from observed trade-offs, emphasizing structural preference recovery.</w:t>
      </w:r>
      <w:r>
        <w:rPr>
          <w:rFonts w:eastAsia="Times New Roman" w:cs="Times New Roman"/>
          <w:kern w:val="0"/>
          <w14:ligatures w14:val="none"/>
        </w:rPr>
        <w:t xml:space="preserve"> </w:t>
      </w:r>
      <w:r w:rsidRPr="003562E7">
        <w:rPr>
          <w:rFonts w:eastAsia="Times New Roman" w:cs="Times New Roman"/>
          <w:kern w:val="0"/>
          <w14:ligatures w14:val="none"/>
        </w:rPr>
        <w:t xml:space="preserve">For this reason, CV and simplified binary SP </w:t>
      </w:r>
      <w:r>
        <w:rPr>
          <w:rFonts w:eastAsia="Times New Roman" w:cs="Times New Roman"/>
          <w:kern w:val="0"/>
          <w14:ligatures w14:val="none"/>
        </w:rPr>
        <w:t xml:space="preserve">are </w:t>
      </w:r>
      <w:r w:rsidRPr="003562E7">
        <w:rPr>
          <w:rFonts w:eastAsia="Times New Roman" w:cs="Times New Roman"/>
          <w:kern w:val="0"/>
          <w14:ligatures w14:val="none"/>
        </w:rPr>
        <w:t xml:space="preserve">closely related instruments. </w:t>
      </w:r>
      <w:r>
        <w:rPr>
          <w:rFonts w:eastAsia="Times New Roman" w:cs="Times New Roman"/>
          <w:kern w:val="0"/>
          <w14:ligatures w14:val="none"/>
        </w:rPr>
        <w:t>In the current research, we employ a CV approach because our goal is to estimate a direct welfare measure for a defined improvement, rather than to estimate a broader behavioral model.</w:t>
      </w:r>
    </w:p>
  </w:footnote>
  <w:footnote w:id="2">
    <w:p w14:paraId="003306CB" w14:textId="6D913C62" w:rsidR="0014140B" w:rsidRPr="00E46615" w:rsidRDefault="0014140B" w:rsidP="00F8453A">
      <w:pPr>
        <w:pStyle w:val="FootnoteText"/>
        <w:spacing w:after="60"/>
        <w:jc w:val="both"/>
        <w:rPr>
          <w:rFonts w:cs="Times New Roman"/>
        </w:rPr>
      </w:pPr>
      <w:r w:rsidRPr="003613DA">
        <w:rPr>
          <w:rStyle w:val="FootnoteReference"/>
        </w:rPr>
        <w:footnoteRef/>
      </w:r>
      <w:r w:rsidR="00F8453A">
        <w:rPr>
          <w:rFonts w:cs="Times New Roman"/>
        </w:rPr>
        <w:t xml:space="preserve"> </w:t>
      </w:r>
      <w:r w:rsidR="00A85E13" w:rsidRPr="00A85E13">
        <w:rPr>
          <w:rFonts w:cs="Times New Roman"/>
        </w:rPr>
        <w:t xml:space="preserve">At the time of data collection, 50 rupees corresponded approximately to the cost of a vada pav (a popular street food in Mumbai) or the cost of a one-day second class local train pass. The median </w:t>
      </w:r>
      <w:r w:rsidR="00A85E13" w:rsidRPr="00EC71A1">
        <w:rPr>
          <w:rFonts w:cs="Times New Roman"/>
          <w:i/>
          <w:iCs/>
        </w:rPr>
        <w:t>cVTTS</w:t>
      </w:r>
      <w:r w:rsidR="00A85E13" w:rsidRPr="00A85E13">
        <w:rPr>
          <w:rFonts w:cs="Times New Roman"/>
        </w:rPr>
        <w:t xml:space="preserve"> in the sample of approximately 600 rupees per hour corresponds roughly to the cost of two cups of coffee at a café in Mumbai.</w:t>
      </w:r>
      <w:r w:rsidR="00E46615">
        <w:rPr>
          <w:rFonts w:cs="Times New Roman"/>
        </w:rPr>
        <w:t xml:space="preserve"> Also, expressing this median </w:t>
      </w:r>
      <w:r w:rsidR="00E46615">
        <w:rPr>
          <w:rFonts w:cs="Times New Roman"/>
          <w:i/>
          <w:iCs/>
        </w:rPr>
        <w:t>cVTTS</w:t>
      </w:r>
      <w:r w:rsidR="00E46615">
        <w:rPr>
          <w:rFonts w:cs="Times New Roman"/>
        </w:rPr>
        <w:t xml:space="preserve"> as a proportion of the wage rate yields approximately 1.29 (using a wage rate of 463.89 rupees per hour; see </w:t>
      </w:r>
      <w:r w:rsidR="00E46615">
        <w:rPr>
          <w:rFonts w:cs="Times New Roman"/>
        </w:rPr>
        <w:fldChar w:fldCharType="begin"/>
      </w:r>
      <w:r w:rsidR="00E46615">
        <w:rPr>
          <w:rFonts w:cs="Times New Roman"/>
        </w:rPr>
        <w:instrText xml:space="preserve"> ADDIN ZOTERO_ITEM CSL_CITATION {"citationID":"l4kSeCMd","properties":{"unsorted":false,"formattedCitation":"(Economic Research Institute, 2025)","plainCitation":"(Economic Research Institute, 2025)","noteIndex":2},"citationItems":[{"id":6556,"uris":["http://zotero.org/users/12832277/items/IIH2YPZ7"],"itemData":{"id":6556,"type":"webpage","abstract":"The average salary for jobs in Mumbai, India is ₹9,64,892 (INR) per year or an hourly rate of ₹464 (INR).","container-title":"ERI SalaryExpert Global Salary Calculator","language":"en","title":"Average Salary in Mumbai, India","URL":"https://www.salaryexpert.com/salary/area/india/mumbai","author":[{"family":"Economic Research Institute","given":""}],"accessed":{"date-parts":[["2026",3,3]]},"issued":{"date-parts":[["2025"]]}}}],"schema":"https://github.com/citation-style-language/schema/raw/master/csl-citation.json"} </w:instrText>
      </w:r>
      <w:r w:rsidR="00E46615">
        <w:rPr>
          <w:rFonts w:cs="Times New Roman"/>
        </w:rPr>
        <w:fldChar w:fldCharType="separate"/>
      </w:r>
      <w:r w:rsidR="00E46615" w:rsidRPr="00E46615">
        <w:rPr>
          <w:rFonts w:cs="Times New Roman"/>
        </w:rPr>
        <w:t>Economic Research Institute, 2025)</w:t>
      </w:r>
      <w:r w:rsidR="00E46615">
        <w:rPr>
          <w:rFonts w:cs="Times New Roman"/>
        </w:rPr>
        <w:fldChar w:fldCharType="end"/>
      </w:r>
      <w:r w:rsidR="00E46615">
        <w:rPr>
          <w:rFonts w:cs="Times New Roman"/>
        </w:rPr>
        <w:t xml:space="preserve">, a comparable estimate to those of Wardman et al. </w:t>
      </w:r>
      <w:r w:rsidR="00E46615">
        <w:rPr>
          <w:rFonts w:cs="Times New Roman"/>
        </w:rPr>
        <w:fldChar w:fldCharType="begin"/>
      </w:r>
      <w:r w:rsidR="00E46615">
        <w:rPr>
          <w:rFonts w:cs="Times New Roman"/>
        </w:rPr>
        <w:instrText xml:space="preserve"> ADDIN ZOTERO_ITEM CSL_CITATION {"citationID":"yH0hlKkG","properties":{"unsorted":false,"formattedCitation":"(2023)","plainCitation":"(2023)","noteIndex":2},"citationItems":[{"id":4885,"uris":["http://zotero.org/users/12832277/items/89MHENGL"],"itemData":{"id":4885,"type":"article-journal","container-title":"World Bank, Washington, DC","source":"Google Scholar","title":"Meta-analysis of the Value of Travel Time Savings in Low-and Middle-Income Countries","URL":"https://documents1.worldbank.org/curated/en/099032124211022462/pdf/P1775471cf971e0ee1becd1a1faab55d1d7.pdf","author":[{"family":"Wardman","given":"Mark"},{"family":"Neki","given":"Kazuyuki"},{"family":"Humphreys","given":"Richard Martin"}],"accessed":{"date-parts":[["2025",7,17]]},"issued":{"date-parts":[["2023"]]}},"suppress-author":true}],"schema":"https://github.com/citation-style-language/schema/raw/master/csl-citation.json"} </w:instrText>
      </w:r>
      <w:r w:rsidR="00E46615">
        <w:rPr>
          <w:rFonts w:cs="Times New Roman"/>
        </w:rPr>
        <w:fldChar w:fldCharType="separate"/>
      </w:r>
      <w:r w:rsidR="00E46615" w:rsidRPr="00E46615">
        <w:rPr>
          <w:rFonts w:cs="Times New Roman"/>
        </w:rPr>
        <w:t>(2023)</w:t>
      </w:r>
      <w:r w:rsidR="00E46615">
        <w:rPr>
          <w:rFonts w:cs="Times New Roman"/>
        </w:rPr>
        <w:fldChar w:fldCharType="end"/>
      </w:r>
      <w:r w:rsidR="00E46615">
        <w:rPr>
          <w:rFonts w:cs="Times New Roman"/>
        </w:rPr>
        <w:t xml:space="preserve"> for the value of travel time savings under congested conditions. </w:t>
      </w:r>
    </w:p>
  </w:footnote>
  <w:footnote w:id="3">
    <w:p w14:paraId="048D51B5" w14:textId="77C67ECC" w:rsidR="002C635F" w:rsidRPr="002E531A" w:rsidRDefault="002C635F" w:rsidP="006C4B31">
      <w:pPr>
        <w:pStyle w:val="FootnoteText"/>
        <w:jc w:val="both"/>
        <w:rPr>
          <w:rFonts w:cs="Times New Roman"/>
        </w:rPr>
      </w:pPr>
      <w:r w:rsidRPr="003613DA">
        <w:rPr>
          <w:rStyle w:val="FootnoteReference"/>
        </w:rPr>
        <w:footnoteRef/>
      </w:r>
      <w:r w:rsidR="00F8453A">
        <w:t xml:space="preserve"> </w:t>
      </w:r>
      <w:r w:rsidR="00B4277A" w:rsidRPr="00B4277A">
        <w:t xml:space="preserve">Notably, it is possible that some individuals who are unwilling to pay at least 50 rupees for travel time savings may still be willing to pay some positive amount, but less than the 50-rupee starting point. However, due to the low initial bid of 50 rupees (particularly for those with relatively long travel time savings), we refer to these individuals who are not willing to pay at least 50 rupees as being “unwilling to pay for travel time savings.” We recognize the limitation in potentially capturing some individuals with very low VTTS in this category and recommend that future studies specifically query such respondents about (1) their willingness to pay at even lower amounts and (2) their specific motivations for being unwilling to pay or reporting an unwillingness to pay (such as strategic non‑payment attitudes, skepticism about the effectiveness of pricing schemes, and a general reluctance to engage with hypothetical payments). But, in practical planning and pricing applications, whether these individuals have a true zero valuation or an effectively zero valuation due to resistance to paying or other reasons is less consequential than the fact that they are likely not to use priced facilities. So, while the potential for hypothetical bias does remain, as with any SP exercise, our approach of separating the binary WTP from the continuous </w:t>
      </w:r>
      <w:r w:rsidR="00B4277A" w:rsidRPr="00EC71A1">
        <w:rPr>
          <w:i/>
          <w:iCs/>
        </w:rPr>
        <w:t>cVTTS</w:t>
      </w:r>
      <w:r w:rsidR="00B4277A" w:rsidRPr="00B4277A">
        <w:t xml:space="preserve"> (along with the already mentioned strategies of using a modest starting bid and grounding the choice in real-world scenarios) helps minimize the risks of such biases.</w:t>
      </w:r>
      <w:r w:rsidR="00464DD9">
        <w:rPr>
          <w:rFonts w:cs="Times New Roman"/>
        </w:rPr>
        <w:t xml:space="preserve"> </w:t>
      </w:r>
    </w:p>
  </w:footnote>
  <w:footnote w:id="4">
    <w:p w14:paraId="4990EB7D" w14:textId="14FB5A6A" w:rsidR="00842531" w:rsidRPr="00273229" w:rsidRDefault="00842531" w:rsidP="00F8453A">
      <w:pPr>
        <w:pStyle w:val="FootnoteText"/>
        <w:spacing w:after="60"/>
        <w:jc w:val="both"/>
        <w:rPr>
          <w:rFonts w:cs="Times New Roman"/>
        </w:rPr>
      </w:pPr>
      <w:r w:rsidRPr="00F16FEB">
        <w:rPr>
          <w:rStyle w:val="FootnoteReference"/>
        </w:rPr>
        <w:footnoteRef/>
      </w:r>
      <w:r w:rsidR="00F8453A">
        <w:rPr>
          <w:rFonts w:cs="Times New Roman"/>
        </w:rPr>
        <w:t xml:space="preserve"> </w:t>
      </w:r>
      <w:r w:rsidR="00F4773F" w:rsidRPr="00273229">
        <w:rPr>
          <w:rFonts w:cs="Times New Roman"/>
        </w:rPr>
        <w:t xml:space="preserve">In Table 1, </w:t>
      </w:r>
      <w:r w:rsidR="004845A6" w:rsidRPr="00273229">
        <w:rPr>
          <w:rFonts w:cs="Times New Roman"/>
        </w:rPr>
        <w:t xml:space="preserve">residential </w:t>
      </w:r>
      <w:r w:rsidR="00F4773F" w:rsidRPr="00273229">
        <w:rPr>
          <w:rFonts w:cs="Times New Roman"/>
        </w:rPr>
        <w:t xml:space="preserve">population density, categorized as low, medium, and high, </w:t>
      </w:r>
      <w:r w:rsidR="004845A6" w:rsidRPr="00273229">
        <w:rPr>
          <w:rFonts w:cs="Times New Roman"/>
        </w:rPr>
        <w:t xml:space="preserve">was constructed as follows. </w:t>
      </w:r>
      <w:r w:rsidR="0007449C" w:rsidRPr="00273229">
        <w:rPr>
          <w:rFonts w:cs="Times New Roman"/>
        </w:rPr>
        <w:t>Respondents were asked to provide their home address</w:t>
      </w:r>
      <w:r w:rsidR="00AF40D6" w:rsidRPr="00273229">
        <w:rPr>
          <w:rFonts w:cs="Times New Roman"/>
        </w:rPr>
        <w:t xml:space="preserve">, which was used to identify their Ward of residence. Then, the population density of their residential neighborhood was determined at the Ward level and classified into the three levels of (a) less than 21,000 persons per square kilometer (low population density), (b) between 21,000 and 32,999 persons per square kilometer (medium population density), and (c) 33,000 </w:t>
      </w:r>
      <w:r w:rsidR="0060471C" w:rsidRPr="00273229">
        <w:rPr>
          <w:rFonts w:cs="Times New Roman"/>
        </w:rPr>
        <w:t>persons</w:t>
      </w:r>
      <w:r w:rsidR="00AF40D6" w:rsidRPr="00273229">
        <w:rPr>
          <w:rFonts w:cs="Times New Roman"/>
        </w:rPr>
        <w:t xml:space="preserve"> per square kilometer (high population density).</w:t>
      </w:r>
      <w:r w:rsidR="006D5301">
        <w:rPr>
          <w:rFonts w:cs="Times New Roman"/>
        </w:rPr>
        <w:t xml:space="preserve"> This classification </w:t>
      </w:r>
      <w:r w:rsidR="006C31F4">
        <w:rPr>
          <w:rFonts w:cs="Times New Roman"/>
        </w:rPr>
        <w:t xml:space="preserve">was selected to segment </w:t>
      </w:r>
      <w:r w:rsidR="001E79EF">
        <w:rPr>
          <w:rFonts w:cs="Times New Roman"/>
        </w:rPr>
        <w:t>survey respondents (at the household level, and for the entire survey</w:t>
      </w:r>
      <w:r w:rsidR="004D3712">
        <w:rPr>
          <w:rFonts w:cs="Times New Roman"/>
        </w:rPr>
        <w:t xml:space="preserve"> sample</w:t>
      </w:r>
      <w:r w:rsidR="001E79EF">
        <w:rPr>
          <w:rFonts w:cs="Times New Roman"/>
        </w:rPr>
        <w:t xml:space="preserve">, rather than the subset </w:t>
      </w:r>
      <w:r w:rsidR="004D3712">
        <w:rPr>
          <w:rFonts w:cs="Times New Roman"/>
        </w:rPr>
        <w:t xml:space="preserve">of 2,097 individuals </w:t>
      </w:r>
      <w:r w:rsidR="001E79EF">
        <w:rPr>
          <w:rFonts w:cs="Times New Roman"/>
        </w:rPr>
        <w:t>considered in the current analysis)</w:t>
      </w:r>
      <w:r w:rsidR="004D3712">
        <w:rPr>
          <w:rFonts w:cs="Times New Roman"/>
        </w:rPr>
        <w:t xml:space="preserve"> into three approximately equal categories based on the population density of their </w:t>
      </w:r>
      <w:r w:rsidR="00C75E88">
        <w:rPr>
          <w:rFonts w:cs="Times New Roman"/>
        </w:rPr>
        <w:t>W</w:t>
      </w:r>
      <w:r w:rsidR="004D3712">
        <w:rPr>
          <w:rFonts w:cs="Times New Roman"/>
        </w:rPr>
        <w:t>ard</w:t>
      </w:r>
      <w:r w:rsidR="00C75E88">
        <w:rPr>
          <w:rFonts w:cs="Times New Roman"/>
        </w:rPr>
        <w:t xml:space="preserve"> of residence</w:t>
      </w:r>
      <w:r w:rsidR="004D3712">
        <w:rPr>
          <w:rFonts w:cs="Times New Roman"/>
        </w:rPr>
        <w:t xml:space="preserve">. </w:t>
      </w:r>
    </w:p>
  </w:footnote>
  <w:footnote w:id="5">
    <w:p w14:paraId="36A72AAB" w14:textId="505AEF4A" w:rsidR="000269FA" w:rsidRDefault="000269FA" w:rsidP="000269FA">
      <w:pPr>
        <w:pStyle w:val="FootnoteText"/>
        <w:jc w:val="both"/>
      </w:pPr>
      <w:r w:rsidRPr="00F16FEB">
        <w:rPr>
          <w:rStyle w:val="FootnoteReference"/>
        </w:rPr>
        <w:footnoteRef/>
      </w:r>
      <w:r w:rsidR="00F8453A">
        <w:rPr>
          <w:rFonts w:cs="Times New Roman"/>
        </w:rPr>
        <w:t xml:space="preserve"> </w:t>
      </w:r>
      <w:r w:rsidRPr="00273229">
        <w:rPr>
          <w:rFonts w:cs="Times New Roman"/>
        </w:rPr>
        <w:t xml:space="preserve">Interestingly, </w:t>
      </w:r>
      <w:r>
        <w:rPr>
          <w:rFonts w:cs="Times New Roman"/>
        </w:rPr>
        <w:t xml:space="preserve">in terms of the time-of-day distribution, </w:t>
      </w:r>
      <w:r w:rsidRPr="00273229">
        <w:rPr>
          <w:rFonts w:cs="Times New Roman"/>
        </w:rPr>
        <w:t xml:space="preserve">the vast majority (75.87%) of trips reported in the survey as being taken the most “frequently/regularly” were undertaken in the morning. Thus, in subsequent sections, we distinguish between trips taken during the morning peak period (before 9:30 am) and other times, but do not consider a separate period for the evening peak. </w:t>
      </w:r>
    </w:p>
  </w:footnote>
  <w:footnote w:id="6">
    <w:p w14:paraId="1688A727" w14:textId="249F5CE5" w:rsidR="001D44C1" w:rsidRPr="00710211" w:rsidRDefault="001D44C1" w:rsidP="006C4B31">
      <w:pPr>
        <w:pStyle w:val="FootnoteText"/>
        <w:jc w:val="both"/>
        <w:rPr>
          <w:rFonts w:cs="Times New Roman"/>
        </w:rPr>
      </w:pPr>
      <w:r w:rsidRPr="003613DA">
        <w:rPr>
          <w:rStyle w:val="FootnoteReference"/>
        </w:rPr>
        <w:footnoteRef/>
      </w:r>
      <w:r w:rsidR="00F8453A">
        <w:rPr>
          <w:rFonts w:cs="Times New Roman"/>
        </w:rPr>
        <w:t xml:space="preserve"> </w:t>
      </w:r>
      <w:r w:rsidRPr="00710211">
        <w:rPr>
          <w:rFonts w:cs="Times New Roman"/>
        </w:rPr>
        <w:t xml:space="preserve">In addition to these two </w:t>
      </w:r>
      <w:r>
        <w:rPr>
          <w:rFonts w:cs="Times New Roman"/>
        </w:rPr>
        <w:t xml:space="preserve">temporal variables, several other time-related variables and functions of the </w:t>
      </w:r>
      <w:r w:rsidR="003D73A8">
        <w:rPr>
          <w:rFonts w:cs="Times New Roman"/>
        </w:rPr>
        <w:t>variables</w:t>
      </w:r>
      <w:r>
        <w:rPr>
          <w:rFonts w:cs="Times New Roman"/>
        </w:rPr>
        <w:t xml:space="preserve"> were tested (including </w:t>
      </w:r>
      <w:r w:rsidR="008B12A2">
        <w:rPr>
          <w:rFonts w:cs="Times New Roman"/>
        </w:rPr>
        <w:t xml:space="preserve">allowing for the amount of time saved to impact the </w:t>
      </w:r>
      <w:r w:rsidR="008B12A2">
        <w:rPr>
          <w:rFonts w:cs="Times New Roman"/>
          <w:i/>
          <w:iCs/>
        </w:rPr>
        <w:t>cVTTS</w:t>
      </w:r>
      <w:r w:rsidR="008B12A2">
        <w:rPr>
          <w:rFonts w:cs="Times New Roman"/>
        </w:rPr>
        <w:t xml:space="preserve"> directly). However, </w:t>
      </w:r>
      <w:r w:rsidR="00D72D87">
        <w:rPr>
          <w:rFonts w:cs="Times New Roman"/>
        </w:rPr>
        <w:t xml:space="preserve">the specification with the best statistical fit is the one presented in Table 2 that accommodates travel time through </w:t>
      </w:r>
      <w:r w:rsidR="009801D7">
        <w:rPr>
          <w:rFonts w:cs="Times New Roman"/>
        </w:rPr>
        <w:t xml:space="preserve">the proportion of the expected travel time that is saved and the proportion of the maximum delay that is expected to be saved. </w:t>
      </w:r>
    </w:p>
  </w:footnote>
  <w:footnote w:id="7">
    <w:p w14:paraId="607D7492" w14:textId="1F991CE6" w:rsidR="00337621" w:rsidRDefault="00337621" w:rsidP="00EC71A1">
      <w:pPr>
        <w:pStyle w:val="FootnoteText"/>
        <w:jc w:val="both"/>
      </w:pPr>
      <w:r w:rsidRPr="003613DA">
        <w:rPr>
          <w:rStyle w:val="FootnoteReference"/>
        </w:rPr>
        <w:footnoteRef/>
      </w:r>
      <w:r w:rsidR="00F8453A">
        <w:t xml:space="preserve"> </w:t>
      </w:r>
      <w:r w:rsidR="00B616F0">
        <w:t xml:space="preserve">The </w:t>
      </w:r>
      <w:r w:rsidR="00ED6207">
        <w:t>post-</w:t>
      </w:r>
      <w:r w:rsidR="00B616F0">
        <w:t xml:space="preserve">estimation VTTS calculations presented in Table 3 were </w:t>
      </w:r>
      <w:r w:rsidR="00ED6207">
        <w:t>undertaken</w:t>
      </w:r>
      <w:r w:rsidR="00B616F0">
        <w:t xml:space="preserve"> using </w:t>
      </w:r>
      <w:r w:rsidR="00ED6207">
        <w:t xml:space="preserve">specialized code written in </w:t>
      </w:r>
      <w:r w:rsidR="00B616F0">
        <w:t xml:space="preserve">the </w:t>
      </w:r>
      <w:r w:rsidR="002F5D06">
        <w:t>GAUSS progra</w:t>
      </w:r>
      <w:r w:rsidR="00ED6207">
        <w:t>m</w:t>
      </w:r>
      <w:r w:rsidR="002F5D06">
        <w:t xml:space="preserve">ming language. </w:t>
      </w:r>
      <w:r w:rsidR="00EC3D21">
        <w:t>However, s</w:t>
      </w:r>
      <w:r w:rsidR="005F73A3">
        <w:t xml:space="preserve">uch estimates may be </w:t>
      </w:r>
      <w:r w:rsidR="00ED6207">
        <w:t>computed</w:t>
      </w:r>
      <w:r w:rsidR="005F73A3">
        <w:t xml:space="preserve"> </w:t>
      </w:r>
      <w:r w:rsidR="00EC3D21">
        <w:t xml:space="preserve">for any additional combinations of individual and trip context variables using </w:t>
      </w:r>
      <w:r w:rsidR="00485DAF">
        <w:t xml:space="preserve">the coefficients provided in Table 2 and </w:t>
      </w:r>
      <w:r w:rsidR="005F73A3">
        <w:t xml:space="preserve">off-the-shelf software </w:t>
      </w:r>
      <w:r w:rsidR="00EC3D21">
        <w:t xml:space="preserve">packages </w:t>
      </w:r>
      <w:r w:rsidR="005F73A3">
        <w:t xml:space="preserve">for </w:t>
      </w:r>
      <w:r w:rsidR="002504CB">
        <w:t xml:space="preserve">Heckman-type </w:t>
      </w:r>
      <w:r w:rsidR="00ED6207">
        <w:t>selection</w:t>
      </w:r>
      <w:r w:rsidR="002504CB">
        <w:t xml:space="preserve"> models</w:t>
      </w:r>
      <w:r w:rsidR="00ED6207">
        <w:t>,</w:t>
      </w:r>
      <w:r w:rsidR="00EC3D21">
        <w:t xml:space="preserve"> such as the </w:t>
      </w:r>
      <w:r w:rsidR="00970DEC" w:rsidRPr="00EC71A1">
        <w:rPr>
          <w:i/>
          <w:iCs/>
        </w:rPr>
        <w:t>ssmodels</w:t>
      </w:r>
      <w:r w:rsidR="00970DEC">
        <w:t xml:space="preserve"> package in R or the </w:t>
      </w:r>
      <w:r w:rsidR="00E45FA5" w:rsidRPr="00EC71A1">
        <w:rPr>
          <w:i/>
          <w:iCs/>
        </w:rPr>
        <w:t>statsmodels</w:t>
      </w:r>
      <w:r w:rsidR="00E45FA5">
        <w:t xml:space="preserve"> package in </w:t>
      </w:r>
      <w:r w:rsidR="00A21D46">
        <w:t>P</w:t>
      </w:r>
      <w:r w:rsidR="00E45FA5">
        <w:t xml:space="preserve">ython. </w:t>
      </w:r>
    </w:p>
  </w:footnote>
  <w:footnote w:id="8">
    <w:p w14:paraId="11474EF7" w14:textId="4FF6560E" w:rsidR="00296D2D" w:rsidRDefault="00296D2D" w:rsidP="00EB13E8">
      <w:pPr>
        <w:pStyle w:val="FootnoteText"/>
        <w:jc w:val="both"/>
      </w:pPr>
      <w:r w:rsidRPr="00F16FEB">
        <w:rPr>
          <w:rStyle w:val="FootnoteReference"/>
        </w:rPr>
        <w:footnoteRef/>
      </w:r>
      <w:r w:rsidR="00F8453A">
        <w:t xml:space="preserve"> </w:t>
      </w:r>
      <w:r w:rsidR="00361E40">
        <w:t>O</w:t>
      </w:r>
      <w:r>
        <w:rPr>
          <w:rFonts w:cs="Times New Roman"/>
        </w:rPr>
        <w:t>f course,</w:t>
      </w:r>
      <w:r w:rsidRPr="004811C9">
        <w:rPr>
          <w:rFonts w:cs="Times New Roman"/>
        </w:rPr>
        <w:t xml:space="preserve"> </w:t>
      </w:r>
      <w:r w:rsidR="00361E40">
        <w:rPr>
          <w:rFonts w:cs="Times New Roman"/>
        </w:rPr>
        <w:t xml:space="preserve">with these types of programs, </w:t>
      </w:r>
      <w:r w:rsidRPr="004811C9">
        <w:rPr>
          <w:rFonts w:cs="Times New Roman"/>
        </w:rPr>
        <w:t>implementation challenges</w:t>
      </w:r>
      <w:r w:rsidR="00361E40">
        <w:rPr>
          <w:rFonts w:cs="Times New Roman"/>
        </w:rPr>
        <w:t xml:space="preserve"> exist by way of </w:t>
      </w:r>
      <w:r w:rsidRPr="004811C9">
        <w:rPr>
          <w:rFonts w:cs="Times New Roman"/>
        </w:rPr>
        <w:t>determining eligibility</w:t>
      </w:r>
      <w:r>
        <w:rPr>
          <w:rFonts w:cs="Times New Roman"/>
        </w:rPr>
        <w:t xml:space="preserve">. One possibility is to </w:t>
      </w:r>
      <w:r w:rsidRPr="004811C9">
        <w:rPr>
          <w:rFonts w:cs="Times New Roman"/>
        </w:rPr>
        <w:t>link</w:t>
      </w:r>
      <w:r>
        <w:rPr>
          <w:rFonts w:cs="Times New Roman"/>
        </w:rPr>
        <w:t xml:space="preserve"> individuals to </w:t>
      </w:r>
      <w:r w:rsidRPr="004811C9">
        <w:rPr>
          <w:rFonts w:cs="Times New Roman"/>
        </w:rPr>
        <w:t>existing social-assistance programs to reduce administrative requirements.</w:t>
      </w:r>
      <w:r w:rsidR="0055130B">
        <w:rPr>
          <w:rFonts w:cs="Times New Roman"/>
        </w:rPr>
        <w:t xml:space="preserve"> </w:t>
      </w:r>
      <w:r w:rsidR="0055130B" w:rsidRPr="004811C9">
        <w:rPr>
          <w:rFonts w:cs="Times New Roman"/>
        </w:rPr>
        <w:t xml:space="preserve">Further, using automatic digital payment systems can reduce complexity for program participants by automatically applying fare reductions </w:t>
      </w:r>
      <w:r w:rsidR="0055130B" w:rsidRPr="004811C9">
        <w:rPr>
          <w:rFonts w:cs="Times New Roman"/>
        </w:rPr>
        <w:fldChar w:fldCharType="begin"/>
      </w:r>
      <w:r w:rsidR="00E46615">
        <w:rPr>
          <w:rFonts w:cs="Times New Roman"/>
        </w:rPr>
        <w:instrText xml:space="preserve"> ADDIN ZOTERO_ITEM CSL_CITATION {"citationID":"0aPpfj17","properties":{"formattedCitation":"(Paleti et al., 2016)","plainCitation":"(Paleti et al., 2016)","dontUpdate":true,"noteIndex":8},"citationItems":[{"id":5095,"uris":["http://zotero.org/users/12832277/items/ETX4WSHT"],"itemData":{"id":5095,"type":"article-journal","abstract":"Income inequity potentially exists under high occupancy toll (HOT) lanes whereby higher-income travelers may reap the benefits of the facility. An income-based multi-toll pricing approach is proposed for a single HOT lane facility in a network to maximize simultaneously the toll revenue and address the income equity concern, while ensuring a minimum level-of-service on the HOT lanes and that the toll prices do not exceed pre-specified thresholds. The problem is modeled as a bi-level optimization formulation. The upper level model maximizes revenue for the tolling authority subject to pre-specified upper bounds on tolls. The lower level model solves the stochastic user equilibrium problem. An agent-based solution approach is used to determine the toll prices by considering the tolling authority and commuters as agents. Results from numerical experiments indicate that a multi-toll pricing scheme is more equitable and can yield higher revenues compared to a single toll price scheme across travelers.","container-title":"Transportation Planning and Technology","DOI":"10.1080/03081060.2016.1160581","ISSN":"0308-1060","issue":"4","note":"_eprint: https://doi.org/10.1080/03081060.2016.1160581","page":"389-406","publisher":"Routledge","source":"Taylor and Francis+NEJM","title":"Design of Income-Equitable Toll Prices for High Occupancy Toll Lanes in a Single Toll Facility","volume":"39","author":[{"family":"Paleti","given":"Chaitanya"},{"family":"He","given":"Xiaozheng"},{"family":"Peeta","given":"Srinivas"}],"issued":{"date-parts":[["2016",5,18]]}}}],"schema":"https://github.com/citation-style-language/schema/raw/master/csl-citation.json"} </w:instrText>
      </w:r>
      <w:r w:rsidR="0055130B" w:rsidRPr="004811C9">
        <w:rPr>
          <w:rFonts w:cs="Times New Roman"/>
        </w:rPr>
        <w:fldChar w:fldCharType="separate"/>
      </w:r>
      <w:r w:rsidR="0055130B" w:rsidRPr="004811C9">
        <w:rPr>
          <w:rFonts w:cs="Times New Roman"/>
        </w:rPr>
        <w:t>(see Paleti et al., 2016)</w:t>
      </w:r>
      <w:r w:rsidR="0055130B" w:rsidRPr="004811C9">
        <w:rPr>
          <w:rFonts w:cs="Times New Roman"/>
        </w:rPr>
        <w:fldChar w:fldCharType="end"/>
      </w:r>
      <w:r w:rsidR="0055130B" w:rsidRPr="004811C9">
        <w:rPr>
          <w:rFonts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E40BA"/>
    <w:multiLevelType w:val="hybridMultilevel"/>
    <w:tmpl w:val="D4847356"/>
    <w:lvl w:ilvl="0" w:tplc="9CAE3E8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E0C10"/>
    <w:multiLevelType w:val="multilevel"/>
    <w:tmpl w:val="DE04D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80203"/>
    <w:multiLevelType w:val="multilevel"/>
    <w:tmpl w:val="CB46E2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9831A7"/>
    <w:multiLevelType w:val="multilevel"/>
    <w:tmpl w:val="1CCAED7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6D13CA"/>
    <w:multiLevelType w:val="hybridMultilevel"/>
    <w:tmpl w:val="A970B63E"/>
    <w:lvl w:ilvl="0" w:tplc="9CAE3E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D0637"/>
    <w:multiLevelType w:val="hybridMultilevel"/>
    <w:tmpl w:val="40ECFD2A"/>
    <w:lvl w:ilvl="0" w:tplc="EA6E10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B0E86"/>
    <w:multiLevelType w:val="multilevel"/>
    <w:tmpl w:val="D8B2BD5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B15452"/>
    <w:multiLevelType w:val="hybridMultilevel"/>
    <w:tmpl w:val="1E88CF92"/>
    <w:lvl w:ilvl="0" w:tplc="053E626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F4DF1"/>
    <w:multiLevelType w:val="hybridMultilevel"/>
    <w:tmpl w:val="E5C8B678"/>
    <w:lvl w:ilvl="0" w:tplc="C3508D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8"/>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9D"/>
    <w:rsid w:val="00001B8F"/>
    <w:rsid w:val="0000354C"/>
    <w:rsid w:val="0000369E"/>
    <w:rsid w:val="00003DD2"/>
    <w:rsid w:val="00003F0F"/>
    <w:rsid w:val="00004CFA"/>
    <w:rsid w:val="0000553D"/>
    <w:rsid w:val="00006AE9"/>
    <w:rsid w:val="00010E51"/>
    <w:rsid w:val="00011F67"/>
    <w:rsid w:val="000125C0"/>
    <w:rsid w:val="0001274E"/>
    <w:rsid w:val="00014731"/>
    <w:rsid w:val="000205CC"/>
    <w:rsid w:val="00020AAE"/>
    <w:rsid w:val="00021F07"/>
    <w:rsid w:val="00025980"/>
    <w:rsid w:val="00026139"/>
    <w:rsid w:val="000269FA"/>
    <w:rsid w:val="00027D76"/>
    <w:rsid w:val="00027DEC"/>
    <w:rsid w:val="00027FE5"/>
    <w:rsid w:val="00030C6B"/>
    <w:rsid w:val="000310E1"/>
    <w:rsid w:val="00032608"/>
    <w:rsid w:val="0003288B"/>
    <w:rsid w:val="000336CC"/>
    <w:rsid w:val="000359F1"/>
    <w:rsid w:val="00035AA5"/>
    <w:rsid w:val="000374A1"/>
    <w:rsid w:val="0004053C"/>
    <w:rsid w:val="000409E1"/>
    <w:rsid w:val="00041153"/>
    <w:rsid w:val="00041265"/>
    <w:rsid w:val="00045256"/>
    <w:rsid w:val="00046F4F"/>
    <w:rsid w:val="000476D5"/>
    <w:rsid w:val="00050FA7"/>
    <w:rsid w:val="0005126C"/>
    <w:rsid w:val="00051883"/>
    <w:rsid w:val="00051E3D"/>
    <w:rsid w:val="00052120"/>
    <w:rsid w:val="00052530"/>
    <w:rsid w:val="000526AB"/>
    <w:rsid w:val="00053594"/>
    <w:rsid w:val="000543D8"/>
    <w:rsid w:val="0005442F"/>
    <w:rsid w:val="00055AC8"/>
    <w:rsid w:val="00056F18"/>
    <w:rsid w:val="00057E37"/>
    <w:rsid w:val="000613FE"/>
    <w:rsid w:val="00061C85"/>
    <w:rsid w:val="00062AC2"/>
    <w:rsid w:val="00062C5E"/>
    <w:rsid w:val="000639C5"/>
    <w:rsid w:val="00066EE2"/>
    <w:rsid w:val="00070916"/>
    <w:rsid w:val="00070D14"/>
    <w:rsid w:val="00073564"/>
    <w:rsid w:val="000740F8"/>
    <w:rsid w:val="00074461"/>
    <w:rsid w:val="0007449C"/>
    <w:rsid w:val="00075966"/>
    <w:rsid w:val="0007687E"/>
    <w:rsid w:val="00077273"/>
    <w:rsid w:val="0007761A"/>
    <w:rsid w:val="0008017A"/>
    <w:rsid w:val="00082EFB"/>
    <w:rsid w:val="000832E9"/>
    <w:rsid w:val="00087396"/>
    <w:rsid w:val="00087503"/>
    <w:rsid w:val="00087FEB"/>
    <w:rsid w:val="00090778"/>
    <w:rsid w:val="00090943"/>
    <w:rsid w:val="00090B8D"/>
    <w:rsid w:val="00092C4D"/>
    <w:rsid w:val="0009361B"/>
    <w:rsid w:val="0009486D"/>
    <w:rsid w:val="00095604"/>
    <w:rsid w:val="0009562F"/>
    <w:rsid w:val="000956FB"/>
    <w:rsid w:val="0009577C"/>
    <w:rsid w:val="00095D53"/>
    <w:rsid w:val="00096868"/>
    <w:rsid w:val="000A1372"/>
    <w:rsid w:val="000A1A8A"/>
    <w:rsid w:val="000A26AD"/>
    <w:rsid w:val="000A2B28"/>
    <w:rsid w:val="000A2FD8"/>
    <w:rsid w:val="000A4CA1"/>
    <w:rsid w:val="000A4EDB"/>
    <w:rsid w:val="000A53B6"/>
    <w:rsid w:val="000A671C"/>
    <w:rsid w:val="000A69A4"/>
    <w:rsid w:val="000A6F58"/>
    <w:rsid w:val="000B11EA"/>
    <w:rsid w:val="000B2792"/>
    <w:rsid w:val="000B3576"/>
    <w:rsid w:val="000B6D75"/>
    <w:rsid w:val="000C070D"/>
    <w:rsid w:val="000C0B6E"/>
    <w:rsid w:val="000C6A27"/>
    <w:rsid w:val="000C6ABC"/>
    <w:rsid w:val="000C7799"/>
    <w:rsid w:val="000C7C2A"/>
    <w:rsid w:val="000D0D6D"/>
    <w:rsid w:val="000D165A"/>
    <w:rsid w:val="000D1FF5"/>
    <w:rsid w:val="000D3F59"/>
    <w:rsid w:val="000D3FAF"/>
    <w:rsid w:val="000D69B0"/>
    <w:rsid w:val="000E1E5D"/>
    <w:rsid w:val="000E3458"/>
    <w:rsid w:val="000E5344"/>
    <w:rsid w:val="000E63CD"/>
    <w:rsid w:val="000E6405"/>
    <w:rsid w:val="000E668C"/>
    <w:rsid w:val="000E6F63"/>
    <w:rsid w:val="000E7998"/>
    <w:rsid w:val="000E7DC6"/>
    <w:rsid w:val="000F16D0"/>
    <w:rsid w:val="000F3AA0"/>
    <w:rsid w:val="000F6B57"/>
    <w:rsid w:val="001002D4"/>
    <w:rsid w:val="00101A5D"/>
    <w:rsid w:val="001064B6"/>
    <w:rsid w:val="001076A9"/>
    <w:rsid w:val="0011075F"/>
    <w:rsid w:val="00110EA6"/>
    <w:rsid w:val="001120E1"/>
    <w:rsid w:val="001126B4"/>
    <w:rsid w:val="00112924"/>
    <w:rsid w:val="00112AEA"/>
    <w:rsid w:val="001132D6"/>
    <w:rsid w:val="001149F4"/>
    <w:rsid w:val="00114F4F"/>
    <w:rsid w:val="001168FC"/>
    <w:rsid w:val="0011784D"/>
    <w:rsid w:val="001179FC"/>
    <w:rsid w:val="001202F1"/>
    <w:rsid w:val="001215FA"/>
    <w:rsid w:val="001216E7"/>
    <w:rsid w:val="001232BC"/>
    <w:rsid w:val="00123C83"/>
    <w:rsid w:val="00124E0A"/>
    <w:rsid w:val="0012525B"/>
    <w:rsid w:val="00126170"/>
    <w:rsid w:val="0012705F"/>
    <w:rsid w:val="00127306"/>
    <w:rsid w:val="00130939"/>
    <w:rsid w:val="001313A8"/>
    <w:rsid w:val="001314E1"/>
    <w:rsid w:val="001315B8"/>
    <w:rsid w:val="0013450A"/>
    <w:rsid w:val="001347CF"/>
    <w:rsid w:val="00135733"/>
    <w:rsid w:val="001367F5"/>
    <w:rsid w:val="00140133"/>
    <w:rsid w:val="0014140B"/>
    <w:rsid w:val="00141AF9"/>
    <w:rsid w:val="001427FE"/>
    <w:rsid w:val="00144800"/>
    <w:rsid w:val="001451C2"/>
    <w:rsid w:val="001474B5"/>
    <w:rsid w:val="00147A52"/>
    <w:rsid w:val="0015044C"/>
    <w:rsid w:val="0015339F"/>
    <w:rsid w:val="00155978"/>
    <w:rsid w:val="00155ACA"/>
    <w:rsid w:val="00155C12"/>
    <w:rsid w:val="001562CC"/>
    <w:rsid w:val="00156B03"/>
    <w:rsid w:val="00157061"/>
    <w:rsid w:val="00157336"/>
    <w:rsid w:val="00162042"/>
    <w:rsid w:val="00162345"/>
    <w:rsid w:val="00163E59"/>
    <w:rsid w:val="00164DC0"/>
    <w:rsid w:val="00170E7D"/>
    <w:rsid w:val="00172882"/>
    <w:rsid w:val="00172CBE"/>
    <w:rsid w:val="00174440"/>
    <w:rsid w:val="00174A49"/>
    <w:rsid w:val="00175580"/>
    <w:rsid w:val="001759E1"/>
    <w:rsid w:val="00175D3B"/>
    <w:rsid w:val="00177031"/>
    <w:rsid w:val="001772DD"/>
    <w:rsid w:val="00177436"/>
    <w:rsid w:val="00177617"/>
    <w:rsid w:val="00180380"/>
    <w:rsid w:val="00181E4F"/>
    <w:rsid w:val="00182D70"/>
    <w:rsid w:val="00182D94"/>
    <w:rsid w:val="0018313A"/>
    <w:rsid w:val="0018382D"/>
    <w:rsid w:val="00184231"/>
    <w:rsid w:val="00184463"/>
    <w:rsid w:val="00184ECF"/>
    <w:rsid w:val="00186D28"/>
    <w:rsid w:val="00187F61"/>
    <w:rsid w:val="00190ECA"/>
    <w:rsid w:val="00192BA5"/>
    <w:rsid w:val="00194106"/>
    <w:rsid w:val="00194578"/>
    <w:rsid w:val="00195B7D"/>
    <w:rsid w:val="00195EA5"/>
    <w:rsid w:val="00197037"/>
    <w:rsid w:val="001A1BF6"/>
    <w:rsid w:val="001A3320"/>
    <w:rsid w:val="001A4970"/>
    <w:rsid w:val="001A57D9"/>
    <w:rsid w:val="001A5F41"/>
    <w:rsid w:val="001A6E49"/>
    <w:rsid w:val="001A72CB"/>
    <w:rsid w:val="001A7861"/>
    <w:rsid w:val="001A7F59"/>
    <w:rsid w:val="001B113A"/>
    <w:rsid w:val="001B265E"/>
    <w:rsid w:val="001B3E88"/>
    <w:rsid w:val="001B4B6F"/>
    <w:rsid w:val="001B55DC"/>
    <w:rsid w:val="001B68CB"/>
    <w:rsid w:val="001B7E11"/>
    <w:rsid w:val="001C0AD3"/>
    <w:rsid w:val="001C16DC"/>
    <w:rsid w:val="001C1F1B"/>
    <w:rsid w:val="001C26E2"/>
    <w:rsid w:val="001C30B2"/>
    <w:rsid w:val="001C3CC5"/>
    <w:rsid w:val="001C6AA6"/>
    <w:rsid w:val="001C7102"/>
    <w:rsid w:val="001C7C59"/>
    <w:rsid w:val="001D0567"/>
    <w:rsid w:val="001D078B"/>
    <w:rsid w:val="001D1645"/>
    <w:rsid w:val="001D413F"/>
    <w:rsid w:val="001D44C1"/>
    <w:rsid w:val="001D5096"/>
    <w:rsid w:val="001D5F2B"/>
    <w:rsid w:val="001D5FF6"/>
    <w:rsid w:val="001D6113"/>
    <w:rsid w:val="001D64CB"/>
    <w:rsid w:val="001D68AE"/>
    <w:rsid w:val="001D6CA8"/>
    <w:rsid w:val="001D7295"/>
    <w:rsid w:val="001E003B"/>
    <w:rsid w:val="001E0BA9"/>
    <w:rsid w:val="001E1DAE"/>
    <w:rsid w:val="001E36B1"/>
    <w:rsid w:val="001E5928"/>
    <w:rsid w:val="001E6F32"/>
    <w:rsid w:val="001E79EF"/>
    <w:rsid w:val="001F11D9"/>
    <w:rsid w:val="001F192D"/>
    <w:rsid w:val="001F2BFD"/>
    <w:rsid w:val="001F36A9"/>
    <w:rsid w:val="001F466A"/>
    <w:rsid w:val="001F5C27"/>
    <w:rsid w:val="001F6857"/>
    <w:rsid w:val="001F694A"/>
    <w:rsid w:val="001F6EC8"/>
    <w:rsid w:val="001F76C9"/>
    <w:rsid w:val="00200B1E"/>
    <w:rsid w:val="002019BD"/>
    <w:rsid w:val="00201C27"/>
    <w:rsid w:val="00202C6E"/>
    <w:rsid w:val="00204D69"/>
    <w:rsid w:val="0020582F"/>
    <w:rsid w:val="00205FA3"/>
    <w:rsid w:val="00206793"/>
    <w:rsid w:val="002074F8"/>
    <w:rsid w:val="00207DF3"/>
    <w:rsid w:val="00210323"/>
    <w:rsid w:val="00212B8B"/>
    <w:rsid w:val="00214D8D"/>
    <w:rsid w:val="002151AF"/>
    <w:rsid w:val="0021570E"/>
    <w:rsid w:val="002200E4"/>
    <w:rsid w:val="002241B3"/>
    <w:rsid w:val="00225D32"/>
    <w:rsid w:val="00227D99"/>
    <w:rsid w:val="00230BF0"/>
    <w:rsid w:val="00231A76"/>
    <w:rsid w:val="0023373D"/>
    <w:rsid w:val="00234E1B"/>
    <w:rsid w:val="0023658E"/>
    <w:rsid w:val="002373A7"/>
    <w:rsid w:val="0023745F"/>
    <w:rsid w:val="00240E0D"/>
    <w:rsid w:val="0024244F"/>
    <w:rsid w:val="00242785"/>
    <w:rsid w:val="00242B85"/>
    <w:rsid w:val="0024399F"/>
    <w:rsid w:val="002455C4"/>
    <w:rsid w:val="00245D08"/>
    <w:rsid w:val="0024622A"/>
    <w:rsid w:val="00246900"/>
    <w:rsid w:val="00246C12"/>
    <w:rsid w:val="00247081"/>
    <w:rsid w:val="00247420"/>
    <w:rsid w:val="002504CB"/>
    <w:rsid w:val="00251218"/>
    <w:rsid w:val="002512AD"/>
    <w:rsid w:val="0025169D"/>
    <w:rsid w:val="00254351"/>
    <w:rsid w:val="002550D0"/>
    <w:rsid w:val="0025699E"/>
    <w:rsid w:val="00261168"/>
    <w:rsid w:val="00261B3B"/>
    <w:rsid w:val="00263260"/>
    <w:rsid w:val="00263CEE"/>
    <w:rsid w:val="002641DE"/>
    <w:rsid w:val="002648B1"/>
    <w:rsid w:val="00264A59"/>
    <w:rsid w:val="00265631"/>
    <w:rsid w:val="002668EA"/>
    <w:rsid w:val="00267EF9"/>
    <w:rsid w:val="0027083E"/>
    <w:rsid w:val="00271243"/>
    <w:rsid w:val="00272972"/>
    <w:rsid w:val="00272D17"/>
    <w:rsid w:val="00273229"/>
    <w:rsid w:val="0027716A"/>
    <w:rsid w:val="002778B6"/>
    <w:rsid w:val="0027792D"/>
    <w:rsid w:val="00282CA2"/>
    <w:rsid w:val="00284741"/>
    <w:rsid w:val="00284F8F"/>
    <w:rsid w:val="002866CC"/>
    <w:rsid w:val="00290138"/>
    <w:rsid w:val="00290958"/>
    <w:rsid w:val="0029165C"/>
    <w:rsid w:val="002916A5"/>
    <w:rsid w:val="002923A7"/>
    <w:rsid w:val="002939A0"/>
    <w:rsid w:val="00293A09"/>
    <w:rsid w:val="00293C0B"/>
    <w:rsid w:val="00295967"/>
    <w:rsid w:val="0029599A"/>
    <w:rsid w:val="00295BC3"/>
    <w:rsid w:val="00296276"/>
    <w:rsid w:val="00296CEB"/>
    <w:rsid w:val="00296D2D"/>
    <w:rsid w:val="002972F3"/>
    <w:rsid w:val="00297FA5"/>
    <w:rsid w:val="002A079F"/>
    <w:rsid w:val="002A0A2E"/>
    <w:rsid w:val="002A0DCA"/>
    <w:rsid w:val="002A14F0"/>
    <w:rsid w:val="002A3096"/>
    <w:rsid w:val="002A3285"/>
    <w:rsid w:val="002A33F9"/>
    <w:rsid w:val="002A3407"/>
    <w:rsid w:val="002A3B4E"/>
    <w:rsid w:val="002A489E"/>
    <w:rsid w:val="002A4B7A"/>
    <w:rsid w:val="002A5521"/>
    <w:rsid w:val="002A557F"/>
    <w:rsid w:val="002A574B"/>
    <w:rsid w:val="002A65C1"/>
    <w:rsid w:val="002A705C"/>
    <w:rsid w:val="002B17C2"/>
    <w:rsid w:val="002B2F14"/>
    <w:rsid w:val="002B3977"/>
    <w:rsid w:val="002B67B4"/>
    <w:rsid w:val="002B6841"/>
    <w:rsid w:val="002B6ED7"/>
    <w:rsid w:val="002B6FB5"/>
    <w:rsid w:val="002B7BD6"/>
    <w:rsid w:val="002B7E19"/>
    <w:rsid w:val="002C21A2"/>
    <w:rsid w:val="002C2AD2"/>
    <w:rsid w:val="002C3D05"/>
    <w:rsid w:val="002C4B72"/>
    <w:rsid w:val="002C635F"/>
    <w:rsid w:val="002C664F"/>
    <w:rsid w:val="002C7E18"/>
    <w:rsid w:val="002D0FD8"/>
    <w:rsid w:val="002D1910"/>
    <w:rsid w:val="002D2FB3"/>
    <w:rsid w:val="002D4815"/>
    <w:rsid w:val="002D5809"/>
    <w:rsid w:val="002D5F0D"/>
    <w:rsid w:val="002D6358"/>
    <w:rsid w:val="002D727B"/>
    <w:rsid w:val="002E0A52"/>
    <w:rsid w:val="002E0D4C"/>
    <w:rsid w:val="002E3495"/>
    <w:rsid w:val="002E39E9"/>
    <w:rsid w:val="002E3DAD"/>
    <w:rsid w:val="002E4A9D"/>
    <w:rsid w:val="002E531A"/>
    <w:rsid w:val="002E73DC"/>
    <w:rsid w:val="002F067B"/>
    <w:rsid w:val="002F1B86"/>
    <w:rsid w:val="002F2A66"/>
    <w:rsid w:val="002F41DA"/>
    <w:rsid w:val="002F57B6"/>
    <w:rsid w:val="002F5821"/>
    <w:rsid w:val="002F5D06"/>
    <w:rsid w:val="002F6CCD"/>
    <w:rsid w:val="002F72EF"/>
    <w:rsid w:val="002F7B38"/>
    <w:rsid w:val="0030028D"/>
    <w:rsid w:val="00300577"/>
    <w:rsid w:val="00301321"/>
    <w:rsid w:val="0030156B"/>
    <w:rsid w:val="00302CA4"/>
    <w:rsid w:val="00303A45"/>
    <w:rsid w:val="00304265"/>
    <w:rsid w:val="00305865"/>
    <w:rsid w:val="0030690C"/>
    <w:rsid w:val="003069EB"/>
    <w:rsid w:val="00306AAC"/>
    <w:rsid w:val="003110AD"/>
    <w:rsid w:val="00311361"/>
    <w:rsid w:val="003120A8"/>
    <w:rsid w:val="00312FB2"/>
    <w:rsid w:val="0031323C"/>
    <w:rsid w:val="00313794"/>
    <w:rsid w:val="00313D70"/>
    <w:rsid w:val="003163A5"/>
    <w:rsid w:val="00317432"/>
    <w:rsid w:val="00320D0D"/>
    <w:rsid w:val="003221A8"/>
    <w:rsid w:val="00322CA7"/>
    <w:rsid w:val="00325B64"/>
    <w:rsid w:val="00325BDB"/>
    <w:rsid w:val="00325D5B"/>
    <w:rsid w:val="00327C0C"/>
    <w:rsid w:val="00330584"/>
    <w:rsid w:val="00331598"/>
    <w:rsid w:val="00331A9D"/>
    <w:rsid w:val="0033216D"/>
    <w:rsid w:val="00332F25"/>
    <w:rsid w:val="0033462C"/>
    <w:rsid w:val="0033530E"/>
    <w:rsid w:val="00336245"/>
    <w:rsid w:val="00337621"/>
    <w:rsid w:val="0034066B"/>
    <w:rsid w:val="00341032"/>
    <w:rsid w:val="00341285"/>
    <w:rsid w:val="003427EB"/>
    <w:rsid w:val="003430A8"/>
    <w:rsid w:val="00343A19"/>
    <w:rsid w:val="00344AD6"/>
    <w:rsid w:val="00344EE8"/>
    <w:rsid w:val="0034604F"/>
    <w:rsid w:val="00346B78"/>
    <w:rsid w:val="00346F6B"/>
    <w:rsid w:val="00347497"/>
    <w:rsid w:val="00347AD1"/>
    <w:rsid w:val="00347C75"/>
    <w:rsid w:val="0035213E"/>
    <w:rsid w:val="003521A4"/>
    <w:rsid w:val="00352FF4"/>
    <w:rsid w:val="00353BF8"/>
    <w:rsid w:val="00354A19"/>
    <w:rsid w:val="00355CD5"/>
    <w:rsid w:val="003564FE"/>
    <w:rsid w:val="00356B4A"/>
    <w:rsid w:val="00360AC0"/>
    <w:rsid w:val="00361194"/>
    <w:rsid w:val="0036164D"/>
    <w:rsid w:val="00361E40"/>
    <w:rsid w:val="00362E68"/>
    <w:rsid w:val="003636A7"/>
    <w:rsid w:val="00364187"/>
    <w:rsid w:val="0036484E"/>
    <w:rsid w:val="003656EF"/>
    <w:rsid w:val="00366DB0"/>
    <w:rsid w:val="00366F30"/>
    <w:rsid w:val="00367829"/>
    <w:rsid w:val="0036783A"/>
    <w:rsid w:val="00371B0F"/>
    <w:rsid w:val="00371E0F"/>
    <w:rsid w:val="00376A34"/>
    <w:rsid w:val="00377D96"/>
    <w:rsid w:val="00380ECC"/>
    <w:rsid w:val="00382220"/>
    <w:rsid w:val="003847F2"/>
    <w:rsid w:val="00386AF6"/>
    <w:rsid w:val="00390F35"/>
    <w:rsid w:val="0039296B"/>
    <w:rsid w:val="00395E6F"/>
    <w:rsid w:val="00397D93"/>
    <w:rsid w:val="003A1050"/>
    <w:rsid w:val="003A3CB2"/>
    <w:rsid w:val="003A56A7"/>
    <w:rsid w:val="003A5F76"/>
    <w:rsid w:val="003A6DCB"/>
    <w:rsid w:val="003B0D44"/>
    <w:rsid w:val="003B0FDF"/>
    <w:rsid w:val="003B1D21"/>
    <w:rsid w:val="003B3EAE"/>
    <w:rsid w:val="003B40C8"/>
    <w:rsid w:val="003B45CB"/>
    <w:rsid w:val="003B4D14"/>
    <w:rsid w:val="003B5CE0"/>
    <w:rsid w:val="003B6A63"/>
    <w:rsid w:val="003B6D6C"/>
    <w:rsid w:val="003B7E97"/>
    <w:rsid w:val="003C0D13"/>
    <w:rsid w:val="003C186F"/>
    <w:rsid w:val="003C26B6"/>
    <w:rsid w:val="003C270E"/>
    <w:rsid w:val="003C3F87"/>
    <w:rsid w:val="003C507D"/>
    <w:rsid w:val="003C66FD"/>
    <w:rsid w:val="003C6F2F"/>
    <w:rsid w:val="003D0780"/>
    <w:rsid w:val="003D1905"/>
    <w:rsid w:val="003D6A76"/>
    <w:rsid w:val="003D73A8"/>
    <w:rsid w:val="003D74F8"/>
    <w:rsid w:val="003E1829"/>
    <w:rsid w:val="003E2D4A"/>
    <w:rsid w:val="003E3C9A"/>
    <w:rsid w:val="003E3ED2"/>
    <w:rsid w:val="003E4A04"/>
    <w:rsid w:val="003E4C7C"/>
    <w:rsid w:val="003E66BE"/>
    <w:rsid w:val="003E7224"/>
    <w:rsid w:val="003E7331"/>
    <w:rsid w:val="003F0413"/>
    <w:rsid w:val="003F0656"/>
    <w:rsid w:val="003F0C44"/>
    <w:rsid w:val="003F16C8"/>
    <w:rsid w:val="003F4651"/>
    <w:rsid w:val="003F5255"/>
    <w:rsid w:val="003F662B"/>
    <w:rsid w:val="003F685D"/>
    <w:rsid w:val="003F6974"/>
    <w:rsid w:val="003F702B"/>
    <w:rsid w:val="0040058B"/>
    <w:rsid w:val="00404179"/>
    <w:rsid w:val="00405075"/>
    <w:rsid w:val="004051CD"/>
    <w:rsid w:val="00405406"/>
    <w:rsid w:val="0040626A"/>
    <w:rsid w:val="00410056"/>
    <w:rsid w:val="004121FD"/>
    <w:rsid w:val="004126E0"/>
    <w:rsid w:val="00412B53"/>
    <w:rsid w:val="00416C10"/>
    <w:rsid w:val="0041749C"/>
    <w:rsid w:val="00421618"/>
    <w:rsid w:val="00421868"/>
    <w:rsid w:val="004225D5"/>
    <w:rsid w:val="004231E6"/>
    <w:rsid w:val="004246F2"/>
    <w:rsid w:val="00426E78"/>
    <w:rsid w:val="00427AFB"/>
    <w:rsid w:val="0043139D"/>
    <w:rsid w:val="004319C2"/>
    <w:rsid w:val="004319C5"/>
    <w:rsid w:val="0043271F"/>
    <w:rsid w:val="00432ED7"/>
    <w:rsid w:val="00433BDC"/>
    <w:rsid w:val="0043766A"/>
    <w:rsid w:val="00437D7A"/>
    <w:rsid w:val="0044020E"/>
    <w:rsid w:val="00442BC9"/>
    <w:rsid w:val="00443A62"/>
    <w:rsid w:val="004452E0"/>
    <w:rsid w:val="004454BD"/>
    <w:rsid w:val="00445550"/>
    <w:rsid w:val="00446505"/>
    <w:rsid w:val="00446528"/>
    <w:rsid w:val="00446C2E"/>
    <w:rsid w:val="00446FC4"/>
    <w:rsid w:val="0044783B"/>
    <w:rsid w:val="00450252"/>
    <w:rsid w:val="00450E0C"/>
    <w:rsid w:val="004525EB"/>
    <w:rsid w:val="00452CEA"/>
    <w:rsid w:val="004537C0"/>
    <w:rsid w:val="00454231"/>
    <w:rsid w:val="00454259"/>
    <w:rsid w:val="004553F3"/>
    <w:rsid w:val="00455A16"/>
    <w:rsid w:val="004574A6"/>
    <w:rsid w:val="00462BAA"/>
    <w:rsid w:val="00464DD9"/>
    <w:rsid w:val="00470340"/>
    <w:rsid w:val="0047106A"/>
    <w:rsid w:val="00471FF1"/>
    <w:rsid w:val="004722E8"/>
    <w:rsid w:val="004723E2"/>
    <w:rsid w:val="004723E7"/>
    <w:rsid w:val="00472653"/>
    <w:rsid w:val="004727DF"/>
    <w:rsid w:val="00472D6C"/>
    <w:rsid w:val="00473D81"/>
    <w:rsid w:val="004740C1"/>
    <w:rsid w:val="0047729C"/>
    <w:rsid w:val="00477F90"/>
    <w:rsid w:val="00480EED"/>
    <w:rsid w:val="004811C9"/>
    <w:rsid w:val="004827E0"/>
    <w:rsid w:val="00482951"/>
    <w:rsid w:val="00482EFA"/>
    <w:rsid w:val="00483D83"/>
    <w:rsid w:val="0048405A"/>
    <w:rsid w:val="00484461"/>
    <w:rsid w:val="004845A6"/>
    <w:rsid w:val="00485DAF"/>
    <w:rsid w:val="00487E08"/>
    <w:rsid w:val="00490D56"/>
    <w:rsid w:val="004916C3"/>
    <w:rsid w:val="004943F6"/>
    <w:rsid w:val="004947F1"/>
    <w:rsid w:val="00494A8F"/>
    <w:rsid w:val="00494E95"/>
    <w:rsid w:val="00494ECD"/>
    <w:rsid w:val="004968FB"/>
    <w:rsid w:val="004979C3"/>
    <w:rsid w:val="004A0245"/>
    <w:rsid w:val="004A052B"/>
    <w:rsid w:val="004A082F"/>
    <w:rsid w:val="004A0C74"/>
    <w:rsid w:val="004A1ADF"/>
    <w:rsid w:val="004A1CB4"/>
    <w:rsid w:val="004A2BDA"/>
    <w:rsid w:val="004A3051"/>
    <w:rsid w:val="004A3052"/>
    <w:rsid w:val="004A45AF"/>
    <w:rsid w:val="004A5C39"/>
    <w:rsid w:val="004A6204"/>
    <w:rsid w:val="004A6AD5"/>
    <w:rsid w:val="004B1B3C"/>
    <w:rsid w:val="004B1E2C"/>
    <w:rsid w:val="004B2B9A"/>
    <w:rsid w:val="004B3B1E"/>
    <w:rsid w:val="004B4F26"/>
    <w:rsid w:val="004B55FC"/>
    <w:rsid w:val="004B65A8"/>
    <w:rsid w:val="004B6CA5"/>
    <w:rsid w:val="004B6CC0"/>
    <w:rsid w:val="004B6F32"/>
    <w:rsid w:val="004B7061"/>
    <w:rsid w:val="004C2BD2"/>
    <w:rsid w:val="004C2CC4"/>
    <w:rsid w:val="004C2DD7"/>
    <w:rsid w:val="004C3B69"/>
    <w:rsid w:val="004C5615"/>
    <w:rsid w:val="004C6FAD"/>
    <w:rsid w:val="004D03B7"/>
    <w:rsid w:val="004D09E4"/>
    <w:rsid w:val="004D1685"/>
    <w:rsid w:val="004D2568"/>
    <w:rsid w:val="004D3712"/>
    <w:rsid w:val="004D448E"/>
    <w:rsid w:val="004D51D9"/>
    <w:rsid w:val="004D5661"/>
    <w:rsid w:val="004D59D1"/>
    <w:rsid w:val="004D5CC5"/>
    <w:rsid w:val="004D5F7D"/>
    <w:rsid w:val="004D6AD7"/>
    <w:rsid w:val="004D7817"/>
    <w:rsid w:val="004E4789"/>
    <w:rsid w:val="004E582C"/>
    <w:rsid w:val="004E6BC0"/>
    <w:rsid w:val="004E7435"/>
    <w:rsid w:val="004E772E"/>
    <w:rsid w:val="004F291F"/>
    <w:rsid w:val="004F5405"/>
    <w:rsid w:val="004F5E59"/>
    <w:rsid w:val="004F7E17"/>
    <w:rsid w:val="004F7F1B"/>
    <w:rsid w:val="0050092B"/>
    <w:rsid w:val="00500C1C"/>
    <w:rsid w:val="00500DDB"/>
    <w:rsid w:val="00502D94"/>
    <w:rsid w:val="0050379F"/>
    <w:rsid w:val="00503E67"/>
    <w:rsid w:val="00504E12"/>
    <w:rsid w:val="00505460"/>
    <w:rsid w:val="00505784"/>
    <w:rsid w:val="00507262"/>
    <w:rsid w:val="00507D16"/>
    <w:rsid w:val="00510041"/>
    <w:rsid w:val="005107B4"/>
    <w:rsid w:val="00510C99"/>
    <w:rsid w:val="00511613"/>
    <w:rsid w:val="00512392"/>
    <w:rsid w:val="00512601"/>
    <w:rsid w:val="005149DA"/>
    <w:rsid w:val="00514BC1"/>
    <w:rsid w:val="00515974"/>
    <w:rsid w:val="005165FE"/>
    <w:rsid w:val="00516F67"/>
    <w:rsid w:val="005201AC"/>
    <w:rsid w:val="005202C4"/>
    <w:rsid w:val="00520958"/>
    <w:rsid w:val="0052129B"/>
    <w:rsid w:val="00522D29"/>
    <w:rsid w:val="005239C1"/>
    <w:rsid w:val="00524B84"/>
    <w:rsid w:val="00525018"/>
    <w:rsid w:val="00525702"/>
    <w:rsid w:val="00525D32"/>
    <w:rsid w:val="00526819"/>
    <w:rsid w:val="00530111"/>
    <w:rsid w:val="005305A5"/>
    <w:rsid w:val="005305B5"/>
    <w:rsid w:val="00530F76"/>
    <w:rsid w:val="005316E2"/>
    <w:rsid w:val="005348F6"/>
    <w:rsid w:val="00534C84"/>
    <w:rsid w:val="005350C1"/>
    <w:rsid w:val="005351E6"/>
    <w:rsid w:val="00536A2E"/>
    <w:rsid w:val="00541276"/>
    <w:rsid w:val="00544962"/>
    <w:rsid w:val="00545353"/>
    <w:rsid w:val="00546CE3"/>
    <w:rsid w:val="0054768C"/>
    <w:rsid w:val="00547792"/>
    <w:rsid w:val="00547814"/>
    <w:rsid w:val="00547FD2"/>
    <w:rsid w:val="00550A4F"/>
    <w:rsid w:val="0055130B"/>
    <w:rsid w:val="00551520"/>
    <w:rsid w:val="005533F2"/>
    <w:rsid w:val="0055351C"/>
    <w:rsid w:val="00556615"/>
    <w:rsid w:val="00557A36"/>
    <w:rsid w:val="005603E0"/>
    <w:rsid w:val="00563517"/>
    <w:rsid w:val="00567E26"/>
    <w:rsid w:val="005702FF"/>
    <w:rsid w:val="00570D4E"/>
    <w:rsid w:val="0057125C"/>
    <w:rsid w:val="005716D7"/>
    <w:rsid w:val="005728FA"/>
    <w:rsid w:val="00573885"/>
    <w:rsid w:val="00574E29"/>
    <w:rsid w:val="005763CF"/>
    <w:rsid w:val="00576679"/>
    <w:rsid w:val="005805C3"/>
    <w:rsid w:val="00581138"/>
    <w:rsid w:val="0058427E"/>
    <w:rsid w:val="005844A9"/>
    <w:rsid w:val="005856BE"/>
    <w:rsid w:val="00586BD2"/>
    <w:rsid w:val="00587A6C"/>
    <w:rsid w:val="00590122"/>
    <w:rsid w:val="00590C9A"/>
    <w:rsid w:val="00590FD0"/>
    <w:rsid w:val="00591894"/>
    <w:rsid w:val="00594FA1"/>
    <w:rsid w:val="00596721"/>
    <w:rsid w:val="00597439"/>
    <w:rsid w:val="0059744C"/>
    <w:rsid w:val="00597847"/>
    <w:rsid w:val="00597A12"/>
    <w:rsid w:val="005A012C"/>
    <w:rsid w:val="005A0868"/>
    <w:rsid w:val="005A3EC2"/>
    <w:rsid w:val="005A548A"/>
    <w:rsid w:val="005A5613"/>
    <w:rsid w:val="005A5790"/>
    <w:rsid w:val="005A60F9"/>
    <w:rsid w:val="005A6CE8"/>
    <w:rsid w:val="005A6DBD"/>
    <w:rsid w:val="005A6DE4"/>
    <w:rsid w:val="005A7268"/>
    <w:rsid w:val="005A77DB"/>
    <w:rsid w:val="005B1411"/>
    <w:rsid w:val="005B4601"/>
    <w:rsid w:val="005C13C4"/>
    <w:rsid w:val="005C1D8F"/>
    <w:rsid w:val="005C26C8"/>
    <w:rsid w:val="005C2E49"/>
    <w:rsid w:val="005C309A"/>
    <w:rsid w:val="005C3117"/>
    <w:rsid w:val="005C3560"/>
    <w:rsid w:val="005C4287"/>
    <w:rsid w:val="005C517F"/>
    <w:rsid w:val="005C6E56"/>
    <w:rsid w:val="005C7DBA"/>
    <w:rsid w:val="005D0382"/>
    <w:rsid w:val="005D1641"/>
    <w:rsid w:val="005D1A04"/>
    <w:rsid w:val="005D1DBE"/>
    <w:rsid w:val="005D27A5"/>
    <w:rsid w:val="005D3F16"/>
    <w:rsid w:val="005D4466"/>
    <w:rsid w:val="005D472D"/>
    <w:rsid w:val="005D5C8E"/>
    <w:rsid w:val="005D5CC6"/>
    <w:rsid w:val="005E0FD6"/>
    <w:rsid w:val="005E152D"/>
    <w:rsid w:val="005E33AE"/>
    <w:rsid w:val="005E44ED"/>
    <w:rsid w:val="005E5BFC"/>
    <w:rsid w:val="005E5E2B"/>
    <w:rsid w:val="005E60C1"/>
    <w:rsid w:val="005E6512"/>
    <w:rsid w:val="005E723D"/>
    <w:rsid w:val="005E772C"/>
    <w:rsid w:val="005E7E8E"/>
    <w:rsid w:val="005F0BFE"/>
    <w:rsid w:val="005F127E"/>
    <w:rsid w:val="005F1E84"/>
    <w:rsid w:val="005F2396"/>
    <w:rsid w:val="005F45DB"/>
    <w:rsid w:val="005F539A"/>
    <w:rsid w:val="005F5A2B"/>
    <w:rsid w:val="005F6000"/>
    <w:rsid w:val="005F73A3"/>
    <w:rsid w:val="00601B8D"/>
    <w:rsid w:val="00602D96"/>
    <w:rsid w:val="0060471C"/>
    <w:rsid w:val="00605E8B"/>
    <w:rsid w:val="00606126"/>
    <w:rsid w:val="00607134"/>
    <w:rsid w:val="00611165"/>
    <w:rsid w:val="00612831"/>
    <w:rsid w:val="00614867"/>
    <w:rsid w:val="00614A5B"/>
    <w:rsid w:val="00616786"/>
    <w:rsid w:val="00620B21"/>
    <w:rsid w:val="0062173F"/>
    <w:rsid w:val="00623DAA"/>
    <w:rsid w:val="00624FA1"/>
    <w:rsid w:val="006315EF"/>
    <w:rsid w:val="00631612"/>
    <w:rsid w:val="00632DF2"/>
    <w:rsid w:val="00633F68"/>
    <w:rsid w:val="006343C8"/>
    <w:rsid w:val="0063465E"/>
    <w:rsid w:val="00634EF3"/>
    <w:rsid w:val="006351B5"/>
    <w:rsid w:val="00635A03"/>
    <w:rsid w:val="00635BFC"/>
    <w:rsid w:val="006406A2"/>
    <w:rsid w:val="00640AA4"/>
    <w:rsid w:val="006429F3"/>
    <w:rsid w:val="00643569"/>
    <w:rsid w:val="0064363E"/>
    <w:rsid w:val="006462E7"/>
    <w:rsid w:val="00647769"/>
    <w:rsid w:val="00647B16"/>
    <w:rsid w:val="00647F39"/>
    <w:rsid w:val="00661762"/>
    <w:rsid w:val="0066242C"/>
    <w:rsid w:val="006636BE"/>
    <w:rsid w:val="006639FF"/>
    <w:rsid w:val="006644D9"/>
    <w:rsid w:val="00664A83"/>
    <w:rsid w:val="00664FFB"/>
    <w:rsid w:val="006651F3"/>
    <w:rsid w:val="0066596D"/>
    <w:rsid w:val="00667309"/>
    <w:rsid w:val="006715DC"/>
    <w:rsid w:val="0067334A"/>
    <w:rsid w:val="006746F7"/>
    <w:rsid w:val="0067663B"/>
    <w:rsid w:val="00677BA6"/>
    <w:rsid w:val="00680972"/>
    <w:rsid w:val="00680D7B"/>
    <w:rsid w:val="00682582"/>
    <w:rsid w:val="00682829"/>
    <w:rsid w:val="0068374D"/>
    <w:rsid w:val="00684F76"/>
    <w:rsid w:val="00690C3C"/>
    <w:rsid w:val="00691B4D"/>
    <w:rsid w:val="00692999"/>
    <w:rsid w:val="006944E7"/>
    <w:rsid w:val="00694B16"/>
    <w:rsid w:val="006952DB"/>
    <w:rsid w:val="00695855"/>
    <w:rsid w:val="00695CFE"/>
    <w:rsid w:val="006966B9"/>
    <w:rsid w:val="00696EF6"/>
    <w:rsid w:val="006A1159"/>
    <w:rsid w:val="006A182C"/>
    <w:rsid w:val="006A2A58"/>
    <w:rsid w:val="006A3B25"/>
    <w:rsid w:val="006A4110"/>
    <w:rsid w:val="006A757F"/>
    <w:rsid w:val="006A7C4D"/>
    <w:rsid w:val="006B0211"/>
    <w:rsid w:val="006B310B"/>
    <w:rsid w:val="006B3531"/>
    <w:rsid w:val="006B6AD3"/>
    <w:rsid w:val="006B6F0B"/>
    <w:rsid w:val="006B6F63"/>
    <w:rsid w:val="006B7202"/>
    <w:rsid w:val="006B77B9"/>
    <w:rsid w:val="006C0357"/>
    <w:rsid w:val="006C07AA"/>
    <w:rsid w:val="006C07DC"/>
    <w:rsid w:val="006C14FD"/>
    <w:rsid w:val="006C1CA1"/>
    <w:rsid w:val="006C2294"/>
    <w:rsid w:val="006C31F4"/>
    <w:rsid w:val="006C4B31"/>
    <w:rsid w:val="006C5503"/>
    <w:rsid w:val="006C6AFD"/>
    <w:rsid w:val="006C6F92"/>
    <w:rsid w:val="006C7E22"/>
    <w:rsid w:val="006D00E6"/>
    <w:rsid w:val="006D2DAF"/>
    <w:rsid w:val="006D2E6A"/>
    <w:rsid w:val="006D321C"/>
    <w:rsid w:val="006D4D73"/>
    <w:rsid w:val="006D5274"/>
    <w:rsid w:val="006D5301"/>
    <w:rsid w:val="006E01C4"/>
    <w:rsid w:val="006E09F6"/>
    <w:rsid w:val="006E0A42"/>
    <w:rsid w:val="006E1B07"/>
    <w:rsid w:val="006E3A36"/>
    <w:rsid w:val="006E3B84"/>
    <w:rsid w:val="006E4EB5"/>
    <w:rsid w:val="006E5009"/>
    <w:rsid w:val="006E5718"/>
    <w:rsid w:val="006E57F2"/>
    <w:rsid w:val="006E65B4"/>
    <w:rsid w:val="006E7876"/>
    <w:rsid w:val="006F1DE5"/>
    <w:rsid w:val="006F2970"/>
    <w:rsid w:val="006F2FA9"/>
    <w:rsid w:val="006F2FBD"/>
    <w:rsid w:val="006F5A47"/>
    <w:rsid w:val="00700CEC"/>
    <w:rsid w:val="007022E4"/>
    <w:rsid w:val="007031E1"/>
    <w:rsid w:val="007047F4"/>
    <w:rsid w:val="00705219"/>
    <w:rsid w:val="00706238"/>
    <w:rsid w:val="00706C24"/>
    <w:rsid w:val="0070702B"/>
    <w:rsid w:val="00710024"/>
    <w:rsid w:val="00710211"/>
    <w:rsid w:val="00710C4A"/>
    <w:rsid w:val="00710FF7"/>
    <w:rsid w:val="0071242E"/>
    <w:rsid w:val="00712AA0"/>
    <w:rsid w:val="00712E6F"/>
    <w:rsid w:val="00713343"/>
    <w:rsid w:val="00713747"/>
    <w:rsid w:val="007155D5"/>
    <w:rsid w:val="00715DC9"/>
    <w:rsid w:val="00716666"/>
    <w:rsid w:val="00716AA6"/>
    <w:rsid w:val="0072029A"/>
    <w:rsid w:val="00721422"/>
    <w:rsid w:val="0072176E"/>
    <w:rsid w:val="0072188C"/>
    <w:rsid w:val="00722910"/>
    <w:rsid w:val="00722FCB"/>
    <w:rsid w:val="0072308B"/>
    <w:rsid w:val="007238A7"/>
    <w:rsid w:val="00723A4C"/>
    <w:rsid w:val="00725CA2"/>
    <w:rsid w:val="0072611D"/>
    <w:rsid w:val="00727849"/>
    <w:rsid w:val="00727BA8"/>
    <w:rsid w:val="007305C3"/>
    <w:rsid w:val="00730659"/>
    <w:rsid w:val="00731515"/>
    <w:rsid w:val="00731885"/>
    <w:rsid w:val="00731BC6"/>
    <w:rsid w:val="00732A6A"/>
    <w:rsid w:val="00732C57"/>
    <w:rsid w:val="00735C03"/>
    <w:rsid w:val="00736EA7"/>
    <w:rsid w:val="007371AE"/>
    <w:rsid w:val="00740273"/>
    <w:rsid w:val="0074036E"/>
    <w:rsid w:val="007409A7"/>
    <w:rsid w:val="0074187D"/>
    <w:rsid w:val="00743747"/>
    <w:rsid w:val="0075007A"/>
    <w:rsid w:val="0075176B"/>
    <w:rsid w:val="00751802"/>
    <w:rsid w:val="00751FD0"/>
    <w:rsid w:val="0075208A"/>
    <w:rsid w:val="00752BBF"/>
    <w:rsid w:val="00752E24"/>
    <w:rsid w:val="007531CE"/>
    <w:rsid w:val="0075386C"/>
    <w:rsid w:val="0075484A"/>
    <w:rsid w:val="00755065"/>
    <w:rsid w:val="00767989"/>
    <w:rsid w:val="007700EA"/>
    <w:rsid w:val="00770F38"/>
    <w:rsid w:val="00772087"/>
    <w:rsid w:val="00772100"/>
    <w:rsid w:val="00772778"/>
    <w:rsid w:val="00772F62"/>
    <w:rsid w:val="00774914"/>
    <w:rsid w:val="00775127"/>
    <w:rsid w:val="00777756"/>
    <w:rsid w:val="00781716"/>
    <w:rsid w:val="00785080"/>
    <w:rsid w:val="00790B39"/>
    <w:rsid w:val="00791F40"/>
    <w:rsid w:val="007948B6"/>
    <w:rsid w:val="00794935"/>
    <w:rsid w:val="00794E59"/>
    <w:rsid w:val="00795912"/>
    <w:rsid w:val="00795C83"/>
    <w:rsid w:val="0079771A"/>
    <w:rsid w:val="00797A80"/>
    <w:rsid w:val="007A08E9"/>
    <w:rsid w:val="007A204A"/>
    <w:rsid w:val="007A2A32"/>
    <w:rsid w:val="007A5E0A"/>
    <w:rsid w:val="007A5F13"/>
    <w:rsid w:val="007A61AE"/>
    <w:rsid w:val="007A6F8F"/>
    <w:rsid w:val="007A7AFA"/>
    <w:rsid w:val="007A7FCA"/>
    <w:rsid w:val="007B1559"/>
    <w:rsid w:val="007B2107"/>
    <w:rsid w:val="007B495D"/>
    <w:rsid w:val="007B4E4E"/>
    <w:rsid w:val="007B58D8"/>
    <w:rsid w:val="007B5D14"/>
    <w:rsid w:val="007B620F"/>
    <w:rsid w:val="007B63EC"/>
    <w:rsid w:val="007B698C"/>
    <w:rsid w:val="007C166D"/>
    <w:rsid w:val="007C1B2D"/>
    <w:rsid w:val="007C30FE"/>
    <w:rsid w:val="007C51B2"/>
    <w:rsid w:val="007C773C"/>
    <w:rsid w:val="007C7994"/>
    <w:rsid w:val="007C7AEC"/>
    <w:rsid w:val="007C7D20"/>
    <w:rsid w:val="007D10D1"/>
    <w:rsid w:val="007D24DF"/>
    <w:rsid w:val="007D3074"/>
    <w:rsid w:val="007D4767"/>
    <w:rsid w:val="007D56F0"/>
    <w:rsid w:val="007E0065"/>
    <w:rsid w:val="007E2074"/>
    <w:rsid w:val="007E2576"/>
    <w:rsid w:val="007E3DDD"/>
    <w:rsid w:val="007E4DD8"/>
    <w:rsid w:val="007E64C7"/>
    <w:rsid w:val="007E6575"/>
    <w:rsid w:val="007E6E9F"/>
    <w:rsid w:val="007E7B1E"/>
    <w:rsid w:val="007F1070"/>
    <w:rsid w:val="007F2FED"/>
    <w:rsid w:val="007F33F4"/>
    <w:rsid w:val="007F3629"/>
    <w:rsid w:val="007F406F"/>
    <w:rsid w:val="007F5D01"/>
    <w:rsid w:val="007F7E2B"/>
    <w:rsid w:val="007F7FAC"/>
    <w:rsid w:val="00800FC7"/>
    <w:rsid w:val="00803112"/>
    <w:rsid w:val="008037EB"/>
    <w:rsid w:val="0080415D"/>
    <w:rsid w:val="00806C13"/>
    <w:rsid w:val="00807916"/>
    <w:rsid w:val="00807E93"/>
    <w:rsid w:val="00810145"/>
    <w:rsid w:val="00810282"/>
    <w:rsid w:val="0081151D"/>
    <w:rsid w:val="008124BD"/>
    <w:rsid w:val="008125AB"/>
    <w:rsid w:val="00813246"/>
    <w:rsid w:val="00813E09"/>
    <w:rsid w:val="00815F20"/>
    <w:rsid w:val="00816C4C"/>
    <w:rsid w:val="00816F38"/>
    <w:rsid w:val="00817535"/>
    <w:rsid w:val="008175EA"/>
    <w:rsid w:val="008204FD"/>
    <w:rsid w:val="0082310B"/>
    <w:rsid w:val="00823510"/>
    <w:rsid w:val="008239EF"/>
    <w:rsid w:val="008255EC"/>
    <w:rsid w:val="008278B3"/>
    <w:rsid w:val="0083124C"/>
    <w:rsid w:val="0083126C"/>
    <w:rsid w:val="00831308"/>
    <w:rsid w:val="00831E69"/>
    <w:rsid w:val="00833620"/>
    <w:rsid w:val="00834035"/>
    <w:rsid w:val="008345D7"/>
    <w:rsid w:val="00834A95"/>
    <w:rsid w:val="00835180"/>
    <w:rsid w:val="00835874"/>
    <w:rsid w:val="0083626F"/>
    <w:rsid w:val="008376D1"/>
    <w:rsid w:val="00840F93"/>
    <w:rsid w:val="00842531"/>
    <w:rsid w:val="00842562"/>
    <w:rsid w:val="00842FDF"/>
    <w:rsid w:val="0084340A"/>
    <w:rsid w:val="00843A0D"/>
    <w:rsid w:val="00843EB5"/>
    <w:rsid w:val="008444EF"/>
    <w:rsid w:val="00845C11"/>
    <w:rsid w:val="008461AF"/>
    <w:rsid w:val="00846415"/>
    <w:rsid w:val="00846B8F"/>
    <w:rsid w:val="00847406"/>
    <w:rsid w:val="00847AA0"/>
    <w:rsid w:val="008502F8"/>
    <w:rsid w:val="0085139E"/>
    <w:rsid w:val="00852B29"/>
    <w:rsid w:val="00854440"/>
    <w:rsid w:val="008566A7"/>
    <w:rsid w:val="008572F1"/>
    <w:rsid w:val="008602A6"/>
    <w:rsid w:val="00860408"/>
    <w:rsid w:val="00860B4E"/>
    <w:rsid w:val="00862B6D"/>
    <w:rsid w:val="008643A3"/>
    <w:rsid w:val="0086468B"/>
    <w:rsid w:val="00865489"/>
    <w:rsid w:val="00867109"/>
    <w:rsid w:val="008678BE"/>
    <w:rsid w:val="008704A7"/>
    <w:rsid w:val="0087233B"/>
    <w:rsid w:val="00872998"/>
    <w:rsid w:val="00872B7B"/>
    <w:rsid w:val="008739BA"/>
    <w:rsid w:val="00873C4B"/>
    <w:rsid w:val="00873C5F"/>
    <w:rsid w:val="00874073"/>
    <w:rsid w:val="008758DF"/>
    <w:rsid w:val="00875C31"/>
    <w:rsid w:val="00881748"/>
    <w:rsid w:val="008825FF"/>
    <w:rsid w:val="00882957"/>
    <w:rsid w:val="00883100"/>
    <w:rsid w:val="008831C4"/>
    <w:rsid w:val="00884C15"/>
    <w:rsid w:val="0088569D"/>
    <w:rsid w:val="00885988"/>
    <w:rsid w:val="00887843"/>
    <w:rsid w:val="008950B1"/>
    <w:rsid w:val="0089631C"/>
    <w:rsid w:val="00896A63"/>
    <w:rsid w:val="00897188"/>
    <w:rsid w:val="00897995"/>
    <w:rsid w:val="00897E15"/>
    <w:rsid w:val="008A01B2"/>
    <w:rsid w:val="008A043C"/>
    <w:rsid w:val="008A1BF8"/>
    <w:rsid w:val="008A20CF"/>
    <w:rsid w:val="008A488A"/>
    <w:rsid w:val="008A48A8"/>
    <w:rsid w:val="008A77DA"/>
    <w:rsid w:val="008A7B04"/>
    <w:rsid w:val="008A7B2D"/>
    <w:rsid w:val="008B12A2"/>
    <w:rsid w:val="008B244F"/>
    <w:rsid w:val="008B4ADD"/>
    <w:rsid w:val="008B6622"/>
    <w:rsid w:val="008B68EA"/>
    <w:rsid w:val="008C0033"/>
    <w:rsid w:val="008C0551"/>
    <w:rsid w:val="008C094C"/>
    <w:rsid w:val="008C1171"/>
    <w:rsid w:val="008C178A"/>
    <w:rsid w:val="008C1947"/>
    <w:rsid w:val="008C255C"/>
    <w:rsid w:val="008C3DD3"/>
    <w:rsid w:val="008C60C6"/>
    <w:rsid w:val="008C75E1"/>
    <w:rsid w:val="008D075B"/>
    <w:rsid w:val="008D07F1"/>
    <w:rsid w:val="008D14F8"/>
    <w:rsid w:val="008D264B"/>
    <w:rsid w:val="008D3A05"/>
    <w:rsid w:val="008D6751"/>
    <w:rsid w:val="008D7A35"/>
    <w:rsid w:val="008D7E5C"/>
    <w:rsid w:val="008E18C0"/>
    <w:rsid w:val="008E1E6E"/>
    <w:rsid w:val="008E1FFA"/>
    <w:rsid w:val="008E278E"/>
    <w:rsid w:val="008E2D3E"/>
    <w:rsid w:val="008E43D8"/>
    <w:rsid w:val="008E4FDA"/>
    <w:rsid w:val="008E71CD"/>
    <w:rsid w:val="008E779A"/>
    <w:rsid w:val="008F122F"/>
    <w:rsid w:val="008F1473"/>
    <w:rsid w:val="008F2354"/>
    <w:rsid w:val="008F3501"/>
    <w:rsid w:val="008F7296"/>
    <w:rsid w:val="008F74AB"/>
    <w:rsid w:val="00900732"/>
    <w:rsid w:val="009007AB"/>
    <w:rsid w:val="0090167E"/>
    <w:rsid w:val="009025ED"/>
    <w:rsid w:val="00902F27"/>
    <w:rsid w:val="00903896"/>
    <w:rsid w:val="00903A7A"/>
    <w:rsid w:val="00903E49"/>
    <w:rsid w:val="00903EC7"/>
    <w:rsid w:val="00904BE6"/>
    <w:rsid w:val="00904F80"/>
    <w:rsid w:val="00905BAA"/>
    <w:rsid w:val="009061C3"/>
    <w:rsid w:val="00907353"/>
    <w:rsid w:val="00907AB0"/>
    <w:rsid w:val="00912DF4"/>
    <w:rsid w:val="009139B4"/>
    <w:rsid w:val="009140BC"/>
    <w:rsid w:val="00915559"/>
    <w:rsid w:val="00915708"/>
    <w:rsid w:val="00915C40"/>
    <w:rsid w:val="009160E0"/>
    <w:rsid w:val="00920B15"/>
    <w:rsid w:val="0092121C"/>
    <w:rsid w:val="009215E5"/>
    <w:rsid w:val="0092171A"/>
    <w:rsid w:val="009224BF"/>
    <w:rsid w:val="009227CD"/>
    <w:rsid w:val="00922AC5"/>
    <w:rsid w:val="00923930"/>
    <w:rsid w:val="00925264"/>
    <w:rsid w:val="009256BC"/>
    <w:rsid w:val="00930112"/>
    <w:rsid w:val="00930954"/>
    <w:rsid w:val="00930F6A"/>
    <w:rsid w:val="009312CE"/>
    <w:rsid w:val="009312DC"/>
    <w:rsid w:val="00933933"/>
    <w:rsid w:val="0093408B"/>
    <w:rsid w:val="00934D4B"/>
    <w:rsid w:val="00936B7A"/>
    <w:rsid w:val="00936C35"/>
    <w:rsid w:val="00937E03"/>
    <w:rsid w:val="009440CC"/>
    <w:rsid w:val="00944680"/>
    <w:rsid w:val="0094593F"/>
    <w:rsid w:val="00945C8B"/>
    <w:rsid w:val="009477A2"/>
    <w:rsid w:val="00947E54"/>
    <w:rsid w:val="00947E77"/>
    <w:rsid w:val="00950922"/>
    <w:rsid w:val="00950A45"/>
    <w:rsid w:val="00950EA5"/>
    <w:rsid w:val="00951306"/>
    <w:rsid w:val="0095144A"/>
    <w:rsid w:val="00952EA7"/>
    <w:rsid w:val="00953059"/>
    <w:rsid w:val="0095310E"/>
    <w:rsid w:val="00953528"/>
    <w:rsid w:val="0095689A"/>
    <w:rsid w:val="00957690"/>
    <w:rsid w:val="00960CD4"/>
    <w:rsid w:val="009611EA"/>
    <w:rsid w:val="00961FDA"/>
    <w:rsid w:val="00962B5C"/>
    <w:rsid w:val="00962F56"/>
    <w:rsid w:val="00963CA1"/>
    <w:rsid w:val="00963EF9"/>
    <w:rsid w:val="0096598C"/>
    <w:rsid w:val="00965FDF"/>
    <w:rsid w:val="009663A1"/>
    <w:rsid w:val="00967614"/>
    <w:rsid w:val="00967C2A"/>
    <w:rsid w:val="00970D39"/>
    <w:rsid w:val="00970DEC"/>
    <w:rsid w:val="00971AFE"/>
    <w:rsid w:val="00972378"/>
    <w:rsid w:val="00972C7F"/>
    <w:rsid w:val="009738E2"/>
    <w:rsid w:val="00973B9A"/>
    <w:rsid w:val="009742DA"/>
    <w:rsid w:val="00974C6E"/>
    <w:rsid w:val="00975C73"/>
    <w:rsid w:val="00975D4F"/>
    <w:rsid w:val="0097711F"/>
    <w:rsid w:val="009801D7"/>
    <w:rsid w:val="0098042F"/>
    <w:rsid w:val="00982DF6"/>
    <w:rsid w:val="00983591"/>
    <w:rsid w:val="0099070C"/>
    <w:rsid w:val="009911D5"/>
    <w:rsid w:val="0099236A"/>
    <w:rsid w:val="00994F7A"/>
    <w:rsid w:val="00994F81"/>
    <w:rsid w:val="009952E8"/>
    <w:rsid w:val="009965B2"/>
    <w:rsid w:val="00996751"/>
    <w:rsid w:val="00997401"/>
    <w:rsid w:val="009A13DE"/>
    <w:rsid w:val="009A281E"/>
    <w:rsid w:val="009A5726"/>
    <w:rsid w:val="009A633F"/>
    <w:rsid w:val="009A65DF"/>
    <w:rsid w:val="009A6745"/>
    <w:rsid w:val="009A7B74"/>
    <w:rsid w:val="009B0122"/>
    <w:rsid w:val="009B71F3"/>
    <w:rsid w:val="009C021C"/>
    <w:rsid w:val="009C0776"/>
    <w:rsid w:val="009C2552"/>
    <w:rsid w:val="009C2E4D"/>
    <w:rsid w:val="009C354F"/>
    <w:rsid w:val="009C3891"/>
    <w:rsid w:val="009C43EF"/>
    <w:rsid w:val="009C515A"/>
    <w:rsid w:val="009C5297"/>
    <w:rsid w:val="009C6C36"/>
    <w:rsid w:val="009C7FF8"/>
    <w:rsid w:val="009D0F13"/>
    <w:rsid w:val="009D1283"/>
    <w:rsid w:val="009D16CC"/>
    <w:rsid w:val="009D1B0A"/>
    <w:rsid w:val="009D3568"/>
    <w:rsid w:val="009D3F7C"/>
    <w:rsid w:val="009D4DCD"/>
    <w:rsid w:val="009D70E3"/>
    <w:rsid w:val="009E1DBA"/>
    <w:rsid w:val="009E4D28"/>
    <w:rsid w:val="009E5CDC"/>
    <w:rsid w:val="009E6060"/>
    <w:rsid w:val="009F3BB0"/>
    <w:rsid w:val="009F3D4A"/>
    <w:rsid w:val="009F4AE3"/>
    <w:rsid w:val="009F608E"/>
    <w:rsid w:val="009F61FC"/>
    <w:rsid w:val="009F7919"/>
    <w:rsid w:val="00A01563"/>
    <w:rsid w:val="00A01D57"/>
    <w:rsid w:val="00A03251"/>
    <w:rsid w:val="00A03579"/>
    <w:rsid w:val="00A03D42"/>
    <w:rsid w:val="00A04248"/>
    <w:rsid w:val="00A04807"/>
    <w:rsid w:val="00A0515B"/>
    <w:rsid w:val="00A07870"/>
    <w:rsid w:val="00A07AEE"/>
    <w:rsid w:val="00A07E03"/>
    <w:rsid w:val="00A114E6"/>
    <w:rsid w:val="00A11FC4"/>
    <w:rsid w:val="00A12270"/>
    <w:rsid w:val="00A12635"/>
    <w:rsid w:val="00A145B0"/>
    <w:rsid w:val="00A147CB"/>
    <w:rsid w:val="00A152E8"/>
    <w:rsid w:val="00A16609"/>
    <w:rsid w:val="00A16D9D"/>
    <w:rsid w:val="00A17A09"/>
    <w:rsid w:val="00A17DA6"/>
    <w:rsid w:val="00A21A5D"/>
    <w:rsid w:val="00A21D46"/>
    <w:rsid w:val="00A239DF"/>
    <w:rsid w:val="00A24361"/>
    <w:rsid w:val="00A25850"/>
    <w:rsid w:val="00A25A6D"/>
    <w:rsid w:val="00A26D74"/>
    <w:rsid w:val="00A278D3"/>
    <w:rsid w:val="00A31321"/>
    <w:rsid w:val="00A31526"/>
    <w:rsid w:val="00A32442"/>
    <w:rsid w:val="00A32543"/>
    <w:rsid w:val="00A357FC"/>
    <w:rsid w:val="00A35BB8"/>
    <w:rsid w:val="00A37063"/>
    <w:rsid w:val="00A40781"/>
    <w:rsid w:val="00A41E3D"/>
    <w:rsid w:val="00A4258E"/>
    <w:rsid w:val="00A43B0C"/>
    <w:rsid w:val="00A45528"/>
    <w:rsid w:val="00A4782B"/>
    <w:rsid w:val="00A47BAE"/>
    <w:rsid w:val="00A50549"/>
    <w:rsid w:val="00A51357"/>
    <w:rsid w:val="00A53982"/>
    <w:rsid w:val="00A540C2"/>
    <w:rsid w:val="00A54376"/>
    <w:rsid w:val="00A54515"/>
    <w:rsid w:val="00A55F47"/>
    <w:rsid w:val="00A56779"/>
    <w:rsid w:val="00A61BDE"/>
    <w:rsid w:val="00A629D2"/>
    <w:rsid w:val="00A6355B"/>
    <w:rsid w:val="00A65B0D"/>
    <w:rsid w:val="00A67E19"/>
    <w:rsid w:val="00A713B0"/>
    <w:rsid w:val="00A72D01"/>
    <w:rsid w:val="00A73ED0"/>
    <w:rsid w:val="00A757B4"/>
    <w:rsid w:val="00A75B1C"/>
    <w:rsid w:val="00A75BA6"/>
    <w:rsid w:val="00A76D58"/>
    <w:rsid w:val="00A7767F"/>
    <w:rsid w:val="00A804DA"/>
    <w:rsid w:val="00A80BA4"/>
    <w:rsid w:val="00A82463"/>
    <w:rsid w:val="00A827DF"/>
    <w:rsid w:val="00A831B5"/>
    <w:rsid w:val="00A838C1"/>
    <w:rsid w:val="00A83E81"/>
    <w:rsid w:val="00A84ADF"/>
    <w:rsid w:val="00A85E13"/>
    <w:rsid w:val="00A86EC8"/>
    <w:rsid w:val="00A873DA"/>
    <w:rsid w:val="00A901E1"/>
    <w:rsid w:val="00A90CDE"/>
    <w:rsid w:val="00A91406"/>
    <w:rsid w:val="00A93FF3"/>
    <w:rsid w:val="00A94D7A"/>
    <w:rsid w:val="00A95598"/>
    <w:rsid w:val="00A95BC6"/>
    <w:rsid w:val="00A95EBC"/>
    <w:rsid w:val="00A97D79"/>
    <w:rsid w:val="00AA0750"/>
    <w:rsid w:val="00AA12F1"/>
    <w:rsid w:val="00AA1324"/>
    <w:rsid w:val="00AA203E"/>
    <w:rsid w:val="00AA2858"/>
    <w:rsid w:val="00AA6624"/>
    <w:rsid w:val="00AA6E44"/>
    <w:rsid w:val="00AB0D8E"/>
    <w:rsid w:val="00AB44F6"/>
    <w:rsid w:val="00AB64D0"/>
    <w:rsid w:val="00AB6D6C"/>
    <w:rsid w:val="00AB7507"/>
    <w:rsid w:val="00AB794F"/>
    <w:rsid w:val="00AC3A21"/>
    <w:rsid w:val="00AC3EF8"/>
    <w:rsid w:val="00AC401F"/>
    <w:rsid w:val="00AC5410"/>
    <w:rsid w:val="00AC635A"/>
    <w:rsid w:val="00AC6B30"/>
    <w:rsid w:val="00AD4F30"/>
    <w:rsid w:val="00AD552C"/>
    <w:rsid w:val="00AD6502"/>
    <w:rsid w:val="00AD67C4"/>
    <w:rsid w:val="00AD7261"/>
    <w:rsid w:val="00AD7B0A"/>
    <w:rsid w:val="00AD7EB9"/>
    <w:rsid w:val="00AD7FC6"/>
    <w:rsid w:val="00AE1B47"/>
    <w:rsid w:val="00AE2422"/>
    <w:rsid w:val="00AE2E15"/>
    <w:rsid w:val="00AE6B89"/>
    <w:rsid w:val="00AE70B4"/>
    <w:rsid w:val="00AE7414"/>
    <w:rsid w:val="00AE7601"/>
    <w:rsid w:val="00AF003C"/>
    <w:rsid w:val="00AF01C1"/>
    <w:rsid w:val="00AF05CB"/>
    <w:rsid w:val="00AF1221"/>
    <w:rsid w:val="00AF122E"/>
    <w:rsid w:val="00AF1F5D"/>
    <w:rsid w:val="00AF2133"/>
    <w:rsid w:val="00AF3726"/>
    <w:rsid w:val="00AF40D6"/>
    <w:rsid w:val="00AF4C4D"/>
    <w:rsid w:val="00AF56A1"/>
    <w:rsid w:val="00AF614D"/>
    <w:rsid w:val="00AF62B0"/>
    <w:rsid w:val="00AF737F"/>
    <w:rsid w:val="00B00046"/>
    <w:rsid w:val="00B049B8"/>
    <w:rsid w:val="00B04FBE"/>
    <w:rsid w:val="00B0710B"/>
    <w:rsid w:val="00B0738F"/>
    <w:rsid w:val="00B078C8"/>
    <w:rsid w:val="00B10C22"/>
    <w:rsid w:val="00B1375E"/>
    <w:rsid w:val="00B13C68"/>
    <w:rsid w:val="00B14649"/>
    <w:rsid w:val="00B1666C"/>
    <w:rsid w:val="00B1758C"/>
    <w:rsid w:val="00B17DDC"/>
    <w:rsid w:val="00B2023C"/>
    <w:rsid w:val="00B208DB"/>
    <w:rsid w:val="00B20CC0"/>
    <w:rsid w:val="00B21294"/>
    <w:rsid w:val="00B2184A"/>
    <w:rsid w:val="00B2212E"/>
    <w:rsid w:val="00B230EA"/>
    <w:rsid w:val="00B23A04"/>
    <w:rsid w:val="00B26069"/>
    <w:rsid w:val="00B26253"/>
    <w:rsid w:val="00B2637B"/>
    <w:rsid w:val="00B26BE9"/>
    <w:rsid w:val="00B26CD5"/>
    <w:rsid w:val="00B27498"/>
    <w:rsid w:val="00B304FC"/>
    <w:rsid w:val="00B30604"/>
    <w:rsid w:val="00B3067B"/>
    <w:rsid w:val="00B313FF"/>
    <w:rsid w:val="00B31A62"/>
    <w:rsid w:val="00B31D51"/>
    <w:rsid w:val="00B32BDD"/>
    <w:rsid w:val="00B3357B"/>
    <w:rsid w:val="00B33746"/>
    <w:rsid w:val="00B3476E"/>
    <w:rsid w:val="00B3483B"/>
    <w:rsid w:val="00B34DBF"/>
    <w:rsid w:val="00B34F84"/>
    <w:rsid w:val="00B354D9"/>
    <w:rsid w:val="00B36A25"/>
    <w:rsid w:val="00B373C3"/>
    <w:rsid w:val="00B37D36"/>
    <w:rsid w:val="00B40187"/>
    <w:rsid w:val="00B40EB8"/>
    <w:rsid w:val="00B41AEE"/>
    <w:rsid w:val="00B4277A"/>
    <w:rsid w:val="00B50C43"/>
    <w:rsid w:val="00B50CC9"/>
    <w:rsid w:val="00B51E45"/>
    <w:rsid w:val="00B533C3"/>
    <w:rsid w:val="00B5361B"/>
    <w:rsid w:val="00B53F65"/>
    <w:rsid w:val="00B5464E"/>
    <w:rsid w:val="00B5471F"/>
    <w:rsid w:val="00B567A8"/>
    <w:rsid w:val="00B616F0"/>
    <w:rsid w:val="00B618AD"/>
    <w:rsid w:val="00B62FB4"/>
    <w:rsid w:val="00B6319D"/>
    <w:rsid w:val="00B63E19"/>
    <w:rsid w:val="00B65768"/>
    <w:rsid w:val="00B66291"/>
    <w:rsid w:val="00B67056"/>
    <w:rsid w:val="00B671BC"/>
    <w:rsid w:val="00B67ABE"/>
    <w:rsid w:val="00B70638"/>
    <w:rsid w:val="00B70D38"/>
    <w:rsid w:val="00B71E54"/>
    <w:rsid w:val="00B732D4"/>
    <w:rsid w:val="00B7351D"/>
    <w:rsid w:val="00B73E9A"/>
    <w:rsid w:val="00B74841"/>
    <w:rsid w:val="00B75BF5"/>
    <w:rsid w:val="00B76C80"/>
    <w:rsid w:val="00B808FC"/>
    <w:rsid w:val="00B80C75"/>
    <w:rsid w:val="00B80F0A"/>
    <w:rsid w:val="00B818D3"/>
    <w:rsid w:val="00B82609"/>
    <w:rsid w:val="00B834FA"/>
    <w:rsid w:val="00B83703"/>
    <w:rsid w:val="00B846F2"/>
    <w:rsid w:val="00B84A68"/>
    <w:rsid w:val="00B86C0B"/>
    <w:rsid w:val="00B90F7F"/>
    <w:rsid w:val="00B938F2"/>
    <w:rsid w:val="00B9519C"/>
    <w:rsid w:val="00B961BA"/>
    <w:rsid w:val="00B96842"/>
    <w:rsid w:val="00BA0A6F"/>
    <w:rsid w:val="00BA16E2"/>
    <w:rsid w:val="00BA1900"/>
    <w:rsid w:val="00BA4DA9"/>
    <w:rsid w:val="00BA5741"/>
    <w:rsid w:val="00BA5A1E"/>
    <w:rsid w:val="00BA5AF5"/>
    <w:rsid w:val="00BA6289"/>
    <w:rsid w:val="00BA7731"/>
    <w:rsid w:val="00BB06C3"/>
    <w:rsid w:val="00BB198E"/>
    <w:rsid w:val="00BB2B34"/>
    <w:rsid w:val="00BB2DED"/>
    <w:rsid w:val="00BB5045"/>
    <w:rsid w:val="00BB69FC"/>
    <w:rsid w:val="00BB7332"/>
    <w:rsid w:val="00BC14EA"/>
    <w:rsid w:val="00BC2B41"/>
    <w:rsid w:val="00BC2D3C"/>
    <w:rsid w:val="00BC3645"/>
    <w:rsid w:val="00BC45A6"/>
    <w:rsid w:val="00BC5233"/>
    <w:rsid w:val="00BC6DFB"/>
    <w:rsid w:val="00BC7874"/>
    <w:rsid w:val="00BD1ADF"/>
    <w:rsid w:val="00BD1C63"/>
    <w:rsid w:val="00BD2256"/>
    <w:rsid w:val="00BD2F69"/>
    <w:rsid w:val="00BD48CF"/>
    <w:rsid w:val="00BD4CF5"/>
    <w:rsid w:val="00BD4F41"/>
    <w:rsid w:val="00BD516A"/>
    <w:rsid w:val="00BD534F"/>
    <w:rsid w:val="00BD5A3F"/>
    <w:rsid w:val="00BD6F5B"/>
    <w:rsid w:val="00BD7520"/>
    <w:rsid w:val="00BE0610"/>
    <w:rsid w:val="00BE134A"/>
    <w:rsid w:val="00BE3780"/>
    <w:rsid w:val="00BE3AB4"/>
    <w:rsid w:val="00BE77F5"/>
    <w:rsid w:val="00BE7EE6"/>
    <w:rsid w:val="00BE7EFA"/>
    <w:rsid w:val="00BF01CC"/>
    <w:rsid w:val="00BF0DD0"/>
    <w:rsid w:val="00BF13D7"/>
    <w:rsid w:val="00BF2422"/>
    <w:rsid w:val="00BF3011"/>
    <w:rsid w:val="00BF321A"/>
    <w:rsid w:val="00BF398E"/>
    <w:rsid w:val="00BF5DF7"/>
    <w:rsid w:val="00BF665D"/>
    <w:rsid w:val="00BF6F88"/>
    <w:rsid w:val="00C01111"/>
    <w:rsid w:val="00C01F94"/>
    <w:rsid w:val="00C047BD"/>
    <w:rsid w:val="00C04A31"/>
    <w:rsid w:val="00C04D02"/>
    <w:rsid w:val="00C0507F"/>
    <w:rsid w:val="00C06FF6"/>
    <w:rsid w:val="00C07740"/>
    <w:rsid w:val="00C07FEC"/>
    <w:rsid w:val="00C110BD"/>
    <w:rsid w:val="00C1307B"/>
    <w:rsid w:val="00C145A9"/>
    <w:rsid w:val="00C14D89"/>
    <w:rsid w:val="00C14DA1"/>
    <w:rsid w:val="00C16829"/>
    <w:rsid w:val="00C16E36"/>
    <w:rsid w:val="00C17FB6"/>
    <w:rsid w:val="00C20153"/>
    <w:rsid w:val="00C20638"/>
    <w:rsid w:val="00C20D73"/>
    <w:rsid w:val="00C22D09"/>
    <w:rsid w:val="00C22FA0"/>
    <w:rsid w:val="00C25CC5"/>
    <w:rsid w:val="00C26477"/>
    <w:rsid w:val="00C26CBB"/>
    <w:rsid w:val="00C27C0C"/>
    <w:rsid w:val="00C31604"/>
    <w:rsid w:val="00C3277D"/>
    <w:rsid w:val="00C32DB8"/>
    <w:rsid w:val="00C32F7E"/>
    <w:rsid w:val="00C32FDC"/>
    <w:rsid w:val="00C3360B"/>
    <w:rsid w:val="00C33916"/>
    <w:rsid w:val="00C34A2F"/>
    <w:rsid w:val="00C3536F"/>
    <w:rsid w:val="00C3552D"/>
    <w:rsid w:val="00C37078"/>
    <w:rsid w:val="00C371A9"/>
    <w:rsid w:val="00C419A2"/>
    <w:rsid w:val="00C44341"/>
    <w:rsid w:val="00C45BFE"/>
    <w:rsid w:val="00C45F01"/>
    <w:rsid w:val="00C4609F"/>
    <w:rsid w:val="00C46C51"/>
    <w:rsid w:val="00C47B28"/>
    <w:rsid w:val="00C50EAB"/>
    <w:rsid w:val="00C50F20"/>
    <w:rsid w:val="00C511CB"/>
    <w:rsid w:val="00C521C8"/>
    <w:rsid w:val="00C541F1"/>
    <w:rsid w:val="00C54A42"/>
    <w:rsid w:val="00C56D06"/>
    <w:rsid w:val="00C5703E"/>
    <w:rsid w:val="00C60806"/>
    <w:rsid w:val="00C60CD4"/>
    <w:rsid w:val="00C63738"/>
    <w:rsid w:val="00C63AE5"/>
    <w:rsid w:val="00C63BEF"/>
    <w:rsid w:val="00C647B0"/>
    <w:rsid w:val="00C70DC0"/>
    <w:rsid w:val="00C70E11"/>
    <w:rsid w:val="00C72B07"/>
    <w:rsid w:val="00C72FC4"/>
    <w:rsid w:val="00C74906"/>
    <w:rsid w:val="00C755C8"/>
    <w:rsid w:val="00C75E88"/>
    <w:rsid w:val="00C7647F"/>
    <w:rsid w:val="00C76858"/>
    <w:rsid w:val="00C7724D"/>
    <w:rsid w:val="00C77343"/>
    <w:rsid w:val="00C77C2A"/>
    <w:rsid w:val="00C80885"/>
    <w:rsid w:val="00C834CA"/>
    <w:rsid w:val="00C83B14"/>
    <w:rsid w:val="00C84A9F"/>
    <w:rsid w:val="00C84C7E"/>
    <w:rsid w:val="00C851AE"/>
    <w:rsid w:val="00C85C8A"/>
    <w:rsid w:val="00C86857"/>
    <w:rsid w:val="00C87679"/>
    <w:rsid w:val="00C87EC9"/>
    <w:rsid w:val="00C9031D"/>
    <w:rsid w:val="00C909FA"/>
    <w:rsid w:val="00C92153"/>
    <w:rsid w:val="00C93683"/>
    <w:rsid w:val="00CA00BA"/>
    <w:rsid w:val="00CA0487"/>
    <w:rsid w:val="00CA06DD"/>
    <w:rsid w:val="00CA0C16"/>
    <w:rsid w:val="00CA16FC"/>
    <w:rsid w:val="00CA364E"/>
    <w:rsid w:val="00CA3DD7"/>
    <w:rsid w:val="00CA4693"/>
    <w:rsid w:val="00CB3E6C"/>
    <w:rsid w:val="00CB457D"/>
    <w:rsid w:val="00CB4C4A"/>
    <w:rsid w:val="00CB56F9"/>
    <w:rsid w:val="00CB5834"/>
    <w:rsid w:val="00CB5AC0"/>
    <w:rsid w:val="00CB660F"/>
    <w:rsid w:val="00CB6670"/>
    <w:rsid w:val="00CB66E7"/>
    <w:rsid w:val="00CB72BD"/>
    <w:rsid w:val="00CB732E"/>
    <w:rsid w:val="00CB747D"/>
    <w:rsid w:val="00CB785E"/>
    <w:rsid w:val="00CC012B"/>
    <w:rsid w:val="00CC1E3A"/>
    <w:rsid w:val="00CC38C9"/>
    <w:rsid w:val="00CC5327"/>
    <w:rsid w:val="00CC64E2"/>
    <w:rsid w:val="00CC6529"/>
    <w:rsid w:val="00CC7DA1"/>
    <w:rsid w:val="00CC7EA6"/>
    <w:rsid w:val="00CD0900"/>
    <w:rsid w:val="00CD1D2F"/>
    <w:rsid w:val="00CD1F12"/>
    <w:rsid w:val="00CD2981"/>
    <w:rsid w:val="00CD3852"/>
    <w:rsid w:val="00CD3BBE"/>
    <w:rsid w:val="00CD45A0"/>
    <w:rsid w:val="00CD4919"/>
    <w:rsid w:val="00CD5734"/>
    <w:rsid w:val="00CD6585"/>
    <w:rsid w:val="00CD6B9C"/>
    <w:rsid w:val="00CD74F1"/>
    <w:rsid w:val="00CE02F5"/>
    <w:rsid w:val="00CE1230"/>
    <w:rsid w:val="00CE15A5"/>
    <w:rsid w:val="00CE1715"/>
    <w:rsid w:val="00CE27B3"/>
    <w:rsid w:val="00CE385E"/>
    <w:rsid w:val="00CE3D8E"/>
    <w:rsid w:val="00CE4CEA"/>
    <w:rsid w:val="00CE5DD2"/>
    <w:rsid w:val="00CE62B1"/>
    <w:rsid w:val="00CE7CF1"/>
    <w:rsid w:val="00CE7F87"/>
    <w:rsid w:val="00CE7FC6"/>
    <w:rsid w:val="00CF01E5"/>
    <w:rsid w:val="00CF0227"/>
    <w:rsid w:val="00CF111B"/>
    <w:rsid w:val="00CF1276"/>
    <w:rsid w:val="00CF1704"/>
    <w:rsid w:val="00CF3314"/>
    <w:rsid w:val="00CF4BA6"/>
    <w:rsid w:val="00CF4D86"/>
    <w:rsid w:val="00CF6648"/>
    <w:rsid w:val="00CF69BB"/>
    <w:rsid w:val="00CF6D83"/>
    <w:rsid w:val="00D00318"/>
    <w:rsid w:val="00D00D92"/>
    <w:rsid w:val="00D01036"/>
    <w:rsid w:val="00D0108D"/>
    <w:rsid w:val="00D0185A"/>
    <w:rsid w:val="00D024C1"/>
    <w:rsid w:val="00D02DB3"/>
    <w:rsid w:val="00D035F8"/>
    <w:rsid w:val="00D03D3A"/>
    <w:rsid w:val="00D047C3"/>
    <w:rsid w:val="00D05875"/>
    <w:rsid w:val="00D06009"/>
    <w:rsid w:val="00D06793"/>
    <w:rsid w:val="00D1183A"/>
    <w:rsid w:val="00D11A18"/>
    <w:rsid w:val="00D13028"/>
    <w:rsid w:val="00D14157"/>
    <w:rsid w:val="00D14D11"/>
    <w:rsid w:val="00D1583F"/>
    <w:rsid w:val="00D15AA5"/>
    <w:rsid w:val="00D16D94"/>
    <w:rsid w:val="00D2000D"/>
    <w:rsid w:val="00D2024B"/>
    <w:rsid w:val="00D21C46"/>
    <w:rsid w:val="00D223A6"/>
    <w:rsid w:val="00D2249B"/>
    <w:rsid w:val="00D23C66"/>
    <w:rsid w:val="00D23D0E"/>
    <w:rsid w:val="00D2429A"/>
    <w:rsid w:val="00D25463"/>
    <w:rsid w:val="00D263A9"/>
    <w:rsid w:val="00D26B20"/>
    <w:rsid w:val="00D26BF7"/>
    <w:rsid w:val="00D3053F"/>
    <w:rsid w:val="00D34EFD"/>
    <w:rsid w:val="00D40DEB"/>
    <w:rsid w:val="00D4101E"/>
    <w:rsid w:val="00D44F36"/>
    <w:rsid w:val="00D45710"/>
    <w:rsid w:val="00D45834"/>
    <w:rsid w:val="00D464F2"/>
    <w:rsid w:val="00D478E5"/>
    <w:rsid w:val="00D47C0B"/>
    <w:rsid w:val="00D5085A"/>
    <w:rsid w:val="00D52724"/>
    <w:rsid w:val="00D53E70"/>
    <w:rsid w:val="00D54AAE"/>
    <w:rsid w:val="00D55AC0"/>
    <w:rsid w:val="00D61196"/>
    <w:rsid w:val="00D616F4"/>
    <w:rsid w:val="00D62448"/>
    <w:rsid w:val="00D63B76"/>
    <w:rsid w:val="00D63CF8"/>
    <w:rsid w:val="00D63DC3"/>
    <w:rsid w:val="00D66BC3"/>
    <w:rsid w:val="00D66CC1"/>
    <w:rsid w:val="00D67633"/>
    <w:rsid w:val="00D67A93"/>
    <w:rsid w:val="00D67C02"/>
    <w:rsid w:val="00D71A64"/>
    <w:rsid w:val="00D7289B"/>
    <w:rsid w:val="00D72BC6"/>
    <w:rsid w:val="00D72D87"/>
    <w:rsid w:val="00D73A5B"/>
    <w:rsid w:val="00D73BA1"/>
    <w:rsid w:val="00D74573"/>
    <w:rsid w:val="00D74719"/>
    <w:rsid w:val="00D75186"/>
    <w:rsid w:val="00D7562B"/>
    <w:rsid w:val="00D75C1D"/>
    <w:rsid w:val="00D810DD"/>
    <w:rsid w:val="00D820FB"/>
    <w:rsid w:val="00D8267F"/>
    <w:rsid w:val="00D845C9"/>
    <w:rsid w:val="00D845EE"/>
    <w:rsid w:val="00D849CE"/>
    <w:rsid w:val="00D84B11"/>
    <w:rsid w:val="00D85451"/>
    <w:rsid w:val="00D854DA"/>
    <w:rsid w:val="00D85AD8"/>
    <w:rsid w:val="00D86E27"/>
    <w:rsid w:val="00D86FBD"/>
    <w:rsid w:val="00D9023E"/>
    <w:rsid w:val="00D9177A"/>
    <w:rsid w:val="00D92CF4"/>
    <w:rsid w:val="00D93147"/>
    <w:rsid w:val="00D93C67"/>
    <w:rsid w:val="00D9440B"/>
    <w:rsid w:val="00D955A5"/>
    <w:rsid w:val="00D95F7E"/>
    <w:rsid w:val="00DA0AE6"/>
    <w:rsid w:val="00DA0E96"/>
    <w:rsid w:val="00DA168E"/>
    <w:rsid w:val="00DA1BB6"/>
    <w:rsid w:val="00DA3403"/>
    <w:rsid w:val="00DA508B"/>
    <w:rsid w:val="00DB038D"/>
    <w:rsid w:val="00DB0651"/>
    <w:rsid w:val="00DB1886"/>
    <w:rsid w:val="00DB2805"/>
    <w:rsid w:val="00DB3429"/>
    <w:rsid w:val="00DB385D"/>
    <w:rsid w:val="00DB4D96"/>
    <w:rsid w:val="00DB5CBF"/>
    <w:rsid w:val="00DC2277"/>
    <w:rsid w:val="00DC23D5"/>
    <w:rsid w:val="00DC3BBD"/>
    <w:rsid w:val="00DC3EA9"/>
    <w:rsid w:val="00DC3F94"/>
    <w:rsid w:val="00DC4F69"/>
    <w:rsid w:val="00DC64E2"/>
    <w:rsid w:val="00DC66DF"/>
    <w:rsid w:val="00DC71A4"/>
    <w:rsid w:val="00DD102C"/>
    <w:rsid w:val="00DD144E"/>
    <w:rsid w:val="00DD1CD5"/>
    <w:rsid w:val="00DD378A"/>
    <w:rsid w:val="00DD3D0A"/>
    <w:rsid w:val="00DD4B32"/>
    <w:rsid w:val="00DD5662"/>
    <w:rsid w:val="00DD5767"/>
    <w:rsid w:val="00DD61AB"/>
    <w:rsid w:val="00DD72AC"/>
    <w:rsid w:val="00DD7827"/>
    <w:rsid w:val="00DE1743"/>
    <w:rsid w:val="00DE1C41"/>
    <w:rsid w:val="00DE2003"/>
    <w:rsid w:val="00DE2147"/>
    <w:rsid w:val="00DE3308"/>
    <w:rsid w:val="00DE4450"/>
    <w:rsid w:val="00DF1ADA"/>
    <w:rsid w:val="00DF2D26"/>
    <w:rsid w:val="00DF3454"/>
    <w:rsid w:val="00DF3A6E"/>
    <w:rsid w:val="00DF56EF"/>
    <w:rsid w:val="00E008A8"/>
    <w:rsid w:val="00E00EE0"/>
    <w:rsid w:val="00E01748"/>
    <w:rsid w:val="00E038CD"/>
    <w:rsid w:val="00E03C82"/>
    <w:rsid w:val="00E066C9"/>
    <w:rsid w:val="00E06780"/>
    <w:rsid w:val="00E06AC6"/>
    <w:rsid w:val="00E101C6"/>
    <w:rsid w:val="00E11E0A"/>
    <w:rsid w:val="00E12C3A"/>
    <w:rsid w:val="00E14F7A"/>
    <w:rsid w:val="00E15749"/>
    <w:rsid w:val="00E204C6"/>
    <w:rsid w:val="00E2137D"/>
    <w:rsid w:val="00E22F36"/>
    <w:rsid w:val="00E232BB"/>
    <w:rsid w:val="00E23FF2"/>
    <w:rsid w:val="00E26B26"/>
    <w:rsid w:val="00E279E4"/>
    <w:rsid w:val="00E27D3F"/>
    <w:rsid w:val="00E304E8"/>
    <w:rsid w:val="00E331C2"/>
    <w:rsid w:val="00E3376A"/>
    <w:rsid w:val="00E341E5"/>
    <w:rsid w:val="00E355B2"/>
    <w:rsid w:val="00E36C08"/>
    <w:rsid w:val="00E36E23"/>
    <w:rsid w:val="00E36F08"/>
    <w:rsid w:val="00E37F48"/>
    <w:rsid w:val="00E41182"/>
    <w:rsid w:val="00E42962"/>
    <w:rsid w:val="00E42A01"/>
    <w:rsid w:val="00E45FA5"/>
    <w:rsid w:val="00E465BC"/>
    <w:rsid w:val="00E46615"/>
    <w:rsid w:val="00E46EA1"/>
    <w:rsid w:val="00E47D0C"/>
    <w:rsid w:val="00E503FE"/>
    <w:rsid w:val="00E5234E"/>
    <w:rsid w:val="00E536BF"/>
    <w:rsid w:val="00E54062"/>
    <w:rsid w:val="00E57B71"/>
    <w:rsid w:val="00E57CC2"/>
    <w:rsid w:val="00E60884"/>
    <w:rsid w:val="00E61A36"/>
    <w:rsid w:val="00E64E77"/>
    <w:rsid w:val="00E667A5"/>
    <w:rsid w:val="00E67551"/>
    <w:rsid w:val="00E67821"/>
    <w:rsid w:val="00E71347"/>
    <w:rsid w:val="00E735CE"/>
    <w:rsid w:val="00E740D0"/>
    <w:rsid w:val="00E75DC6"/>
    <w:rsid w:val="00E75F48"/>
    <w:rsid w:val="00E7605B"/>
    <w:rsid w:val="00E767EC"/>
    <w:rsid w:val="00E7738F"/>
    <w:rsid w:val="00E77E91"/>
    <w:rsid w:val="00E83091"/>
    <w:rsid w:val="00E83C89"/>
    <w:rsid w:val="00E83E5C"/>
    <w:rsid w:val="00E85824"/>
    <w:rsid w:val="00E85B3A"/>
    <w:rsid w:val="00E86653"/>
    <w:rsid w:val="00E867D6"/>
    <w:rsid w:val="00E86BCA"/>
    <w:rsid w:val="00E86DCC"/>
    <w:rsid w:val="00E86E4D"/>
    <w:rsid w:val="00E91D69"/>
    <w:rsid w:val="00E922AD"/>
    <w:rsid w:val="00E927B4"/>
    <w:rsid w:val="00E93A32"/>
    <w:rsid w:val="00E94FB2"/>
    <w:rsid w:val="00E97C4B"/>
    <w:rsid w:val="00E97E36"/>
    <w:rsid w:val="00EA0289"/>
    <w:rsid w:val="00EA2318"/>
    <w:rsid w:val="00EA293E"/>
    <w:rsid w:val="00EA390B"/>
    <w:rsid w:val="00EA5569"/>
    <w:rsid w:val="00EA6A9A"/>
    <w:rsid w:val="00EA7E34"/>
    <w:rsid w:val="00EB008D"/>
    <w:rsid w:val="00EB0AD0"/>
    <w:rsid w:val="00EB0F00"/>
    <w:rsid w:val="00EB13E8"/>
    <w:rsid w:val="00EB3EC9"/>
    <w:rsid w:val="00EB4431"/>
    <w:rsid w:val="00EB4BB9"/>
    <w:rsid w:val="00EB4E6B"/>
    <w:rsid w:val="00EB5295"/>
    <w:rsid w:val="00EB6197"/>
    <w:rsid w:val="00EC03FD"/>
    <w:rsid w:val="00EC0C4A"/>
    <w:rsid w:val="00EC18AC"/>
    <w:rsid w:val="00EC1CC6"/>
    <w:rsid w:val="00EC1ED8"/>
    <w:rsid w:val="00EC2CD7"/>
    <w:rsid w:val="00EC3279"/>
    <w:rsid w:val="00EC3CDF"/>
    <w:rsid w:val="00EC3D05"/>
    <w:rsid w:val="00EC3D21"/>
    <w:rsid w:val="00EC50FA"/>
    <w:rsid w:val="00EC5676"/>
    <w:rsid w:val="00EC5711"/>
    <w:rsid w:val="00EC5740"/>
    <w:rsid w:val="00EC5BDD"/>
    <w:rsid w:val="00EC644A"/>
    <w:rsid w:val="00EC655A"/>
    <w:rsid w:val="00EC71A1"/>
    <w:rsid w:val="00EC78C4"/>
    <w:rsid w:val="00EC7F5C"/>
    <w:rsid w:val="00ED05B8"/>
    <w:rsid w:val="00ED1B5A"/>
    <w:rsid w:val="00ED229E"/>
    <w:rsid w:val="00ED44A4"/>
    <w:rsid w:val="00ED4913"/>
    <w:rsid w:val="00ED4F9D"/>
    <w:rsid w:val="00ED6207"/>
    <w:rsid w:val="00ED6597"/>
    <w:rsid w:val="00ED7570"/>
    <w:rsid w:val="00EE590F"/>
    <w:rsid w:val="00EE5D4C"/>
    <w:rsid w:val="00EE6CBE"/>
    <w:rsid w:val="00EE7ED3"/>
    <w:rsid w:val="00EF1388"/>
    <w:rsid w:val="00EF1A5F"/>
    <w:rsid w:val="00EF2507"/>
    <w:rsid w:val="00EF2B06"/>
    <w:rsid w:val="00EF2C1C"/>
    <w:rsid w:val="00EF31F0"/>
    <w:rsid w:val="00EF4138"/>
    <w:rsid w:val="00EF57DE"/>
    <w:rsid w:val="00EF5F8A"/>
    <w:rsid w:val="00EF6C31"/>
    <w:rsid w:val="00EF73A8"/>
    <w:rsid w:val="00F00F40"/>
    <w:rsid w:val="00F02109"/>
    <w:rsid w:val="00F050CC"/>
    <w:rsid w:val="00F056BC"/>
    <w:rsid w:val="00F0747B"/>
    <w:rsid w:val="00F10542"/>
    <w:rsid w:val="00F11DC4"/>
    <w:rsid w:val="00F1233C"/>
    <w:rsid w:val="00F12803"/>
    <w:rsid w:val="00F13C37"/>
    <w:rsid w:val="00F14BD4"/>
    <w:rsid w:val="00F157EC"/>
    <w:rsid w:val="00F16FEB"/>
    <w:rsid w:val="00F17017"/>
    <w:rsid w:val="00F179DB"/>
    <w:rsid w:val="00F20074"/>
    <w:rsid w:val="00F2009A"/>
    <w:rsid w:val="00F20E19"/>
    <w:rsid w:val="00F211B8"/>
    <w:rsid w:val="00F212B1"/>
    <w:rsid w:val="00F24098"/>
    <w:rsid w:val="00F24778"/>
    <w:rsid w:val="00F24F32"/>
    <w:rsid w:val="00F25298"/>
    <w:rsid w:val="00F3072C"/>
    <w:rsid w:val="00F308AD"/>
    <w:rsid w:val="00F31C16"/>
    <w:rsid w:val="00F362C9"/>
    <w:rsid w:val="00F36722"/>
    <w:rsid w:val="00F371BC"/>
    <w:rsid w:val="00F41431"/>
    <w:rsid w:val="00F43C2C"/>
    <w:rsid w:val="00F45D7F"/>
    <w:rsid w:val="00F46F4C"/>
    <w:rsid w:val="00F475E4"/>
    <w:rsid w:val="00F4773F"/>
    <w:rsid w:val="00F47BF9"/>
    <w:rsid w:val="00F47F2E"/>
    <w:rsid w:val="00F534CC"/>
    <w:rsid w:val="00F53525"/>
    <w:rsid w:val="00F53A88"/>
    <w:rsid w:val="00F53FF3"/>
    <w:rsid w:val="00F54255"/>
    <w:rsid w:val="00F54661"/>
    <w:rsid w:val="00F5480F"/>
    <w:rsid w:val="00F54CDB"/>
    <w:rsid w:val="00F56204"/>
    <w:rsid w:val="00F60906"/>
    <w:rsid w:val="00F609C5"/>
    <w:rsid w:val="00F60D92"/>
    <w:rsid w:val="00F6397C"/>
    <w:rsid w:val="00F650C6"/>
    <w:rsid w:val="00F65AD3"/>
    <w:rsid w:val="00F65F87"/>
    <w:rsid w:val="00F66758"/>
    <w:rsid w:val="00F66C15"/>
    <w:rsid w:val="00F66DD9"/>
    <w:rsid w:val="00F66EB6"/>
    <w:rsid w:val="00F67F55"/>
    <w:rsid w:val="00F711AD"/>
    <w:rsid w:val="00F71AAF"/>
    <w:rsid w:val="00F71E8F"/>
    <w:rsid w:val="00F720D5"/>
    <w:rsid w:val="00F729C8"/>
    <w:rsid w:val="00F73A8C"/>
    <w:rsid w:val="00F73BEC"/>
    <w:rsid w:val="00F765E6"/>
    <w:rsid w:val="00F767D8"/>
    <w:rsid w:val="00F77ECE"/>
    <w:rsid w:val="00F8025D"/>
    <w:rsid w:val="00F80407"/>
    <w:rsid w:val="00F80655"/>
    <w:rsid w:val="00F80D06"/>
    <w:rsid w:val="00F82A46"/>
    <w:rsid w:val="00F8369E"/>
    <w:rsid w:val="00F8453A"/>
    <w:rsid w:val="00F84EEA"/>
    <w:rsid w:val="00F87047"/>
    <w:rsid w:val="00F87195"/>
    <w:rsid w:val="00F90D77"/>
    <w:rsid w:val="00F9778B"/>
    <w:rsid w:val="00FA0F61"/>
    <w:rsid w:val="00FA122A"/>
    <w:rsid w:val="00FA1BCC"/>
    <w:rsid w:val="00FA1C38"/>
    <w:rsid w:val="00FA1F3A"/>
    <w:rsid w:val="00FA2B05"/>
    <w:rsid w:val="00FA378F"/>
    <w:rsid w:val="00FA448B"/>
    <w:rsid w:val="00FA59C9"/>
    <w:rsid w:val="00FB0086"/>
    <w:rsid w:val="00FB1DBB"/>
    <w:rsid w:val="00FB44F3"/>
    <w:rsid w:val="00FB460F"/>
    <w:rsid w:val="00FB6D8F"/>
    <w:rsid w:val="00FC023B"/>
    <w:rsid w:val="00FC3215"/>
    <w:rsid w:val="00FC3CE8"/>
    <w:rsid w:val="00FC564F"/>
    <w:rsid w:val="00FC6251"/>
    <w:rsid w:val="00FC6918"/>
    <w:rsid w:val="00FC7D2C"/>
    <w:rsid w:val="00FD0400"/>
    <w:rsid w:val="00FD14F9"/>
    <w:rsid w:val="00FD6128"/>
    <w:rsid w:val="00FD6656"/>
    <w:rsid w:val="00FD7285"/>
    <w:rsid w:val="00FD77A8"/>
    <w:rsid w:val="00FE03EF"/>
    <w:rsid w:val="00FE3996"/>
    <w:rsid w:val="00FE4E8A"/>
    <w:rsid w:val="00FE5581"/>
    <w:rsid w:val="00FE5788"/>
    <w:rsid w:val="00FF0131"/>
    <w:rsid w:val="00FF01E2"/>
    <w:rsid w:val="00FF431F"/>
    <w:rsid w:val="00FF43C0"/>
    <w:rsid w:val="00FF5264"/>
    <w:rsid w:val="00FF5617"/>
    <w:rsid w:val="00FF5A6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5C5FF"/>
  <w15:chartTrackingRefBased/>
  <w15:docId w15:val="{7B80D567-CD76-4CE4-B0A7-B346EC4D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11"/>
    <w:rPr>
      <w:rFonts w:ascii="Times New Roman" w:hAnsi="Times New Roman"/>
    </w:rPr>
  </w:style>
  <w:style w:type="paragraph" w:styleId="Heading1">
    <w:name w:val="heading 1"/>
    <w:basedOn w:val="Normal"/>
    <w:next w:val="Normal"/>
    <w:link w:val="Heading1Char"/>
    <w:uiPriority w:val="9"/>
    <w:qFormat/>
    <w:rsid w:val="00431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39D"/>
    <w:rPr>
      <w:rFonts w:eastAsiaTheme="majorEastAsia" w:cstheme="majorBidi"/>
      <w:color w:val="272727" w:themeColor="text1" w:themeTint="D8"/>
    </w:rPr>
  </w:style>
  <w:style w:type="paragraph" w:styleId="Title">
    <w:name w:val="Title"/>
    <w:basedOn w:val="Normal"/>
    <w:next w:val="Normal"/>
    <w:link w:val="TitleChar"/>
    <w:uiPriority w:val="10"/>
    <w:qFormat/>
    <w:rsid w:val="00431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39D"/>
    <w:pPr>
      <w:spacing w:before="160"/>
      <w:jc w:val="center"/>
    </w:pPr>
    <w:rPr>
      <w:i/>
      <w:iCs/>
      <w:color w:val="404040" w:themeColor="text1" w:themeTint="BF"/>
    </w:rPr>
  </w:style>
  <w:style w:type="character" w:customStyle="1" w:styleId="QuoteChar">
    <w:name w:val="Quote Char"/>
    <w:basedOn w:val="DefaultParagraphFont"/>
    <w:link w:val="Quote"/>
    <w:uiPriority w:val="29"/>
    <w:rsid w:val="0043139D"/>
    <w:rPr>
      <w:i/>
      <w:iCs/>
      <w:color w:val="404040" w:themeColor="text1" w:themeTint="BF"/>
    </w:rPr>
  </w:style>
  <w:style w:type="paragraph" w:styleId="ListParagraph">
    <w:name w:val="List Paragraph"/>
    <w:basedOn w:val="Normal"/>
    <w:uiPriority w:val="34"/>
    <w:qFormat/>
    <w:rsid w:val="0043139D"/>
    <w:pPr>
      <w:ind w:left="720"/>
      <w:contextualSpacing/>
    </w:pPr>
  </w:style>
  <w:style w:type="character" w:styleId="IntenseEmphasis">
    <w:name w:val="Intense Emphasis"/>
    <w:basedOn w:val="DefaultParagraphFont"/>
    <w:uiPriority w:val="21"/>
    <w:qFormat/>
    <w:rsid w:val="0043139D"/>
    <w:rPr>
      <w:i/>
      <w:iCs/>
      <w:color w:val="0F4761" w:themeColor="accent1" w:themeShade="BF"/>
    </w:rPr>
  </w:style>
  <w:style w:type="paragraph" w:styleId="IntenseQuote">
    <w:name w:val="Intense Quote"/>
    <w:basedOn w:val="Normal"/>
    <w:next w:val="Normal"/>
    <w:link w:val="IntenseQuoteChar"/>
    <w:uiPriority w:val="30"/>
    <w:qFormat/>
    <w:rsid w:val="00431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39D"/>
    <w:rPr>
      <w:i/>
      <w:iCs/>
      <w:color w:val="0F4761" w:themeColor="accent1" w:themeShade="BF"/>
    </w:rPr>
  </w:style>
  <w:style w:type="character" w:styleId="IntenseReference">
    <w:name w:val="Intense Reference"/>
    <w:basedOn w:val="DefaultParagraphFont"/>
    <w:uiPriority w:val="32"/>
    <w:qFormat/>
    <w:rsid w:val="0043139D"/>
    <w:rPr>
      <w:b/>
      <w:bCs/>
      <w:smallCaps/>
      <w:color w:val="0F4761" w:themeColor="accent1" w:themeShade="BF"/>
      <w:spacing w:val="5"/>
    </w:rPr>
  </w:style>
  <w:style w:type="paragraph" w:styleId="Bibliography">
    <w:name w:val="Bibliography"/>
    <w:basedOn w:val="Normal"/>
    <w:next w:val="Normal"/>
    <w:uiPriority w:val="37"/>
    <w:unhideWhenUsed/>
    <w:rsid w:val="0018313A"/>
    <w:pPr>
      <w:spacing w:after="0" w:line="240" w:lineRule="auto"/>
      <w:ind w:left="720" w:hanging="720"/>
    </w:pPr>
  </w:style>
  <w:style w:type="paragraph" w:customStyle="1" w:styleId="MTDisplayEquation">
    <w:name w:val="MTDisplayEquation"/>
    <w:basedOn w:val="Normal"/>
    <w:next w:val="Normal"/>
    <w:link w:val="MTDisplayEquationChar"/>
    <w:rsid w:val="00810145"/>
    <w:pPr>
      <w:shd w:val="clear" w:color="auto" w:fill="FFFFFF"/>
      <w:tabs>
        <w:tab w:val="center" w:pos="4680"/>
        <w:tab w:val="right" w:pos="9360"/>
      </w:tabs>
      <w:spacing w:after="0" w:line="240" w:lineRule="auto"/>
      <w:jc w:val="both"/>
    </w:pPr>
  </w:style>
  <w:style w:type="character" w:customStyle="1" w:styleId="MTDisplayEquationChar">
    <w:name w:val="MTDisplayEquation Char"/>
    <w:basedOn w:val="DefaultParagraphFont"/>
    <w:link w:val="MTDisplayEquation"/>
    <w:rsid w:val="00810145"/>
    <w:rPr>
      <w:rFonts w:ascii="Times New Roman" w:hAnsi="Times New Roman"/>
      <w:shd w:val="clear" w:color="auto" w:fill="FFFFFF"/>
    </w:rPr>
  </w:style>
  <w:style w:type="character" w:customStyle="1" w:styleId="MTEquationSection">
    <w:name w:val="MTEquationSection"/>
    <w:basedOn w:val="DefaultParagraphFont"/>
    <w:rsid w:val="0036164D"/>
    <w:rPr>
      <w:rFonts w:ascii="Times New Roman" w:hAnsi="Times New Roman" w:cs="Times New Roman"/>
      <w:b/>
      <w:vanish/>
      <w:color w:val="FF0000"/>
    </w:rPr>
  </w:style>
  <w:style w:type="paragraph" w:styleId="Header">
    <w:name w:val="header"/>
    <w:basedOn w:val="Normal"/>
    <w:link w:val="HeaderChar"/>
    <w:uiPriority w:val="99"/>
    <w:unhideWhenUsed/>
    <w:rsid w:val="00DD6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1AB"/>
  </w:style>
  <w:style w:type="paragraph" w:styleId="Footer">
    <w:name w:val="footer"/>
    <w:basedOn w:val="Normal"/>
    <w:link w:val="FooterChar"/>
    <w:uiPriority w:val="99"/>
    <w:unhideWhenUsed/>
    <w:rsid w:val="00DD6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1AB"/>
  </w:style>
  <w:style w:type="character" w:styleId="Hyperlink">
    <w:name w:val="Hyperlink"/>
    <w:basedOn w:val="DefaultParagraphFont"/>
    <w:uiPriority w:val="99"/>
    <w:unhideWhenUsed/>
    <w:rsid w:val="00B31D51"/>
    <w:rPr>
      <w:color w:val="0000FF"/>
      <w:u w:val="single"/>
    </w:rPr>
  </w:style>
  <w:style w:type="character" w:styleId="UnresolvedMention">
    <w:name w:val="Unresolved Mention"/>
    <w:basedOn w:val="DefaultParagraphFont"/>
    <w:uiPriority w:val="99"/>
    <w:semiHidden/>
    <w:unhideWhenUsed/>
    <w:rsid w:val="008502F8"/>
    <w:rPr>
      <w:color w:val="605E5C"/>
      <w:shd w:val="clear" w:color="auto" w:fill="E1DFDD"/>
    </w:rPr>
  </w:style>
  <w:style w:type="paragraph" w:styleId="FootnoteText">
    <w:name w:val="footnote text"/>
    <w:basedOn w:val="Normal"/>
    <w:link w:val="FootnoteTextChar"/>
    <w:uiPriority w:val="99"/>
    <w:unhideWhenUsed/>
    <w:rsid w:val="00842531"/>
    <w:pPr>
      <w:spacing w:after="0" w:line="240" w:lineRule="auto"/>
    </w:pPr>
    <w:rPr>
      <w:sz w:val="20"/>
      <w:szCs w:val="20"/>
    </w:rPr>
  </w:style>
  <w:style w:type="character" w:customStyle="1" w:styleId="FootnoteTextChar">
    <w:name w:val="Footnote Text Char"/>
    <w:basedOn w:val="DefaultParagraphFont"/>
    <w:link w:val="FootnoteText"/>
    <w:uiPriority w:val="99"/>
    <w:rsid w:val="00842531"/>
    <w:rPr>
      <w:sz w:val="20"/>
      <w:szCs w:val="20"/>
    </w:rPr>
  </w:style>
  <w:style w:type="character" w:styleId="FootnoteReference">
    <w:name w:val="footnote reference"/>
    <w:basedOn w:val="DefaultParagraphFont"/>
    <w:uiPriority w:val="99"/>
    <w:semiHidden/>
    <w:unhideWhenUsed/>
    <w:rsid w:val="00842531"/>
    <w:rPr>
      <w:vertAlign w:val="superscript"/>
    </w:rPr>
  </w:style>
  <w:style w:type="paragraph" w:styleId="NormalWeb">
    <w:name w:val="Normal (Web)"/>
    <w:basedOn w:val="Normal"/>
    <w:uiPriority w:val="99"/>
    <w:unhideWhenUsed/>
    <w:rsid w:val="0066242C"/>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66242C"/>
    <w:rPr>
      <w:b/>
      <w:bCs/>
    </w:rPr>
  </w:style>
  <w:style w:type="paragraph" w:styleId="Revision">
    <w:name w:val="Revision"/>
    <w:hidden/>
    <w:uiPriority w:val="99"/>
    <w:semiHidden/>
    <w:rsid w:val="006E01C4"/>
    <w:pPr>
      <w:spacing w:after="0" w:line="240" w:lineRule="auto"/>
    </w:pPr>
  </w:style>
  <w:style w:type="character" w:styleId="EndnoteReference">
    <w:name w:val="endnote reference"/>
    <w:basedOn w:val="DefaultParagraphFont"/>
    <w:uiPriority w:val="99"/>
    <w:semiHidden/>
    <w:unhideWhenUsed/>
    <w:rsid w:val="00815F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73913">
      <w:bodyDiv w:val="1"/>
      <w:marLeft w:val="0"/>
      <w:marRight w:val="0"/>
      <w:marTop w:val="0"/>
      <w:marBottom w:val="0"/>
      <w:divBdr>
        <w:top w:val="none" w:sz="0" w:space="0" w:color="auto"/>
        <w:left w:val="none" w:sz="0" w:space="0" w:color="auto"/>
        <w:bottom w:val="none" w:sz="0" w:space="0" w:color="auto"/>
        <w:right w:val="none" w:sz="0" w:space="0" w:color="auto"/>
      </w:divBdr>
    </w:div>
    <w:div w:id="843205039">
      <w:bodyDiv w:val="1"/>
      <w:marLeft w:val="0"/>
      <w:marRight w:val="0"/>
      <w:marTop w:val="0"/>
      <w:marBottom w:val="0"/>
      <w:divBdr>
        <w:top w:val="none" w:sz="0" w:space="0" w:color="auto"/>
        <w:left w:val="none" w:sz="0" w:space="0" w:color="auto"/>
        <w:bottom w:val="none" w:sz="0" w:space="0" w:color="auto"/>
        <w:right w:val="none" w:sz="0" w:space="0" w:color="auto"/>
      </w:divBdr>
    </w:div>
    <w:div w:id="919869720">
      <w:bodyDiv w:val="1"/>
      <w:marLeft w:val="0"/>
      <w:marRight w:val="0"/>
      <w:marTop w:val="0"/>
      <w:marBottom w:val="0"/>
      <w:divBdr>
        <w:top w:val="none" w:sz="0" w:space="0" w:color="auto"/>
        <w:left w:val="none" w:sz="0" w:space="0" w:color="auto"/>
        <w:bottom w:val="none" w:sz="0" w:space="0" w:color="auto"/>
        <w:right w:val="none" w:sz="0" w:space="0" w:color="auto"/>
      </w:divBdr>
    </w:div>
    <w:div w:id="950546788">
      <w:bodyDiv w:val="1"/>
      <w:marLeft w:val="0"/>
      <w:marRight w:val="0"/>
      <w:marTop w:val="0"/>
      <w:marBottom w:val="0"/>
      <w:divBdr>
        <w:top w:val="none" w:sz="0" w:space="0" w:color="auto"/>
        <w:left w:val="none" w:sz="0" w:space="0" w:color="auto"/>
        <w:bottom w:val="none" w:sz="0" w:space="0" w:color="auto"/>
        <w:right w:val="none" w:sz="0" w:space="0" w:color="auto"/>
      </w:divBdr>
      <w:divsChild>
        <w:div w:id="765005016">
          <w:marLeft w:val="0"/>
          <w:marRight w:val="0"/>
          <w:marTop w:val="0"/>
          <w:marBottom w:val="0"/>
          <w:divBdr>
            <w:top w:val="none" w:sz="0" w:space="0" w:color="auto"/>
            <w:left w:val="none" w:sz="0" w:space="0" w:color="auto"/>
            <w:bottom w:val="none" w:sz="0" w:space="0" w:color="auto"/>
            <w:right w:val="none" w:sz="0" w:space="0" w:color="auto"/>
          </w:divBdr>
        </w:div>
      </w:divsChild>
    </w:div>
    <w:div w:id="966665609">
      <w:bodyDiv w:val="1"/>
      <w:marLeft w:val="0"/>
      <w:marRight w:val="0"/>
      <w:marTop w:val="0"/>
      <w:marBottom w:val="0"/>
      <w:divBdr>
        <w:top w:val="none" w:sz="0" w:space="0" w:color="auto"/>
        <w:left w:val="none" w:sz="0" w:space="0" w:color="auto"/>
        <w:bottom w:val="none" w:sz="0" w:space="0" w:color="auto"/>
        <w:right w:val="none" w:sz="0" w:space="0" w:color="auto"/>
      </w:divBdr>
    </w:div>
    <w:div w:id="976032771">
      <w:bodyDiv w:val="1"/>
      <w:marLeft w:val="0"/>
      <w:marRight w:val="0"/>
      <w:marTop w:val="0"/>
      <w:marBottom w:val="0"/>
      <w:divBdr>
        <w:top w:val="none" w:sz="0" w:space="0" w:color="auto"/>
        <w:left w:val="none" w:sz="0" w:space="0" w:color="auto"/>
        <w:bottom w:val="none" w:sz="0" w:space="0" w:color="auto"/>
        <w:right w:val="none" w:sz="0" w:space="0" w:color="auto"/>
      </w:divBdr>
    </w:div>
    <w:div w:id="1050109503">
      <w:bodyDiv w:val="1"/>
      <w:marLeft w:val="0"/>
      <w:marRight w:val="0"/>
      <w:marTop w:val="0"/>
      <w:marBottom w:val="0"/>
      <w:divBdr>
        <w:top w:val="none" w:sz="0" w:space="0" w:color="auto"/>
        <w:left w:val="none" w:sz="0" w:space="0" w:color="auto"/>
        <w:bottom w:val="none" w:sz="0" w:space="0" w:color="auto"/>
        <w:right w:val="none" w:sz="0" w:space="0" w:color="auto"/>
      </w:divBdr>
      <w:divsChild>
        <w:div w:id="500507649">
          <w:marLeft w:val="0"/>
          <w:marRight w:val="0"/>
          <w:marTop w:val="0"/>
          <w:marBottom w:val="0"/>
          <w:divBdr>
            <w:top w:val="none" w:sz="0" w:space="0" w:color="auto"/>
            <w:left w:val="none" w:sz="0" w:space="0" w:color="auto"/>
            <w:bottom w:val="none" w:sz="0" w:space="0" w:color="auto"/>
            <w:right w:val="none" w:sz="0" w:space="0" w:color="auto"/>
          </w:divBdr>
        </w:div>
      </w:divsChild>
    </w:div>
    <w:div w:id="1184244810">
      <w:bodyDiv w:val="1"/>
      <w:marLeft w:val="0"/>
      <w:marRight w:val="0"/>
      <w:marTop w:val="0"/>
      <w:marBottom w:val="0"/>
      <w:divBdr>
        <w:top w:val="none" w:sz="0" w:space="0" w:color="auto"/>
        <w:left w:val="none" w:sz="0" w:space="0" w:color="auto"/>
        <w:bottom w:val="none" w:sz="0" w:space="0" w:color="auto"/>
        <w:right w:val="none" w:sz="0" w:space="0" w:color="auto"/>
      </w:divBdr>
    </w:div>
    <w:div w:id="1206019284">
      <w:bodyDiv w:val="1"/>
      <w:marLeft w:val="0"/>
      <w:marRight w:val="0"/>
      <w:marTop w:val="0"/>
      <w:marBottom w:val="0"/>
      <w:divBdr>
        <w:top w:val="none" w:sz="0" w:space="0" w:color="auto"/>
        <w:left w:val="none" w:sz="0" w:space="0" w:color="auto"/>
        <w:bottom w:val="none" w:sz="0" w:space="0" w:color="auto"/>
        <w:right w:val="none" w:sz="0" w:space="0" w:color="auto"/>
      </w:divBdr>
      <w:divsChild>
        <w:div w:id="463426191">
          <w:marLeft w:val="0"/>
          <w:marRight w:val="0"/>
          <w:marTop w:val="0"/>
          <w:marBottom w:val="0"/>
          <w:divBdr>
            <w:top w:val="none" w:sz="0" w:space="0" w:color="auto"/>
            <w:left w:val="none" w:sz="0" w:space="0" w:color="auto"/>
            <w:bottom w:val="none" w:sz="0" w:space="0" w:color="auto"/>
            <w:right w:val="none" w:sz="0" w:space="0" w:color="auto"/>
          </w:divBdr>
        </w:div>
      </w:divsChild>
    </w:div>
    <w:div w:id="1222598567">
      <w:bodyDiv w:val="1"/>
      <w:marLeft w:val="0"/>
      <w:marRight w:val="0"/>
      <w:marTop w:val="0"/>
      <w:marBottom w:val="0"/>
      <w:divBdr>
        <w:top w:val="none" w:sz="0" w:space="0" w:color="auto"/>
        <w:left w:val="none" w:sz="0" w:space="0" w:color="auto"/>
        <w:bottom w:val="none" w:sz="0" w:space="0" w:color="auto"/>
        <w:right w:val="none" w:sz="0" w:space="0" w:color="auto"/>
      </w:divBdr>
      <w:divsChild>
        <w:div w:id="663626029">
          <w:marLeft w:val="0"/>
          <w:marRight w:val="0"/>
          <w:marTop w:val="0"/>
          <w:marBottom w:val="0"/>
          <w:divBdr>
            <w:top w:val="none" w:sz="0" w:space="0" w:color="auto"/>
            <w:left w:val="none" w:sz="0" w:space="0" w:color="auto"/>
            <w:bottom w:val="none" w:sz="0" w:space="0" w:color="auto"/>
            <w:right w:val="none" w:sz="0" w:space="0" w:color="auto"/>
          </w:divBdr>
        </w:div>
      </w:divsChild>
    </w:div>
    <w:div w:id="1627156515">
      <w:bodyDiv w:val="1"/>
      <w:marLeft w:val="0"/>
      <w:marRight w:val="0"/>
      <w:marTop w:val="0"/>
      <w:marBottom w:val="0"/>
      <w:divBdr>
        <w:top w:val="none" w:sz="0" w:space="0" w:color="auto"/>
        <w:left w:val="none" w:sz="0" w:space="0" w:color="auto"/>
        <w:bottom w:val="none" w:sz="0" w:space="0" w:color="auto"/>
        <w:right w:val="none" w:sz="0" w:space="0" w:color="auto"/>
      </w:divBdr>
    </w:div>
    <w:div w:id="1688099759">
      <w:bodyDiv w:val="1"/>
      <w:marLeft w:val="0"/>
      <w:marRight w:val="0"/>
      <w:marTop w:val="0"/>
      <w:marBottom w:val="0"/>
      <w:divBdr>
        <w:top w:val="none" w:sz="0" w:space="0" w:color="auto"/>
        <w:left w:val="none" w:sz="0" w:space="0" w:color="auto"/>
        <w:bottom w:val="none" w:sz="0" w:space="0" w:color="auto"/>
        <w:right w:val="none" w:sz="0" w:space="0" w:color="auto"/>
      </w:divBdr>
    </w:div>
    <w:div w:id="1825317122">
      <w:bodyDiv w:val="1"/>
      <w:marLeft w:val="0"/>
      <w:marRight w:val="0"/>
      <w:marTop w:val="0"/>
      <w:marBottom w:val="0"/>
      <w:divBdr>
        <w:top w:val="none" w:sz="0" w:space="0" w:color="auto"/>
        <w:left w:val="none" w:sz="0" w:space="0" w:color="auto"/>
        <w:bottom w:val="none" w:sz="0" w:space="0" w:color="auto"/>
        <w:right w:val="none" w:sz="0" w:space="0" w:color="auto"/>
      </w:divBdr>
    </w:div>
    <w:div w:id="1870530254">
      <w:bodyDiv w:val="1"/>
      <w:marLeft w:val="0"/>
      <w:marRight w:val="0"/>
      <w:marTop w:val="0"/>
      <w:marBottom w:val="0"/>
      <w:divBdr>
        <w:top w:val="none" w:sz="0" w:space="0" w:color="auto"/>
        <w:left w:val="none" w:sz="0" w:space="0" w:color="auto"/>
        <w:bottom w:val="none" w:sz="0" w:space="0" w:color="auto"/>
        <w:right w:val="none" w:sz="0" w:space="0" w:color="auto"/>
      </w:divBdr>
    </w:div>
    <w:div w:id="2087263723">
      <w:bodyDiv w:val="1"/>
      <w:marLeft w:val="0"/>
      <w:marRight w:val="0"/>
      <w:marTop w:val="0"/>
      <w:marBottom w:val="0"/>
      <w:divBdr>
        <w:top w:val="none" w:sz="0" w:space="0" w:color="auto"/>
        <w:left w:val="none" w:sz="0" w:space="0" w:color="auto"/>
        <w:bottom w:val="none" w:sz="0" w:space="0" w:color="auto"/>
        <w:right w:val="none" w:sz="0" w:space="0" w:color="auto"/>
      </w:divBdr>
      <w:divsChild>
        <w:div w:id="74587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footer" Target="footer1.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oleObject" Target="embeddings/oleObject35.bin"/><Relationship Id="rId79" Type="http://schemas.openxmlformats.org/officeDocument/2006/relationships/oleObject" Target="embeddings/oleObject38.bin"/><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7.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5.wmf"/><Relationship Id="rId85" Type="http://schemas.openxmlformats.org/officeDocument/2006/relationships/image" Target="media/image37.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image" Target="media/image33.wmf"/><Relationship Id="rId83" Type="http://schemas.openxmlformats.org/officeDocument/2006/relationships/oleObject" Target="embeddings/oleObject40.bin"/><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image" Target="media/image38.sv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oleObject" Target="embeddings/oleObject36.bin"/><Relationship Id="rId7" Type="http://schemas.openxmlformats.org/officeDocument/2006/relationships/endnotes" Target="endnotes.xml"/><Relationship Id="rId71"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image" Target="media/image3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7510-EB73-430B-9A5C-BC94EC9C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65661</Words>
  <Characters>374268</Characters>
  <Application>Microsoft Office Word</Application>
  <DocSecurity>0</DocSecurity>
  <Lines>3118</Lines>
  <Paragraphs>878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Robbennolt</dc:creator>
  <cp:keywords/>
  <dc:description/>
  <cp:lastModifiedBy>Macias, Lisa J</cp:lastModifiedBy>
  <cp:revision>2</cp:revision>
  <cp:lastPrinted>2026-02-11T11:03:00Z</cp:lastPrinted>
  <dcterms:created xsi:type="dcterms:W3CDTF">2026-03-09T22:10:00Z</dcterms:created>
  <dcterms:modified xsi:type="dcterms:W3CDTF">2026-03-09T22:10:00Z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id="2HHxaK8f"/&gt;&lt;style id="http://www.zotero.org/styles/transportation-research-part-b" hasBibliography="1" bibliographyStyleHasBeenSet="1"/&gt;&lt;prefs&gt;&lt;pref name="fieldType" value="Field"/&gt;&lt;/prefs&gt;&lt;/data&gt;</vt:lpwstr>
  </property>
  <property fmtid="{D5CDD505-2E9C-101B-9397-08002B2CF9AE}" pid="3" name="MTEquationNumber2">
    <vt:lpwstr>(#E1)</vt:lpwstr>
  </property>
  <property fmtid="{D5CDD505-2E9C-101B-9397-08002B2CF9AE}" pid="4" name="MTEquationSection">
    <vt:lpwstr>1</vt:lpwstr>
  </property>
  <property fmtid="{D5CDD505-2E9C-101B-9397-08002B2CF9AE}" pid="5" name="MTWinEqns">
    <vt:bool>true</vt:bool>
  </property>
</Properties>
</file>